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8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10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104" w:lineRule="exact"/>
        <w:rPr>
          <w:sz w:val="24"/>
          <w:szCs w:val="24"/>
          <w:color w:val="auto"/>
        </w:rPr>
      </w:pPr>
    </w:p>
    <w:p>
      <w:pPr>
        <w:jc w:val="right"/>
        <w:ind w:right="171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66"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22"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48"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Preliminary Proxy Statement</w:t>
      </w:r>
    </w:p>
    <w:p>
      <w:pPr>
        <w:spacing w:after="0" w:line="81" w:lineRule="exact"/>
        <w:rPr>
          <w:rFonts w:ascii="MS PGothic" w:cs="MS PGothic" w:eastAsia="MS PGothic" w:hAnsi="MS PGothic"/>
          <w:sz w:val="16"/>
          <w:szCs w:val="16"/>
          <w:color w:val="auto"/>
        </w:rPr>
      </w:pPr>
    </w:p>
    <w:p>
      <w:pPr>
        <w:ind w:left="560" w:hanging="553"/>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Confidential, for Use of the Commission Only (as permitted by Rule 14a-6(e)(2))</w:t>
      </w:r>
    </w:p>
    <w:p>
      <w:pPr>
        <w:spacing w:after="0" w:line="82"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Proxy Statement</w:t>
      </w:r>
    </w:p>
    <w:p>
      <w:pPr>
        <w:spacing w:after="0" w:line="82"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Additional Materials</w:t>
      </w:r>
    </w:p>
    <w:p>
      <w:pPr>
        <w:spacing w:after="0" w:line="81" w:lineRule="exact"/>
        <w:rPr>
          <w:rFonts w:ascii="MS PGothic" w:cs="MS PGothic" w:eastAsia="MS PGothic" w:hAnsi="MS PGothic"/>
          <w:sz w:val="16"/>
          <w:szCs w:val="16"/>
          <w:color w:val="auto"/>
        </w:rPr>
      </w:pPr>
    </w:p>
    <w:p>
      <w:pPr>
        <w:ind w:left="560" w:hanging="553"/>
        <w:spacing w:after="0"/>
        <w:tabs>
          <w:tab w:leader="none" w:pos="5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Soliciting Material under Section 240.14a-2.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563880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71120</wp:posOffset>
            </wp:positionV>
            <wp:extent cx="2938145" cy="35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8145" cy="35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color w:val="auto"/>
        </w:rPr>
        <w:t>(Name of Person(s) Filing Proxy Statement, if other than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95" w:lineRule="exact"/>
        <w:rPr>
          <w:sz w:val="24"/>
          <w:szCs w:val="24"/>
          <w:color w:val="auto"/>
        </w:rPr>
      </w:pPr>
    </w:p>
    <w:p>
      <w:pPr>
        <w:ind w:left="560" w:hanging="553"/>
        <w:spacing w:after="0"/>
        <w:tabs>
          <w:tab w:leader="none" w:pos="5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22" w:lineRule="exact"/>
        <w:rPr>
          <w:sz w:val="24"/>
          <w:szCs w:val="24"/>
          <w:color w:val="auto"/>
        </w:rPr>
      </w:pPr>
    </w:p>
    <w:p>
      <w:pPr>
        <w:ind w:left="560" w:hanging="553"/>
        <w:spacing w:after="0"/>
        <w:tabs>
          <w:tab w:leader="none" w:pos="56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121" w:lineRule="exact"/>
        <w:rPr>
          <w:rFonts w:ascii="MS PGothic" w:cs="MS PGothic" w:eastAsia="MS PGothic" w:hAnsi="MS PGothic"/>
          <w:sz w:val="15"/>
          <w:szCs w:val="15"/>
          <w:color w:val="auto"/>
        </w:rPr>
      </w:pPr>
    </w:p>
    <w:p>
      <w:pPr>
        <w:ind w:left="560" w:hanging="553"/>
        <w:spacing w:after="0"/>
        <w:tabs>
          <w:tab w:leader="none" w:pos="56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164465</wp:posOffset>
            </wp:positionV>
            <wp:extent cx="6929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491"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20"/>
        <w:spacing w:after="0"/>
        <w:rPr>
          <w:sz w:val="20"/>
          <w:szCs w:val="20"/>
          <w:color w:val="auto"/>
        </w:rPr>
      </w:pPr>
      <w:r>
        <w:rPr>
          <w:rFonts w:ascii="Arial" w:cs="Arial" w:eastAsia="Arial" w:hAnsi="Arial"/>
          <w:sz w:val="42"/>
          <w:szCs w:val="42"/>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307340</wp:posOffset>
            </wp:positionH>
            <wp:positionV relativeFrom="page">
              <wp:posOffset>197485</wp:posOffset>
            </wp:positionV>
            <wp:extent cx="6934200" cy="394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4200" cy="394970"/>
                    </a:xfrm>
                    <a:prstGeom prst="rect">
                      <a:avLst/>
                    </a:prstGeom>
                    <a:noFill/>
                  </pic:spPr>
                </pic:pic>
              </a:graphicData>
            </a:graphic>
          </wp:anchor>
        </w:drawing>
        <w:t>Notice of 2026 Annual Meeting of Shareholders</w:t>
      </w:r>
    </w:p>
    <w:p>
      <w:pPr>
        <w:sectPr>
          <w:pgSz w:w="11900" w:h="16838" w:orient="portrait"/>
          <w:cols w:equalWidth="0" w:num="1">
            <w:col w:w="10920"/>
          </w:cols>
          <w:pgMar w:left="480" w:top="323" w:right="4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8, 2026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9:00 a.m. Eastern Time</w:t>
      </w:r>
    </w:p>
    <w:p>
      <w:pPr>
        <w:spacing w:after="0" w:line="232" w:lineRule="auto"/>
        <w:rPr>
          <w:sz w:val="20"/>
          <w:szCs w:val="20"/>
          <w:color w:val="auto"/>
        </w:rPr>
      </w:pPr>
      <w:r>
        <w:rPr>
          <w:rFonts w:ascii="Arial" w:cs="Arial" w:eastAsia="Arial" w:hAnsi="Arial"/>
          <w:sz w:val="18"/>
          <w:szCs w:val="18"/>
          <w:color w:val="auto"/>
        </w:rPr>
        <w:t>The Jefferson Hotel</w:t>
      </w:r>
    </w:p>
    <w:p>
      <w:pPr>
        <w:spacing w:after="0" w:line="233" w:lineRule="auto"/>
        <w:rPr>
          <w:sz w:val="20"/>
          <w:szCs w:val="20"/>
          <w:color w:val="auto"/>
        </w:rPr>
      </w:pPr>
      <w:r>
        <w:rPr>
          <w:rFonts w:ascii="Arial" w:cs="Arial" w:eastAsia="Arial" w:hAnsi="Arial"/>
          <w:sz w:val="18"/>
          <w:szCs w:val="18"/>
          <w:color w:val="auto"/>
        </w:rPr>
        <w:t>101 West Franklin Street</w:t>
      </w:r>
    </w:p>
    <w:p>
      <w:pPr>
        <w:spacing w:after="0"/>
        <w:rPr>
          <w:sz w:val="20"/>
          <w:szCs w:val="20"/>
          <w:color w:val="auto"/>
        </w:rPr>
      </w:pPr>
      <w:r>
        <w:rPr>
          <w:rFonts w:ascii="Arial" w:cs="Arial" w:eastAsia="Arial" w:hAnsi="Arial"/>
          <w:sz w:val="18"/>
          <w:szCs w:val="18"/>
          <w:color w:val="auto"/>
        </w:rPr>
        <w:t>Richmond, VA 23220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0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You are cordially invited to attend the Annual Meeting of Shareholders (the “Annual Meeting”) of Dover Corporation (“Dover” or the “Company”) at The Jefferson Hotel, 101 West Franklin Street, Richmond, VA 23220 on May 8, 2026 at 9:00 a.m. Eastern Time, to be held for the following purposes:</w:t>
      </w:r>
    </w:p>
    <w:p>
      <w:pPr>
        <w:spacing w:after="0" w:line="78" w:lineRule="exact"/>
        <w:rPr>
          <w:sz w:val="20"/>
          <w:szCs w:val="20"/>
          <w:color w:val="auto"/>
        </w:rPr>
      </w:pPr>
    </w:p>
    <w:p>
      <w:pPr>
        <w:ind w:left="1200" w:hanging="430"/>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113" w:lineRule="exact"/>
        <w:rPr>
          <w:rFonts w:ascii="Arial" w:cs="Arial" w:eastAsia="Arial" w:hAnsi="Arial"/>
          <w:sz w:val="18"/>
          <w:szCs w:val="18"/>
          <w:color w:val="auto"/>
        </w:rPr>
      </w:pPr>
    </w:p>
    <w:p>
      <w:pPr>
        <w:ind w:left="1200" w:right="40" w:hanging="430"/>
        <w:spacing w:after="0" w:line="265"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2026.</w:t>
      </w:r>
    </w:p>
    <w:p>
      <w:pPr>
        <w:spacing w:after="0" w:line="64" w:lineRule="exact"/>
        <w:rPr>
          <w:rFonts w:ascii="Arial" w:cs="Arial" w:eastAsia="Arial" w:hAnsi="Arial"/>
          <w:sz w:val="18"/>
          <w:szCs w:val="18"/>
          <w:color w:val="auto"/>
        </w:rPr>
      </w:pPr>
    </w:p>
    <w:p>
      <w:pPr>
        <w:ind w:left="1200" w:hanging="430"/>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(“NEO”) compensation.</w:t>
      </w:r>
    </w:p>
    <w:p>
      <w:pPr>
        <w:spacing w:after="0" w:line="113" w:lineRule="exact"/>
        <w:rPr>
          <w:rFonts w:ascii="Arial" w:cs="Arial" w:eastAsia="Arial" w:hAnsi="Arial"/>
          <w:sz w:val="18"/>
          <w:szCs w:val="18"/>
          <w:color w:val="auto"/>
        </w:rPr>
      </w:pPr>
    </w:p>
    <w:p>
      <w:pPr>
        <w:ind w:left="1200" w:hanging="430"/>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 shareholder proposal requesting an independent board chair, if properly presented.</w:t>
      </w:r>
    </w:p>
    <w:p>
      <w:pPr>
        <w:spacing w:after="0" w:line="113" w:lineRule="exact"/>
        <w:rPr>
          <w:rFonts w:ascii="Arial" w:cs="Arial" w:eastAsia="Arial" w:hAnsi="Arial"/>
          <w:sz w:val="18"/>
          <w:szCs w:val="18"/>
          <w:color w:val="auto"/>
        </w:rPr>
      </w:pPr>
    </w:p>
    <w:p>
      <w:pPr>
        <w:ind w:left="1200" w:right="760" w:hanging="430"/>
        <w:spacing w:after="0" w:line="265"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including any adjournments or postponements thereof.</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All holders of record at the close of business on March 16, 2026, are entitled to notice of and to vote at the Annual Meeting or any adjournments or postponements thereof. </w:t>
      </w:r>
      <w:r>
        <w:rPr>
          <w:rFonts w:ascii="Arial" w:cs="Arial" w:eastAsia="Arial" w:hAnsi="Arial"/>
          <w:sz w:val="18"/>
          <w:szCs w:val="18"/>
          <w:b w:val="1"/>
          <w:bCs w:val="1"/>
          <w:color w:val="auto"/>
        </w:rPr>
        <w:t>Whether or not you plan to attend the Annual Meeting, we urge you to vote your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soon as possible.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24, 2026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authority of the Board of Directors,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Ivonne M. Cabrera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0920"/>
          </w:cols>
          <w:pgMar w:left="480" w:top="323" w:right="4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5"/>
          <w:szCs w:val="25"/>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80" w:type="dxa"/>
            <w:vAlign w:val="bottom"/>
            <w:gridSpan w:val="39"/>
          </w:tcPr>
          <w:p>
            <w:pPr>
              <w:spacing w:after="0"/>
              <w:rPr>
                <w:sz w:val="20"/>
                <w:szCs w:val="20"/>
                <w:color w:val="auto"/>
              </w:rPr>
            </w:pPr>
            <w:r>
              <w:rPr>
                <w:rFonts w:ascii="Arial" w:cs="Arial" w:eastAsia="Arial" w:hAnsi="Arial"/>
                <w:sz w:val="20"/>
                <w:szCs w:val="20"/>
                <w:color w:val="021496"/>
              </w:rPr>
              <w:t>Notice of 2026 Annual Meeting of Shareholders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9380" w:type="dxa"/>
            <w:vAlign w:val="bottom"/>
            <w:gridSpan w:val="39"/>
          </w:tcPr>
          <w:p>
            <w:pPr>
              <w:spacing w:after="0"/>
              <w:rPr>
                <w:sz w:val="20"/>
                <w:szCs w:val="20"/>
                <w:color w:val="auto"/>
              </w:rPr>
            </w:pPr>
            <w:r>
              <w:rPr>
                <w:rFonts w:ascii="Arial" w:cs="Arial" w:eastAsia="Arial" w:hAnsi="Arial"/>
                <w:sz w:val="20"/>
                <w:szCs w:val="20"/>
                <w:color w:val="0000EE"/>
              </w:rPr>
              <w:t>Proxy Statement Summary</w:t>
            </w:r>
          </w:p>
        </w:tc>
        <w:tc>
          <w:tcPr>
            <w:tcW w:w="1480" w:type="dxa"/>
            <w:vAlign w:val="bottom"/>
          </w:tcPr>
          <w:p>
            <w:pPr>
              <w:jc w:val="right"/>
              <w:spacing w:after="0"/>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Annual Meeting Information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2"/>
          </w:tcPr>
          <w:p>
            <w:pPr>
              <w:spacing w:after="0" w:line="194" w:lineRule="exact"/>
              <w:rPr>
                <w:sz w:val="20"/>
                <w:szCs w:val="20"/>
                <w:color w:val="auto"/>
              </w:rPr>
            </w:pPr>
            <w:r>
              <w:rPr>
                <w:rFonts w:ascii="Arial" w:cs="Arial" w:eastAsia="Arial" w:hAnsi="Arial"/>
                <w:sz w:val="20"/>
                <w:szCs w:val="20"/>
                <w:color w:val="0000EE"/>
                <w:w w:val="97"/>
              </w:rPr>
              <w:t>Items of Business</w:t>
            </w:r>
          </w:p>
        </w:tc>
        <w:tc>
          <w:tcPr>
            <w:tcW w:w="840" w:type="dxa"/>
            <w:vAlign w:val="bottom"/>
            <w:tcBorders>
              <w:top w:val="single" w:sz="8" w:color="0000EE"/>
            </w:tcBorders>
            <w:gridSpan w:val="1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How to Submit Your Proxy</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280" w:type="dxa"/>
            <w:vAlign w:val="bottom"/>
            <w:tcBorders>
              <w:top w:val="single" w:sz="8" w:color="0000EE"/>
            </w:tcBorders>
            <w:gridSpan w:val="12"/>
          </w:tcPr>
          <w:p>
            <w:pPr>
              <w:spacing w:after="0" w:line="194" w:lineRule="exact"/>
              <w:rPr>
                <w:sz w:val="20"/>
                <w:szCs w:val="20"/>
                <w:color w:val="auto"/>
              </w:rPr>
            </w:pPr>
            <w:r>
              <w:rPr>
                <w:rFonts w:ascii="Arial" w:cs="Arial" w:eastAsia="Arial" w:hAnsi="Arial"/>
                <w:sz w:val="20"/>
                <w:szCs w:val="20"/>
                <w:color w:val="0000EE"/>
              </w:rPr>
              <w:t>Company Overview</w:t>
            </w: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5"/>
          </w:tcPr>
          <w:p>
            <w:pPr>
              <w:spacing w:after="0" w:line="194" w:lineRule="exact"/>
              <w:rPr>
                <w:sz w:val="20"/>
                <w:szCs w:val="20"/>
                <w:color w:val="auto"/>
              </w:rPr>
            </w:pPr>
            <w:r>
              <w:rPr>
                <w:rFonts w:ascii="Arial" w:cs="Arial" w:eastAsia="Arial" w:hAnsi="Arial"/>
                <w:sz w:val="20"/>
                <w:szCs w:val="20"/>
                <w:color w:val="0000EE"/>
              </w:rPr>
              <w:t>2025 Performance</w:t>
            </w:r>
          </w:p>
        </w:tc>
        <w:tc>
          <w:tcPr>
            <w:tcW w:w="780" w:type="dxa"/>
            <w:vAlign w:val="bottom"/>
            <w:tcBorders>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1"/>
              </w:rPr>
              <w:t>Overview</w:t>
            </w:r>
          </w:p>
        </w:tc>
        <w:tc>
          <w:tcPr>
            <w:tcW w:w="6240" w:type="dxa"/>
            <w:vAlign w:val="bottom"/>
            <w:gridSpan w:val="2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Governance and Board Highlights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60" w:type="dxa"/>
            <w:vAlign w:val="bottom"/>
            <w:tcBorders>
              <w:top w:val="single" w:sz="8" w:color="0000EE"/>
            </w:tcBorders>
            <w:gridSpan w:val="22"/>
          </w:tcPr>
          <w:p>
            <w:pPr>
              <w:spacing w:after="0" w:line="194" w:lineRule="exact"/>
              <w:rPr>
                <w:sz w:val="20"/>
                <w:szCs w:val="20"/>
                <w:color w:val="auto"/>
              </w:rPr>
            </w:pPr>
            <w:r>
              <w:rPr>
                <w:rFonts w:ascii="Arial" w:cs="Arial" w:eastAsia="Arial" w:hAnsi="Arial"/>
                <w:sz w:val="20"/>
                <w:szCs w:val="20"/>
                <w:color w:val="0000EE"/>
              </w:rPr>
              <w:t>Shareholder Engagement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2025 Executive Compensation Highlights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580" w:type="dxa"/>
            <w:vAlign w:val="bottom"/>
            <w:tcBorders>
              <w:top w:val="single" w:sz="8" w:color="0000EE"/>
            </w:tcBorders>
            <w:gridSpan w:val="26"/>
          </w:tcPr>
          <w:p>
            <w:pPr>
              <w:spacing w:after="0" w:line="194" w:lineRule="exact"/>
              <w:rPr>
                <w:sz w:val="20"/>
                <w:szCs w:val="20"/>
                <w:color w:val="auto"/>
              </w:rPr>
            </w:pPr>
            <w:r>
              <w:rPr>
                <w:rFonts w:ascii="Arial" w:cs="Arial" w:eastAsia="Arial" w:hAnsi="Arial"/>
                <w:sz w:val="20"/>
                <w:szCs w:val="20"/>
                <w:color w:val="0000EE"/>
              </w:rPr>
              <w:t>Director Nominees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3"/>
          </w:tcPr>
          <w:p>
            <w:pPr>
              <w:spacing w:after="0" w:line="194" w:lineRule="exact"/>
              <w:rPr>
                <w:sz w:val="20"/>
                <w:szCs w:val="20"/>
                <w:color w:val="auto"/>
              </w:rPr>
            </w:pPr>
            <w:r>
              <w:rPr>
                <w:rFonts w:ascii="Arial" w:cs="Arial" w:eastAsia="Arial" w:hAnsi="Arial"/>
                <w:sz w:val="20"/>
                <w:szCs w:val="20"/>
                <w:color w:val="0000EE"/>
                <w:w w:val="95"/>
              </w:rPr>
              <w:t>Board Composition</w:t>
            </w:r>
          </w:p>
        </w:tc>
        <w:tc>
          <w:tcPr>
            <w:tcW w:w="60" w:type="dxa"/>
            <w:vAlign w:val="bottom"/>
            <w:tcBorders>
              <w:bottom w:val="single" w:sz="8" w:color="0000EE"/>
            </w:tcBorders>
          </w:tcPr>
          <w:p>
            <w:pPr>
              <w:spacing w:after="0"/>
              <w:rPr>
                <w:sz w:val="16"/>
                <w:szCs w:val="16"/>
                <w:color w:val="auto"/>
              </w:rPr>
            </w:pPr>
          </w:p>
        </w:tc>
        <w:tc>
          <w:tcPr>
            <w:tcW w:w="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8</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Proposal 1 — Election of Directors</w:t>
            </w:r>
          </w:p>
        </w:tc>
        <w:tc>
          <w:tcPr>
            <w:tcW w:w="1480" w:type="dxa"/>
            <w:vAlign w:val="bottom"/>
          </w:tcPr>
          <w:p>
            <w:pPr>
              <w:jc w:val="right"/>
              <w:spacing w:after="0"/>
              <w:rPr>
                <w:sz w:val="20"/>
                <w:szCs w:val="20"/>
                <w:color w:val="auto"/>
              </w:rPr>
            </w:pPr>
            <w:r>
              <w:rPr>
                <w:rFonts w:ascii="Arial" w:cs="Arial" w:eastAsia="Arial" w:hAnsi="Arial"/>
                <w:sz w:val="20"/>
                <w:szCs w:val="20"/>
                <w:color w:val="021496"/>
              </w:rPr>
              <w:t>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Criteria for Director Nominees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600" w:type="dxa"/>
            <w:vAlign w:val="bottom"/>
            <w:tcBorders>
              <w:top w:val="single" w:sz="8" w:color="0000EE"/>
            </w:tcBorders>
            <w:gridSpan w:val="16"/>
          </w:tcPr>
          <w:p>
            <w:pPr>
              <w:spacing w:after="0" w:line="194" w:lineRule="exact"/>
              <w:rPr>
                <w:sz w:val="20"/>
                <w:szCs w:val="20"/>
                <w:color w:val="auto"/>
              </w:rPr>
            </w:pPr>
            <w:r>
              <w:rPr>
                <w:rFonts w:ascii="Arial" w:cs="Arial" w:eastAsia="Arial" w:hAnsi="Arial"/>
                <w:sz w:val="20"/>
                <w:szCs w:val="20"/>
                <w:color w:val="0000EE"/>
              </w:rPr>
              <w:t>Director Nomination Process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500" w:type="dxa"/>
            <w:vAlign w:val="bottom"/>
            <w:tcBorders>
              <w:top w:val="single" w:sz="8" w:color="0000EE"/>
            </w:tcBorders>
            <w:gridSpan w:val="15"/>
          </w:tcPr>
          <w:p>
            <w:pPr>
              <w:spacing w:after="0" w:line="194" w:lineRule="exact"/>
              <w:rPr>
                <w:sz w:val="20"/>
                <w:szCs w:val="20"/>
                <w:color w:val="auto"/>
              </w:rPr>
            </w:pPr>
            <w:r>
              <w:rPr>
                <w:rFonts w:ascii="Arial" w:cs="Arial" w:eastAsia="Arial" w:hAnsi="Arial"/>
                <w:sz w:val="20"/>
                <w:szCs w:val="20"/>
                <w:color w:val="0000EE"/>
              </w:rPr>
              <w:t>2026 Director Nominees</w:t>
            </w:r>
          </w:p>
        </w:tc>
        <w:tc>
          <w:tcPr>
            <w:tcW w:w="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20" w:type="dxa"/>
            <w:vAlign w:val="bottom"/>
            <w:tcBorders>
              <w:top w:val="single" w:sz="8" w:color="0000EE"/>
            </w:tcBorders>
            <w:gridSpan w:val="9"/>
          </w:tcPr>
          <w:p>
            <w:pPr>
              <w:spacing w:after="0" w:line="194" w:lineRule="exact"/>
              <w:rPr>
                <w:sz w:val="20"/>
                <w:szCs w:val="20"/>
                <w:color w:val="auto"/>
              </w:rPr>
            </w:pPr>
            <w:r>
              <w:rPr>
                <w:rFonts w:ascii="Arial" w:cs="Arial" w:eastAsia="Arial" w:hAnsi="Arial"/>
                <w:sz w:val="20"/>
                <w:szCs w:val="20"/>
                <w:color w:val="0000EE"/>
              </w:rPr>
              <w:t>Board Oversight and</w:t>
            </w:r>
          </w:p>
        </w:tc>
        <w:tc>
          <w:tcPr>
            <w:tcW w:w="6620" w:type="dxa"/>
            <w:vAlign w:val="bottom"/>
            <w:gridSpan w:val="29"/>
          </w:tcPr>
          <w:p>
            <w:pPr>
              <w:spacing w:after="0" w:line="194" w:lineRule="exact"/>
              <w:rPr>
                <w:sz w:val="20"/>
                <w:szCs w:val="20"/>
                <w:color w:val="auto"/>
              </w:rPr>
            </w:pPr>
            <w:r>
              <w:rPr>
                <w:rFonts w:ascii="Arial" w:cs="Arial" w:eastAsia="Arial" w:hAnsi="Arial"/>
                <w:sz w:val="20"/>
                <w:szCs w:val="20"/>
                <w:color w:val="0000EE"/>
              </w:rPr>
              <w:t>Governance Practices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29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Shareholder Engagement and History of Board Responsiveness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58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20"/>
                <w:szCs w:val="20"/>
                <w:color w:val="0000EE"/>
              </w:rPr>
              <w:t>Environmental, Social, and Governance Oversight (ESG)</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7"/>
              </w:rPr>
              <w:t>Directors’ Compensation</w:t>
            </w:r>
          </w:p>
        </w:tc>
        <w:tc>
          <w:tcPr>
            <w:tcW w:w="2800" w:type="dxa"/>
            <w:vAlign w:val="bottom"/>
            <w:tcBorders>
              <w:top w:val="single" w:sz="8" w:color="0000EE"/>
            </w:tcBorders>
            <w:gridSpan w:val="21"/>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32</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Proposal 2 — Ratification of Appointment of Independent Registered Public Accounting Firm</w:t>
            </w:r>
          </w:p>
        </w:tc>
        <w:tc>
          <w:tcPr>
            <w:tcW w:w="1480" w:type="dxa"/>
            <w:vAlign w:val="bottom"/>
          </w:tcPr>
          <w:p>
            <w:pPr>
              <w:jc w:val="right"/>
              <w:spacing w:after="0"/>
              <w:rPr>
                <w:sz w:val="20"/>
                <w:szCs w:val="20"/>
                <w:color w:val="auto"/>
              </w:rPr>
            </w:pPr>
            <w:r>
              <w:rPr>
                <w:rFonts w:ascii="Arial" w:cs="Arial" w:eastAsia="Arial" w:hAnsi="Arial"/>
                <w:sz w:val="20"/>
                <w:szCs w:val="20"/>
                <w:color w:val="021496"/>
              </w:rPr>
              <w:t>34</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7380" w:type="dxa"/>
            <w:vAlign w:val="bottom"/>
            <w:tcBorders>
              <w:top w:val="single" w:sz="8" w:color="0000EE"/>
            </w:tcBorders>
            <w:gridSpan w:val="36"/>
          </w:tcPr>
          <w:p>
            <w:pPr>
              <w:spacing w:after="0" w:line="194" w:lineRule="exact"/>
              <w:rPr>
                <w:sz w:val="20"/>
                <w:szCs w:val="20"/>
                <w:color w:val="auto"/>
              </w:rPr>
            </w:pPr>
            <w:r>
              <w:rPr>
                <w:rFonts w:ascii="Arial" w:cs="Arial" w:eastAsia="Arial" w:hAnsi="Arial"/>
                <w:sz w:val="20"/>
                <w:szCs w:val="20"/>
                <w:color w:val="0000EE"/>
              </w:rPr>
              <w:t>Audit Committee Report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00" w:type="dxa"/>
            <w:vAlign w:val="bottom"/>
            <w:tcBorders>
              <w:top w:val="single" w:sz="8" w:color="0000EE"/>
            </w:tcBorders>
            <w:gridSpan w:val="8"/>
          </w:tcPr>
          <w:p>
            <w:pPr>
              <w:spacing w:after="0" w:line="194" w:lineRule="exact"/>
              <w:rPr>
                <w:sz w:val="20"/>
                <w:szCs w:val="20"/>
                <w:color w:val="auto"/>
              </w:rPr>
            </w:pPr>
            <w:r>
              <w:rPr>
                <w:rFonts w:ascii="Arial" w:cs="Arial" w:eastAsia="Arial" w:hAnsi="Arial"/>
                <w:sz w:val="20"/>
                <w:szCs w:val="20"/>
                <w:color w:val="0000EE"/>
                <w:w w:val="90"/>
              </w:rPr>
              <w:t>Fees Paid to Independent</w:t>
            </w:r>
          </w:p>
        </w:tc>
        <w:tc>
          <w:tcPr>
            <w:tcW w:w="140" w:type="dxa"/>
            <w:vAlign w:val="bottom"/>
            <w:gridSpan w:val="3"/>
          </w:tcPr>
          <w:p>
            <w:pPr>
              <w:spacing w:after="0"/>
              <w:rPr>
                <w:sz w:val="16"/>
                <w:szCs w:val="16"/>
                <w:color w:val="auto"/>
              </w:rPr>
            </w:pPr>
          </w:p>
        </w:tc>
        <w:tc>
          <w:tcPr>
            <w:tcW w:w="6500" w:type="dxa"/>
            <w:vAlign w:val="bottom"/>
            <w:gridSpan w:val="27"/>
          </w:tcPr>
          <w:p>
            <w:pPr>
              <w:ind w:left="60"/>
              <w:spacing w:after="0" w:line="194" w:lineRule="exact"/>
              <w:rPr>
                <w:sz w:val="20"/>
                <w:szCs w:val="20"/>
                <w:color w:val="auto"/>
              </w:rPr>
            </w:pPr>
            <w:r>
              <w:rPr>
                <w:rFonts w:ascii="Arial" w:cs="Arial" w:eastAsia="Arial" w:hAnsi="Arial"/>
                <w:sz w:val="20"/>
                <w:szCs w:val="20"/>
                <w:color w:val="0000EE"/>
              </w:rPr>
              <w:t>Registered Public Accounting Firm</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320" w:type="dxa"/>
            <w:vAlign w:val="bottom"/>
            <w:tcBorders>
              <w:top w:val="single" w:sz="8" w:color="0000EE"/>
              <w:bottom w:val="single" w:sz="8" w:color="0000EE"/>
            </w:tcBorders>
            <w:gridSpan w:val="33"/>
          </w:tcPr>
          <w:p>
            <w:pPr>
              <w:spacing w:after="0" w:line="194" w:lineRule="exact"/>
              <w:rPr>
                <w:sz w:val="20"/>
                <w:szCs w:val="20"/>
                <w:color w:val="auto"/>
              </w:rPr>
            </w:pPr>
            <w:r>
              <w:rPr>
                <w:rFonts w:ascii="Arial" w:cs="Arial" w:eastAsia="Arial" w:hAnsi="Arial"/>
                <w:sz w:val="20"/>
                <w:szCs w:val="20"/>
                <w:color w:val="0000EE"/>
                <w:w w:val="96"/>
              </w:rPr>
              <w:t>Pre-Approval of Services Provided by Independent Registered</w:t>
            </w:r>
          </w:p>
        </w:tc>
        <w:tc>
          <w:tcPr>
            <w:tcW w:w="2160" w:type="dxa"/>
            <w:vAlign w:val="bottom"/>
            <w:tcBorders>
              <w:bottom w:val="single" w:sz="8" w:color="0000EE"/>
            </w:tcBorders>
            <w:gridSpan w:val="4"/>
          </w:tcPr>
          <w:p>
            <w:pPr>
              <w:ind w:left="140"/>
              <w:spacing w:after="0" w:line="194" w:lineRule="exact"/>
              <w:rPr>
                <w:sz w:val="20"/>
                <w:szCs w:val="20"/>
                <w:color w:val="auto"/>
              </w:rPr>
            </w:pPr>
            <w:r>
              <w:rPr>
                <w:rFonts w:ascii="Arial" w:cs="Arial" w:eastAsia="Arial" w:hAnsi="Arial"/>
                <w:sz w:val="20"/>
                <w:szCs w:val="20"/>
                <w:color w:val="0000EE"/>
                <w:w w:val="97"/>
              </w:rPr>
              <w:t>Public Accounting Firm</w:t>
            </w: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36</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Compensation Discussion and Analysis</w:t>
            </w:r>
          </w:p>
        </w:tc>
        <w:tc>
          <w:tcPr>
            <w:tcW w:w="1480" w:type="dxa"/>
            <w:vAlign w:val="bottom"/>
          </w:tcPr>
          <w:p>
            <w:pPr>
              <w:jc w:val="right"/>
              <w:spacing w:after="0"/>
              <w:rPr>
                <w:sz w:val="20"/>
                <w:szCs w:val="20"/>
                <w:color w:val="auto"/>
              </w:rPr>
            </w:pPr>
            <w:r>
              <w:rPr>
                <w:rFonts w:ascii="Arial" w:cs="Arial" w:eastAsia="Arial" w:hAnsi="Arial"/>
                <w:sz w:val="20"/>
                <w:szCs w:val="20"/>
                <w:color w:val="021496"/>
              </w:rPr>
              <w:t>37</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760" w:type="dxa"/>
            <w:vAlign w:val="bottom"/>
            <w:tcBorders>
              <w:top w:val="single" w:sz="8" w:color="0000EE"/>
              <w:bottom w:val="single" w:sz="8" w:color="0000EE"/>
            </w:tcBorders>
            <w:gridSpan w:val="6"/>
          </w:tcPr>
          <w:p>
            <w:pPr>
              <w:spacing w:after="0" w:line="194" w:lineRule="exact"/>
              <w:rPr>
                <w:sz w:val="20"/>
                <w:szCs w:val="20"/>
                <w:color w:val="auto"/>
              </w:rPr>
            </w:pPr>
            <w:r>
              <w:rPr>
                <w:rFonts w:ascii="Arial" w:cs="Arial" w:eastAsia="Arial" w:hAnsi="Arial"/>
                <w:sz w:val="20"/>
                <w:szCs w:val="20"/>
                <w:color w:val="0000EE"/>
                <w:w w:val="97"/>
              </w:rPr>
              <w:t>Executive Summary</w:t>
            </w:r>
          </w:p>
        </w:tc>
        <w:tc>
          <w:tcPr>
            <w:tcW w:w="1060" w:type="dxa"/>
            <w:vAlign w:val="bottom"/>
            <w:tcBorders>
              <w:top w:val="single" w:sz="8" w:color="0000EE"/>
            </w:tcBorders>
            <w:gridSpan w:val="13"/>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940" w:type="dxa"/>
            <w:vAlign w:val="bottom"/>
            <w:gridSpan w:val="3"/>
          </w:tcPr>
          <w:p>
            <w:pPr>
              <w:spacing w:after="0"/>
              <w:rPr>
                <w:sz w:val="16"/>
                <w:szCs w:val="16"/>
                <w:color w:val="auto"/>
              </w:rPr>
            </w:pPr>
          </w:p>
        </w:tc>
        <w:tc>
          <w:tcPr>
            <w:tcW w:w="2680" w:type="dxa"/>
            <w:vAlign w:val="bottom"/>
            <w:gridSpan w:val="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840" w:type="dxa"/>
            <w:vAlign w:val="bottom"/>
            <w:tcBorders>
              <w:bottom w:val="single" w:sz="8" w:color="0000EE"/>
            </w:tcBorders>
            <w:gridSpan w:val="30"/>
          </w:tcPr>
          <w:p>
            <w:pPr>
              <w:spacing w:after="0" w:line="194" w:lineRule="exact"/>
              <w:rPr>
                <w:sz w:val="20"/>
                <w:szCs w:val="20"/>
                <w:color w:val="auto"/>
              </w:rPr>
            </w:pPr>
            <w:r>
              <w:rPr>
                <w:rFonts w:ascii="Arial" w:cs="Arial" w:eastAsia="Arial" w:hAnsi="Arial"/>
                <w:sz w:val="20"/>
                <w:szCs w:val="20"/>
                <w:color w:val="0000EE"/>
                <w:w w:val="97"/>
              </w:rPr>
              <w:t>Say on Pay Vote Results and Shareholder Engagement</w:t>
            </w:r>
          </w:p>
        </w:tc>
        <w:tc>
          <w:tcPr>
            <w:tcW w:w="3900" w:type="dxa"/>
            <w:vAlign w:val="bottom"/>
            <w:gridSpan w:val="8"/>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Dover’s Alignment with Leading Compensation Governance Practices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6060" w:type="dxa"/>
            <w:vAlign w:val="bottom"/>
            <w:tcBorders>
              <w:top w:val="single" w:sz="8" w:color="0000EE"/>
            </w:tcBorders>
            <w:gridSpan w:val="35"/>
          </w:tcPr>
          <w:p>
            <w:pPr>
              <w:spacing w:after="0" w:line="194" w:lineRule="exact"/>
              <w:rPr>
                <w:sz w:val="20"/>
                <w:szCs w:val="20"/>
                <w:color w:val="auto"/>
              </w:rPr>
            </w:pPr>
            <w:r>
              <w:rPr>
                <w:rFonts w:ascii="Arial" w:cs="Arial" w:eastAsia="Arial" w:hAnsi="Arial"/>
                <w:sz w:val="20"/>
                <w:szCs w:val="20"/>
                <w:color w:val="0000EE"/>
              </w:rPr>
              <w:t>Compensation Principles</w:t>
            </w:r>
          </w:p>
        </w:tc>
        <w:tc>
          <w:tcPr>
            <w:tcW w:w="2680" w:type="dxa"/>
            <w:vAlign w:val="bottom"/>
            <w:gridSpan w:val="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240" w:type="dxa"/>
            <w:vAlign w:val="bottom"/>
            <w:tcBorders>
              <w:top w:val="single" w:sz="8" w:color="0000EE"/>
            </w:tcBorders>
            <w:gridSpan w:val="11"/>
          </w:tcPr>
          <w:p>
            <w:pPr>
              <w:spacing w:after="0" w:line="194" w:lineRule="exact"/>
              <w:rPr>
                <w:sz w:val="20"/>
                <w:szCs w:val="20"/>
                <w:color w:val="auto"/>
              </w:rPr>
            </w:pPr>
            <w:r>
              <w:rPr>
                <w:rFonts w:ascii="Arial" w:cs="Arial" w:eastAsia="Arial" w:hAnsi="Arial"/>
                <w:sz w:val="20"/>
                <w:szCs w:val="20"/>
                <w:color w:val="0000EE"/>
              </w:rPr>
              <w:t>Compensation Process</w:t>
            </w:r>
          </w:p>
        </w:tc>
        <w:tc>
          <w:tcPr>
            <w:tcW w:w="44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040" w:type="dxa"/>
            <w:vAlign w:val="bottom"/>
            <w:tcBorders>
              <w:top w:val="single" w:sz="8" w:color="0000EE"/>
            </w:tcBorders>
            <w:gridSpan w:val="7"/>
          </w:tcPr>
          <w:p>
            <w:pPr>
              <w:spacing w:after="0" w:line="194" w:lineRule="exact"/>
              <w:rPr>
                <w:sz w:val="20"/>
                <w:szCs w:val="20"/>
                <w:color w:val="auto"/>
              </w:rPr>
            </w:pPr>
            <w:r>
              <w:rPr>
                <w:rFonts w:ascii="Arial" w:cs="Arial" w:eastAsia="Arial" w:hAnsi="Arial"/>
                <w:sz w:val="20"/>
                <w:szCs w:val="20"/>
                <w:color w:val="0000EE"/>
              </w:rPr>
              <w:t>Elements of Executive</w:t>
            </w:r>
          </w:p>
        </w:tc>
        <w:tc>
          <w:tcPr>
            <w:tcW w:w="6700" w:type="dxa"/>
            <w:vAlign w:val="bottom"/>
            <w:gridSpan w:val="31"/>
          </w:tcPr>
          <w:p>
            <w:pPr>
              <w:spacing w:after="0" w:line="194" w:lineRule="exact"/>
              <w:rPr>
                <w:sz w:val="20"/>
                <w:szCs w:val="20"/>
                <w:color w:val="auto"/>
              </w:rPr>
            </w:pPr>
            <w:r>
              <w:rPr>
                <w:rFonts w:ascii="Arial" w:cs="Arial" w:eastAsia="Arial" w:hAnsi="Arial"/>
                <w:sz w:val="20"/>
                <w:szCs w:val="20"/>
                <w:color w:val="0000EE"/>
              </w:rPr>
              <w:t>Compensation</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60" w:type="dxa"/>
            <w:vAlign w:val="bottom"/>
            <w:tcBorders>
              <w:top w:val="single" w:sz="8" w:color="0000EE"/>
            </w:tcBorders>
            <w:gridSpan w:val="24"/>
          </w:tcPr>
          <w:p>
            <w:pPr>
              <w:spacing w:after="0" w:line="194" w:lineRule="exact"/>
              <w:rPr>
                <w:sz w:val="20"/>
                <w:szCs w:val="20"/>
                <w:color w:val="auto"/>
              </w:rPr>
            </w:pPr>
            <w:r>
              <w:rPr>
                <w:rFonts w:ascii="Arial" w:cs="Arial" w:eastAsia="Arial" w:hAnsi="Arial"/>
                <w:sz w:val="20"/>
                <w:szCs w:val="20"/>
                <w:color w:val="0000EE"/>
              </w:rPr>
              <w:t>Other Benefits</w:t>
            </w: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260" w:type="dxa"/>
            <w:vAlign w:val="bottom"/>
            <w:tcBorders>
              <w:top w:val="single" w:sz="8" w:color="0000EE"/>
            </w:tcBorders>
          </w:tcPr>
          <w:p>
            <w:pPr>
              <w:spacing w:after="0" w:line="194" w:lineRule="exact"/>
              <w:rPr>
                <w:sz w:val="20"/>
                <w:szCs w:val="20"/>
                <w:color w:val="auto"/>
              </w:rPr>
            </w:pPr>
            <w:r>
              <w:rPr>
                <w:rFonts w:ascii="Arial" w:cs="Arial" w:eastAsia="Arial" w:hAnsi="Arial"/>
                <w:sz w:val="20"/>
                <w:szCs w:val="20"/>
                <w:color w:val="0000EE"/>
                <w:w w:val="89"/>
              </w:rPr>
              <w:t>Other Elements</w:t>
            </w:r>
          </w:p>
        </w:tc>
        <w:tc>
          <w:tcPr>
            <w:tcW w:w="7480" w:type="dxa"/>
            <w:vAlign w:val="bottom"/>
            <w:gridSpan w:val="37"/>
          </w:tcPr>
          <w:p>
            <w:pPr>
              <w:ind w:left="160"/>
              <w:spacing w:after="0" w:line="194" w:lineRule="exact"/>
              <w:rPr>
                <w:sz w:val="20"/>
                <w:szCs w:val="20"/>
                <w:color w:val="auto"/>
              </w:rPr>
            </w:pPr>
            <w:r>
              <w:rPr>
                <w:rFonts w:ascii="Arial" w:cs="Arial" w:eastAsia="Arial" w:hAnsi="Arial"/>
                <w:sz w:val="20"/>
                <w:szCs w:val="20"/>
                <w:color w:val="0000EE"/>
              </w:rPr>
              <w:t>of Compensation</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20"/>
          </w:tcPr>
          <w:p>
            <w:pPr>
              <w:spacing w:after="0" w:line="194" w:lineRule="exact"/>
              <w:rPr>
                <w:sz w:val="20"/>
                <w:szCs w:val="20"/>
                <w:color w:val="auto"/>
              </w:rPr>
            </w:pPr>
            <w:r>
              <w:rPr>
                <w:rFonts w:ascii="Arial" w:cs="Arial" w:eastAsia="Arial" w:hAnsi="Arial"/>
                <w:sz w:val="20"/>
                <w:szCs w:val="20"/>
                <w:color w:val="0000EE"/>
                <w:w w:val="97"/>
              </w:rPr>
              <w:t>Compensation Committee Report</w:t>
            </w:r>
          </w:p>
        </w:tc>
        <w:tc>
          <w:tcPr>
            <w:tcW w:w="20" w:type="dxa"/>
            <w:vAlign w:val="bottom"/>
            <w:tcBorders>
              <w:bottom w:val="single" w:sz="8" w:color="0000EE"/>
            </w:tcBorders>
          </w:tcPr>
          <w:p>
            <w:pPr>
              <w:spacing w:after="0"/>
              <w:rPr>
                <w:sz w:val="16"/>
                <w:szCs w:val="16"/>
                <w:color w:val="auto"/>
              </w:rPr>
            </w:pPr>
          </w:p>
        </w:tc>
        <w:tc>
          <w:tcPr>
            <w:tcW w:w="32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20" w:type="dxa"/>
            <w:vAlign w:val="bottom"/>
            <w:gridSpan w:val="21"/>
          </w:tcPr>
          <w:p>
            <w:pPr>
              <w:spacing w:after="0" w:line="194" w:lineRule="exact"/>
              <w:rPr>
                <w:sz w:val="20"/>
                <w:szCs w:val="20"/>
                <w:color w:val="auto"/>
              </w:rPr>
            </w:pPr>
            <w:r>
              <w:rPr>
                <w:rFonts w:ascii="Arial" w:cs="Arial" w:eastAsia="Arial" w:hAnsi="Arial"/>
                <w:sz w:val="20"/>
                <w:szCs w:val="20"/>
                <w:color w:val="0000EE"/>
              </w:rPr>
              <w:t>Executive Compensation Tables</w:t>
            </w:r>
          </w:p>
        </w:tc>
        <w:tc>
          <w:tcPr>
            <w:tcW w:w="32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800" w:type="dxa"/>
            <w:vAlign w:val="bottom"/>
            <w:tcBorders>
              <w:top w:val="single" w:sz="8" w:color="0000EE"/>
            </w:tcBorders>
            <w:gridSpan w:val="18"/>
          </w:tcPr>
          <w:p>
            <w:pPr>
              <w:spacing w:after="0" w:line="194" w:lineRule="exact"/>
              <w:rPr>
                <w:sz w:val="20"/>
                <w:szCs w:val="20"/>
                <w:color w:val="auto"/>
              </w:rPr>
            </w:pPr>
            <w:r>
              <w:rPr>
                <w:rFonts w:ascii="Arial" w:cs="Arial" w:eastAsia="Arial" w:hAnsi="Arial"/>
                <w:sz w:val="20"/>
                <w:szCs w:val="20"/>
                <w:color w:val="0000EE"/>
              </w:rPr>
              <w:t>Summary Compensation Table</w:t>
            </w:r>
          </w:p>
        </w:tc>
        <w:tc>
          <w:tcPr>
            <w:tcW w:w="440" w:type="dxa"/>
            <w:vAlign w:val="bottom"/>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63</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Grants of Plan-Based Awards in 2025</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80" w:type="dxa"/>
            <w:vAlign w:val="bottom"/>
            <w:tcBorders>
              <w:top w:val="single" w:sz="8" w:color="0000EE"/>
            </w:tcBorders>
            <w:gridSpan w:val="25"/>
          </w:tcPr>
          <w:p>
            <w:pPr>
              <w:spacing w:after="0" w:line="194" w:lineRule="exact"/>
              <w:rPr>
                <w:sz w:val="20"/>
                <w:szCs w:val="20"/>
                <w:color w:val="auto"/>
              </w:rPr>
            </w:pPr>
            <w:r>
              <w:rPr>
                <w:rFonts w:ascii="Arial" w:cs="Arial" w:eastAsia="Arial" w:hAnsi="Arial"/>
                <w:sz w:val="20"/>
                <w:szCs w:val="20"/>
                <w:color w:val="0000EE"/>
              </w:rPr>
              <w:t>Outstanding Equity Awards at Fiscal</w:t>
            </w:r>
          </w:p>
        </w:tc>
        <w:tc>
          <w:tcPr>
            <w:tcW w:w="5460" w:type="dxa"/>
            <w:vAlign w:val="bottom"/>
            <w:gridSpan w:val="13"/>
          </w:tcPr>
          <w:p>
            <w:pPr>
              <w:spacing w:after="0" w:line="194" w:lineRule="exact"/>
              <w:rPr>
                <w:sz w:val="20"/>
                <w:szCs w:val="20"/>
                <w:color w:val="auto"/>
              </w:rPr>
            </w:pPr>
            <w:r>
              <w:rPr>
                <w:rFonts w:ascii="Arial" w:cs="Arial" w:eastAsia="Arial" w:hAnsi="Arial"/>
                <w:sz w:val="20"/>
                <w:szCs w:val="20"/>
                <w:color w:val="0000EE"/>
              </w:rPr>
              <w:t>Year-End 2025</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500" w:type="dxa"/>
            <w:vAlign w:val="bottom"/>
            <w:tcBorders>
              <w:top w:val="single" w:sz="8" w:color="0000EE"/>
            </w:tcBorders>
            <w:gridSpan w:val="28"/>
          </w:tcPr>
          <w:p>
            <w:pPr>
              <w:spacing w:after="0" w:line="194" w:lineRule="exact"/>
              <w:rPr>
                <w:sz w:val="20"/>
                <w:szCs w:val="20"/>
                <w:color w:val="auto"/>
              </w:rPr>
            </w:pPr>
            <w:r>
              <w:rPr>
                <w:rFonts w:ascii="Arial" w:cs="Arial" w:eastAsia="Arial" w:hAnsi="Arial"/>
                <w:sz w:val="20"/>
                <w:szCs w:val="20"/>
                <w:color w:val="0000EE"/>
              </w:rPr>
              <w:t>Option Exercises and Stock Vested in 2025</w:t>
            </w: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780" w:type="dxa"/>
            <w:vAlign w:val="bottom"/>
            <w:tcBorders>
              <w:top w:val="single" w:sz="8" w:color="0000EE"/>
            </w:tcBorders>
            <w:gridSpan w:val="27"/>
          </w:tcPr>
          <w:p>
            <w:pPr>
              <w:spacing w:after="0" w:line="194" w:lineRule="exact"/>
              <w:rPr>
                <w:sz w:val="20"/>
                <w:szCs w:val="20"/>
                <w:color w:val="auto"/>
              </w:rPr>
            </w:pPr>
            <w:r>
              <w:rPr>
                <w:rFonts w:ascii="Arial" w:cs="Arial" w:eastAsia="Arial" w:hAnsi="Arial"/>
                <w:sz w:val="20"/>
                <w:szCs w:val="20"/>
                <w:color w:val="0000EE"/>
              </w:rPr>
              <w:t>Pension Benefits through 2025</w:t>
            </w:r>
          </w:p>
        </w:tc>
        <w:tc>
          <w:tcPr>
            <w:tcW w:w="80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Nonqualified Deferred Compensation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40" w:type="dxa"/>
            <w:vAlign w:val="bottom"/>
            <w:tcBorders>
              <w:top w:val="single" w:sz="8" w:color="0000EE"/>
            </w:tcBorders>
            <w:gridSpan w:val="23"/>
          </w:tcPr>
          <w:p>
            <w:pPr>
              <w:spacing w:after="0" w:line="194" w:lineRule="exact"/>
              <w:rPr>
                <w:sz w:val="20"/>
                <w:szCs w:val="20"/>
                <w:color w:val="auto"/>
              </w:rPr>
            </w:pPr>
            <w:r>
              <w:rPr>
                <w:rFonts w:ascii="Arial" w:cs="Arial" w:eastAsia="Arial" w:hAnsi="Arial"/>
                <w:sz w:val="20"/>
                <w:szCs w:val="20"/>
                <w:color w:val="0000EE"/>
                <w:w w:val="96"/>
              </w:rPr>
              <w:t>Potential Payments upon Termination</w:t>
            </w:r>
          </w:p>
        </w:tc>
        <w:tc>
          <w:tcPr>
            <w:tcW w:w="5500" w:type="dxa"/>
            <w:vAlign w:val="bottom"/>
            <w:gridSpan w:val="15"/>
          </w:tcPr>
          <w:p>
            <w:pPr>
              <w:ind w:left="80"/>
              <w:spacing w:after="0" w:line="194" w:lineRule="exact"/>
              <w:rPr>
                <w:sz w:val="20"/>
                <w:szCs w:val="20"/>
                <w:color w:val="auto"/>
              </w:rPr>
            </w:pPr>
            <w:r>
              <w:rPr>
                <w:rFonts w:ascii="Arial" w:cs="Arial" w:eastAsia="Arial" w:hAnsi="Arial"/>
                <w:sz w:val="20"/>
                <w:szCs w:val="20"/>
                <w:color w:val="0000EE"/>
              </w:rPr>
              <w:t>or Change in Control</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120" w:type="dxa"/>
            <w:vAlign w:val="bottom"/>
            <w:tcBorders>
              <w:top w:val="single" w:sz="8" w:color="0000EE"/>
            </w:tcBorders>
            <w:gridSpan w:val="32"/>
          </w:tcPr>
          <w:p>
            <w:pPr>
              <w:spacing w:after="0" w:line="194" w:lineRule="exact"/>
              <w:rPr>
                <w:sz w:val="20"/>
                <w:szCs w:val="20"/>
                <w:color w:val="auto"/>
              </w:rPr>
            </w:pPr>
            <w:r>
              <w:rPr>
                <w:rFonts w:ascii="Arial" w:cs="Arial" w:eastAsia="Arial" w:hAnsi="Arial"/>
                <w:sz w:val="20"/>
                <w:szCs w:val="20"/>
                <w:color w:val="0000EE"/>
              </w:rPr>
              <w:t>Dover’s Equity Grant Practices for Senior Executives</w:t>
            </w: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7"/>
              </w:rPr>
              <w:t>Pay versus Performance</w:t>
            </w:r>
          </w:p>
        </w:tc>
        <w:tc>
          <w:tcPr>
            <w:tcW w:w="2420" w:type="dxa"/>
            <w:vAlign w:val="bottom"/>
            <w:tcBorders>
              <w:top w:val="single" w:sz="8" w:color="0000EE"/>
            </w:tcBorders>
            <w:gridSpan w:val="19"/>
          </w:tcPr>
          <w:p>
            <w:pPr>
              <w:spacing w:after="0"/>
              <w:rPr>
                <w:sz w:val="16"/>
                <w:szCs w:val="16"/>
                <w:color w:val="auto"/>
              </w:rPr>
            </w:pPr>
          </w:p>
        </w:tc>
        <w:tc>
          <w:tcPr>
            <w:tcW w:w="4160" w:type="dxa"/>
            <w:vAlign w:val="bottom"/>
            <w:gridSpan w:val="9"/>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76</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w:t>
      </w:r>
    </w:p>
    <w:p>
      <w:pPr>
        <w:sectPr>
          <w:pgSz w:w="11900" w:h="16838" w:orient="portrait"/>
          <w:cols w:equalWidth="0" w:num="1">
            <w:col w:w="10920"/>
          </w:cols>
          <w:pgMar w:left="480" w:top="289"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1"/>
        </w:trPr>
        <w:tc>
          <w:tcPr>
            <w:tcW w:w="7520" w:type="dxa"/>
            <w:vAlign w:val="bottom"/>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7520" w:type="dxa"/>
            <w:vAlign w:val="bottom"/>
            <w:tcBorders>
              <w:bottom w:val="single" w:sz="8" w:color="0000EE"/>
            </w:tcBorders>
            <w:gridSpan w:val="7"/>
          </w:tcPr>
          <w:p>
            <w:pPr>
              <w:spacing w:after="0"/>
              <w:rPr>
                <w:sz w:val="20"/>
                <w:szCs w:val="20"/>
                <w:color w:val="auto"/>
              </w:rPr>
            </w:pPr>
            <w:r>
              <w:rPr>
                <w:rFonts w:ascii="Arial" w:cs="Arial" w:eastAsia="Arial" w:hAnsi="Arial"/>
                <w:sz w:val="20"/>
                <w:szCs w:val="20"/>
                <w:color w:val="0000EE"/>
                <w:w w:val="97"/>
              </w:rPr>
              <w:t>Proposal 3 — Advisory Resolution to Approve Named Executive Officer Compensation</w:t>
            </w:r>
          </w:p>
        </w:tc>
        <w:tc>
          <w:tcPr>
            <w:tcW w:w="3340" w:type="dxa"/>
            <w:vAlign w:val="bottom"/>
          </w:tcPr>
          <w:p>
            <w:pPr>
              <w:jc w:val="right"/>
              <w:spacing w:after="0"/>
              <w:rPr>
                <w:sz w:val="20"/>
                <w:szCs w:val="20"/>
                <w:color w:val="auto"/>
              </w:rPr>
            </w:pPr>
            <w:r>
              <w:rPr>
                <w:rFonts w:ascii="Arial" w:cs="Arial" w:eastAsia="Arial" w:hAnsi="Arial"/>
                <w:sz w:val="20"/>
                <w:szCs w:val="20"/>
                <w:color w:val="021496"/>
              </w:rPr>
              <w:t>80</w:t>
            </w:r>
          </w:p>
        </w:tc>
        <w:tc>
          <w:tcPr>
            <w:tcW w:w="0" w:type="dxa"/>
            <w:vAlign w:val="bottom"/>
          </w:tcPr>
          <w:p>
            <w:pPr>
              <w:spacing w:after="0"/>
              <w:rPr>
                <w:sz w:val="1"/>
                <w:szCs w:val="1"/>
                <w:color w:val="auto"/>
              </w:rPr>
            </w:pPr>
          </w:p>
        </w:tc>
      </w:tr>
      <w:tr>
        <w:trPr>
          <w:trHeight w:val="408"/>
        </w:trPr>
        <w:tc>
          <w:tcPr>
            <w:tcW w:w="7520" w:type="dxa"/>
            <w:vAlign w:val="bottom"/>
            <w:gridSpan w:val="7"/>
          </w:tcPr>
          <w:p>
            <w:pPr>
              <w:spacing w:after="0"/>
              <w:rPr>
                <w:sz w:val="20"/>
                <w:szCs w:val="20"/>
                <w:color w:val="auto"/>
              </w:rPr>
            </w:pPr>
            <w:r>
              <w:rPr>
                <w:rFonts w:ascii="Arial" w:cs="Arial" w:eastAsia="Arial" w:hAnsi="Arial"/>
                <w:sz w:val="20"/>
                <w:szCs w:val="20"/>
                <w:color w:val="0000EE"/>
              </w:rPr>
              <w:t>Shareholder Proposal</w:t>
            </w:r>
          </w:p>
        </w:tc>
        <w:tc>
          <w:tcPr>
            <w:tcW w:w="3340" w:type="dxa"/>
            <w:vAlign w:val="bottom"/>
            <w:vMerge w:val="restart"/>
          </w:tcPr>
          <w:p>
            <w:pPr>
              <w:jc w:val="right"/>
              <w:spacing w:after="0"/>
              <w:rPr>
                <w:sz w:val="20"/>
                <w:szCs w:val="20"/>
                <w:color w:val="auto"/>
              </w:rPr>
            </w:pPr>
            <w:r>
              <w:rPr>
                <w:rFonts w:ascii="Arial" w:cs="Arial" w:eastAsia="Arial" w:hAnsi="Arial"/>
                <w:sz w:val="20"/>
                <w:szCs w:val="20"/>
                <w:color w:val="021496"/>
              </w:rPr>
              <w:t>81</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260" w:type="dxa"/>
            <w:vAlign w:val="bottom"/>
            <w:tcBorders>
              <w:top w:val="single" w:sz="8" w:color="0000EE"/>
              <w:bottom w:val="single" w:sz="8" w:color="0000EE"/>
            </w:tcBorders>
          </w:tcPr>
          <w:p>
            <w:pPr>
              <w:spacing w:after="0" w:line="194" w:lineRule="exact"/>
              <w:rPr>
                <w:sz w:val="20"/>
                <w:szCs w:val="20"/>
                <w:color w:val="auto"/>
              </w:rPr>
            </w:pPr>
            <w:r>
              <w:rPr>
                <w:rFonts w:ascii="Arial" w:cs="Arial" w:eastAsia="Arial" w:hAnsi="Arial"/>
                <w:sz w:val="20"/>
                <w:szCs w:val="20"/>
                <w:color w:val="0000EE"/>
              </w:rPr>
              <w:t>Proposal 4 —</w:t>
            </w:r>
          </w:p>
        </w:tc>
        <w:tc>
          <w:tcPr>
            <w:tcW w:w="5460" w:type="dxa"/>
            <w:vAlign w:val="bottom"/>
            <w:tcBorders>
              <w:bottom w:val="single" w:sz="8" w:color="0000EE"/>
            </w:tcBorders>
            <w:gridSpan w:val="4"/>
          </w:tcPr>
          <w:p>
            <w:pPr>
              <w:spacing w:after="0" w:line="194" w:lineRule="exact"/>
              <w:rPr>
                <w:sz w:val="20"/>
                <w:szCs w:val="20"/>
                <w:color w:val="auto"/>
              </w:rPr>
            </w:pPr>
            <w:r>
              <w:rPr>
                <w:rFonts w:ascii="Arial" w:cs="Arial" w:eastAsia="Arial" w:hAnsi="Arial"/>
                <w:sz w:val="20"/>
                <w:szCs w:val="20"/>
                <w:color w:val="0000EE"/>
                <w:w w:val="97"/>
              </w:rPr>
              <w:t>Shareholder Proposal Requesting an Independent Board Chair</w:t>
            </w:r>
          </w:p>
        </w:tc>
        <w:tc>
          <w:tcPr>
            <w:tcW w:w="16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7520" w:type="dxa"/>
            <w:vAlign w:val="bottom"/>
            <w:gridSpan w:val="7"/>
          </w:tcPr>
          <w:p>
            <w:pPr>
              <w:spacing w:after="0"/>
              <w:rPr>
                <w:sz w:val="20"/>
                <w:szCs w:val="20"/>
                <w:color w:val="auto"/>
              </w:rPr>
            </w:pPr>
            <w:r>
              <w:rPr>
                <w:rFonts w:ascii="Arial" w:cs="Arial" w:eastAsia="Arial" w:hAnsi="Arial"/>
                <w:sz w:val="20"/>
                <w:szCs w:val="20"/>
                <w:color w:val="0000EE"/>
              </w:rPr>
              <w:t>Share Ownership Information</w:t>
            </w:r>
          </w:p>
        </w:tc>
        <w:tc>
          <w:tcPr>
            <w:tcW w:w="3340" w:type="dxa"/>
            <w:vAlign w:val="bottom"/>
          </w:tcPr>
          <w:p>
            <w:pPr>
              <w:jc w:val="right"/>
              <w:spacing w:after="0"/>
              <w:rPr>
                <w:sz w:val="20"/>
                <w:szCs w:val="20"/>
                <w:color w:val="auto"/>
              </w:rPr>
            </w:pPr>
            <w:r>
              <w:rPr>
                <w:rFonts w:ascii="Arial" w:cs="Arial" w:eastAsia="Arial" w:hAnsi="Arial"/>
                <w:sz w:val="20"/>
                <w:szCs w:val="20"/>
                <w:color w:val="021496"/>
              </w:rPr>
              <w:t>84</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9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20"/>
                <w:szCs w:val="20"/>
                <w:color w:val="0000EE"/>
                <w:w w:val="97"/>
              </w:rPr>
              <w:t>Security Ownership of</w:t>
            </w:r>
          </w:p>
        </w:tc>
        <w:tc>
          <w:tcPr>
            <w:tcW w:w="4960" w:type="dxa"/>
            <w:vAlign w:val="bottom"/>
            <w:gridSpan w:val="4"/>
          </w:tcPr>
          <w:p>
            <w:pPr>
              <w:ind w:left="60"/>
              <w:spacing w:after="0" w:line="194" w:lineRule="exact"/>
              <w:rPr>
                <w:sz w:val="20"/>
                <w:szCs w:val="20"/>
                <w:color w:val="auto"/>
              </w:rPr>
            </w:pPr>
            <w:r>
              <w:rPr>
                <w:rFonts w:ascii="Arial" w:cs="Arial" w:eastAsia="Arial" w:hAnsi="Arial"/>
                <w:sz w:val="20"/>
                <w:szCs w:val="20"/>
                <w:color w:val="0000EE"/>
              </w:rPr>
              <w:t>Certain Beneficial Owners and Management</w:t>
            </w:r>
          </w:p>
        </w:tc>
        <w:tc>
          <w:tcPr>
            <w:tcW w:w="3340" w:type="dxa"/>
            <w:vAlign w:val="bottom"/>
          </w:tcPr>
          <w:p>
            <w:pPr>
              <w:jc w:val="right"/>
              <w:spacing w:after="0" w:line="194" w:lineRule="exact"/>
              <w:rPr>
                <w:sz w:val="20"/>
                <w:szCs w:val="20"/>
                <w:color w:val="auto"/>
              </w:rPr>
            </w:pPr>
            <w:r>
              <w:rPr>
                <w:rFonts w:ascii="Arial" w:cs="Arial" w:eastAsia="Arial" w:hAnsi="Arial"/>
                <w:sz w:val="20"/>
                <w:szCs w:val="20"/>
                <w:color w:val="021496"/>
              </w:rPr>
              <w:t>84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60" w:type="dxa"/>
            <w:vAlign w:val="bottom"/>
            <w:tcBorders>
              <w:bottom w:val="single" w:sz="8" w:color="0000EE"/>
            </w:tcBorders>
            <w:gridSpan w:val="4"/>
          </w:tcPr>
          <w:p>
            <w:pPr>
              <w:spacing w:after="0"/>
              <w:rPr>
                <w:sz w:val="20"/>
                <w:szCs w:val="20"/>
                <w:color w:val="auto"/>
              </w:rPr>
            </w:pPr>
            <w:r>
              <w:rPr>
                <w:rFonts w:ascii="Arial" w:cs="Arial" w:eastAsia="Arial" w:hAnsi="Arial"/>
                <w:sz w:val="20"/>
                <w:szCs w:val="20"/>
                <w:color w:val="0000EE"/>
                <w:w w:val="97"/>
              </w:rPr>
              <w:t>General Information About the Annual Meeting</w:t>
            </w:r>
          </w:p>
        </w:tc>
        <w:tc>
          <w:tcPr>
            <w:tcW w:w="3460" w:type="dxa"/>
            <w:vAlign w:val="bottom"/>
            <w:gridSpan w:val="3"/>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20"/>
                <w:szCs w:val="20"/>
                <w:color w:val="021496"/>
              </w:rPr>
              <w:t>87</w:t>
            </w:r>
          </w:p>
        </w:tc>
        <w:tc>
          <w:tcPr>
            <w:tcW w:w="0" w:type="dxa"/>
            <w:vAlign w:val="bottom"/>
          </w:tcPr>
          <w:p>
            <w:pPr>
              <w:spacing w:after="0"/>
              <w:rPr>
                <w:sz w:val="1"/>
                <w:szCs w:val="1"/>
                <w:color w:val="auto"/>
              </w:rPr>
            </w:pPr>
          </w:p>
        </w:tc>
      </w:tr>
    </w:tbl>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p>
    <w:p>
      <w:pPr>
        <w:sectPr>
          <w:pgSz w:w="11900" w:h="16838" w:orient="portrait"/>
          <w:cols w:equalWidth="0" w:num="1">
            <w:col w:w="10920"/>
          </w:cols>
          <w:pgMar w:left="480" w:top="299" w:right="499" w:bottom="1440" w:gutter="0" w:footer="0" w:header="0"/>
        </w:sectPr>
      </w:pPr>
    </w:p>
    <w:bookmarkStart w:id="5" w:name="page6"/>
    <w:bookmarkEnd w:id="5"/>
    <w:p>
      <w:pPr>
        <w:spacing w:after="0"/>
        <w:rPr>
          <w:sz w:val="20"/>
          <w:szCs w:val="20"/>
          <w:color w:val="auto"/>
        </w:rPr>
      </w:pPr>
      <w:r>
        <w:rPr>
          <w:rFonts w:ascii="Arial" w:cs="Arial" w:eastAsia="Arial" w:hAnsi="Arial"/>
          <w:sz w:val="35"/>
          <w:szCs w:val="35"/>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709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709285"/>
                    </a:xfrm>
                    <a:prstGeom prst="rect">
                      <a:avLst/>
                    </a:prstGeom>
                    <a:noFill/>
                  </pic:spPr>
                </pic:pic>
              </a:graphicData>
            </a:graphic>
          </wp:anchor>
        </w:drawing>
        <w:t>PROXY STATEMENT SUMMARY</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Annual Meeting Information</w:t>
      </w:r>
    </w:p>
    <w:p>
      <w:pPr>
        <w:sectPr>
          <w:pgSz w:w="11900" w:h="16838" w:orient="portrait"/>
          <w:cols w:equalWidth="0" w:num="1">
            <w:col w:w="10740"/>
          </w:cols>
          <w:pgMar w:left="660" w:top="450" w:right="49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May 8, 2026</w:t>
      </w:r>
    </w:p>
    <w:p>
      <w:pPr>
        <w:spacing w:after="0" w:line="121" w:lineRule="exact"/>
        <w:rPr>
          <w:sz w:val="20"/>
          <w:szCs w:val="20"/>
          <w:color w:val="auto"/>
        </w:rPr>
      </w:pPr>
    </w:p>
    <w:p>
      <w:pPr>
        <w:sectPr>
          <w:pgSz w:w="11900" w:h="16838" w:orient="portrait"/>
          <w:cols w:equalWidth="0" w:num="2">
            <w:col w:w="1100" w:space="720"/>
            <w:col w:w="8920"/>
          </w:cols>
          <w:pgMar w:left="660" w:top="45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9:00 a.m., Eastern Time</w:t>
      </w:r>
    </w:p>
    <w:p>
      <w:pPr>
        <w:spacing w:after="0" w:line="121" w:lineRule="exact"/>
        <w:rPr>
          <w:sz w:val="20"/>
          <w:szCs w:val="20"/>
          <w:color w:val="auto"/>
        </w:rPr>
      </w:pPr>
    </w:p>
    <w:p>
      <w:pPr>
        <w:sectPr>
          <w:pgSz w:w="11900" w:h="16838" w:orient="portrait"/>
          <w:cols w:equalWidth="0" w:num="2">
            <w:col w:w="1100" w:space="720"/>
            <w:col w:w="8920"/>
          </w:cols>
          <w:pgMar w:left="660" w:top="45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Record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March 16, 2026</w:t>
      </w:r>
    </w:p>
    <w:p>
      <w:pPr>
        <w:spacing w:after="0" w:line="121" w:lineRule="exact"/>
        <w:rPr>
          <w:sz w:val="20"/>
          <w:szCs w:val="20"/>
          <w:color w:val="auto"/>
        </w:rPr>
      </w:pPr>
    </w:p>
    <w:p>
      <w:pPr>
        <w:sectPr>
          <w:pgSz w:w="11900" w:h="16838" w:orient="portrait"/>
          <w:cols w:equalWidth="0" w:num="2">
            <w:col w:w="1220" w:space="600"/>
            <w:col w:w="8920"/>
          </w:cols>
          <w:pgMar w:left="660" w:top="45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Jefferson Hotel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101 West Franklin Street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Richmond, VA 23220</w:t>
      </w:r>
    </w:p>
    <w:p>
      <w:pPr>
        <w:spacing w:after="0" w:line="108" w:lineRule="exact"/>
        <w:rPr>
          <w:sz w:val="20"/>
          <w:szCs w:val="20"/>
          <w:color w:val="auto"/>
        </w:rPr>
      </w:pPr>
    </w:p>
    <w:p>
      <w:pPr>
        <w:sectPr>
          <w:pgSz w:w="11900" w:h="16838" w:orient="portrait"/>
          <w:cols w:equalWidth="0" w:num="2">
            <w:col w:w="1100" w:space="720"/>
            <w:col w:w="8920"/>
          </w:cols>
          <w:pgMar w:left="660" w:top="450" w:right="499" w:bottom="1440" w:gutter="0" w:footer="0" w:header="0"/>
          <w:type w:val="continuous"/>
        </w:sectPr>
      </w:pPr>
    </w:p>
    <w:p>
      <w:pPr>
        <w:ind w:left="1820" w:right="300"/>
        <w:spacing w:after="0" w:line="279" w:lineRule="auto"/>
        <w:rPr>
          <w:sz w:val="20"/>
          <w:szCs w:val="20"/>
          <w:color w:val="auto"/>
        </w:rPr>
      </w:pPr>
      <w:r>
        <w:rPr>
          <w:rFonts w:ascii="Arial" w:cs="Arial" w:eastAsia="Arial" w:hAnsi="Arial"/>
          <w:sz w:val="16"/>
          <w:szCs w:val="16"/>
          <w:color w:val="auto"/>
        </w:rPr>
        <w:t>For additional information about our Annual Meeting, please see “General Information About the Annual Meeting.” We are first mailing this Notice of Annual Meeting and Proxy Statement beginning on or about March 24, 2026.</w:t>
      </w:r>
    </w:p>
    <w:p>
      <w:pPr>
        <w:sectPr>
          <w:pgSz w:w="11900" w:h="16838" w:orient="portrait"/>
          <w:cols w:equalWidth="0" w:num="1">
            <w:col w:w="10740"/>
          </w:cols>
          <w:pgMar w:left="660" w:top="450" w:right="49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Items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are four proposals to be voted on at the Annual Meeting: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Borders>
              <w:top w:val="single" w:sz="8" w:color="021496"/>
              <w:right w:val="single" w:sz="8" w:color="999999"/>
            </w:tcBorders>
          </w:tcPr>
          <w:p>
            <w:pPr>
              <w:spacing w:after="0"/>
              <w:rPr>
                <w:sz w:val="17"/>
                <w:szCs w:val="17"/>
                <w:color w:val="auto"/>
              </w:rPr>
            </w:pPr>
          </w:p>
        </w:tc>
        <w:tc>
          <w:tcPr>
            <w:tcW w:w="7320" w:type="dxa"/>
            <w:vAlign w:val="bottom"/>
            <w:tcBorders>
              <w:top w:val="single" w:sz="8" w:color="021496"/>
            </w:tcBorders>
          </w:tcPr>
          <w:p>
            <w:pPr>
              <w:spacing w:after="0"/>
              <w:rPr>
                <w:sz w:val="17"/>
                <w:szCs w:val="17"/>
                <w:color w:val="auto"/>
              </w:rPr>
            </w:pPr>
          </w:p>
        </w:tc>
        <w:tc>
          <w:tcPr>
            <w:tcW w:w="1600" w:type="dxa"/>
            <w:vAlign w:val="bottom"/>
            <w:tcBorders>
              <w:top w:val="single" w:sz="8" w:color="021496"/>
            </w:tcBorders>
          </w:tcPr>
          <w:p>
            <w:pPr>
              <w:jc w:val="center"/>
              <w:ind w:left="40"/>
              <w:spacing w:after="0"/>
              <w:rPr>
                <w:sz w:val="20"/>
                <w:szCs w:val="20"/>
                <w:color w:val="auto"/>
              </w:rPr>
            </w:pPr>
            <w:r>
              <w:rPr>
                <w:rFonts w:ascii="Arial" w:cs="Arial" w:eastAsia="Arial" w:hAnsi="Arial"/>
                <w:sz w:val="16"/>
                <w:szCs w:val="16"/>
                <w:b w:val="1"/>
                <w:bCs w:val="1"/>
                <w:color w:val="auto"/>
                <w:w w:val="99"/>
              </w:rPr>
              <w:t>Board Voting</w:t>
            </w:r>
          </w:p>
        </w:tc>
        <w:tc>
          <w:tcPr>
            <w:tcW w:w="920" w:type="dxa"/>
            <w:vAlign w:val="bottom"/>
            <w:tcBorders>
              <w:top w:val="single" w:sz="8" w:color="021496"/>
            </w:tcBorders>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21"/>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w:t>
            </w:r>
          </w:p>
        </w:tc>
        <w:tc>
          <w:tcPr>
            <w:tcW w:w="7320" w:type="dxa"/>
            <w:vAlign w:val="bottom"/>
          </w:tcPr>
          <w:p>
            <w:pPr>
              <w:ind w:left="160"/>
              <w:spacing w:after="0"/>
              <w:rPr>
                <w:sz w:val="20"/>
                <w:szCs w:val="20"/>
                <w:color w:val="auto"/>
              </w:rPr>
            </w:pPr>
            <w:r>
              <w:rPr>
                <w:rFonts w:ascii="Arial" w:cs="Arial" w:eastAsia="Arial" w:hAnsi="Arial"/>
                <w:sz w:val="16"/>
                <w:szCs w:val="16"/>
                <w:b w:val="1"/>
                <w:bCs w:val="1"/>
                <w:color w:val="auto"/>
              </w:rPr>
              <w:t>Proposal</w:t>
            </w:r>
          </w:p>
        </w:tc>
        <w:tc>
          <w:tcPr>
            <w:tcW w:w="1600" w:type="dxa"/>
            <w:vAlign w:val="bottom"/>
          </w:tcPr>
          <w:p>
            <w:pPr>
              <w:jc w:val="center"/>
              <w:ind w:left="20"/>
              <w:spacing w:after="0"/>
              <w:rPr>
                <w:sz w:val="20"/>
                <w:szCs w:val="20"/>
                <w:color w:val="auto"/>
              </w:rPr>
            </w:pPr>
            <w:r>
              <w:rPr>
                <w:rFonts w:ascii="Arial" w:cs="Arial" w:eastAsia="Arial" w:hAnsi="Arial"/>
                <w:sz w:val="16"/>
                <w:szCs w:val="16"/>
                <w:b w:val="1"/>
                <w:bCs w:val="1"/>
                <w:color w:val="auto"/>
                <w:w w:val="99"/>
              </w:rPr>
              <w:t>Recommendation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47"/>
        </w:trPr>
        <w:tc>
          <w:tcPr>
            <w:tcW w:w="720" w:type="dxa"/>
            <w:vAlign w:val="bottom"/>
            <w:tcBorders>
              <w:bottom w:val="single" w:sz="8" w:color="021496"/>
              <w:right w:val="single" w:sz="8" w:color="999999"/>
            </w:tcBorders>
          </w:tcPr>
          <w:p>
            <w:pPr>
              <w:spacing w:after="0"/>
              <w:rPr>
                <w:sz w:val="4"/>
                <w:szCs w:val="4"/>
                <w:color w:val="auto"/>
              </w:rPr>
            </w:pPr>
          </w:p>
        </w:tc>
        <w:tc>
          <w:tcPr>
            <w:tcW w:w="7320" w:type="dxa"/>
            <w:vAlign w:val="bottom"/>
            <w:tcBorders>
              <w:bottom w:val="single" w:sz="8" w:color="021496"/>
            </w:tcBorders>
          </w:tcPr>
          <w:p>
            <w:pPr>
              <w:spacing w:after="0"/>
              <w:rPr>
                <w:sz w:val="4"/>
                <w:szCs w:val="4"/>
                <w:color w:val="auto"/>
              </w:rPr>
            </w:pPr>
          </w:p>
        </w:tc>
        <w:tc>
          <w:tcPr>
            <w:tcW w:w="1600" w:type="dxa"/>
            <w:vAlign w:val="bottom"/>
            <w:tcBorders>
              <w:bottom w:val="single" w:sz="8" w:color="021496"/>
            </w:tcBorders>
          </w:tcPr>
          <w:p>
            <w:pPr>
              <w:spacing w:after="0"/>
              <w:rPr>
                <w:sz w:val="4"/>
                <w:szCs w:val="4"/>
                <w:color w:val="auto"/>
              </w:rPr>
            </w:pPr>
          </w:p>
        </w:tc>
        <w:tc>
          <w:tcPr>
            <w:tcW w:w="92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72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ITEM 1</w:t>
            </w:r>
          </w:p>
        </w:tc>
        <w:tc>
          <w:tcPr>
            <w:tcW w:w="7320" w:type="dxa"/>
            <w:vAlign w:val="bottom"/>
            <w:shd w:val="clear" w:color="auto" w:fill="D8D8D8"/>
          </w:tcPr>
          <w:p>
            <w:pPr>
              <w:ind w:left="160"/>
              <w:spacing w:after="0"/>
              <w:rPr>
                <w:sz w:val="20"/>
                <w:szCs w:val="20"/>
                <w:color w:val="auto"/>
              </w:rPr>
            </w:pPr>
            <w:r>
              <w:rPr>
                <w:rFonts w:ascii="Arial" w:cs="Arial" w:eastAsia="Arial" w:hAnsi="Arial"/>
                <w:sz w:val="16"/>
                <w:szCs w:val="16"/>
                <w:color w:val="auto"/>
              </w:rPr>
              <w:t>The election of nine nominees for director</w:t>
            </w:r>
          </w:p>
        </w:tc>
        <w:tc>
          <w:tcPr>
            <w:tcW w:w="1600" w:type="dxa"/>
            <w:vAlign w:val="bottom"/>
            <w:shd w:val="clear" w:color="auto" w:fill="D8D8D8"/>
          </w:tcPr>
          <w:p>
            <w:pPr>
              <w:jc w:val="center"/>
              <w:ind w:left="40"/>
              <w:spacing w:after="0"/>
              <w:rPr>
                <w:sz w:val="20"/>
                <w:szCs w:val="20"/>
                <w:color w:val="auto"/>
              </w:rPr>
            </w:pPr>
            <w:r>
              <w:rPr>
                <w:rFonts w:ascii="Arial" w:cs="Arial" w:eastAsia="Arial" w:hAnsi="Arial"/>
                <w:sz w:val="16"/>
                <w:szCs w:val="16"/>
                <w:b w:val="1"/>
                <w:bCs w:val="1"/>
                <w:color w:val="auto"/>
              </w:rPr>
              <w:t>FOR each director</w:t>
            </w:r>
          </w:p>
        </w:tc>
        <w:tc>
          <w:tcPr>
            <w:tcW w:w="92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27"/>
        </w:trPr>
        <w:tc>
          <w:tcPr>
            <w:tcW w:w="720" w:type="dxa"/>
            <w:vAlign w:val="bottom"/>
            <w:tcBorders>
              <w:right w:val="single" w:sz="8" w:color="999999"/>
            </w:tcBorders>
            <w:shd w:val="clear" w:color="auto" w:fill="D8D8D8"/>
          </w:tcPr>
          <w:p>
            <w:pPr>
              <w:spacing w:after="0"/>
              <w:rPr>
                <w:sz w:val="19"/>
                <w:szCs w:val="19"/>
                <w:color w:val="auto"/>
              </w:rPr>
            </w:pPr>
          </w:p>
        </w:tc>
        <w:tc>
          <w:tcPr>
            <w:tcW w:w="7320" w:type="dxa"/>
            <w:vAlign w:val="bottom"/>
            <w:shd w:val="clear" w:color="auto" w:fill="D8D8D8"/>
          </w:tcPr>
          <w:p>
            <w:pPr>
              <w:spacing w:after="0"/>
              <w:rPr>
                <w:sz w:val="19"/>
                <w:szCs w:val="19"/>
                <w:color w:val="auto"/>
              </w:rPr>
            </w:pPr>
          </w:p>
        </w:tc>
        <w:tc>
          <w:tcPr>
            <w:tcW w:w="1600" w:type="dxa"/>
            <w:vAlign w:val="bottom"/>
            <w:shd w:val="clear" w:color="auto" w:fill="D8D8D8"/>
          </w:tcPr>
          <w:p>
            <w:pPr>
              <w:jc w:val="center"/>
              <w:ind w:left="20"/>
              <w:spacing w:after="0"/>
              <w:rPr>
                <w:sz w:val="20"/>
                <w:szCs w:val="20"/>
                <w:color w:val="auto"/>
              </w:rPr>
            </w:pPr>
            <w:r>
              <w:rPr>
                <w:rFonts w:ascii="Arial" w:cs="Arial" w:eastAsia="Arial" w:hAnsi="Arial"/>
                <w:sz w:val="16"/>
                <w:szCs w:val="16"/>
                <w:b w:val="1"/>
                <w:bCs w:val="1"/>
                <w:color w:val="auto"/>
              </w:rPr>
              <w:t>nominee</w:t>
            </w:r>
          </w:p>
        </w:tc>
        <w:tc>
          <w:tcPr>
            <w:tcW w:w="9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2</w:t>
            </w:r>
          </w:p>
        </w:tc>
        <w:tc>
          <w:tcPr>
            <w:tcW w:w="7320" w:type="dxa"/>
            <w:vAlign w:val="bottom"/>
          </w:tcPr>
          <w:p>
            <w:pPr>
              <w:ind w:left="160"/>
              <w:spacing w:after="0"/>
              <w:rPr>
                <w:sz w:val="20"/>
                <w:szCs w:val="20"/>
                <w:color w:val="auto"/>
              </w:rPr>
            </w:pPr>
            <w:r>
              <w:rPr>
                <w:rFonts w:ascii="Arial" w:cs="Arial" w:eastAsia="Arial" w:hAnsi="Arial"/>
                <w:sz w:val="16"/>
                <w:szCs w:val="16"/>
                <w:color w:val="auto"/>
              </w:rPr>
              <w:t>The ratification of the appointment of PwC as our independent registered public accounting firm for</w:t>
            </w:r>
          </w:p>
        </w:tc>
        <w:tc>
          <w:tcPr>
            <w:tcW w:w="1600" w:type="dxa"/>
            <w:vAlign w:val="bottom"/>
            <w:vMerge w:val="restart"/>
          </w:tcPr>
          <w:p>
            <w:pPr>
              <w:jc w:val="center"/>
              <w:ind w:left="20"/>
              <w:spacing w:after="0"/>
              <w:rPr>
                <w:sz w:val="20"/>
                <w:szCs w:val="20"/>
                <w:color w:val="auto"/>
              </w:rPr>
            </w:pPr>
            <w:r>
              <w:rPr>
                <w:rFonts w:ascii="Arial" w:cs="Arial" w:eastAsia="Arial" w:hAnsi="Arial"/>
                <w:sz w:val="16"/>
                <w:szCs w:val="16"/>
                <w:b w:val="1"/>
                <w:bCs w:val="1"/>
                <w:color w:val="auto"/>
              </w:rPr>
              <w:t>FOR</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28"/>
        </w:trPr>
        <w:tc>
          <w:tcPr>
            <w:tcW w:w="720" w:type="dxa"/>
            <w:vAlign w:val="bottom"/>
            <w:tcBorders>
              <w:right w:val="single" w:sz="8" w:color="999999"/>
            </w:tcBorders>
          </w:tcPr>
          <w:p>
            <w:pPr>
              <w:spacing w:after="0"/>
              <w:rPr>
                <w:sz w:val="11"/>
                <w:szCs w:val="11"/>
                <w:color w:val="auto"/>
              </w:rPr>
            </w:pPr>
          </w:p>
        </w:tc>
        <w:tc>
          <w:tcPr>
            <w:tcW w:w="7320" w:type="dxa"/>
            <w:vAlign w:val="bottom"/>
            <w:vMerge w:val="restart"/>
          </w:tcPr>
          <w:p>
            <w:pPr>
              <w:ind w:left="160"/>
              <w:spacing w:after="0"/>
              <w:rPr>
                <w:sz w:val="20"/>
                <w:szCs w:val="20"/>
                <w:color w:val="auto"/>
              </w:rPr>
            </w:pPr>
            <w:r>
              <w:rPr>
                <w:rFonts w:ascii="Arial" w:cs="Arial" w:eastAsia="Arial" w:hAnsi="Arial"/>
                <w:sz w:val="16"/>
                <w:szCs w:val="16"/>
                <w:color w:val="auto"/>
              </w:rPr>
              <w:t>2026</w:t>
            </w:r>
          </w:p>
        </w:tc>
        <w:tc>
          <w:tcPr>
            <w:tcW w:w="16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20" w:type="dxa"/>
            <w:vAlign w:val="bottom"/>
            <w:tcBorders>
              <w:right w:val="single" w:sz="8" w:color="999999"/>
            </w:tcBorders>
          </w:tcPr>
          <w:p>
            <w:pPr>
              <w:spacing w:after="0"/>
              <w:rPr>
                <w:sz w:val="7"/>
                <w:szCs w:val="7"/>
                <w:color w:val="auto"/>
              </w:rPr>
            </w:pPr>
          </w:p>
        </w:tc>
        <w:tc>
          <w:tcPr>
            <w:tcW w:w="732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720" w:type="dxa"/>
            <w:vAlign w:val="bottom"/>
            <w:tcBorders>
              <w:right w:val="single" w:sz="8" w:color="999999"/>
            </w:tcBorders>
          </w:tcPr>
          <w:p>
            <w:pPr>
              <w:spacing w:after="0"/>
              <w:rPr>
                <w:sz w:val="7"/>
                <w:szCs w:val="7"/>
                <w:color w:val="auto"/>
              </w:rPr>
            </w:pPr>
          </w:p>
        </w:tc>
        <w:tc>
          <w:tcPr>
            <w:tcW w:w="7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72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ITEM 3</w:t>
            </w:r>
          </w:p>
        </w:tc>
        <w:tc>
          <w:tcPr>
            <w:tcW w:w="732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An advisory resolution to approve NEO compensation</w:t>
            </w:r>
          </w:p>
        </w:tc>
        <w:tc>
          <w:tcPr>
            <w:tcW w:w="1600" w:type="dxa"/>
            <w:vAlign w:val="bottom"/>
            <w:shd w:val="clear" w:color="auto" w:fill="D8D8D8"/>
          </w:tcPr>
          <w:p>
            <w:pPr>
              <w:jc w:val="center"/>
              <w:ind w:left="20"/>
              <w:spacing w:after="0"/>
              <w:rPr>
                <w:sz w:val="20"/>
                <w:szCs w:val="20"/>
                <w:color w:val="auto"/>
              </w:rPr>
            </w:pPr>
            <w:r>
              <w:rPr>
                <w:rFonts w:ascii="Arial" w:cs="Arial" w:eastAsia="Arial" w:hAnsi="Arial"/>
                <w:sz w:val="16"/>
                <w:szCs w:val="16"/>
                <w:b w:val="1"/>
                <w:bCs w:val="1"/>
                <w:color w:val="auto"/>
              </w:rPr>
              <w:t>FOR</w:t>
            </w:r>
          </w:p>
        </w:tc>
        <w:tc>
          <w:tcPr>
            <w:tcW w:w="92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74"/>
        </w:trPr>
        <w:tc>
          <w:tcPr>
            <w:tcW w:w="720" w:type="dxa"/>
            <w:vAlign w:val="bottom"/>
            <w:tcBorders>
              <w:right w:val="single" w:sz="8" w:color="999999"/>
            </w:tcBorders>
            <w:shd w:val="clear" w:color="auto" w:fill="D8D8D8"/>
          </w:tcPr>
          <w:p>
            <w:pPr>
              <w:spacing w:after="0"/>
              <w:rPr>
                <w:sz w:val="6"/>
                <w:szCs w:val="6"/>
                <w:color w:val="auto"/>
              </w:rPr>
            </w:pPr>
          </w:p>
        </w:tc>
        <w:tc>
          <w:tcPr>
            <w:tcW w:w="7320" w:type="dxa"/>
            <w:vAlign w:val="bottom"/>
            <w:shd w:val="clear" w:color="auto" w:fill="D8D8D8"/>
          </w:tcPr>
          <w:p>
            <w:pPr>
              <w:spacing w:after="0"/>
              <w:rPr>
                <w:sz w:val="6"/>
                <w:szCs w:val="6"/>
                <w:color w:val="auto"/>
              </w:rPr>
            </w:pPr>
          </w:p>
        </w:tc>
        <w:tc>
          <w:tcPr>
            <w:tcW w:w="1600" w:type="dxa"/>
            <w:vAlign w:val="bottom"/>
            <w:shd w:val="clear" w:color="auto" w:fill="D8D8D8"/>
          </w:tcPr>
          <w:p>
            <w:pPr>
              <w:spacing w:after="0"/>
              <w:rPr>
                <w:sz w:val="6"/>
                <w:szCs w:val="6"/>
                <w:color w:val="auto"/>
              </w:rPr>
            </w:pPr>
          </w:p>
        </w:tc>
        <w:tc>
          <w:tcPr>
            <w:tcW w:w="9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4</w:t>
            </w:r>
          </w:p>
        </w:tc>
        <w:tc>
          <w:tcPr>
            <w:tcW w:w="7320" w:type="dxa"/>
            <w:vAlign w:val="bottom"/>
          </w:tcPr>
          <w:p>
            <w:pPr>
              <w:ind w:left="160"/>
              <w:spacing w:after="0"/>
              <w:rPr>
                <w:sz w:val="20"/>
                <w:szCs w:val="20"/>
                <w:color w:val="auto"/>
              </w:rPr>
            </w:pPr>
            <w:r>
              <w:rPr>
                <w:rFonts w:ascii="Arial" w:cs="Arial" w:eastAsia="Arial" w:hAnsi="Arial"/>
                <w:sz w:val="16"/>
                <w:szCs w:val="16"/>
                <w:color w:val="auto"/>
              </w:rPr>
              <w:t>A shareholder proposal requesting an independent board chair, if properly presented</w:t>
            </w:r>
          </w:p>
        </w:tc>
        <w:tc>
          <w:tcPr>
            <w:tcW w:w="1600" w:type="dxa"/>
            <w:vAlign w:val="bottom"/>
          </w:tcPr>
          <w:p>
            <w:pPr>
              <w:jc w:val="center"/>
              <w:ind w:left="40"/>
              <w:spacing w:after="0"/>
              <w:rPr>
                <w:sz w:val="20"/>
                <w:szCs w:val="20"/>
                <w:color w:val="auto"/>
              </w:rPr>
            </w:pPr>
            <w:r>
              <w:rPr>
                <w:rFonts w:ascii="Arial" w:cs="Arial" w:eastAsia="Arial" w:hAnsi="Arial"/>
                <w:sz w:val="16"/>
                <w:szCs w:val="16"/>
                <w:b w:val="1"/>
                <w:bCs w:val="1"/>
                <w:color w:val="auto"/>
                <w:w w:val="99"/>
              </w:rPr>
              <w:t>AGAINST</w:t>
            </w:r>
          </w:p>
        </w:tc>
        <w:tc>
          <w:tcPr>
            <w:tcW w:w="920" w:type="dxa"/>
            <w:vAlign w:val="bottom"/>
          </w:tcPr>
          <w:p>
            <w:pPr>
              <w:jc w:val="center"/>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74"/>
        </w:trPr>
        <w:tc>
          <w:tcPr>
            <w:tcW w:w="720" w:type="dxa"/>
            <w:vAlign w:val="bottom"/>
            <w:tcBorders>
              <w:bottom w:val="single" w:sz="8" w:color="021496"/>
              <w:right w:val="single" w:sz="8" w:color="999999"/>
            </w:tcBorders>
          </w:tcPr>
          <w:p>
            <w:pPr>
              <w:spacing w:after="0"/>
              <w:rPr>
                <w:sz w:val="6"/>
                <w:szCs w:val="6"/>
                <w:color w:val="auto"/>
              </w:rPr>
            </w:pPr>
          </w:p>
        </w:tc>
        <w:tc>
          <w:tcPr>
            <w:tcW w:w="7320" w:type="dxa"/>
            <w:vAlign w:val="bottom"/>
            <w:tcBorders>
              <w:bottom w:val="single" w:sz="8" w:color="021496"/>
            </w:tcBorders>
          </w:tcPr>
          <w:p>
            <w:pPr>
              <w:spacing w:after="0"/>
              <w:rPr>
                <w:sz w:val="6"/>
                <w:szCs w:val="6"/>
                <w:color w:val="auto"/>
              </w:rPr>
            </w:pPr>
          </w:p>
        </w:tc>
        <w:tc>
          <w:tcPr>
            <w:tcW w:w="1600" w:type="dxa"/>
            <w:vAlign w:val="bottom"/>
            <w:tcBorders>
              <w:bottom w:val="single" w:sz="8" w:color="021496"/>
            </w:tcBorders>
          </w:tcPr>
          <w:p>
            <w:pPr>
              <w:spacing w:after="0"/>
              <w:rPr>
                <w:sz w:val="6"/>
                <w:szCs w:val="6"/>
                <w:color w:val="auto"/>
              </w:rPr>
            </w:pPr>
          </w:p>
        </w:tc>
        <w:tc>
          <w:tcPr>
            <w:tcW w:w="920" w:type="dxa"/>
            <w:vAlign w:val="bottom"/>
            <w:tcBorders>
              <w:bottom w:val="single" w:sz="8" w:color="02149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How to Submit Your Proxy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Even if you plan to attend the Annual Meeting in person, please submit your proxy as soon as possible using one of the following methods:</w:t>
      </w:r>
    </w:p>
    <w:p>
      <w:pPr>
        <w:spacing w:after="0" w:line="124" w:lineRule="exact"/>
        <w:rPr>
          <w:sz w:val="20"/>
          <w:szCs w:val="20"/>
          <w:color w:val="auto"/>
        </w:rPr>
      </w:pPr>
    </w:p>
    <w:p>
      <w:pPr>
        <w:ind w:left="820" w:hanging="29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by visiting www.proxyvote.com</w:t>
      </w:r>
    </w:p>
    <w:p>
      <w:pPr>
        <w:spacing w:after="0" w:line="123" w:lineRule="exact"/>
        <w:rPr>
          <w:rFonts w:ascii="Arial" w:cs="Arial" w:eastAsia="Arial" w:hAnsi="Arial"/>
          <w:sz w:val="16"/>
          <w:szCs w:val="16"/>
          <w:color w:val="auto"/>
        </w:rPr>
      </w:pPr>
    </w:p>
    <w:p>
      <w:pPr>
        <w:ind w:left="820" w:hanging="29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telephone</w:t>
      </w:r>
      <w:r>
        <w:rPr>
          <w:rFonts w:ascii="Arial" w:cs="Arial" w:eastAsia="Arial" w:hAnsi="Arial"/>
          <w:sz w:val="16"/>
          <w:szCs w:val="16"/>
          <w:color w:val="auto"/>
        </w:rPr>
        <w:t xml:space="preserve"> by calling 1-800-690-6903</w:t>
      </w:r>
    </w:p>
    <w:p>
      <w:pPr>
        <w:spacing w:after="0" w:line="123" w:lineRule="exact"/>
        <w:rPr>
          <w:rFonts w:ascii="Arial" w:cs="Arial" w:eastAsia="Arial" w:hAnsi="Arial"/>
          <w:sz w:val="16"/>
          <w:szCs w:val="16"/>
          <w:color w:val="auto"/>
        </w:rPr>
      </w:pPr>
    </w:p>
    <w:p>
      <w:pPr>
        <w:ind w:left="820" w:right="300" w:hanging="294"/>
        <w:spacing w:after="0" w:line="279"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mail</w:t>
      </w:r>
      <w:r>
        <w:rPr>
          <w:rFonts w:ascii="Arial" w:cs="Arial" w:eastAsia="Arial" w:hAnsi="Arial"/>
          <w:sz w:val="16"/>
          <w:szCs w:val="16"/>
          <w:color w:val="auto"/>
        </w:rPr>
        <w:t xml:space="preserve"> by marking, signing and dating your proxy card or voting instruction form (if you received proxy materials by mail) and returning it to the address listed therein</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0740"/>
          </w:cols>
          <w:pgMar w:left="660" w:top="450"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5897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589788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Company Overview</w:t>
      </w:r>
    </w:p>
    <w:p>
      <w:pPr>
        <w:spacing w:after="0" w:line="124" w:lineRule="exact"/>
        <w:rPr>
          <w:sz w:val="20"/>
          <w:szCs w:val="20"/>
          <w:color w:val="auto"/>
        </w:rPr>
      </w:pPr>
    </w:p>
    <w:p>
      <w:pPr>
        <w:ind w:left="180" w:right="200"/>
        <w:spacing w:after="0" w:line="253" w:lineRule="auto"/>
        <w:rPr>
          <w:sz w:val="20"/>
          <w:szCs w:val="20"/>
          <w:color w:val="auto"/>
        </w:rPr>
      </w:pPr>
      <w:r>
        <w:rPr>
          <w:rFonts w:ascii="Arial" w:cs="Arial" w:eastAsia="Arial" w:hAnsi="Arial"/>
          <w:sz w:val="16"/>
          <w:szCs w:val="16"/>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We combine global scale, operational agility, world-class engineering capability, and customer intimacy to lead the markets we serve. Recognized for our entrepreneurial approach for over 70 years, our team of approximately 24,000 employees takes an ownership mindset, collaborating with customers to redefine what’s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Management Philosophy</w:t>
      </w:r>
    </w:p>
    <w:p>
      <w:pPr>
        <w:spacing w:after="0" w:line="137" w:lineRule="exact"/>
        <w:rPr>
          <w:sz w:val="20"/>
          <w:szCs w:val="20"/>
          <w:color w:val="auto"/>
        </w:rPr>
      </w:pPr>
    </w:p>
    <w:p>
      <w:pPr>
        <w:ind w:left="1000" w:right="240" w:hanging="401"/>
        <w:spacing w:after="0" w:line="26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is committed to delivering shareholder value creation through a combination of sustained profitable</w:t>
      </w:r>
      <w:r>
        <w:rPr>
          <w:rFonts w:ascii="Arial" w:cs="Arial" w:eastAsia="Arial" w:hAnsi="Arial"/>
          <w:sz w:val="16"/>
          <w:szCs w:val="16"/>
          <w:b w:val="1"/>
          <w:bCs w:val="1"/>
          <w:color w:val="021496"/>
        </w:rPr>
        <w:t xml:space="preserve"> </w:t>
      </w:r>
      <w:r>
        <w:rPr>
          <w:rFonts w:ascii="Arial" w:cs="Arial" w:eastAsia="Arial" w:hAnsi="Arial"/>
          <w:sz w:val="16"/>
          <w:szCs w:val="16"/>
          <w:color w:val="000000"/>
        </w:rPr>
        <w:t>growth, operational excellence, superior free cash flow generation and productive capital re-deployment while adhering to a conservative financial policy.</w:t>
      </w:r>
    </w:p>
    <w:p>
      <w:pPr>
        <w:spacing w:after="0" w:line="79" w:lineRule="exact"/>
        <w:rPr>
          <w:rFonts w:ascii="Arial" w:cs="Arial" w:eastAsia="Arial" w:hAnsi="Arial"/>
          <w:sz w:val="16"/>
          <w:szCs w:val="16"/>
          <w:color w:val="auto"/>
        </w:rPr>
      </w:pPr>
    </w:p>
    <w:p>
      <w:pPr>
        <w:ind w:left="1000" w:right="220" w:hanging="401"/>
        <w:spacing w:after="0" w:line="26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businesses </w:t>
      </w:r>
      <w:r>
        <w:rPr>
          <w:rFonts w:ascii="Arial" w:cs="Arial" w:eastAsia="Arial" w:hAnsi="Arial"/>
          <w:sz w:val="16"/>
          <w:szCs w:val="16"/>
          <w:color w:val="000000"/>
        </w:rPr>
        <w:t>seek to be leaders in a diverse set of growing markets where customers are loyal to trusted partners and suppliers,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value product performance and differentiation driven by superior engineering, manufacturing precision, total solution development, and excellent supply chain performance.</w:t>
      </w:r>
    </w:p>
    <w:p>
      <w:pPr>
        <w:spacing w:after="0" w:line="79" w:lineRule="exact"/>
        <w:rPr>
          <w:rFonts w:ascii="Arial" w:cs="Arial" w:eastAsia="Arial" w:hAnsi="Arial"/>
          <w:sz w:val="16"/>
          <w:szCs w:val="16"/>
          <w:color w:val="auto"/>
        </w:rPr>
      </w:pPr>
    </w:p>
    <w:p>
      <w:pPr>
        <w:ind w:left="1000" w:right="840" w:hanging="401"/>
        <w:spacing w:after="0" w:line="27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companies </w:t>
      </w:r>
      <w:r>
        <w:rPr>
          <w:rFonts w:ascii="Arial" w:cs="Arial" w:eastAsia="Arial" w:hAnsi="Arial"/>
          <w:sz w:val="16"/>
          <w:szCs w:val="16"/>
          <w:color w:val="000000"/>
        </w:rPr>
        <w:t>are long-time leaders in their respective markets and are known for their innovation, engineering capability,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customer service excellence.</w:t>
      </w:r>
    </w:p>
    <w:p>
      <w:pPr>
        <w:spacing w:after="0" w:line="67" w:lineRule="exact"/>
        <w:rPr>
          <w:rFonts w:ascii="Arial" w:cs="Arial" w:eastAsia="Arial" w:hAnsi="Arial"/>
          <w:sz w:val="16"/>
          <w:szCs w:val="16"/>
          <w:color w:val="auto"/>
        </w:rPr>
      </w:pPr>
    </w:p>
    <w:p>
      <w:pPr>
        <w:ind w:left="1000" w:right="360" w:hanging="401"/>
        <w:spacing w:after="0" w:line="27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sustainable business practices </w:t>
      </w:r>
      <w:r>
        <w:rPr>
          <w:rFonts w:ascii="Arial" w:cs="Arial" w:eastAsia="Arial" w:hAnsi="Arial"/>
          <w:sz w:val="16"/>
          <w:szCs w:val="16"/>
          <w:color w:val="000000"/>
        </w:rPr>
        <w:t>are focused on reducing environmental impact and developing products that help our customers</w:t>
      </w:r>
      <w:r>
        <w:rPr>
          <w:rFonts w:ascii="Arial" w:cs="Arial" w:eastAsia="Arial" w:hAnsi="Arial"/>
          <w:sz w:val="16"/>
          <w:szCs w:val="16"/>
          <w:b w:val="1"/>
          <w:bCs w:val="1"/>
          <w:color w:val="021496"/>
        </w:rPr>
        <w:t xml:space="preserve"> </w:t>
      </w:r>
      <w:r>
        <w:rPr>
          <w:rFonts w:ascii="Arial" w:cs="Arial" w:eastAsia="Arial" w:hAnsi="Arial"/>
          <w:sz w:val="16"/>
          <w:szCs w:val="16"/>
          <w:color w:val="000000"/>
        </w:rPr>
        <w:t>meet their sustainability goals.</w:t>
      </w:r>
    </w:p>
    <w:p>
      <w:pPr>
        <w:spacing w:after="0" w:line="67" w:lineRule="exact"/>
        <w:rPr>
          <w:rFonts w:ascii="Arial" w:cs="Arial" w:eastAsia="Arial" w:hAnsi="Arial"/>
          <w:sz w:val="16"/>
          <w:szCs w:val="16"/>
          <w:color w:val="auto"/>
        </w:rPr>
      </w:pPr>
    </w:p>
    <w:p>
      <w:pPr>
        <w:ind w:left="1000" w:right="300" w:hanging="401"/>
        <w:spacing w:after="0" w:line="25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structure </w:t>
      </w:r>
      <w:r>
        <w:rPr>
          <w:rFonts w:ascii="Arial" w:cs="Arial" w:eastAsia="Arial" w:hAnsi="Arial"/>
          <w:sz w:val="16"/>
          <w:szCs w:val="16"/>
          <w:color w:val="000000"/>
        </w:rPr>
        <w:t>of five business segments allows for differentiated acquisition focus consistent with our portfolio and capital</w:t>
      </w:r>
      <w:r>
        <w:rPr>
          <w:rFonts w:ascii="Arial" w:cs="Arial" w:eastAsia="Arial" w:hAnsi="Arial"/>
          <w:sz w:val="16"/>
          <w:szCs w:val="16"/>
          <w:b w:val="1"/>
          <w:bCs w:val="1"/>
          <w:color w:val="021496"/>
        </w:rPr>
        <w:t xml:space="preserve"> </w:t>
      </w:r>
      <w:r>
        <w:rPr>
          <w:rFonts w:ascii="Arial" w:cs="Arial" w:eastAsia="Arial" w:hAnsi="Arial"/>
          <w:sz w:val="16"/>
          <w:szCs w:val="16"/>
          <w:color w:val="000000"/>
        </w:rPr>
        <w:t>allocation priorities which, coupled with value-creating functional expertise at our corporate center, presents opportunities to identify and capture operating synergies, such as global sourcing and supply chain integration, centralized shared services, and cross-pollination of manufacturing best practices.</w:t>
      </w:r>
    </w:p>
    <w:p>
      <w:pPr>
        <w:spacing w:after="0" w:line="84" w:lineRule="exact"/>
        <w:rPr>
          <w:rFonts w:ascii="Arial" w:cs="Arial" w:eastAsia="Arial" w:hAnsi="Arial"/>
          <w:sz w:val="16"/>
          <w:szCs w:val="16"/>
          <w:color w:val="auto"/>
        </w:rPr>
      </w:pPr>
    </w:p>
    <w:p>
      <w:pPr>
        <w:ind w:left="1000" w:right="640" w:hanging="401"/>
        <w:spacing w:after="0" w:line="256"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sets strategic direction, initiatives and goals, provides oversight of strategy execution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achievement of these goals for our business segments, and with oversight from our Board of Directors (our “Board”), makes capital allocation decisions, including organic investment initiatives, major capital projects, acquisitions, and the return of capital to our shareholders.</w:t>
      </w:r>
    </w:p>
    <w:p>
      <w:pPr>
        <w:spacing w:after="0" w:line="84" w:lineRule="exact"/>
        <w:rPr>
          <w:rFonts w:ascii="Arial" w:cs="Arial" w:eastAsia="Arial" w:hAnsi="Arial"/>
          <w:sz w:val="16"/>
          <w:szCs w:val="16"/>
          <w:color w:val="auto"/>
        </w:rPr>
      </w:pPr>
    </w:p>
    <w:p>
      <w:pPr>
        <w:ind w:left="1000" w:right="440" w:hanging="401"/>
        <w:spacing w:after="0" w:line="27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culture </w:t>
      </w:r>
      <w:r>
        <w:rPr>
          <w:rFonts w:ascii="Arial" w:cs="Arial" w:eastAsia="Arial" w:hAnsi="Arial"/>
          <w:sz w:val="16"/>
          <w:szCs w:val="16"/>
          <w:color w:val="000000"/>
        </w:rPr>
        <w:t>fosters high ethical and performance standards, values accountability, rigor, trust, inclusion, respect, and open</w:t>
      </w:r>
      <w:r>
        <w:rPr>
          <w:rFonts w:ascii="Arial" w:cs="Arial" w:eastAsia="Arial" w:hAnsi="Arial"/>
          <w:sz w:val="16"/>
          <w:szCs w:val="16"/>
          <w:b w:val="1"/>
          <w:bCs w:val="1"/>
          <w:color w:val="021496"/>
        </w:rPr>
        <w:t xml:space="preserve"> </w:t>
      </w:r>
      <w:r>
        <w:rPr>
          <w:rFonts w:ascii="Arial" w:cs="Arial" w:eastAsia="Arial" w:hAnsi="Arial"/>
          <w:sz w:val="16"/>
          <w:szCs w:val="16"/>
          <w:color w:val="000000"/>
        </w:rPr>
        <w:t>communications, and is designed to encourage individual growth and operational effectiveness.</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0920"/>
          </w:cols>
          <w:pgMar w:left="480" w:top="299" w:right="4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5159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200" cy="5159375"/>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Company Goals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are committed to driving superior shareholder return through three key tenets of our corporate strategy.</w:t>
      </w:r>
    </w:p>
    <w:p>
      <w:pPr>
        <w:spacing w:after="0" w:line="124" w:lineRule="exact"/>
        <w:rPr>
          <w:sz w:val="20"/>
          <w:szCs w:val="20"/>
          <w:color w:val="auto"/>
        </w:rPr>
      </w:pPr>
    </w:p>
    <w:p>
      <w:pPr>
        <w:jc w:val="both"/>
        <w:ind w:left="1040" w:right="700"/>
        <w:spacing w:after="0" w:line="268" w:lineRule="auto"/>
        <w:rPr>
          <w:sz w:val="20"/>
          <w:szCs w:val="20"/>
          <w:color w:val="auto"/>
        </w:rPr>
      </w:pPr>
      <w:r>
        <w:rPr>
          <w:rFonts w:ascii="Arial" w:cs="Arial" w:eastAsia="Arial" w:hAnsi="Arial"/>
          <w:sz w:val="16"/>
          <w:szCs w:val="16"/>
          <w:color w:val="auto"/>
        </w:rPr>
        <w:t xml:space="preserve">We are committed to </w:t>
      </w:r>
      <w:r>
        <w:rPr>
          <w:rFonts w:ascii="Arial" w:cs="Arial" w:eastAsia="Arial" w:hAnsi="Arial"/>
          <w:sz w:val="16"/>
          <w:szCs w:val="16"/>
          <w:b w:val="1"/>
          <w:bCs w:val="1"/>
          <w:color w:val="021496"/>
        </w:rPr>
        <w:t>achieving organic sales growth above global gross domestic product growth (4% to 6% annually on</w:t>
      </w:r>
      <w:r>
        <w:rPr>
          <w:rFonts w:ascii="Arial" w:cs="Arial" w:eastAsia="Arial" w:hAnsi="Arial"/>
          <w:sz w:val="16"/>
          <w:szCs w:val="16"/>
          <w:color w:val="auto"/>
        </w:rPr>
        <w:t xml:space="preserve"> </w:t>
      </w:r>
      <w:r>
        <w:rPr>
          <w:rFonts w:ascii="Arial" w:cs="Arial" w:eastAsia="Arial" w:hAnsi="Arial"/>
          <w:sz w:val="16"/>
          <w:szCs w:val="16"/>
          <w:b w:val="1"/>
          <w:bCs w:val="1"/>
          <w:color w:val="021496"/>
        </w:rPr>
        <w:t>average) over a long-term business cycle</w:t>
      </w:r>
      <w:r>
        <w:rPr>
          <w:rFonts w:ascii="Arial" w:cs="Arial" w:eastAsia="Arial" w:hAnsi="Arial"/>
          <w:sz w:val="16"/>
          <w:szCs w:val="16"/>
          <w:color w:val="000000"/>
        </w:rPr>
        <w:t>, absent prolonged adverse economic conditions, complemented by</w:t>
      </w:r>
      <w:r>
        <w:rPr>
          <w:rFonts w:ascii="Arial" w:cs="Arial" w:eastAsia="Arial" w:hAnsi="Arial"/>
          <w:sz w:val="16"/>
          <w:szCs w:val="16"/>
          <w:b w:val="1"/>
          <w:bCs w:val="1"/>
          <w:color w:val="021496"/>
        </w:rPr>
        <w:t xml:space="preserve"> growth through strategic acquisitions</w:t>
      </w:r>
      <w:r>
        <w:rPr>
          <w:rFonts w:ascii="Arial" w:cs="Arial" w:eastAsia="Arial" w:hAnsi="Arial"/>
          <w:sz w:val="16"/>
          <w:szCs w:val="16"/>
          <w:color w:val="000000"/>
        </w:rPr>
        <w:t>.</w:t>
      </w:r>
    </w:p>
    <w:p>
      <w:pPr>
        <w:spacing w:after="0" w:line="52" w:lineRule="exact"/>
        <w:rPr>
          <w:sz w:val="20"/>
          <w:szCs w:val="20"/>
          <w:color w:val="auto"/>
        </w:rPr>
      </w:pPr>
    </w:p>
    <w:p>
      <w:pPr>
        <w:ind w:left="1040" w:right="240"/>
        <w:spacing w:after="0" w:line="253" w:lineRule="auto"/>
        <w:rPr>
          <w:sz w:val="20"/>
          <w:szCs w:val="20"/>
          <w:color w:val="auto"/>
        </w:rPr>
      </w:pPr>
      <w:r>
        <w:rPr>
          <w:rFonts w:ascii="Arial" w:cs="Arial" w:eastAsia="Arial" w:hAnsi="Arial"/>
          <w:sz w:val="16"/>
          <w:szCs w:val="16"/>
          <w:color w:val="auto"/>
        </w:rPr>
        <w:t xml:space="preserve">We are focused on </w:t>
      </w:r>
      <w:r>
        <w:rPr>
          <w:rFonts w:ascii="Arial" w:cs="Arial" w:eastAsia="Arial" w:hAnsi="Arial"/>
          <w:sz w:val="16"/>
          <w:szCs w:val="16"/>
          <w:b w:val="1"/>
          <w:bCs w:val="1"/>
          <w:color w:val="021496"/>
        </w:rPr>
        <w:t>improving returns on capital, as well as earnings margin</w:t>
      </w:r>
      <w:r>
        <w:rPr>
          <w:rFonts w:ascii="Arial" w:cs="Arial" w:eastAsia="Arial" w:hAnsi="Arial"/>
          <w:sz w:val="16"/>
          <w:szCs w:val="16"/>
          <w:color w:val="auto"/>
        </w:rPr>
        <w:t>, by enhancing our operational capabilities and making investments across the organization in growth capacity expansion, digital capabilities, automation, operations management, information technology, shared services, and talent. We also focus on continuous, effective cost management and productivity initiatives, including automation and productivity capital expenditures, supply chain optimization, e-commerce and digital go-to-market, restructuring, product complexity reduction, improved footprint utilization, strategic pricing and portfolio management.</w:t>
      </w:r>
    </w:p>
    <w:p>
      <w:pPr>
        <w:spacing w:after="0" w:line="140" w:lineRule="exact"/>
        <w:rPr>
          <w:sz w:val="20"/>
          <w:szCs w:val="20"/>
          <w:color w:val="auto"/>
        </w:rPr>
      </w:pPr>
    </w:p>
    <w:p>
      <w:pPr>
        <w:ind w:left="1040" w:right="420"/>
        <w:spacing w:after="0" w:line="262" w:lineRule="auto"/>
        <w:rPr>
          <w:sz w:val="20"/>
          <w:szCs w:val="20"/>
          <w:color w:val="auto"/>
        </w:rPr>
      </w:pPr>
      <w:r>
        <w:rPr>
          <w:rFonts w:ascii="Arial" w:cs="Arial" w:eastAsia="Arial" w:hAnsi="Arial"/>
          <w:sz w:val="16"/>
          <w:szCs w:val="16"/>
          <w:color w:val="auto"/>
        </w:rPr>
        <w:t xml:space="preserve">We aim to enhance shareholder returns through the </w:t>
      </w:r>
      <w:r>
        <w:rPr>
          <w:rFonts w:ascii="Arial" w:cs="Arial" w:eastAsia="Arial" w:hAnsi="Arial"/>
          <w:sz w:val="16"/>
          <w:szCs w:val="16"/>
          <w:b w:val="1"/>
          <w:bCs w:val="1"/>
          <w:color w:val="021496"/>
        </w:rPr>
        <w:t>productive re-deployment of free cash flow</w:t>
      </w:r>
      <w:r>
        <w:rPr>
          <w:rFonts w:ascii="Arial" w:cs="Arial" w:eastAsia="Arial" w:hAnsi="Arial"/>
          <w:sz w:val="16"/>
          <w:szCs w:val="16"/>
          <w:color w:val="auto"/>
        </w:rPr>
        <w:t xml:space="preserve"> toward high-return and high-confidence organic reinvestments, as well as through acquisitions that synergistically improve the quality of our portfolio, and targeted divestitures that allow us to focus resources on our core platforms.</w:t>
      </w:r>
    </w:p>
    <w:p>
      <w:pPr>
        <w:spacing w:after="0" w:line="173" w:lineRule="exact"/>
        <w:rPr>
          <w:sz w:val="20"/>
          <w:szCs w:val="20"/>
          <w:color w:val="auto"/>
        </w:rPr>
      </w:pPr>
    </w:p>
    <w:p>
      <w:pPr>
        <w:ind w:left="180" w:right="300"/>
        <w:spacing w:after="0" w:line="262" w:lineRule="auto"/>
        <w:rPr>
          <w:sz w:val="20"/>
          <w:szCs w:val="20"/>
          <w:color w:val="auto"/>
        </w:rPr>
      </w:pPr>
      <w:r>
        <w:rPr>
          <w:rFonts w:ascii="Arial" w:cs="Arial" w:eastAsia="Arial" w:hAnsi="Arial"/>
          <w:sz w:val="16"/>
          <w:szCs w:val="16"/>
          <w:color w:val="auto"/>
        </w:rPr>
        <w:t>We support achievement of these goals by aligning management compensation with strategic and financial objectives, actively managing our portfolio to increase enterprise scale, improving business mix over time, pursuing acquisitions that fit the characteristics of an ideal Dover business, and investing in talent development programs.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2025 Financial Results</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235"/>
        </w:trPr>
        <w:tc>
          <w:tcPr>
            <w:tcW w:w="654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GAAP</w:t>
            </w:r>
          </w:p>
        </w:tc>
        <w:tc>
          <w:tcPr>
            <w:tcW w:w="1180" w:type="dxa"/>
            <w:vAlign w:val="bottom"/>
          </w:tcPr>
          <w:p>
            <w:pPr>
              <w:jc w:val="right"/>
              <w:ind w:right="240"/>
              <w:spacing w:after="0"/>
              <w:rPr>
                <w:sz w:val="20"/>
                <w:szCs w:val="20"/>
                <w:color w:val="auto"/>
              </w:rPr>
            </w:pPr>
            <w:r>
              <w:rPr>
                <w:rFonts w:ascii="Arial" w:cs="Arial" w:eastAsia="Arial" w:hAnsi="Arial"/>
                <w:sz w:val="16"/>
                <w:szCs w:val="16"/>
                <w:b w:val="1"/>
                <w:bCs w:val="1"/>
                <w:color w:val="auto"/>
              </w:rPr>
              <w:t>FY2025</w:t>
            </w:r>
          </w:p>
        </w:tc>
        <w:tc>
          <w:tcPr>
            <w:tcW w:w="1180" w:type="dxa"/>
            <w:vAlign w:val="bottom"/>
          </w:tcPr>
          <w:p>
            <w:pPr>
              <w:jc w:val="right"/>
              <w:ind w:right="240"/>
              <w:spacing w:after="0"/>
              <w:rPr>
                <w:sz w:val="20"/>
                <w:szCs w:val="20"/>
                <w:color w:val="auto"/>
              </w:rPr>
            </w:pPr>
            <w:r>
              <w:rPr>
                <w:rFonts w:ascii="Arial" w:cs="Arial" w:eastAsia="Arial" w:hAnsi="Arial"/>
                <w:sz w:val="16"/>
                <w:szCs w:val="16"/>
                <w:b w:val="1"/>
                <w:bCs w:val="1"/>
                <w:color w:val="auto"/>
              </w:rPr>
              <w:t>FY2024</w:t>
            </w:r>
          </w:p>
        </w:tc>
        <w:tc>
          <w:tcPr>
            <w:tcW w:w="820" w:type="dxa"/>
            <w:vAlign w:val="bottom"/>
          </w:tcPr>
          <w:p>
            <w:pPr>
              <w:jc w:val="right"/>
              <w:ind w:right="100"/>
              <w:spacing w:after="0"/>
              <w:rPr>
                <w:sz w:val="20"/>
                <w:szCs w:val="20"/>
                <w:color w:val="auto"/>
              </w:rPr>
            </w:pPr>
            <w:r>
              <w:rPr>
                <w:rFonts w:ascii="Arial" w:cs="Arial" w:eastAsia="Arial" w:hAnsi="Arial"/>
                <w:sz w:val="16"/>
                <w:szCs w:val="16"/>
                <w:b w:val="1"/>
                <w:bCs w:val="1"/>
                <w:color w:val="auto"/>
              </w:rPr>
              <w:t xml:space="preserve">*   </w:t>
            </w:r>
          </w:p>
        </w:tc>
      </w:tr>
      <w:tr>
        <w:trPr>
          <w:trHeight w:val="34"/>
        </w:trPr>
        <w:tc>
          <w:tcPr>
            <w:tcW w:w="200" w:type="dxa"/>
            <w:vAlign w:val="bottom"/>
            <w:tcBorders>
              <w:bottom w:val="single" w:sz="8" w:color="021496"/>
            </w:tcBorders>
          </w:tcPr>
          <w:p>
            <w:pPr>
              <w:spacing w:after="0"/>
              <w:rPr>
                <w:sz w:val="2"/>
                <w:szCs w:val="2"/>
                <w:color w:val="auto"/>
              </w:rPr>
            </w:pPr>
          </w:p>
        </w:tc>
        <w:tc>
          <w:tcPr>
            <w:tcW w:w="6340" w:type="dxa"/>
            <w:vAlign w:val="bottom"/>
            <w:tcBorders>
              <w:bottom w:val="single" w:sz="8" w:color="021496"/>
            </w:tcBorders>
          </w:tcPr>
          <w:p>
            <w:pPr>
              <w:spacing w:after="0"/>
              <w:rPr>
                <w:sz w:val="2"/>
                <w:szCs w:val="2"/>
                <w:color w:val="auto"/>
              </w:rPr>
            </w:pPr>
          </w:p>
        </w:tc>
        <w:tc>
          <w:tcPr>
            <w:tcW w:w="1180" w:type="dxa"/>
            <w:vAlign w:val="bottom"/>
            <w:tcBorders>
              <w:bottom w:val="single" w:sz="8" w:color="021496"/>
            </w:tcBorders>
          </w:tcPr>
          <w:p>
            <w:pPr>
              <w:spacing w:after="0"/>
              <w:rPr>
                <w:sz w:val="2"/>
                <w:szCs w:val="2"/>
                <w:color w:val="auto"/>
              </w:rPr>
            </w:pPr>
          </w:p>
        </w:tc>
        <w:tc>
          <w:tcPr>
            <w:tcW w:w="1180" w:type="dxa"/>
            <w:vAlign w:val="bottom"/>
            <w:tcBorders>
              <w:bottom w:val="single" w:sz="8" w:color="021496"/>
            </w:tcBorders>
          </w:tcPr>
          <w:p>
            <w:pPr>
              <w:spacing w:after="0"/>
              <w:rPr>
                <w:sz w:val="2"/>
                <w:szCs w:val="2"/>
                <w:color w:val="auto"/>
              </w:rPr>
            </w:pPr>
          </w:p>
        </w:tc>
        <w:tc>
          <w:tcPr>
            <w:tcW w:w="820" w:type="dxa"/>
            <w:vAlign w:val="bottom"/>
            <w:tcBorders>
              <w:bottom w:val="single" w:sz="8" w:color="021496"/>
            </w:tcBorders>
          </w:tcPr>
          <w:p>
            <w:pPr>
              <w:spacing w:after="0"/>
              <w:rPr>
                <w:sz w:val="2"/>
                <w:szCs w:val="2"/>
                <w:color w:val="auto"/>
              </w:rPr>
            </w:pPr>
          </w:p>
        </w:tc>
      </w:tr>
      <w:tr>
        <w:trPr>
          <w:trHeight w:val="24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tcPr>
          <w:p>
            <w:pPr>
              <w:ind w:left="60"/>
              <w:spacing w:after="0"/>
              <w:rPr>
                <w:sz w:val="20"/>
                <w:szCs w:val="20"/>
                <w:color w:val="auto"/>
              </w:rPr>
            </w:pPr>
            <w:r>
              <w:rPr>
                <w:rFonts w:ascii="Arial" w:cs="Arial" w:eastAsia="Arial" w:hAnsi="Arial"/>
                <w:sz w:val="16"/>
                <w:szCs w:val="16"/>
                <w:color w:val="auto"/>
              </w:rPr>
              <w:t>   Revenue ($M)</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8,093</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7,746</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57"/>
        </w:trPr>
        <w:tc>
          <w:tcPr>
            <w:tcW w:w="200" w:type="dxa"/>
            <w:vAlign w:val="bottom"/>
          </w:tcPr>
          <w:p>
            <w:pPr>
              <w:spacing w:after="0"/>
              <w:rPr>
                <w:sz w:val="4"/>
                <w:szCs w:val="4"/>
                <w:color w:val="auto"/>
              </w:rPr>
            </w:pPr>
          </w:p>
        </w:tc>
        <w:tc>
          <w:tcPr>
            <w:tcW w:w="6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1"/>
        </w:trPr>
        <w:tc>
          <w:tcPr>
            <w:tcW w:w="20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6"/>
                <w:szCs w:val="16"/>
                <w:color w:val="auto"/>
              </w:rPr>
              <w:t>   Earnings from continuing operations ($M)</w:t>
            </w:r>
          </w:p>
        </w:tc>
        <w:tc>
          <w:tcPr>
            <w:tcW w:w="1180" w:type="dxa"/>
            <w:vAlign w:val="bottom"/>
            <w:tcBorders>
              <w:bottom w:val="single" w:sz="8" w:color="D8D8D8"/>
            </w:tcBorders>
            <w:shd w:val="clear" w:color="auto" w:fill="D8D8D8"/>
          </w:tcPr>
          <w:p>
            <w:pPr>
              <w:jc w:val="right"/>
              <w:ind w:right="240"/>
              <w:spacing w:after="0"/>
              <w:rPr>
                <w:sz w:val="20"/>
                <w:szCs w:val="20"/>
                <w:color w:val="auto"/>
              </w:rPr>
            </w:pPr>
            <w:r>
              <w:rPr>
                <w:rFonts w:ascii="Arial" w:cs="Arial" w:eastAsia="Arial" w:hAnsi="Arial"/>
                <w:sz w:val="16"/>
                <w:szCs w:val="16"/>
                <w:color w:val="auto"/>
              </w:rPr>
              <w:t>1,097</w:t>
            </w:r>
          </w:p>
        </w:tc>
        <w:tc>
          <w:tcPr>
            <w:tcW w:w="118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1,400</w:t>
            </w:r>
          </w:p>
        </w:tc>
        <w:tc>
          <w:tcPr>
            <w:tcW w:w="820" w:type="dxa"/>
            <w:vAlign w:val="bottom"/>
            <w:tcBorders>
              <w:bottom w:val="single" w:sz="8" w:color="D8D8D8"/>
            </w:tcBorders>
            <w:shd w:val="clear" w:color="auto" w:fill="D8D8D8"/>
          </w:tcPr>
          <w:p>
            <w:pPr>
              <w:jc w:val="right"/>
              <w:ind w:right="20"/>
              <w:spacing w:after="0"/>
              <w:rPr>
                <w:sz w:val="20"/>
                <w:szCs w:val="20"/>
                <w:color w:val="auto"/>
              </w:rPr>
            </w:pPr>
            <w:r>
              <w:rPr>
                <w:rFonts w:ascii="Arial" w:cs="Arial" w:eastAsia="Arial" w:hAnsi="Arial"/>
                <w:sz w:val="16"/>
                <w:szCs w:val="16"/>
                <w:color w:val="auto"/>
              </w:rPr>
              <w:t>(22)%</w:t>
            </w:r>
          </w:p>
        </w:tc>
      </w:tr>
      <w:tr>
        <w:trPr>
          <w:trHeight w:val="26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tcPr>
          <w:p>
            <w:pPr>
              <w:ind w:left="60"/>
              <w:spacing w:after="0"/>
              <w:rPr>
                <w:sz w:val="20"/>
                <w:szCs w:val="20"/>
                <w:color w:val="auto"/>
              </w:rPr>
            </w:pPr>
            <w:r>
              <w:rPr>
                <w:rFonts w:ascii="Arial" w:cs="Arial" w:eastAsia="Arial" w:hAnsi="Arial"/>
                <w:sz w:val="16"/>
                <w:szCs w:val="16"/>
                <w:color w:val="auto"/>
              </w:rPr>
              <w:t>   Diluted EPS from continuing operations ($)</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7.97</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10.09</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57"/>
        </w:trPr>
        <w:tc>
          <w:tcPr>
            <w:tcW w:w="6540" w:type="dxa"/>
            <w:vAlign w:val="bottom"/>
            <w:tcBorders>
              <w:bottom w:val="single" w:sz="8" w:color="021496"/>
            </w:tcBorders>
            <w:gridSpan w:val="2"/>
          </w:tcPr>
          <w:p>
            <w:pPr>
              <w:spacing w:after="0"/>
              <w:rPr>
                <w:sz w:val="4"/>
                <w:szCs w:val="4"/>
                <w:color w:val="auto"/>
              </w:rPr>
            </w:pPr>
          </w:p>
        </w:tc>
        <w:tc>
          <w:tcPr>
            <w:tcW w:w="1180" w:type="dxa"/>
            <w:vAlign w:val="bottom"/>
            <w:tcBorders>
              <w:bottom w:val="single" w:sz="8" w:color="021496"/>
            </w:tcBorders>
          </w:tcPr>
          <w:p>
            <w:pPr>
              <w:spacing w:after="0"/>
              <w:rPr>
                <w:sz w:val="4"/>
                <w:szCs w:val="4"/>
                <w:color w:val="auto"/>
              </w:rPr>
            </w:pPr>
          </w:p>
        </w:tc>
        <w:tc>
          <w:tcPr>
            <w:tcW w:w="1180" w:type="dxa"/>
            <w:vAlign w:val="bottom"/>
            <w:tcBorders>
              <w:bottom w:val="single" w:sz="8" w:color="021496"/>
            </w:tcBorders>
          </w:tcPr>
          <w:p>
            <w:pPr>
              <w:spacing w:after="0"/>
              <w:rPr>
                <w:sz w:val="4"/>
                <w:szCs w:val="4"/>
                <w:color w:val="auto"/>
              </w:rPr>
            </w:pPr>
          </w:p>
        </w:tc>
        <w:tc>
          <w:tcPr>
            <w:tcW w:w="820" w:type="dxa"/>
            <w:vAlign w:val="bottom"/>
            <w:tcBorders>
              <w:bottom w:val="single" w:sz="8" w:color="021496"/>
            </w:tcBorders>
          </w:tcPr>
          <w:p>
            <w:pPr>
              <w:spacing w:after="0"/>
              <w:rPr>
                <w:sz w:val="4"/>
                <w:szCs w:val="4"/>
                <w:color w:val="auto"/>
              </w:rPr>
            </w:pPr>
          </w:p>
        </w:tc>
      </w:tr>
      <w:tr>
        <w:trPr>
          <w:trHeight w:val="274"/>
        </w:trPr>
        <w:tc>
          <w:tcPr>
            <w:tcW w:w="6540" w:type="dxa"/>
            <w:vAlign w:val="bottom"/>
            <w:tcBorders>
              <w:bottom w:val="single" w:sz="8" w:color="021496"/>
            </w:tcBorders>
            <w:gridSpan w:val="2"/>
          </w:tcPr>
          <w:p>
            <w:pPr>
              <w:ind w:left="100"/>
              <w:spacing w:after="0" w:line="274"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4"/>
                <w:szCs w:val="24"/>
                <w:b w:val="1"/>
                <w:bCs w:val="1"/>
                <w:color w:val="auto"/>
                <w:vertAlign w:val="superscript"/>
              </w:rPr>
              <w:t>(1)</w:t>
            </w:r>
          </w:p>
        </w:tc>
        <w:tc>
          <w:tcPr>
            <w:tcW w:w="1180" w:type="dxa"/>
            <w:vAlign w:val="bottom"/>
            <w:tcBorders>
              <w:bottom w:val="single" w:sz="8" w:color="021496"/>
            </w:tcBorders>
          </w:tcPr>
          <w:p>
            <w:pPr>
              <w:spacing w:after="0"/>
              <w:rPr>
                <w:sz w:val="23"/>
                <w:szCs w:val="23"/>
                <w:color w:val="auto"/>
              </w:rPr>
            </w:pPr>
          </w:p>
        </w:tc>
        <w:tc>
          <w:tcPr>
            <w:tcW w:w="1180" w:type="dxa"/>
            <w:vAlign w:val="bottom"/>
            <w:tcBorders>
              <w:bottom w:val="single" w:sz="8" w:color="021496"/>
            </w:tcBorders>
          </w:tcPr>
          <w:p>
            <w:pPr>
              <w:spacing w:after="0"/>
              <w:rPr>
                <w:sz w:val="23"/>
                <w:szCs w:val="23"/>
                <w:color w:val="auto"/>
              </w:rPr>
            </w:pPr>
          </w:p>
        </w:tc>
        <w:tc>
          <w:tcPr>
            <w:tcW w:w="820" w:type="dxa"/>
            <w:vAlign w:val="bottom"/>
            <w:tcBorders>
              <w:bottom w:val="single" w:sz="8" w:color="021496"/>
            </w:tcBorders>
          </w:tcPr>
          <w:p>
            <w:pPr>
              <w:spacing w:after="0"/>
              <w:rPr>
                <w:sz w:val="23"/>
                <w:szCs w:val="23"/>
                <w:color w:val="auto"/>
              </w:rPr>
            </w:pPr>
          </w:p>
        </w:tc>
      </w:tr>
      <w:tr>
        <w:trPr>
          <w:trHeight w:val="24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tcPr>
          <w:p>
            <w:pPr>
              <w:ind w:left="60"/>
              <w:spacing w:after="0"/>
              <w:rPr>
                <w:sz w:val="20"/>
                <w:szCs w:val="20"/>
                <w:color w:val="auto"/>
              </w:rPr>
            </w:pPr>
            <w:r>
              <w:rPr>
                <w:rFonts w:ascii="Arial" w:cs="Arial" w:eastAsia="Arial" w:hAnsi="Arial"/>
                <w:sz w:val="16"/>
                <w:szCs w:val="16"/>
                <w:color w:val="auto"/>
              </w:rPr>
              <w:t>   Organic revenue change</w:t>
            </w: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57"/>
        </w:trPr>
        <w:tc>
          <w:tcPr>
            <w:tcW w:w="200" w:type="dxa"/>
            <w:vAlign w:val="bottom"/>
          </w:tcPr>
          <w:p>
            <w:pPr>
              <w:spacing w:after="0"/>
              <w:rPr>
                <w:sz w:val="4"/>
                <w:szCs w:val="4"/>
                <w:color w:val="auto"/>
              </w:rPr>
            </w:pPr>
          </w:p>
        </w:tc>
        <w:tc>
          <w:tcPr>
            <w:tcW w:w="6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1"/>
        </w:trPr>
        <w:tc>
          <w:tcPr>
            <w:tcW w:w="200" w:type="dxa"/>
            <w:vAlign w:val="bottom"/>
            <w:shd w:val="clear" w:color="auto" w:fill="D8D8D8"/>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Adjusted earnings from continuing operations ($M)</w:t>
            </w:r>
            <w:r>
              <w:rPr>
                <w:rFonts w:ascii="Arial" w:cs="Arial" w:eastAsia="Arial" w:hAnsi="Arial"/>
                <w:sz w:val="24"/>
                <w:szCs w:val="24"/>
                <w:color w:val="auto"/>
                <w:vertAlign w:val="superscript"/>
              </w:rPr>
              <w:t>(2)</w:t>
            </w:r>
          </w:p>
        </w:tc>
        <w:tc>
          <w:tcPr>
            <w:tcW w:w="118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1,324</w:t>
            </w:r>
          </w:p>
        </w:tc>
        <w:tc>
          <w:tcPr>
            <w:tcW w:w="1180" w:type="dxa"/>
            <w:vAlign w:val="bottom"/>
            <w:shd w:val="clear" w:color="auto" w:fill="D8D8D8"/>
          </w:tcPr>
          <w:p>
            <w:pPr>
              <w:jc w:val="right"/>
              <w:ind w:right="220"/>
              <w:spacing w:after="0"/>
              <w:rPr>
                <w:sz w:val="20"/>
                <w:szCs w:val="20"/>
                <w:color w:val="auto"/>
              </w:rPr>
            </w:pPr>
            <w:r>
              <w:rPr>
                <w:rFonts w:ascii="Arial" w:cs="Arial" w:eastAsia="Arial" w:hAnsi="Arial"/>
                <w:sz w:val="16"/>
                <w:szCs w:val="16"/>
                <w:color w:val="auto"/>
              </w:rPr>
              <w:t>1,150</w:t>
            </w:r>
          </w:p>
        </w:tc>
        <w:tc>
          <w:tcPr>
            <w:tcW w:w="82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15%</w:t>
            </w:r>
          </w:p>
        </w:tc>
      </w:tr>
      <w:tr>
        <w:trPr>
          <w:trHeight w:val="26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340" w:type="dxa"/>
            <w:vAlign w:val="bottom"/>
          </w:tcPr>
          <w:p>
            <w:pPr>
              <w:ind w:left="60"/>
              <w:spacing w:after="0"/>
              <w:rPr>
                <w:sz w:val="20"/>
                <w:szCs w:val="20"/>
                <w:color w:val="auto"/>
              </w:rPr>
            </w:pPr>
            <w:r>
              <w:rPr>
                <w:rFonts w:ascii="Arial" w:cs="Arial" w:eastAsia="Arial" w:hAnsi="Arial"/>
                <w:sz w:val="16"/>
                <w:szCs w:val="16"/>
                <w:color w:val="auto"/>
              </w:rPr>
              <w:t>  Adjusted diluted EPS from continuing operations ($)</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9.61</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8.29</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w:t>
            </w:r>
          </w:p>
        </w:tc>
      </w:tr>
    </w:tbl>
    <w:p>
      <w:pPr>
        <w:spacing w:after="0" w:line="95" w:lineRule="exact"/>
        <w:rPr>
          <w:sz w:val="20"/>
          <w:szCs w:val="20"/>
          <w:color w:val="auto"/>
        </w:rPr>
      </w:pPr>
    </w:p>
    <w:p>
      <w:pPr>
        <w:ind w:left="900" w:hanging="301"/>
        <w:spacing w:after="0"/>
        <w:tabs>
          <w:tab w:leader="none" w:pos="90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Definitions and reconciliations of non-GAAP measures are included at the end of this proxy statement.</w:t>
      </w:r>
    </w:p>
    <w:p>
      <w:pPr>
        <w:spacing w:after="0" w:line="35" w:lineRule="exact"/>
        <w:rPr>
          <w:rFonts w:ascii="Arial" w:cs="Arial" w:eastAsia="Arial" w:hAnsi="Arial"/>
          <w:sz w:val="12"/>
          <w:szCs w:val="12"/>
          <w:i w:val="1"/>
          <w:iCs w:val="1"/>
          <w:color w:val="auto"/>
        </w:rPr>
      </w:pPr>
    </w:p>
    <w:p>
      <w:pPr>
        <w:ind w:left="900" w:right="720" w:hanging="301"/>
        <w:spacing w:after="0" w:line="267" w:lineRule="auto"/>
        <w:tabs>
          <w:tab w:leader="none" w:pos="90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Full year 2025 and 2024 adjusted earnings from continuing operations exclude after-tax purchase accounting expenses, restructuring and other costs, and (gain) loss on dispositions.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Totals, change and per share data may be impacted by rounding.</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ectPr>
          <w:pgSz w:w="11900" w:h="16838" w:orient="portrait"/>
          <w:cols w:equalWidth="0" w:num="1">
            <w:col w:w="10920"/>
          </w:cols>
          <w:pgMar w:left="480" w:top="299" w:right="49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4997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499745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2025 Performance Overview</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8140" w:type="dxa"/>
            <w:vAlign w:val="bottom"/>
          </w:tcPr>
          <w:p>
            <w:pPr>
              <w:ind w:left="260"/>
              <w:spacing w:after="0"/>
              <w:rPr>
                <w:sz w:val="20"/>
                <w:szCs w:val="20"/>
                <w:color w:val="auto"/>
              </w:rPr>
            </w:pPr>
            <w:r>
              <w:rPr>
                <w:rFonts w:ascii="Arial" w:cs="Arial" w:eastAsia="Arial" w:hAnsi="Arial"/>
                <w:sz w:val="16"/>
                <w:szCs w:val="16"/>
                <w:color w:val="auto"/>
              </w:rPr>
              <w:t xml:space="preserve">•  We delivered </w:t>
            </w:r>
            <w:r>
              <w:rPr>
                <w:rFonts w:ascii="Arial" w:cs="Arial" w:eastAsia="Arial" w:hAnsi="Arial"/>
                <w:sz w:val="16"/>
                <w:szCs w:val="16"/>
                <w:b w:val="1"/>
                <w:bCs w:val="1"/>
                <w:color w:val="021496"/>
              </w:rPr>
              <w:t>16% adjusted EPS growth in 2025</w:t>
            </w:r>
            <w:r>
              <w:rPr>
                <w:rFonts w:ascii="Arial" w:cs="Arial" w:eastAsia="Arial" w:hAnsi="Arial"/>
                <w:sz w:val="16"/>
                <w:szCs w:val="16"/>
                <w:color w:val="auto"/>
              </w:rPr>
              <w:t xml:space="preserve"> through a combination of growth in organic revenue,</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140" w:type="dxa"/>
            <w:vAlign w:val="bottom"/>
          </w:tcPr>
          <w:p>
            <w:pPr>
              <w:ind w:left="480"/>
              <w:spacing w:after="0"/>
              <w:rPr>
                <w:sz w:val="20"/>
                <w:szCs w:val="20"/>
                <w:color w:val="auto"/>
              </w:rPr>
            </w:pPr>
            <w:r>
              <w:rPr>
                <w:rFonts w:ascii="Arial" w:cs="Arial" w:eastAsia="Arial" w:hAnsi="Arial"/>
                <w:sz w:val="16"/>
                <w:szCs w:val="16"/>
                <w:color w:val="auto"/>
              </w:rPr>
              <w:t>strong margin improvement, and value-creating capital deployment. This was driven by favorable trends in</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140" w:type="dxa"/>
            <w:vAlign w:val="bottom"/>
          </w:tcPr>
          <w:p>
            <w:pPr>
              <w:ind w:left="480"/>
              <w:spacing w:after="0"/>
              <w:rPr>
                <w:sz w:val="20"/>
                <w:szCs w:val="20"/>
                <w:color w:val="auto"/>
              </w:rPr>
            </w:pPr>
            <w:r>
              <w:rPr>
                <w:rFonts w:ascii="Arial" w:cs="Arial" w:eastAsia="Arial" w:hAnsi="Arial"/>
                <w:sz w:val="16"/>
                <w:szCs w:val="16"/>
                <w:color w:val="auto"/>
              </w:rPr>
              <w:t>secular growth end-markets, favorable price-cost dynamics and portfolio mix, and our continued focus on</w:t>
            </w:r>
          </w:p>
        </w:tc>
        <w:tc>
          <w:tcPr>
            <w:tcW w:w="0" w:type="dxa"/>
            <w:vAlign w:val="bottom"/>
          </w:tcPr>
          <w:p>
            <w:pPr>
              <w:spacing w:after="0"/>
              <w:rPr>
                <w:sz w:val="1"/>
                <w:szCs w:val="1"/>
                <w:color w:val="auto"/>
              </w:rPr>
            </w:pPr>
          </w:p>
        </w:tc>
      </w:tr>
      <w:tr>
        <w:trPr>
          <w:trHeight w:val="211"/>
        </w:trPr>
        <w:tc>
          <w:tcPr>
            <w:tcW w:w="242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Strong Operational</w:t>
            </w:r>
          </w:p>
        </w:tc>
        <w:tc>
          <w:tcPr>
            <w:tcW w:w="8140" w:type="dxa"/>
            <w:vAlign w:val="bottom"/>
          </w:tcPr>
          <w:p>
            <w:pPr>
              <w:ind w:left="480"/>
              <w:spacing w:after="0"/>
              <w:rPr>
                <w:sz w:val="20"/>
                <w:szCs w:val="20"/>
                <w:color w:val="auto"/>
              </w:rPr>
            </w:pPr>
            <w:r>
              <w:rPr>
                <w:rFonts w:ascii="Arial" w:cs="Arial" w:eastAsia="Arial" w:hAnsi="Arial"/>
                <w:sz w:val="16"/>
                <w:szCs w:val="16"/>
                <w:color w:val="auto"/>
              </w:rPr>
              <w:t>operational excellence and productivity initiatives.</w:t>
            </w:r>
          </w:p>
        </w:tc>
        <w:tc>
          <w:tcPr>
            <w:tcW w:w="0" w:type="dxa"/>
            <w:vAlign w:val="bottom"/>
          </w:tcPr>
          <w:p>
            <w:pPr>
              <w:spacing w:after="0"/>
              <w:rPr>
                <w:sz w:val="1"/>
                <w:szCs w:val="1"/>
                <w:color w:val="auto"/>
              </w:rPr>
            </w:pPr>
          </w:p>
        </w:tc>
      </w:tr>
      <w:tr>
        <w:trPr>
          <w:trHeight w:val="163"/>
        </w:trPr>
        <w:tc>
          <w:tcPr>
            <w:tcW w:w="2420" w:type="dxa"/>
            <w:vAlign w:val="bottom"/>
            <w:vMerge w:val="continue"/>
          </w:tcPr>
          <w:p>
            <w:pPr>
              <w:spacing w:after="0"/>
              <w:rPr>
                <w:sz w:val="14"/>
                <w:szCs w:val="14"/>
                <w:color w:val="auto"/>
              </w:rPr>
            </w:pPr>
          </w:p>
        </w:tc>
        <w:tc>
          <w:tcPr>
            <w:tcW w:w="8140" w:type="dxa"/>
            <w:vAlign w:val="bottom"/>
            <w:vMerge w:val="restart"/>
          </w:tcPr>
          <w:p>
            <w:pPr>
              <w:ind w:left="260"/>
              <w:spacing w:after="0"/>
              <w:rPr>
                <w:sz w:val="20"/>
                <w:szCs w:val="20"/>
                <w:color w:val="auto"/>
              </w:rPr>
            </w:pPr>
            <w:r>
              <w:rPr>
                <w:rFonts w:ascii="Arial" w:cs="Arial" w:eastAsia="Arial" w:hAnsi="Arial"/>
                <w:sz w:val="16"/>
                <w:szCs w:val="16"/>
                <w:color w:val="auto"/>
              </w:rPr>
              <w:t>•  We continued to build upon our four enterprise capabilities in support of margin expansion initiatives by</w:t>
            </w:r>
          </w:p>
        </w:tc>
        <w:tc>
          <w:tcPr>
            <w:tcW w:w="0" w:type="dxa"/>
            <w:vAlign w:val="bottom"/>
          </w:tcPr>
          <w:p>
            <w:pPr>
              <w:spacing w:after="0"/>
              <w:rPr>
                <w:sz w:val="1"/>
                <w:szCs w:val="1"/>
                <w:color w:val="auto"/>
              </w:rPr>
            </w:pPr>
          </w:p>
        </w:tc>
      </w:tr>
      <w:tr>
        <w:trPr>
          <w:trHeight w:val="80"/>
        </w:trPr>
        <w:tc>
          <w:tcPr>
            <w:tcW w:w="2420" w:type="dxa"/>
            <w:vAlign w:val="bottom"/>
            <w:vMerge w:val="restart"/>
          </w:tcPr>
          <w:p>
            <w:pPr>
              <w:jc w:val="center"/>
              <w:ind w:left="260"/>
              <w:spacing w:after="0"/>
              <w:rPr>
                <w:sz w:val="20"/>
                <w:szCs w:val="20"/>
                <w:color w:val="auto"/>
              </w:rPr>
            </w:pPr>
            <w:r>
              <w:rPr>
                <w:rFonts w:ascii="Arial" w:cs="Arial" w:eastAsia="Arial" w:hAnsi="Arial"/>
                <w:sz w:val="16"/>
                <w:szCs w:val="16"/>
                <w:b w:val="1"/>
                <w:bCs w:val="1"/>
                <w:color w:val="auto"/>
                <w:w w:val="99"/>
              </w:rPr>
              <w:t>Execution &amp;</w:t>
            </w:r>
          </w:p>
        </w:tc>
        <w:tc>
          <w:tcPr>
            <w:tcW w:w="8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140" w:type="dxa"/>
            <w:vAlign w:val="bottom"/>
            <w:vMerge w:val="restart"/>
          </w:tcPr>
          <w:p>
            <w:pPr>
              <w:ind w:left="480"/>
              <w:spacing w:after="0"/>
              <w:rPr>
                <w:sz w:val="20"/>
                <w:szCs w:val="20"/>
                <w:color w:val="auto"/>
              </w:rPr>
            </w:pPr>
            <w:r>
              <w:rPr>
                <w:rFonts w:ascii="Arial" w:cs="Arial" w:eastAsia="Arial" w:hAnsi="Arial"/>
                <w:sz w:val="16"/>
                <w:szCs w:val="16"/>
                <w:color w:val="auto"/>
              </w:rPr>
              <w:t xml:space="preserve">(1) leveraging our </w:t>
            </w:r>
            <w:r>
              <w:rPr>
                <w:rFonts w:ascii="Arial" w:cs="Arial" w:eastAsia="Arial" w:hAnsi="Arial"/>
                <w:sz w:val="16"/>
                <w:szCs w:val="16"/>
                <w:b w:val="1"/>
                <w:bCs w:val="1"/>
                <w:color w:val="021496"/>
              </w:rPr>
              <w:t>Digital Labs team</w:t>
            </w:r>
            <w:r>
              <w:rPr>
                <w:rFonts w:ascii="Arial" w:cs="Arial" w:eastAsia="Arial" w:hAnsi="Arial"/>
                <w:sz w:val="16"/>
                <w:szCs w:val="16"/>
                <w:color w:val="auto"/>
              </w:rPr>
              <w:t xml:space="preserve"> to improve our internal and market-facing digital capabilities,</w:t>
            </w:r>
          </w:p>
        </w:tc>
        <w:tc>
          <w:tcPr>
            <w:tcW w:w="0" w:type="dxa"/>
            <w:vAlign w:val="bottom"/>
          </w:tcPr>
          <w:p>
            <w:pPr>
              <w:spacing w:after="0"/>
              <w:rPr>
                <w:sz w:val="1"/>
                <w:szCs w:val="1"/>
                <w:color w:val="auto"/>
              </w:rPr>
            </w:pPr>
          </w:p>
        </w:tc>
      </w:tr>
      <w:tr>
        <w:trPr>
          <w:trHeight w:val="80"/>
        </w:trPr>
        <w:tc>
          <w:tcPr>
            <w:tcW w:w="2420" w:type="dxa"/>
            <w:vAlign w:val="bottom"/>
            <w:vMerge w:val="restart"/>
          </w:tcPr>
          <w:p>
            <w:pPr>
              <w:jc w:val="center"/>
              <w:ind w:left="260"/>
              <w:spacing w:after="0"/>
              <w:rPr>
                <w:sz w:val="20"/>
                <w:szCs w:val="20"/>
                <w:color w:val="auto"/>
              </w:rPr>
            </w:pPr>
            <w:r>
              <w:rPr>
                <w:rFonts w:ascii="Arial" w:cs="Arial" w:eastAsia="Arial" w:hAnsi="Arial"/>
                <w:sz w:val="16"/>
                <w:szCs w:val="16"/>
                <w:b w:val="1"/>
                <w:bCs w:val="1"/>
                <w:color w:val="auto"/>
                <w:w w:val="99"/>
              </w:rPr>
              <w:t>Profitability</w:t>
            </w:r>
          </w:p>
        </w:tc>
        <w:tc>
          <w:tcPr>
            <w:tcW w:w="8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420" w:type="dxa"/>
            <w:vAlign w:val="bottom"/>
            <w:vMerge w:val="continue"/>
          </w:tcPr>
          <w:p>
            <w:pPr>
              <w:spacing w:after="0"/>
              <w:rPr>
                <w:sz w:val="12"/>
                <w:szCs w:val="12"/>
                <w:color w:val="auto"/>
              </w:rPr>
            </w:pPr>
          </w:p>
        </w:tc>
        <w:tc>
          <w:tcPr>
            <w:tcW w:w="8140" w:type="dxa"/>
            <w:vAlign w:val="bottom"/>
            <w:vMerge w:val="restart"/>
          </w:tcPr>
          <w:p>
            <w:pPr>
              <w:ind w:left="480"/>
              <w:spacing w:after="0"/>
              <w:rPr>
                <w:sz w:val="20"/>
                <w:szCs w:val="20"/>
                <w:color w:val="auto"/>
              </w:rPr>
            </w:pPr>
            <w:r>
              <w:rPr>
                <w:rFonts w:ascii="Arial" w:cs="Arial" w:eastAsia="Arial" w:hAnsi="Arial"/>
                <w:sz w:val="16"/>
                <w:szCs w:val="16"/>
                <w:color w:val="auto"/>
              </w:rPr>
              <w:t xml:space="preserve">(2) improving utilization and optimization of our manufacturing footprint through </w:t>
            </w:r>
            <w:r>
              <w:rPr>
                <w:rFonts w:ascii="Arial" w:cs="Arial" w:eastAsia="Arial" w:hAnsi="Arial"/>
                <w:sz w:val="16"/>
                <w:szCs w:val="16"/>
                <w:b w:val="1"/>
                <w:bCs w:val="1"/>
                <w:color w:val="021496"/>
              </w:rPr>
              <w:t>centralized resources</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4"/>
                <w:szCs w:val="4"/>
                <w:color w:val="auto"/>
              </w:rPr>
            </w:pPr>
          </w:p>
        </w:tc>
        <w:tc>
          <w:tcPr>
            <w:tcW w:w="8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8140" w:type="dxa"/>
            <w:vAlign w:val="bottom"/>
          </w:tcPr>
          <w:p>
            <w:pPr>
              <w:ind w:left="480"/>
              <w:spacing w:after="0"/>
              <w:rPr>
                <w:sz w:val="20"/>
                <w:szCs w:val="20"/>
                <w:color w:val="auto"/>
              </w:rPr>
            </w:pPr>
            <w:r>
              <w:rPr>
                <w:rFonts w:ascii="Arial" w:cs="Arial" w:eastAsia="Arial" w:hAnsi="Arial"/>
                <w:sz w:val="16"/>
                <w:szCs w:val="16"/>
                <w:b w:val="1"/>
                <w:bCs w:val="1"/>
                <w:color w:val="021496"/>
              </w:rPr>
              <w:t>and investment</w:t>
            </w:r>
            <w:r>
              <w:rPr>
                <w:rFonts w:ascii="Arial" w:cs="Arial" w:eastAsia="Arial" w:hAnsi="Arial"/>
                <w:sz w:val="16"/>
                <w:szCs w:val="16"/>
                <w:color w:val="000000"/>
              </w:rPr>
              <w:t>, (3) driving further centralized shared services under</w:t>
            </w:r>
            <w:r>
              <w:rPr>
                <w:rFonts w:ascii="Arial" w:cs="Arial" w:eastAsia="Arial" w:hAnsi="Arial"/>
                <w:sz w:val="16"/>
                <w:szCs w:val="16"/>
                <w:b w:val="1"/>
                <w:bCs w:val="1"/>
                <w:color w:val="021496"/>
              </w:rPr>
              <w:t xml:space="preserve"> Dover Business Services</w:t>
            </w:r>
            <w:r>
              <w:rPr>
                <w:rFonts w:ascii="Arial" w:cs="Arial" w:eastAsia="Arial" w:hAnsi="Arial"/>
                <w:sz w:val="16"/>
                <w:szCs w:val="16"/>
                <w:color w:val="000000"/>
              </w:rPr>
              <w:t>, and</w:t>
            </w: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8140" w:type="dxa"/>
            <w:vAlign w:val="bottom"/>
          </w:tcPr>
          <w:p>
            <w:pPr>
              <w:ind w:left="480"/>
              <w:spacing w:after="0"/>
              <w:rPr>
                <w:sz w:val="20"/>
                <w:szCs w:val="20"/>
                <w:color w:val="auto"/>
              </w:rPr>
            </w:pPr>
            <w:r>
              <w:rPr>
                <w:rFonts w:ascii="Arial" w:cs="Arial" w:eastAsia="Arial" w:hAnsi="Arial"/>
                <w:sz w:val="16"/>
                <w:szCs w:val="16"/>
                <w:color w:val="auto"/>
              </w:rPr>
              <w:t xml:space="preserve">(4) investing in our </w:t>
            </w:r>
            <w:r>
              <w:rPr>
                <w:rFonts w:ascii="Arial" w:cs="Arial" w:eastAsia="Arial" w:hAnsi="Arial"/>
                <w:sz w:val="16"/>
                <w:szCs w:val="16"/>
                <w:b w:val="1"/>
                <w:bCs w:val="1"/>
                <w:color w:val="021496"/>
              </w:rPr>
              <w:t>India Innovation Center</w:t>
            </w:r>
            <w:r>
              <w:rPr>
                <w:rFonts w:ascii="Arial" w:cs="Arial" w:eastAsia="Arial" w:hAnsi="Arial"/>
                <w:sz w:val="16"/>
                <w:szCs w:val="16"/>
                <w:color w:val="auto"/>
              </w:rPr>
              <w:t xml:space="preserve"> shared services with a focus on engineering capabilities.</w:t>
            </w:r>
          </w:p>
        </w:tc>
        <w:tc>
          <w:tcPr>
            <w:tcW w:w="0" w:type="dxa"/>
            <w:vAlign w:val="bottom"/>
          </w:tcPr>
          <w:p>
            <w:pPr>
              <w:spacing w:after="0"/>
              <w:rPr>
                <w:sz w:val="1"/>
                <w:szCs w:val="1"/>
                <w:color w:val="auto"/>
              </w:rPr>
            </w:pPr>
          </w:p>
        </w:tc>
      </w:tr>
      <w:tr>
        <w:trPr>
          <w:trHeight w:val="267"/>
        </w:trPr>
        <w:tc>
          <w:tcPr>
            <w:tcW w:w="2420" w:type="dxa"/>
            <w:vAlign w:val="bottom"/>
          </w:tcPr>
          <w:p>
            <w:pPr>
              <w:spacing w:after="0"/>
              <w:rPr>
                <w:sz w:val="23"/>
                <w:szCs w:val="23"/>
                <w:color w:val="auto"/>
              </w:rPr>
            </w:pPr>
          </w:p>
        </w:tc>
        <w:tc>
          <w:tcPr>
            <w:tcW w:w="8140" w:type="dxa"/>
            <w:vAlign w:val="bottom"/>
          </w:tcPr>
          <w:p>
            <w:pPr>
              <w:ind w:left="260"/>
              <w:spacing w:after="0"/>
              <w:rPr>
                <w:sz w:val="20"/>
                <w:szCs w:val="20"/>
                <w:color w:val="auto"/>
              </w:rPr>
            </w:pPr>
            <w:r>
              <w:rPr>
                <w:rFonts w:ascii="Arial" w:cs="Arial" w:eastAsia="Arial" w:hAnsi="Arial"/>
                <w:sz w:val="16"/>
                <w:szCs w:val="16"/>
                <w:color w:val="auto"/>
              </w:rPr>
              <w:t xml:space="preserve">•  We captured synergies from recent acquisitions, presenting </w:t>
            </w:r>
            <w:r>
              <w:rPr>
                <w:rFonts w:ascii="Arial" w:cs="Arial" w:eastAsia="Arial" w:hAnsi="Arial"/>
                <w:sz w:val="16"/>
                <w:szCs w:val="16"/>
                <w:b w:val="1"/>
                <w:bCs w:val="1"/>
                <w:color w:val="021496"/>
              </w:rPr>
              <w:t>additional margin upside.</w:t>
            </w:r>
          </w:p>
        </w:tc>
        <w:tc>
          <w:tcPr>
            <w:tcW w:w="0" w:type="dxa"/>
            <w:vAlign w:val="bottom"/>
          </w:tcPr>
          <w:p>
            <w:pPr>
              <w:spacing w:after="0"/>
              <w:rPr>
                <w:sz w:val="1"/>
                <w:szCs w:val="1"/>
                <w:color w:val="auto"/>
              </w:rPr>
            </w:pPr>
          </w:p>
        </w:tc>
      </w:tr>
      <w:tr>
        <w:trPr>
          <w:trHeight w:val="74"/>
        </w:trPr>
        <w:tc>
          <w:tcPr>
            <w:tcW w:w="2420" w:type="dxa"/>
            <w:vAlign w:val="bottom"/>
            <w:tcBorders>
              <w:bottom w:val="single" w:sz="8" w:color="021496"/>
            </w:tcBorders>
          </w:tcPr>
          <w:p>
            <w:pPr>
              <w:spacing w:after="0"/>
              <w:rPr>
                <w:sz w:val="6"/>
                <w:szCs w:val="6"/>
                <w:color w:val="auto"/>
              </w:rPr>
            </w:pPr>
          </w:p>
        </w:tc>
        <w:tc>
          <w:tcPr>
            <w:tcW w:w="8140" w:type="dxa"/>
            <w:vAlign w:val="bottom"/>
            <w:tcBorders>
              <w:bottom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420" w:type="dxa"/>
            <w:vAlign w:val="bottom"/>
            <w:vMerge w:val="restart"/>
          </w:tcPr>
          <w:p>
            <w:pPr>
              <w:jc w:val="center"/>
              <w:ind w:left="240"/>
              <w:spacing w:after="0"/>
              <w:rPr>
                <w:sz w:val="20"/>
                <w:szCs w:val="20"/>
                <w:color w:val="auto"/>
              </w:rPr>
            </w:pPr>
            <w:r>
              <w:rPr>
                <w:rFonts w:ascii="Arial" w:cs="Arial" w:eastAsia="Arial" w:hAnsi="Arial"/>
                <w:sz w:val="16"/>
                <w:szCs w:val="16"/>
                <w:b w:val="1"/>
                <w:bCs w:val="1"/>
                <w:color w:val="auto"/>
              </w:rPr>
              <w:t>Organic Investment</w:t>
            </w:r>
          </w:p>
        </w:tc>
        <w:tc>
          <w:tcPr>
            <w:tcW w:w="8140" w:type="dxa"/>
            <w:vAlign w:val="bottom"/>
          </w:tcPr>
          <w:p>
            <w:pPr>
              <w:ind w:left="260"/>
              <w:spacing w:after="0"/>
              <w:rPr>
                <w:sz w:val="20"/>
                <w:szCs w:val="20"/>
                <w:color w:val="auto"/>
              </w:rPr>
            </w:pPr>
            <w:r>
              <w:rPr>
                <w:rFonts w:ascii="Arial" w:cs="Arial" w:eastAsia="Arial" w:hAnsi="Arial"/>
                <w:sz w:val="16"/>
                <w:szCs w:val="16"/>
                <w:color w:val="auto"/>
              </w:rPr>
              <w:t>•  We made $220.3 million in capital expenditures in 2025, representing 2.7% of revenue, in line with our plan</w:t>
            </w:r>
          </w:p>
        </w:tc>
        <w:tc>
          <w:tcPr>
            <w:tcW w:w="0" w:type="dxa"/>
            <w:vAlign w:val="bottom"/>
          </w:tcPr>
          <w:p>
            <w:pPr>
              <w:spacing w:after="0"/>
              <w:rPr>
                <w:sz w:val="1"/>
                <w:szCs w:val="1"/>
                <w:color w:val="auto"/>
              </w:rPr>
            </w:pPr>
          </w:p>
        </w:tc>
      </w:tr>
      <w:tr>
        <w:trPr>
          <w:trHeight w:val="141"/>
        </w:trPr>
        <w:tc>
          <w:tcPr>
            <w:tcW w:w="2420" w:type="dxa"/>
            <w:vAlign w:val="bottom"/>
            <w:vMerge w:val="continue"/>
          </w:tcPr>
          <w:p>
            <w:pPr>
              <w:spacing w:after="0"/>
              <w:rPr>
                <w:sz w:val="12"/>
                <w:szCs w:val="12"/>
                <w:color w:val="auto"/>
              </w:rPr>
            </w:pPr>
          </w:p>
        </w:tc>
        <w:tc>
          <w:tcPr>
            <w:tcW w:w="8140" w:type="dxa"/>
            <w:vAlign w:val="bottom"/>
            <w:vMerge w:val="restart"/>
          </w:tcPr>
          <w:p>
            <w:pPr>
              <w:ind w:left="480"/>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b w:val="1"/>
                <w:bCs w:val="1"/>
                <w:color w:val="021496"/>
              </w:rPr>
              <w:t>support growth initiatives, productivity, and new product launches.</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8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080" w:hanging="217"/>
        <w:spacing w:after="0"/>
        <w:tabs>
          <w:tab w:leader="none" w:pos="3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We acquired four businesses for approximately </w:t>
      </w:r>
      <w:r>
        <w:rPr>
          <w:rFonts w:ascii="Arial" w:cs="Arial" w:eastAsia="Arial" w:hAnsi="Arial"/>
          <w:sz w:val="16"/>
          <w:szCs w:val="16"/>
          <w:b w:val="1"/>
          <w:bCs w:val="1"/>
          <w:color w:val="021496"/>
        </w:rPr>
        <w:t>$665 million</w:t>
      </w:r>
      <w:r>
        <w:rPr>
          <w:rFonts w:ascii="Arial" w:cs="Arial" w:eastAsia="Arial" w:hAnsi="Arial"/>
          <w:sz w:val="16"/>
          <w:szCs w:val="16"/>
          <w:color w:val="auto"/>
        </w:rPr>
        <w:t>, net of cash acquired and including</w:t>
      </w:r>
    </w:p>
    <w:p>
      <w:pPr>
        <w:spacing w:after="0" w:line="1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b w:val="1"/>
          <w:bCs w:val="1"/>
          <w:color w:val="auto"/>
        </w:rPr>
        <w:t>Portfolio &amp; Strategic Actions</w:t>
      </w:r>
      <w:r>
        <w:rPr>
          <w:rFonts w:ascii="Arial" w:cs="Arial" w:eastAsia="Arial" w:hAnsi="Arial"/>
          <w:sz w:val="16"/>
          <w:szCs w:val="16"/>
          <w:color w:val="auto"/>
        </w:rPr>
        <w:t>contingent consideration and measurement period adjustments, which complement and expand upon our</w:t>
      </w:r>
    </w:p>
    <w:p>
      <w:pPr>
        <w:spacing w:after="0" w:line="3"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existing operations in high-growth, high-priority end markets.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xml:space="preserve">•  We continued our </w:t>
            </w:r>
            <w:r>
              <w:rPr>
                <w:rFonts w:ascii="Arial" w:cs="Arial" w:eastAsia="Arial" w:hAnsi="Arial"/>
                <w:sz w:val="16"/>
                <w:szCs w:val="16"/>
                <w:b w:val="1"/>
                <w:bCs w:val="1"/>
                <w:color w:val="021496"/>
              </w:rPr>
              <w:t>history of providing regular capital returns to shareholders</w:t>
            </w:r>
            <w:r>
              <w:rPr>
                <w:rFonts w:ascii="Arial" w:cs="Arial" w:eastAsia="Arial" w:hAnsi="Arial"/>
                <w:sz w:val="16"/>
                <w:szCs w:val="16"/>
                <w:color w:val="auto"/>
              </w:rPr>
              <w:t xml:space="preserve"> by increasing our</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2300" w:type="dxa"/>
            <w:vAlign w:val="bottom"/>
          </w:tcPr>
          <w:p>
            <w:pPr>
              <w:jc w:val="center"/>
              <w:ind w:left="360"/>
              <w:spacing w:after="0"/>
              <w:rPr>
                <w:sz w:val="20"/>
                <w:szCs w:val="20"/>
                <w:color w:val="auto"/>
              </w:rPr>
            </w:pPr>
            <w:r>
              <w:rPr>
                <w:rFonts w:ascii="Arial" w:cs="Arial" w:eastAsia="Arial" w:hAnsi="Arial"/>
                <w:sz w:val="16"/>
                <w:szCs w:val="16"/>
                <w:b w:val="1"/>
                <w:bCs w:val="1"/>
                <w:color w:val="auto"/>
              </w:rPr>
              <w:t>Capital Return</w:t>
            </w:r>
          </w:p>
        </w:tc>
        <w:tc>
          <w:tcPr>
            <w:tcW w:w="8440" w:type="dxa"/>
            <w:vAlign w:val="bottom"/>
            <w:gridSpan w:val="2"/>
          </w:tcPr>
          <w:p>
            <w:pPr>
              <w:ind w:left="600"/>
              <w:spacing w:after="0" w:line="241" w:lineRule="exact"/>
              <w:rPr>
                <w:sz w:val="20"/>
                <w:szCs w:val="20"/>
                <w:color w:val="auto"/>
              </w:rPr>
            </w:pPr>
            <w:r>
              <w:rPr>
                <w:rFonts w:ascii="Arial" w:cs="Arial" w:eastAsia="Arial" w:hAnsi="Arial"/>
                <w:sz w:val="16"/>
                <w:szCs w:val="16"/>
                <w:color w:val="auto"/>
              </w:rPr>
              <w:t xml:space="preserve">quarterly dividend, marking our </w:t>
            </w:r>
            <w:r>
              <w:rPr>
                <w:rFonts w:ascii="Arial" w:cs="Arial" w:eastAsia="Arial" w:hAnsi="Arial"/>
                <w:sz w:val="16"/>
                <w:szCs w:val="16"/>
                <w:b w:val="1"/>
                <w:bCs w:val="1"/>
                <w:color w:val="021496"/>
              </w:rPr>
              <w:t>70</w:t>
            </w:r>
            <w:r>
              <w:rPr>
                <w:rFonts w:ascii="Arial" w:cs="Arial" w:eastAsia="Arial" w:hAnsi="Arial"/>
                <w:sz w:val="24"/>
                <w:szCs w:val="24"/>
                <w:b w:val="1"/>
                <w:bCs w:val="1"/>
                <w:color w:val="021496"/>
                <w:vertAlign w:val="superscript"/>
              </w:rPr>
              <w:t>th</w:t>
            </w:r>
            <w:r>
              <w:rPr>
                <w:rFonts w:ascii="Arial" w:cs="Arial" w:eastAsia="Arial" w:hAnsi="Arial"/>
                <w:sz w:val="16"/>
                <w:szCs w:val="16"/>
                <w:color w:val="auto"/>
              </w:rPr>
              <w:t xml:space="preserve"> </w:t>
            </w:r>
            <w:r>
              <w:rPr>
                <w:rFonts w:ascii="Arial" w:cs="Arial" w:eastAsia="Arial" w:hAnsi="Arial"/>
                <w:sz w:val="16"/>
                <w:szCs w:val="16"/>
                <w:b w:val="1"/>
                <w:bCs w:val="1"/>
                <w:color w:val="021496"/>
              </w:rPr>
              <w:t>consecutive year of dividend increases.</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2300" w:type="dxa"/>
            <w:vAlign w:val="bottom"/>
          </w:tcPr>
          <w:p>
            <w:pPr>
              <w:jc w:val="center"/>
              <w:ind w:left="360"/>
              <w:spacing w:after="0"/>
              <w:rPr>
                <w:sz w:val="20"/>
                <w:szCs w:val="20"/>
                <w:color w:val="auto"/>
              </w:rPr>
            </w:pPr>
            <w:r>
              <w:rPr>
                <w:rFonts w:ascii="Arial" w:cs="Arial" w:eastAsia="Arial" w:hAnsi="Arial"/>
                <w:sz w:val="16"/>
                <w:szCs w:val="16"/>
                <w:b w:val="1"/>
                <w:bCs w:val="1"/>
                <w:color w:val="auto"/>
              </w:rPr>
              <w:t>Program</w:t>
            </w: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xml:space="preserve">•  We announced </w:t>
            </w:r>
            <w:r>
              <w:rPr>
                <w:rFonts w:ascii="Arial" w:cs="Arial" w:eastAsia="Arial" w:hAnsi="Arial"/>
                <w:sz w:val="16"/>
                <w:szCs w:val="16"/>
                <w:b w:val="1"/>
                <w:bCs w:val="1"/>
                <w:color w:val="021496"/>
              </w:rPr>
              <w:t>$541 million of share repurchases</w:t>
            </w:r>
            <w:r>
              <w:rPr>
                <w:rFonts w:ascii="Arial" w:cs="Arial" w:eastAsia="Arial" w:hAnsi="Arial"/>
                <w:sz w:val="16"/>
                <w:szCs w:val="16"/>
                <w:color w:val="auto"/>
              </w:rPr>
              <w:t xml:space="preserve"> in 2025, including a $500 million accelerated share</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repurchase (“ASR”) program initiated during the fourth quarter.</w:t>
            </w:r>
          </w:p>
        </w:tc>
        <w:tc>
          <w:tcPr>
            <w:tcW w:w="0" w:type="dxa"/>
            <w:vAlign w:val="bottom"/>
          </w:tcPr>
          <w:p>
            <w:pPr>
              <w:spacing w:after="0"/>
              <w:rPr>
                <w:sz w:val="1"/>
                <w:szCs w:val="1"/>
                <w:color w:val="auto"/>
              </w:rPr>
            </w:pPr>
          </w:p>
        </w:tc>
      </w:tr>
      <w:tr>
        <w:trPr>
          <w:trHeight w:val="84"/>
        </w:trPr>
        <w:tc>
          <w:tcPr>
            <w:tcW w:w="180" w:type="dxa"/>
            <w:vAlign w:val="bottom"/>
          </w:tcPr>
          <w:p>
            <w:pPr>
              <w:spacing w:after="0"/>
              <w:rPr>
                <w:sz w:val="7"/>
                <w:szCs w:val="7"/>
                <w:color w:val="auto"/>
              </w:rPr>
            </w:pPr>
          </w:p>
        </w:tc>
        <w:tc>
          <w:tcPr>
            <w:tcW w:w="2300" w:type="dxa"/>
            <w:vAlign w:val="bottom"/>
            <w:tcBorders>
              <w:bottom w:val="single" w:sz="8" w:color="021496"/>
            </w:tcBorders>
          </w:tcPr>
          <w:p>
            <w:pPr>
              <w:spacing w:after="0"/>
              <w:rPr>
                <w:sz w:val="7"/>
                <w:szCs w:val="7"/>
                <w:color w:val="auto"/>
              </w:rPr>
            </w:pPr>
          </w:p>
        </w:tc>
        <w:tc>
          <w:tcPr>
            <w:tcW w:w="8260" w:type="dxa"/>
            <w:vAlign w:val="bottom"/>
            <w:tcBorders>
              <w:bottom w:val="single" w:sz="8" w:color="021496"/>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We continued to drive progress across our environmental, social, and governance (“ESG”) areas of focus.</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xml:space="preserve">•  We continued to update our </w:t>
            </w:r>
            <w:r>
              <w:rPr>
                <w:rFonts w:ascii="Arial" w:cs="Arial" w:eastAsia="Arial" w:hAnsi="Arial"/>
                <w:sz w:val="16"/>
                <w:szCs w:val="16"/>
                <w:b w:val="1"/>
                <w:bCs w:val="1"/>
                <w:color w:val="021496"/>
              </w:rPr>
              <w:t>ESG website</w:t>
            </w:r>
            <w:r>
              <w:rPr>
                <w:rFonts w:ascii="Arial" w:cs="Arial" w:eastAsia="Arial" w:hAnsi="Arial"/>
                <w:sz w:val="16"/>
                <w:szCs w:val="16"/>
                <w:color w:val="auto"/>
              </w:rPr>
              <w:t xml:space="preserve"> with information on topics identified as areas of focus during our</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initial three-year ESG plan.</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xml:space="preserve">•  We continued to report our company-wide </w:t>
            </w:r>
            <w:r>
              <w:rPr>
                <w:rFonts w:ascii="Arial" w:cs="Arial" w:eastAsia="Arial" w:hAnsi="Arial"/>
                <w:sz w:val="16"/>
                <w:szCs w:val="16"/>
                <w:b w:val="1"/>
                <w:bCs w:val="1"/>
                <w:color w:val="021496"/>
              </w:rPr>
              <w:t>greenhouse gas (“GHG”) emissions</w:t>
            </w:r>
            <w:r>
              <w:rPr>
                <w:rFonts w:ascii="Arial" w:cs="Arial" w:eastAsia="Arial" w:hAnsi="Arial"/>
                <w:sz w:val="16"/>
                <w:szCs w:val="16"/>
                <w:color w:val="auto"/>
              </w:rPr>
              <w:t xml:space="preserve"> and progress against our</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2300" w:type="dxa"/>
            <w:vAlign w:val="bottom"/>
            <w:vMerge w:val="restart"/>
          </w:tcPr>
          <w:p>
            <w:pPr>
              <w:jc w:val="center"/>
              <w:ind w:left="360"/>
              <w:spacing w:after="0"/>
              <w:rPr>
                <w:sz w:val="20"/>
                <w:szCs w:val="20"/>
                <w:color w:val="auto"/>
              </w:rPr>
            </w:pPr>
            <w:r>
              <w:rPr>
                <w:rFonts w:ascii="Arial" w:cs="Arial" w:eastAsia="Arial" w:hAnsi="Arial"/>
                <w:sz w:val="16"/>
                <w:szCs w:val="16"/>
                <w:b w:val="1"/>
                <w:bCs w:val="1"/>
                <w:color w:val="auto"/>
              </w:rPr>
              <w:t>ESG</w:t>
            </w:r>
          </w:p>
        </w:tc>
        <w:tc>
          <w:tcPr>
            <w:tcW w:w="8440" w:type="dxa"/>
            <w:vAlign w:val="bottom"/>
            <w:gridSpan w:val="2"/>
          </w:tcPr>
          <w:p>
            <w:pPr>
              <w:ind w:left="600"/>
              <w:spacing w:after="0"/>
              <w:rPr>
                <w:sz w:val="20"/>
                <w:szCs w:val="20"/>
                <w:color w:val="auto"/>
              </w:rPr>
            </w:pPr>
            <w:r>
              <w:rPr>
                <w:rFonts w:ascii="Arial" w:cs="Arial" w:eastAsia="Arial" w:hAnsi="Arial"/>
                <w:sz w:val="16"/>
                <w:szCs w:val="16"/>
                <w:b w:val="1"/>
                <w:bCs w:val="1"/>
                <w:color w:val="021496"/>
              </w:rPr>
              <w:t xml:space="preserve">science-based targets to reduce our GHG emissions, </w:t>
            </w:r>
            <w:r>
              <w:rPr>
                <w:rFonts w:ascii="Arial" w:cs="Arial" w:eastAsia="Arial" w:hAnsi="Arial"/>
                <w:sz w:val="16"/>
                <w:szCs w:val="16"/>
                <w:color w:val="000000"/>
              </w:rPr>
              <w:t>including an absolute reduction of scope 1 and</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scope 2 market-based GHG emissions of 30 percent by 2030 (from a 2019 baseline year), and an absolute</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reduction of scope 3 GHG emissions of 15 percent by 2030 (from a 2019 baseline year).</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440" w:type="dxa"/>
            <w:vAlign w:val="bottom"/>
            <w:gridSpan w:val="2"/>
          </w:tcPr>
          <w:p>
            <w:pPr>
              <w:ind w:left="380"/>
              <w:spacing w:after="0"/>
              <w:rPr>
                <w:sz w:val="20"/>
                <w:szCs w:val="20"/>
                <w:color w:val="auto"/>
              </w:rPr>
            </w:pPr>
            <w:r>
              <w:rPr>
                <w:rFonts w:ascii="Arial" w:cs="Arial" w:eastAsia="Arial" w:hAnsi="Arial"/>
                <w:sz w:val="16"/>
                <w:szCs w:val="16"/>
                <w:color w:val="auto"/>
              </w:rPr>
              <w:t>•  We exceeded our goal of reducing Total Recordable Injury Rate (“TRIR”) by 40% by 2025 (from a 2019</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baseline year), achieving a TRIR of 0.75 (a 41% reduction) as of the end of 2025. We remain committed to</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continuing to prioritize health and safety compliance, risk mitigation, and continuous process improvement</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40" w:type="dxa"/>
            <w:vAlign w:val="bottom"/>
            <w:gridSpan w:val="2"/>
          </w:tcPr>
          <w:p>
            <w:pPr>
              <w:ind w:left="600"/>
              <w:spacing w:after="0"/>
              <w:rPr>
                <w:sz w:val="20"/>
                <w:szCs w:val="20"/>
                <w:color w:val="auto"/>
              </w:rPr>
            </w:pPr>
            <w:r>
              <w:rPr>
                <w:rFonts w:ascii="Arial" w:cs="Arial" w:eastAsia="Arial" w:hAnsi="Arial"/>
                <w:sz w:val="16"/>
                <w:szCs w:val="16"/>
                <w:color w:val="auto"/>
              </w:rPr>
              <w:t>across the organization.</w:t>
            </w:r>
          </w:p>
        </w:tc>
        <w:tc>
          <w:tcPr>
            <w:tcW w:w="0" w:type="dxa"/>
            <w:vAlign w:val="bottom"/>
          </w:tcPr>
          <w:p>
            <w:pPr>
              <w:spacing w:after="0"/>
              <w:rPr>
                <w:sz w:val="1"/>
                <w:szCs w:val="1"/>
                <w:color w:val="auto"/>
              </w:rPr>
            </w:pPr>
          </w:p>
        </w:tc>
      </w:tr>
      <w:tr>
        <w:trPr>
          <w:trHeight w:val="84"/>
        </w:trPr>
        <w:tc>
          <w:tcPr>
            <w:tcW w:w="180" w:type="dxa"/>
            <w:vAlign w:val="bottom"/>
          </w:tcPr>
          <w:p>
            <w:pPr>
              <w:spacing w:after="0"/>
              <w:rPr>
                <w:sz w:val="7"/>
                <w:szCs w:val="7"/>
                <w:color w:val="auto"/>
              </w:rPr>
            </w:pPr>
          </w:p>
        </w:tc>
        <w:tc>
          <w:tcPr>
            <w:tcW w:w="2300" w:type="dxa"/>
            <w:vAlign w:val="bottom"/>
            <w:tcBorders>
              <w:bottom w:val="single" w:sz="8" w:color="021496"/>
            </w:tcBorders>
          </w:tcPr>
          <w:p>
            <w:pPr>
              <w:spacing w:after="0"/>
              <w:rPr>
                <w:sz w:val="7"/>
                <w:szCs w:val="7"/>
                <w:color w:val="auto"/>
              </w:rPr>
            </w:pPr>
          </w:p>
        </w:tc>
        <w:tc>
          <w:tcPr>
            <w:tcW w:w="8260" w:type="dxa"/>
            <w:vAlign w:val="bottom"/>
            <w:tcBorders>
              <w:bottom w:val="single" w:sz="8" w:color="021496"/>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8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40" w:type="dxa"/>
            <w:vAlign w:val="bottom"/>
            <w:gridSpan w:val="2"/>
          </w:tcPr>
          <w:p>
            <w:pPr>
              <w:ind w:left="474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2026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4</w:t>
            </w:r>
          </w:p>
        </w:tc>
        <w:tc>
          <w:tcPr>
            <w:tcW w:w="0" w:type="dxa"/>
            <w:vAlign w:val="bottom"/>
          </w:tcPr>
          <w:p>
            <w:pPr>
              <w:spacing w:after="0"/>
              <w:rPr>
                <w:sz w:val="1"/>
                <w:szCs w:val="1"/>
                <w:color w:val="auto"/>
              </w:rPr>
            </w:pPr>
          </w:p>
        </w:tc>
      </w:tr>
    </w:tbl>
    <w:p>
      <w:pPr>
        <w:sectPr>
          <w:pgSz w:w="11900" w:h="16838" w:orient="portrait"/>
          <w:cols w:equalWidth="0" w:num="1">
            <w:col w:w="10920"/>
          </w:cols>
          <w:pgMar w:left="480" w:top="299" w:right="4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487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487045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Governance and Board Highlights</w:t>
      </w:r>
    </w:p>
    <w:p>
      <w:pPr>
        <w:spacing w:after="0" w:line="124" w:lineRule="exact"/>
        <w:rPr>
          <w:sz w:val="20"/>
          <w:szCs w:val="20"/>
          <w:color w:val="auto"/>
        </w:rPr>
      </w:pPr>
    </w:p>
    <w:p>
      <w:pPr>
        <w:ind w:left="180" w:right="620"/>
        <w:spacing w:after="0" w:line="279" w:lineRule="auto"/>
        <w:rPr>
          <w:sz w:val="20"/>
          <w:szCs w:val="20"/>
          <w:color w:val="auto"/>
        </w:rPr>
      </w:pPr>
      <w:r>
        <w:rPr>
          <w:rFonts w:ascii="Arial" w:cs="Arial" w:eastAsia="Arial" w:hAnsi="Arial"/>
          <w:sz w:val="16"/>
          <w:szCs w:val="16"/>
          <w:color w:val="auto"/>
        </w:rPr>
        <w:t>Our Board is committed to sound governance practices designed to promote the long-term interests of shareholders and strengthen Board and management accountability. Highlights include:</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5440" w:type="dxa"/>
            <w:vAlign w:val="bottom"/>
            <w:tcBorders>
              <w:top w:val="single" w:sz="8" w:color="021496"/>
              <w:bottom w:val="single" w:sz="8" w:color="021496"/>
            </w:tcBorders>
          </w:tcPr>
          <w:p>
            <w:pPr>
              <w:ind w:left="1780"/>
              <w:spacing w:after="0"/>
              <w:rPr>
                <w:sz w:val="20"/>
                <w:szCs w:val="20"/>
                <w:color w:val="auto"/>
              </w:rPr>
            </w:pPr>
            <w:r>
              <w:rPr>
                <w:rFonts w:ascii="Arial" w:cs="Arial" w:eastAsia="Arial" w:hAnsi="Arial"/>
                <w:sz w:val="16"/>
                <w:szCs w:val="16"/>
                <w:b w:val="1"/>
                <w:bCs w:val="1"/>
                <w:color w:val="auto"/>
              </w:rPr>
              <w:t>BOARD OF DIRECTORS</w:t>
            </w:r>
          </w:p>
        </w:tc>
        <w:tc>
          <w:tcPr>
            <w:tcW w:w="4960" w:type="dxa"/>
            <w:vAlign w:val="bottom"/>
            <w:tcBorders>
              <w:top w:val="single" w:sz="8" w:color="021496"/>
              <w:bottom w:val="single" w:sz="8" w:color="021496"/>
            </w:tcBorders>
          </w:tcPr>
          <w:p>
            <w:pPr>
              <w:ind w:left="1340"/>
              <w:spacing w:after="0"/>
              <w:rPr>
                <w:sz w:val="20"/>
                <w:szCs w:val="20"/>
                <w:color w:val="auto"/>
              </w:rPr>
            </w:pPr>
            <w:r>
              <w:rPr>
                <w:rFonts w:ascii="Arial" w:cs="Arial" w:eastAsia="Arial" w:hAnsi="Arial"/>
                <w:sz w:val="16"/>
                <w:szCs w:val="16"/>
                <w:b w:val="1"/>
                <w:bCs w:val="1"/>
                <w:color w:val="auto"/>
              </w:rPr>
              <w:t>GOVERNANCE HIGHLIGHTS</w:t>
            </w:r>
          </w:p>
        </w:tc>
        <w:tc>
          <w:tcPr>
            <w:tcW w:w="160" w:type="dxa"/>
            <w:vAlign w:val="bottom"/>
            <w:tcBorders>
              <w:top w:val="single" w:sz="8" w:color="021496"/>
              <w:bottom w:val="single" w:sz="8" w:color="021496"/>
            </w:tcBorders>
          </w:tcPr>
          <w:p>
            <w:pPr>
              <w:ind w:left="80"/>
              <w:spacing w:after="0"/>
              <w:rPr>
                <w:sz w:val="20"/>
                <w:szCs w:val="20"/>
                <w:color w:val="auto"/>
              </w:rPr>
            </w:pPr>
            <w:r>
              <w:rPr>
                <w:rFonts w:ascii="Arial" w:cs="Arial" w:eastAsia="Arial" w:hAnsi="Arial"/>
                <w:sz w:val="16"/>
                <w:szCs w:val="16"/>
                <w:b w:val="1"/>
                <w:bCs w:val="1"/>
                <w:color w:val="auto"/>
                <w:w w:val="74"/>
              </w:rPr>
              <w:t> </w:t>
            </w:r>
          </w:p>
        </w:tc>
        <w:tc>
          <w:tcPr>
            <w:tcW w:w="0" w:type="dxa"/>
            <w:vAlign w:val="bottom"/>
          </w:tcPr>
          <w:p>
            <w:pPr>
              <w:spacing w:after="0"/>
              <w:rPr>
                <w:sz w:val="1"/>
                <w:szCs w:val="1"/>
                <w:color w:val="auto"/>
              </w:rPr>
            </w:pPr>
          </w:p>
        </w:tc>
      </w:tr>
      <w:tr>
        <w:trPr>
          <w:trHeight w:val="220"/>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Lead Independent Director</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15% ownership threshold required to call a special meeting</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8 of our 9 director nominees are independent; fully independent</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of shareholders</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440" w:type="dxa"/>
            <w:vAlign w:val="bottom"/>
            <w:vMerge w:val="continue"/>
            <w:shd w:val="clear" w:color="auto" w:fill="D8D8D8"/>
          </w:tcPr>
          <w:p>
            <w:pPr>
              <w:spacing w:after="0"/>
              <w:rPr>
                <w:sz w:val="13"/>
                <w:szCs w:val="13"/>
                <w:color w:val="auto"/>
              </w:rPr>
            </w:pPr>
          </w:p>
        </w:tc>
        <w:tc>
          <w:tcPr>
            <w:tcW w:w="4960" w:type="dxa"/>
            <w:vAlign w:val="bottom"/>
            <w:vMerge w:val="restart"/>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Proxy access right at 3%/3 years/2 or 20% of Board/20</w:t>
            </w:r>
          </w:p>
        </w:tc>
        <w:tc>
          <w:tcPr>
            <w:tcW w:w="1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standing committees</w:t>
            </w:r>
          </w:p>
        </w:tc>
        <w:tc>
          <w:tcPr>
            <w:tcW w:w="4960" w:type="dxa"/>
            <w:vAlign w:val="bottom"/>
            <w:vMerge w:val="continue"/>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Regular executive sessions of independent directors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shareholder aggregation allowance</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40" w:type="dxa"/>
            <w:vAlign w:val="bottom"/>
            <w:vMerge w:val="continue"/>
            <w:shd w:val="clear" w:color="auto" w:fill="D8D8D8"/>
          </w:tcPr>
          <w:p>
            <w:pPr>
              <w:spacing w:after="0"/>
              <w:rPr>
                <w:sz w:val="16"/>
                <w:szCs w:val="16"/>
                <w:color w:val="auto"/>
              </w:rPr>
            </w:pPr>
          </w:p>
        </w:tc>
        <w:tc>
          <w:tcPr>
            <w:tcW w:w="4960" w:type="dxa"/>
            <w:vAlign w:val="bottom"/>
            <w:vMerge w:val="restart"/>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Strong share retention guidelines for directors and executive</w:t>
            </w:r>
          </w:p>
        </w:tc>
        <w:tc>
          <w:tcPr>
            <w:tcW w:w="1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Annual election of directors</w:t>
            </w:r>
          </w:p>
        </w:tc>
        <w:tc>
          <w:tcPr>
            <w:tcW w:w="4960" w:type="dxa"/>
            <w:vAlign w:val="bottom"/>
            <w:vMerge w:val="continue"/>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40" w:type="dxa"/>
            <w:vAlign w:val="bottom"/>
            <w:vMerge w:val="continue"/>
            <w:shd w:val="clear" w:color="auto" w:fill="D8D8D8"/>
          </w:tcPr>
          <w:p>
            <w:pPr>
              <w:spacing w:after="0"/>
              <w:rPr>
                <w:sz w:val="18"/>
                <w:szCs w:val="18"/>
                <w:color w:val="auto"/>
              </w:rPr>
            </w:pP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officers</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Majority voting for directors and director resignation policy in</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compensation driven by pay-for-performance</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uncontested elections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philosophy</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Comprehensive annual individual evaluations of one-third of the</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officers not permitted to hedge or pledge company</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directors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shares</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succession planning</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supermajority voting provisions in our charter</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440" w:type="dxa"/>
            <w:vAlign w:val="bottom"/>
            <w:tcBorders>
              <w:bottom w:val="single" w:sz="8" w:color="021496"/>
            </w:tcBorders>
            <w:shd w:val="clear" w:color="auto" w:fill="D8D8D8"/>
          </w:tcPr>
          <w:p>
            <w:pPr>
              <w:spacing w:after="0"/>
              <w:rPr>
                <w:sz w:val="24"/>
                <w:szCs w:val="24"/>
                <w:color w:val="auto"/>
              </w:rPr>
            </w:pPr>
          </w:p>
        </w:tc>
        <w:tc>
          <w:tcPr>
            <w:tcW w:w="4960" w:type="dxa"/>
            <w:vAlign w:val="bottom"/>
            <w:tcBorders>
              <w:bottom w:val="single" w:sz="8" w:color="021496"/>
            </w:tcBorders>
            <w:shd w:val="clear" w:color="auto" w:fill="D8D8D8"/>
          </w:tcPr>
          <w:p>
            <w:pPr>
              <w:spacing w:after="0"/>
              <w:rPr>
                <w:sz w:val="24"/>
                <w:szCs w:val="24"/>
                <w:color w:val="auto"/>
              </w:rPr>
            </w:pPr>
          </w:p>
        </w:tc>
        <w:tc>
          <w:tcPr>
            <w:tcW w:w="160" w:type="dxa"/>
            <w:vAlign w:val="bottom"/>
            <w:tcBorders>
              <w:bottom w:val="single" w:sz="8" w:color="021496"/>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Shareholder Engagement</w:t>
      </w:r>
    </w:p>
    <w:p>
      <w:pPr>
        <w:spacing w:after="0" w:line="97" w:lineRule="exact"/>
        <w:rPr>
          <w:sz w:val="20"/>
          <w:szCs w:val="20"/>
          <w:color w:val="auto"/>
        </w:rPr>
      </w:pPr>
    </w:p>
    <w:p>
      <w:pPr>
        <w:ind w:left="180" w:right="260"/>
        <w:spacing w:after="0" w:line="256" w:lineRule="auto"/>
        <w:rPr>
          <w:sz w:val="20"/>
          <w:szCs w:val="20"/>
          <w:color w:val="auto"/>
        </w:rPr>
      </w:pPr>
      <w:r>
        <w:rPr>
          <w:rFonts w:ascii="Arial" w:cs="Arial" w:eastAsia="Arial" w:hAnsi="Arial"/>
          <w:sz w:val="16"/>
          <w:szCs w:val="16"/>
          <w:color w:val="auto"/>
        </w:rPr>
        <w:t>We encourage feedback from shareholders and have a strong history of engaging with investors on a range of topics, including our executive compensation program and evolving trends and best practices. In 2025, we reached out to holders of approximately 57% of our shares outstanding, and engaged with governance professionals and/or portfolio managers at investors holding approximately 26% of our shares outstanding. Our shareholder engagement team consists of senior management and has also included our Lead Independent Director in select engagements.</w:t>
      </w:r>
    </w:p>
    <w:p>
      <w:pPr>
        <w:spacing w:after="0" w:line="178" w:lineRule="exact"/>
        <w:rPr>
          <w:sz w:val="20"/>
          <w:szCs w:val="20"/>
          <w:color w:val="auto"/>
        </w:rPr>
      </w:pPr>
    </w:p>
    <w:p>
      <w:pPr>
        <w:ind w:left="180" w:right="220"/>
        <w:spacing w:after="0" w:line="251" w:lineRule="auto"/>
        <w:rPr>
          <w:sz w:val="20"/>
          <w:szCs w:val="20"/>
          <w:color w:val="auto"/>
        </w:rPr>
      </w:pPr>
      <w:r>
        <w:rPr>
          <w:rFonts w:ascii="Arial" w:cs="Arial" w:eastAsia="Arial" w:hAnsi="Arial"/>
          <w:sz w:val="16"/>
          <w:szCs w:val="16"/>
          <w:color w:val="auto"/>
        </w:rPr>
        <w:t>In meetings held after our 2025 Annual Meeting of Shareholders, we discussed a variety of topics with shareholders, ranging from Dover’s corporate strategy, including strategic priorities and portfolio actions, Board composition and oversight matters, and governance and executive compensation practices. We also discussed our focus on human capital and our sustainability vision. Investors continued to express broad support for our governance practices, including Board composition, our current Board leadership structure, and our executive compensation program. Over the years, we have made a number of enhancements to our practices, taking into account feedback from our shareholders. For more detailed information regarding these discussions, please see “Shareholder Engagement and History of Board Responsiveness” on page 29.</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ectPr>
          <w:pgSz w:w="11900" w:h="16838" w:orient="portrait"/>
          <w:cols w:equalWidth="0" w:num="1">
            <w:col w:w="10920"/>
          </w:cols>
          <w:pgMar w:left="480" w:top="299" w:right="4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5965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5965825"/>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2025 Executive Compensation Highlights</w:t>
      </w:r>
    </w:p>
    <w:p>
      <w:pPr>
        <w:spacing w:after="0" w:line="124" w:lineRule="exact"/>
        <w:rPr>
          <w:sz w:val="20"/>
          <w:szCs w:val="20"/>
          <w:color w:val="auto"/>
        </w:rPr>
      </w:pPr>
    </w:p>
    <w:p>
      <w:pPr>
        <w:ind w:left="180" w:right="740"/>
        <w:spacing w:after="0" w:line="279" w:lineRule="auto"/>
        <w:rPr>
          <w:sz w:val="20"/>
          <w:szCs w:val="20"/>
          <w:color w:val="auto"/>
        </w:rPr>
      </w:pPr>
      <w:r>
        <w:rPr>
          <w:rFonts w:ascii="Arial" w:cs="Arial" w:eastAsia="Arial" w:hAnsi="Arial"/>
          <w:sz w:val="16"/>
          <w:szCs w:val="16"/>
          <w:color w:val="auto"/>
        </w:rPr>
        <w:t>Our compensation program for executive officers is designed to emphasize performance-based compensation in alignment with our business strategy.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pay mix for our CEO and other NEOs, which is highly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Note: Numbers may not add due to rounding.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 PROGRAM HIGHLIGHTS</w:t>
      </w:r>
    </w:p>
    <w:p>
      <w:pPr>
        <w:spacing w:after="0" w:line="265" w:lineRule="exact"/>
        <w:rPr>
          <w:sz w:val="20"/>
          <w:szCs w:val="20"/>
          <w:color w:val="auto"/>
        </w:rPr>
      </w:pPr>
    </w:p>
    <w:p>
      <w:pPr>
        <w:jc w:val="cente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Pay-for-performance philosophy — a substantial majority of NEO pay is performance-based and tied to Dover’s stock price performance</w:t>
      </w:r>
    </w:p>
    <w:p>
      <w:pPr>
        <w:spacing w:after="0" w:line="177" w:lineRule="exact"/>
        <w:rPr>
          <w:sz w:val="20"/>
          <w:szCs w:val="20"/>
          <w:color w:val="auto"/>
        </w:rPr>
      </w:pPr>
    </w:p>
    <w:p>
      <w:pPr>
        <w:ind w:left="820" w:right="400" w:hanging="32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Significant portion of long-term compensation is performance-based, with long-term incentives vesting over three years with Performance Shares being subject to rigorous three-year performance period achievement criteria</w:t>
      </w:r>
    </w:p>
    <w:p>
      <w:pPr>
        <w:spacing w:after="0" w:line="102"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Strong share ownership guidelines for NEOs</w:t>
      </w:r>
    </w:p>
    <w:p>
      <w:pPr>
        <w:spacing w:after="0" w:line="177"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Equity awards with anti-hedging and anti-pledging provisions</w:t>
      </w:r>
    </w:p>
    <w:p>
      <w:pPr>
        <w:spacing w:after="0" w:line="177" w:lineRule="exact"/>
        <w:rPr>
          <w:sz w:val="20"/>
          <w:szCs w:val="20"/>
          <w:color w:val="auto"/>
        </w:rPr>
      </w:pPr>
    </w:p>
    <w:p>
      <w:pPr>
        <w:ind w:left="820" w:right="460" w:hanging="32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Investors provided with clear disclosure regarding the individual strategic objectives and financial metrics in our Executive Officer Annual Incentive Plan (“AIP”)</w:t>
      </w:r>
    </w:p>
    <w:p>
      <w:pPr>
        <w:spacing w:after="0" w:line="102" w:lineRule="exact"/>
        <w:rPr>
          <w:sz w:val="20"/>
          <w:szCs w:val="20"/>
          <w:color w:val="auto"/>
        </w:rPr>
      </w:pPr>
    </w:p>
    <w:p>
      <w:pPr>
        <w:ind w:left="500" w:right="4200"/>
        <w:spacing w:after="0" w:line="31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ESG oversight incorporated into our CEO’s individual strategic objectives in the AIP </w:t>
      </w:r>
      <w:r>
        <w:rPr>
          <w:rFonts w:ascii="MS PGothic" w:cs="MS PGothic" w:eastAsia="MS PGothic" w:hAnsi="MS PGothic"/>
          <w:sz w:val="16"/>
          <w:szCs w:val="16"/>
          <w:color w:val="auto"/>
        </w:rPr>
        <w:t>✓</w:t>
      </w:r>
      <w:r>
        <w:rPr>
          <w:rFonts w:ascii="Arial" w:cs="Arial" w:eastAsia="Arial" w:hAnsi="Arial"/>
          <w:sz w:val="16"/>
          <w:szCs w:val="16"/>
          <w:color w:val="auto"/>
        </w:rPr>
        <w:t xml:space="preserve">  Robust clawback structure</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0920"/>
          </w:cols>
          <w:pgMar w:left="480" w:top="299" w:right="4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6033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03377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Director Nominees</w:t>
      </w:r>
    </w:p>
    <w:p>
      <w:pPr>
        <w:spacing w:after="0" w:line="124" w:lineRule="exact"/>
        <w:rPr>
          <w:sz w:val="20"/>
          <w:szCs w:val="20"/>
          <w:color w:val="auto"/>
        </w:rPr>
      </w:pPr>
    </w:p>
    <w:p>
      <w:pPr>
        <w:ind w:left="180" w:right="300"/>
        <w:spacing w:after="0" w:line="262" w:lineRule="auto"/>
        <w:rPr>
          <w:sz w:val="20"/>
          <w:szCs w:val="20"/>
          <w:color w:val="auto"/>
        </w:rPr>
      </w:pPr>
      <w:r>
        <w:rPr>
          <w:rFonts w:ascii="Arial" w:cs="Arial" w:eastAsia="Arial" w:hAnsi="Arial"/>
          <w:sz w:val="16"/>
          <w:szCs w:val="16"/>
          <w:color w:val="auto"/>
        </w:rPr>
        <w:t>Our Governance and Nominating Committee maintains an active and engaged Board through a robust refreshment process, which focuses on ensuring our Board has a diverse skill set that benefits from both industry- and company-specific knowledge of our longer-tenured directors, as well as fresh perspectives brought by our newer directors.</w:t>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3460" w:type="dxa"/>
            <w:vAlign w:val="bottom"/>
            <w:tcBorders>
              <w:top w:val="single" w:sz="8" w:color="021496"/>
            </w:tcBorders>
          </w:tcPr>
          <w:p>
            <w:pPr>
              <w:spacing w:after="0"/>
              <w:rPr>
                <w:sz w:val="15"/>
                <w:szCs w:val="15"/>
                <w:color w:val="auto"/>
              </w:rPr>
            </w:pPr>
          </w:p>
        </w:tc>
        <w:tc>
          <w:tcPr>
            <w:tcW w:w="2480" w:type="dxa"/>
            <w:vAlign w:val="bottom"/>
            <w:tcBorders>
              <w:top w:val="single" w:sz="8" w:color="021496"/>
            </w:tcBorders>
          </w:tcPr>
          <w:p>
            <w:pPr>
              <w:spacing w:after="0"/>
              <w:rPr>
                <w:sz w:val="15"/>
                <w:szCs w:val="15"/>
                <w:color w:val="auto"/>
              </w:rPr>
            </w:pPr>
          </w:p>
        </w:tc>
        <w:tc>
          <w:tcPr>
            <w:tcW w:w="1820" w:type="dxa"/>
            <w:vAlign w:val="bottom"/>
            <w:tcBorders>
              <w:top w:val="single" w:sz="8" w:color="021496"/>
            </w:tcBorders>
          </w:tcPr>
          <w:p>
            <w:pPr>
              <w:spacing w:after="0"/>
              <w:rPr>
                <w:sz w:val="15"/>
                <w:szCs w:val="15"/>
                <w:color w:val="auto"/>
              </w:rPr>
            </w:pPr>
          </w:p>
        </w:tc>
        <w:tc>
          <w:tcPr>
            <w:tcW w:w="1520" w:type="dxa"/>
            <w:vAlign w:val="bottom"/>
            <w:tcBorders>
              <w:top w:val="single" w:sz="8" w:color="021496"/>
            </w:tcBorders>
          </w:tcPr>
          <w:p>
            <w:pPr>
              <w:spacing w:after="0"/>
              <w:rPr>
                <w:sz w:val="15"/>
                <w:szCs w:val="15"/>
                <w:color w:val="auto"/>
              </w:rPr>
            </w:pPr>
          </w:p>
        </w:tc>
        <w:tc>
          <w:tcPr>
            <w:tcW w:w="1280" w:type="dxa"/>
            <w:vAlign w:val="bottom"/>
            <w:tcBorders>
              <w:top w:val="single" w:sz="8" w:color="021496"/>
            </w:tcBorders>
          </w:tcPr>
          <w:p>
            <w:pPr>
              <w:jc w:val="center"/>
              <w:ind w:left="29"/>
              <w:spacing w:after="0"/>
              <w:rPr>
                <w:sz w:val="20"/>
                <w:szCs w:val="20"/>
                <w:color w:val="auto"/>
              </w:rPr>
            </w:pPr>
            <w:r>
              <w:rPr>
                <w:rFonts w:ascii="Arial" w:cs="Arial" w:eastAsia="Arial" w:hAnsi="Arial"/>
                <w:sz w:val="14"/>
                <w:szCs w:val="14"/>
                <w:b w:val="1"/>
                <w:bCs w:val="1"/>
                <w:color w:val="auto"/>
              </w:rPr>
              <w:t>OTHER PUBLIC</w:t>
            </w:r>
          </w:p>
        </w:tc>
      </w:tr>
      <w:tr>
        <w:trPr>
          <w:trHeight w:val="160"/>
        </w:trPr>
        <w:tc>
          <w:tcPr>
            <w:tcW w:w="3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20" w:type="dxa"/>
            <w:vAlign w:val="bottom"/>
          </w:tcPr>
          <w:p>
            <w:pPr>
              <w:jc w:val="center"/>
              <w:ind w:left="29"/>
              <w:spacing w:after="0"/>
              <w:rPr>
                <w:sz w:val="20"/>
                <w:szCs w:val="20"/>
                <w:color w:val="auto"/>
              </w:rPr>
            </w:pPr>
            <w:r>
              <w:rPr>
                <w:rFonts w:ascii="Arial" w:cs="Arial" w:eastAsia="Arial" w:hAnsi="Arial"/>
                <w:sz w:val="14"/>
                <w:szCs w:val="14"/>
                <w:b w:val="1"/>
                <w:bCs w:val="1"/>
                <w:color w:val="auto"/>
              </w:rPr>
              <w:t>COMMITTEES</w:t>
            </w:r>
          </w:p>
        </w:tc>
        <w:tc>
          <w:tcPr>
            <w:tcW w:w="1280" w:type="dxa"/>
            <w:vAlign w:val="bottom"/>
          </w:tcPr>
          <w:p>
            <w:pPr>
              <w:jc w:val="center"/>
              <w:ind w:left="89"/>
              <w:spacing w:after="0"/>
              <w:rPr>
                <w:sz w:val="20"/>
                <w:szCs w:val="20"/>
                <w:color w:val="auto"/>
              </w:rPr>
            </w:pPr>
            <w:r>
              <w:rPr>
                <w:rFonts w:ascii="Arial" w:cs="Arial" w:eastAsia="Arial" w:hAnsi="Arial"/>
                <w:sz w:val="14"/>
                <w:szCs w:val="14"/>
                <w:b w:val="1"/>
                <w:bCs w:val="1"/>
                <w:color w:val="auto"/>
              </w:rPr>
              <w:t>COMPANY</w:t>
            </w:r>
          </w:p>
        </w:tc>
      </w:tr>
      <w:tr>
        <w:trPr>
          <w:trHeight w:val="208"/>
        </w:trPr>
        <w:tc>
          <w:tcPr>
            <w:tcW w:w="3460" w:type="dxa"/>
            <w:vAlign w:val="bottom"/>
          </w:tcPr>
          <w:p>
            <w:pPr>
              <w:ind w:left="2020"/>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ind w:left="1020"/>
              <w:spacing w:after="0"/>
              <w:rPr>
                <w:sz w:val="20"/>
                <w:szCs w:val="20"/>
                <w:color w:val="auto"/>
              </w:rPr>
            </w:pPr>
            <w:r>
              <w:rPr>
                <w:rFonts w:ascii="Arial" w:cs="Arial" w:eastAsia="Arial" w:hAnsi="Arial"/>
                <w:sz w:val="14"/>
                <w:szCs w:val="14"/>
                <w:b w:val="1"/>
                <w:bCs w:val="1"/>
                <w:color w:val="auto"/>
              </w:rPr>
              <w:t>OCCUPATION</w:t>
            </w:r>
          </w:p>
        </w:tc>
        <w:tc>
          <w:tcPr>
            <w:tcW w:w="1820" w:type="dxa"/>
            <w:vAlign w:val="bottom"/>
          </w:tcPr>
          <w:p>
            <w:pPr>
              <w:ind w:left="540"/>
              <w:spacing w:after="0"/>
              <w:rPr>
                <w:sz w:val="20"/>
                <w:szCs w:val="20"/>
                <w:color w:val="auto"/>
              </w:rPr>
            </w:pPr>
            <w:r>
              <w:rPr>
                <w:rFonts w:ascii="Arial" w:cs="Arial" w:eastAsia="Arial" w:hAnsi="Arial"/>
                <w:sz w:val="14"/>
                <w:szCs w:val="14"/>
                <w:b w:val="1"/>
                <w:bCs w:val="1"/>
                <w:color w:val="auto"/>
              </w:rPr>
              <w:t>INDEPENDENT</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rPr>
              <w:t>MEMBERSHIPS*</w:t>
            </w:r>
          </w:p>
        </w:tc>
        <w:tc>
          <w:tcPr>
            <w:tcW w:w="1280" w:type="dxa"/>
            <w:vAlign w:val="bottom"/>
          </w:tcPr>
          <w:p>
            <w:pPr>
              <w:jc w:val="center"/>
              <w:ind w:left="69"/>
              <w:spacing w:after="0"/>
              <w:rPr>
                <w:sz w:val="20"/>
                <w:szCs w:val="20"/>
                <w:color w:val="auto"/>
              </w:rPr>
            </w:pPr>
            <w:r>
              <w:rPr>
                <w:rFonts w:ascii="Arial" w:cs="Arial" w:eastAsia="Arial" w:hAnsi="Arial"/>
                <w:sz w:val="14"/>
                <w:szCs w:val="14"/>
                <w:b w:val="1"/>
                <w:bCs w:val="1"/>
                <w:color w:val="auto"/>
              </w:rPr>
              <w:t>BOARDS</w:t>
            </w:r>
          </w:p>
        </w:tc>
      </w:tr>
      <w:tr>
        <w:trPr>
          <w:trHeight w:val="28"/>
        </w:trPr>
        <w:tc>
          <w:tcPr>
            <w:tcW w:w="3460" w:type="dxa"/>
            <w:vAlign w:val="bottom"/>
            <w:tcBorders>
              <w:bottom w:val="single" w:sz="8" w:color="021496"/>
            </w:tcBorders>
          </w:tcPr>
          <w:p>
            <w:pPr>
              <w:spacing w:after="0"/>
              <w:rPr>
                <w:sz w:val="2"/>
                <w:szCs w:val="2"/>
                <w:color w:val="auto"/>
              </w:rPr>
            </w:pPr>
          </w:p>
        </w:tc>
        <w:tc>
          <w:tcPr>
            <w:tcW w:w="2480" w:type="dxa"/>
            <w:vAlign w:val="bottom"/>
            <w:tcBorders>
              <w:bottom w:val="single" w:sz="8" w:color="021496"/>
            </w:tcBorders>
          </w:tcPr>
          <w:p>
            <w:pPr>
              <w:spacing w:after="0"/>
              <w:rPr>
                <w:sz w:val="2"/>
                <w:szCs w:val="2"/>
                <w:color w:val="auto"/>
              </w:rPr>
            </w:pPr>
          </w:p>
        </w:tc>
        <w:tc>
          <w:tcPr>
            <w:tcW w:w="1820" w:type="dxa"/>
            <w:vAlign w:val="bottom"/>
            <w:tcBorders>
              <w:bottom w:val="single" w:sz="8" w:color="021496"/>
            </w:tcBorders>
          </w:tcPr>
          <w:p>
            <w:pPr>
              <w:spacing w:after="0"/>
              <w:rPr>
                <w:sz w:val="2"/>
                <w:szCs w:val="2"/>
                <w:color w:val="auto"/>
              </w:rPr>
            </w:pPr>
          </w:p>
        </w:tc>
        <w:tc>
          <w:tcPr>
            <w:tcW w:w="1520" w:type="dxa"/>
            <w:vAlign w:val="bottom"/>
            <w:tcBorders>
              <w:bottom w:val="single" w:sz="8" w:color="021496"/>
            </w:tcBorders>
          </w:tcPr>
          <w:p>
            <w:pPr>
              <w:spacing w:after="0"/>
              <w:rPr>
                <w:sz w:val="2"/>
                <w:szCs w:val="2"/>
                <w:color w:val="auto"/>
              </w:rPr>
            </w:pPr>
          </w:p>
        </w:tc>
        <w:tc>
          <w:tcPr>
            <w:tcW w:w="1280" w:type="dxa"/>
            <w:vAlign w:val="bottom"/>
            <w:tcBorders>
              <w:bottom w:val="single" w:sz="8" w:color="021496"/>
            </w:tcBorders>
          </w:tcPr>
          <w:p>
            <w:pPr>
              <w:spacing w:after="0"/>
              <w:rPr>
                <w:sz w:val="2"/>
                <w:szCs w:val="2"/>
                <w:color w:val="auto"/>
              </w:rPr>
            </w:pPr>
          </w:p>
        </w:tc>
      </w:tr>
    </w:tbl>
    <w:p>
      <w:pPr>
        <w:spacing w:after="0" w:line="56" w:lineRule="exact"/>
        <w:rPr>
          <w:sz w:val="20"/>
          <w:szCs w:val="20"/>
          <w:color w:val="auto"/>
        </w:rPr>
      </w:pPr>
    </w:p>
    <w:p>
      <w:pPr>
        <w:sectPr>
          <w:pgSz w:w="11900" w:h="16838" w:orient="portrait"/>
          <w:cols w:equalWidth="0" w:num="1">
            <w:col w:w="10920"/>
          </w:cols>
          <w:pgMar w:left="480" w:top="299" w:right="499" w:bottom="1440" w:gutter="0" w:footer="0" w:header="0"/>
        </w:sectPr>
      </w:pPr>
    </w:p>
    <w:p>
      <w:pPr>
        <w:spacing w:after="0" w:line="118"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Deborah L. DeHaas</w:t>
      </w:r>
    </w:p>
    <w:p>
      <w:pPr>
        <w:ind w:left="1400"/>
        <w:spacing w:after="0" w:line="235" w:lineRule="auto"/>
        <w:rPr>
          <w:sz w:val="20"/>
          <w:szCs w:val="20"/>
          <w:color w:val="auto"/>
        </w:rPr>
      </w:pPr>
      <w:r>
        <w:rPr>
          <w:rFonts w:ascii="Arial" w:cs="Arial" w:eastAsia="Arial" w:hAnsi="Arial"/>
          <w:sz w:val="11"/>
          <w:szCs w:val="11"/>
          <w:color w:val="auto"/>
        </w:rPr>
        <w:t>Age: 66</w:t>
      </w:r>
    </w:p>
    <w:p>
      <w:pPr>
        <w:ind w:left="1400"/>
        <w:spacing w:after="0"/>
        <w:rPr>
          <w:sz w:val="20"/>
          <w:szCs w:val="20"/>
          <w:color w:val="auto"/>
        </w:rPr>
      </w:pPr>
      <w:r>
        <w:rPr>
          <w:rFonts w:ascii="Arial" w:cs="Arial" w:eastAsia="Arial" w:hAnsi="Arial"/>
          <w:sz w:val="11"/>
          <w:szCs w:val="11"/>
          <w:color w:val="auto"/>
        </w:rPr>
        <w:t>Director Since: 2021</w:t>
      </w: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Arial" w:cs="Arial" w:eastAsia="Arial" w:hAnsi="Arial"/>
          <w:sz w:val="10"/>
          <w:szCs w:val="10"/>
          <w:b w:val="1"/>
          <w:bCs w:val="1"/>
          <w:color w:val="auto"/>
        </w:rPr>
        <w:t>H. John Gilbertson, Jr.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Age: 69</w:t>
      </w:r>
    </w:p>
    <w:p>
      <w:pPr>
        <w:ind w:left="1400"/>
        <w:spacing w:after="0"/>
        <w:rPr>
          <w:sz w:val="20"/>
          <w:szCs w:val="20"/>
          <w:color w:val="auto"/>
        </w:rPr>
      </w:pPr>
      <w:r>
        <w:rPr>
          <w:rFonts w:ascii="Arial" w:cs="Arial" w:eastAsia="Arial" w:hAnsi="Arial"/>
          <w:sz w:val="11"/>
          <w:szCs w:val="11"/>
          <w:color w:val="auto"/>
        </w:rPr>
        <w:t>Director Since: 2018</w:t>
      </w:r>
    </w:p>
    <w:p>
      <w:pPr>
        <w:spacing w:after="0" w:line="398"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Kristiane C. Graham</w:t>
      </w:r>
    </w:p>
    <w:p>
      <w:pPr>
        <w:ind w:left="1400"/>
        <w:spacing w:after="0" w:line="235" w:lineRule="auto"/>
        <w:rPr>
          <w:sz w:val="20"/>
          <w:szCs w:val="20"/>
          <w:color w:val="auto"/>
        </w:rPr>
      </w:pPr>
      <w:r>
        <w:rPr>
          <w:rFonts w:ascii="Arial" w:cs="Arial" w:eastAsia="Arial" w:hAnsi="Arial"/>
          <w:sz w:val="11"/>
          <w:szCs w:val="11"/>
          <w:color w:val="auto"/>
        </w:rPr>
        <w:t>Age: 68</w:t>
      </w:r>
    </w:p>
    <w:p>
      <w:pPr>
        <w:ind w:left="1400"/>
        <w:spacing w:after="0"/>
        <w:rPr>
          <w:sz w:val="20"/>
          <w:szCs w:val="20"/>
          <w:color w:val="auto"/>
        </w:rPr>
      </w:pPr>
      <w:r>
        <w:rPr>
          <w:rFonts w:ascii="Arial" w:cs="Arial" w:eastAsia="Arial" w:hAnsi="Arial"/>
          <w:sz w:val="11"/>
          <w:szCs w:val="11"/>
          <w:color w:val="auto"/>
        </w:rPr>
        <w:t>Director Since: 1999</w:t>
      </w:r>
    </w:p>
    <w:p>
      <w:pPr>
        <w:spacing w:after="0" w:line="200" w:lineRule="exact"/>
        <w:rPr>
          <w:sz w:val="20"/>
          <w:szCs w:val="20"/>
          <w:color w:val="auto"/>
        </w:rPr>
      </w:pP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Marc A. Howze</w:t>
      </w:r>
    </w:p>
    <w:p>
      <w:pPr>
        <w:ind w:left="1400"/>
        <w:spacing w:after="0" w:line="235" w:lineRule="auto"/>
        <w:rPr>
          <w:sz w:val="20"/>
          <w:szCs w:val="20"/>
          <w:color w:val="auto"/>
        </w:rPr>
      </w:pPr>
      <w:r>
        <w:rPr>
          <w:rFonts w:ascii="Arial" w:cs="Arial" w:eastAsia="Arial" w:hAnsi="Arial"/>
          <w:sz w:val="11"/>
          <w:szCs w:val="11"/>
          <w:color w:val="auto"/>
        </w:rPr>
        <w:t>Age: 62</w:t>
      </w:r>
    </w:p>
    <w:p>
      <w:pPr>
        <w:ind w:left="1400"/>
        <w:spacing w:after="0"/>
        <w:rPr>
          <w:sz w:val="20"/>
          <w:szCs w:val="20"/>
          <w:color w:val="auto"/>
        </w:rPr>
      </w:pPr>
      <w:r>
        <w:rPr>
          <w:rFonts w:ascii="Arial" w:cs="Arial" w:eastAsia="Arial" w:hAnsi="Arial"/>
          <w:sz w:val="11"/>
          <w:szCs w:val="11"/>
          <w:color w:val="auto"/>
        </w:rPr>
        <w:t>Director Since: 2023</w:t>
      </w:r>
    </w:p>
    <w:p>
      <w:pPr>
        <w:spacing w:after="0" w:line="372"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Michael Manley</w:t>
      </w:r>
    </w:p>
    <w:p>
      <w:pPr>
        <w:ind w:left="1400"/>
        <w:spacing w:after="0" w:line="235" w:lineRule="auto"/>
        <w:rPr>
          <w:sz w:val="20"/>
          <w:szCs w:val="20"/>
          <w:color w:val="auto"/>
        </w:rPr>
      </w:pPr>
      <w:r>
        <w:rPr>
          <w:rFonts w:ascii="Arial" w:cs="Arial" w:eastAsia="Arial" w:hAnsi="Arial"/>
          <w:sz w:val="11"/>
          <w:szCs w:val="11"/>
          <w:color w:val="auto"/>
        </w:rPr>
        <w:t>Age: 62</w:t>
      </w:r>
    </w:p>
    <w:p>
      <w:pPr>
        <w:ind w:left="1400"/>
        <w:spacing w:after="0"/>
        <w:rPr>
          <w:sz w:val="20"/>
          <w:szCs w:val="20"/>
          <w:color w:val="auto"/>
        </w:rPr>
      </w:pPr>
      <w:r>
        <w:rPr>
          <w:rFonts w:ascii="Arial" w:cs="Arial" w:eastAsia="Arial" w:hAnsi="Arial"/>
          <w:sz w:val="11"/>
          <w:szCs w:val="11"/>
          <w:color w:val="auto"/>
        </w:rPr>
        <w:t>Director Since: 2023</w:t>
      </w:r>
    </w:p>
    <w:p>
      <w:pPr>
        <w:spacing w:after="0" w:line="200" w:lineRule="exact"/>
        <w:rPr>
          <w:sz w:val="20"/>
          <w:szCs w:val="20"/>
          <w:color w:val="auto"/>
        </w:rPr>
      </w:pP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Danita K. Ostling</w:t>
      </w:r>
    </w:p>
    <w:p>
      <w:pPr>
        <w:ind w:left="1400"/>
        <w:spacing w:after="0" w:line="235" w:lineRule="auto"/>
        <w:rPr>
          <w:sz w:val="20"/>
          <w:szCs w:val="20"/>
          <w:color w:val="auto"/>
        </w:rPr>
      </w:pPr>
      <w:r>
        <w:rPr>
          <w:rFonts w:ascii="Arial" w:cs="Arial" w:eastAsia="Arial" w:hAnsi="Arial"/>
          <w:sz w:val="11"/>
          <w:szCs w:val="11"/>
          <w:color w:val="auto"/>
        </w:rPr>
        <w:t>Age: 65</w:t>
      </w:r>
    </w:p>
    <w:p>
      <w:pPr>
        <w:ind w:left="1400"/>
        <w:spacing w:after="0"/>
        <w:rPr>
          <w:sz w:val="20"/>
          <w:szCs w:val="20"/>
          <w:color w:val="auto"/>
        </w:rPr>
      </w:pPr>
      <w:r>
        <w:rPr>
          <w:rFonts w:ascii="Arial" w:cs="Arial" w:eastAsia="Arial" w:hAnsi="Arial"/>
          <w:sz w:val="11"/>
          <w:szCs w:val="11"/>
          <w:color w:val="auto"/>
        </w:rPr>
        <w:t>Director Since: 2023</w:t>
      </w:r>
    </w:p>
    <w:p>
      <w:pPr>
        <w:spacing w:after="0" w:line="398" w:lineRule="exact"/>
        <w:rPr>
          <w:sz w:val="20"/>
          <w:szCs w:val="20"/>
          <w:color w:val="auto"/>
        </w:rPr>
      </w:pPr>
    </w:p>
    <w:p>
      <w:pPr>
        <w:ind w:left="1400"/>
        <w:spacing w:after="0"/>
        <w:rPr>
          <w:sz w:val="20"/>
          <w:szCs w:val="20"/>
          <w:color w:val="auto"/>
        </w:rPr>
      </w:pPr>
      <w:r>
        <w:rPr>
          <w:rFonts w:ascii="Arial" w:cs="Arial" w:eastAsia="Arial" w:hAnsi="Arial"/>
          <w:sz w:val="11"/>
          <w:szCs w:val="11"/>
          <w:b w:val="1"/>
          <w:bCs w:val="1"/>
          <w:color w:val="auto"/>
        </w:rPr>
        <w:t>Eric A. Spiegel</w:t>
      </w:r>
    </w:p>
    <w:p>
      <w:pPr>
        <w:ind w:left="1400"/>
        <w:spacing w:after="0" w:line="235" w:lineRule="auto"/>
        <w:rPr>
          <w:sz w:val="20"/>
          <w:szCs w:val="20"/>
          <w:color w:val="auto"/>
        </w:rPr>
      </w:pPr>
      <w:r>
        <w:rPr>
          <w:rFonts w:ascii="Arial" w:cs="Arial" w:eastAsia="Arial" w:hAnsi="Arial"/>
          <w:sz w:val="11"/>
          <w:szCs w:val="11"/>
          <w:color w:val="auto"/>
        </w:rPr>
        <w:t>Age: 68</w:t>
      </w:r>
    </w:p>
    <w:p>
      <w:pPr>
        <w:ind w:left="1400"/>
        <w:spacing w:after="0"/>
        <w:rPr>
          <w:sz w:val="20"/>
          <w:szCs w:val="20"/>
          <w:color w:val="auto"/>
        </w:rPr>
      </w:pPr>
      <w:r>
        <w:rPr>
          <w:rFonts w:ascii="Arial" w:cs="Arial" w:eastAsia="Arial" w:hAnsi="Arial"/>
          <w:sz w:val="11"/>
          <w:szCs w:val="11"/>
          <w:color w:val="auto"/>
        </w:rPr>
        <w:t>Director Since: 2017</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80"/>
        <w:spacing w:after="0" w:line="241" w:lineRule="auto"/>
        <w:rPr>
          <w:sz w:val="20"/>
          <w:szCs w:val="20"/>
          <w:color w:val="auto"/>
        </w:rPr>
      </w:pPr>
      <w:r>
        <w:rPr>
          <w:rFonts w:ascii="Arial" w:cs="Arial" w:eastAsia="Arial" w:hAnsi="Arial"/>
          <w:sz w:val="11"/>
          <w:szCs w:val="11"/>
          <w:color w:val="auto"/>
        </w:rPr>
        <w:t>CEO of the Corporate Leadership Center; Former Vice Chairman of Deloitte and Managing Partner of the Center for Board Effectiveness</w:t>
      </w:r>
    </w:p>
    <w:p>
      <w:pPr>
        <w:spacing w:after="0" w:line="200" w:lineRule="exact"/>
        <w:rPr>
          <w:sz w:val="20"/>
          <w:szCs w:val="20"/>
          <w:color w:val="auto"/>
        </w:rPr>
      </w:pPr>
    </w:p>
    <w:p>
      <w:pPr>
        <w:spacing w:after="0" w:line="355" w:lineRule="exact"/>
        <w:rPr>
          <w:sz w:val="20"/>
          <w:szCs w:val="20"/>
          <w:color w:val="auto"/>
        </w:rPr>
      </w:pPr>
    </w:p>
    <w:p>
      <w:pPr>
        <w:jc w:val="center"/>
        <w:ind w:right="640"/>
        <w:spacing w:after="0"/>
        <w:rPr>
          <w:sz w:val="20"/>
          <w:szCs w:val="20"/>
          <w:color w:val="auto"/>
        </w:rPr>
      </w:pPr>
      <w:r>
        <w:rPr>
          <w:rFonts w:ascii="Arial" w:cs="Arial" w:eastAsia="Arial" w:hAnsi="Arial"/>
          <w:sz w:val="10"/>
          <w:szCs w:val="10"/>
          <w:color w:val="auto"/>
        </w:rPr>
        <w:t>Retired Managing Director at Goldman Sachs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Private Investor</w:t>
      </w:r>
    </w:p>
    <w:p>
      <w:pPr>
        <w:spacing w:after="0" w:line="200" w:lineRule="exact"/>
        <w:rPr>
          <w:sz w:val="20"/>
          <w:szCs w:val="20"/>
          <w:color w:val="auto"/>
        </w:rPr>
      </w:pP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1"/>
          <w:szCs w:val="11"/>
          <w:color w:val="auto"/>
        </w:rPr>
        <w:t>Former Group President and Chief Administrative Officer at Deere &amp; Company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CEO of AutoNation,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Former Partner at Ernst &amp; Young LLP</w:t>
      </w:r>
    </w:p>
    <w:p>
      <w:pPr>
        <w:spacing w:after="0" w:line="200" w:lineRule="exact"/>
        <w:rPr>
          <w:sz w:val="20"/>
          <w:szCs w:val="20"/>
          <w:color w:val="auto"/>
        </w:rPr>
      </w:pPr>
    </w:p>
    <w:p>
      <w:pPr>
        <w:spacing w:after="0" w:line="382" w:lineRule="exact"/>
        <w:rPr>
          <w:sz w:val="20"/>
          <w:szCs w:val="20"/>
          <w:color w:val="auto"/>
        </w:rPr>
      </w:pPr>
    </w:p>
    <w:p>
      <w:pPr>
        <w:ind w:right="280"/>
        <w:spacing w:after="0" w:line="255" w:lineRule="auto"/>
        <w:rPr>
          <w:sz w:val="20"/>
          <w:szCs w:val="20"/>
          <w:color w:val="auto"/>
        </w:rPr>
      </w:pPr>
      <w:r>
        <w:rPr>
          <w:rFonts w:ascii="Arial" w:cs="Arial" w:eastAsia="Arial" w:hAnsi="Arial"/>
          <w:sz w:val="11"/>
          <w:szCs w:val="11"/>
          <w:color w:val="auto"/>
        </w:rPr>
        <w:t>Former President and CEO of Siemens USA; Special Advisor at Brighton Park Capital</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1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7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89"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49"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89"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7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120" w:type="dxa"/>
            <w:vAlign w:val="bottom"/>
          </w:tcPr>
          <w:p>
            <w:pPr>
              <w:jc w:val="center"/>
              <w:ind w:right="487"/>
              <w:spacing w:after="0"/>
              <w:rPr>
                <w:sz w:val="20"/>
                <w:szCs w:val="20"/>
                <w:color w:val="auto"/>
              </w:rPr>
            </w:pPr>
            <w:r>
              <w:rPr>
                <w:rFonts w:ascii="Arial" w:cs="Arial" w:eastAsia="Arial" w:hAnsi="Arial"/>
                <w:sz w:val="11"/>
                <w:szCs w:val="11"/>
                <w:color w:val="auto"/>
                <w:w w:val="99"/>
              </w:rPr>
              <w:t>A, G</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16"/>
        </w:trPr>
        <w:tc>
          <w:tcPr>
            <w:tcW w:w="1120" w:type="dxa"/>
            <w:vAlign w:val="bottom"/>
          </w:tcPr>
          <w:p>
            <w:pPr>
              <w:jc w:val="center"/>
              <w:ind w:right="487"/>
              <w:spacing w:after="0"/>
              <w:rPr>
                <w:sz w:val="20"/>
                <w:szCs w:val="20"/>
                <w:color w:val="auto"/>
              </w:rPr>
            </w:pPr>
            <w:r>
              <w:rPr>
                <w:rFonts w:ascii="Arial" w:cs="Arial" w:eastAsia="Arial" w:hAnsi="Arial"/>
                <w:sz w:val="11"/>
                <w:szCs w:val="11"/>
                <w:color w:val="auto"/>
                <w:w w:val="92"/>
              </w:rPr>
              <w:t>F, G (Chair)</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76"/>
        </w:trPr>
        <w:tc>
          <w:tcPr>
            <w:tcW w:w="1120" w:type="dxa"/>
            <w:vAlign w:val="bottom"/>
          </w:tcPr>
          <w:p>
            <w:pPr>
              <w:jc w:val="center"/>
              <w:ind w:right="487"/>
              <w:spacing w:after="0"/>
              <w:rPr>
                <w:sz w:val="20"/>
                <w:szCs w:val="20"/>
                <w:color w:val="auto"/>
              </w:rPr>
            </w:pPr>
            <w:r>
              <w:rPr>
                <w:rFonts w:ascii="Arial" w:cs="Arial" w:eastAsia="Arial" w:hAnsi="Arial"/>
                <w:sz w:val="11"/>
                <w:szCs w:val="11"/>
                <w:color w:val="auto"/>
                <w:w w:val="97"/>
              </w:rPr>
              <w:t>C, G</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89"/>
        </w:trPr>
        <w:tc>
          <w:tcPr>
            <w:tcW w:w="1120" w:type="dxa"/>
            <w:vAlign w:val="bottom"/>
          </w:tcPr>
          <w:p>
            <w:pPr>
              <w:jc w:val="center"/>
              <w:ind w:right="487"/>
              <w:spacing w:after="0"/>
              <w:rPr>
                <w:sz w:val="20"/>
                <w:szCs w:val="20"/>
                <w:color w:val="auto"/>
              </w:rPr>
            </w:pPr>
            <w:r>
              <w:rPr>
                <w:rFonts w:ascii="Arial" w:cs="Arial" w:eastAsia="Arial" w:hAnsi="Arial"/>
                <w:sz w:val="11"/>
                <w:szCs w:val="11"/>
                <w:color w:val="auto"/>
              </w:rPr>
              <w:t>A, C</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49"/>
        </w:trPr>
        <w:tc>
          <w:tcPr>
            <w:tcW w:w="1120" w:type="dxa"/>
            <w:vAlign w:val="bottom"/>
          </w:tcPr>
          <w:p>
            <w:pPr>
              <w:jc w:val="center"/>
              <w:ind w:right="507"/>
              <w:spacing w:after="0"/>
              <w:rPr>
                <w:sz w:val="20"/>
                <w:szCs w:val="20"/>
                <w:color w:val="auto"/>
              </w:rPr>
            </w:pPr>
            <w:r>
              <w:rPr>
                <w:rFonts w:ascii="Arial" w:cs="Arial" w:eastAsia="Arial" w:hAnsi="Arial"/>
                <w:sz w:val="11"/>
                <w:szCs w:val="11"/>
                <w:color w:val="auto"/>
                <w:w w:val="96"/>
              </w:rPr>
              <w:t>C, F</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89"/>
        </w:trPr>
        <w:tc>
          <w:tcPr>
            <w:tcW w:w="1120" w:type="dxa"/>
            <w:vAlign w:val="bottom"/>
          </w:tcPr>
          <w:p>
            <w:pPr>
              <w:jc w:val="center"/>
              <w:ind w:right="507"/>
              <w:spacing w:after="0"/>
              <w:rPr>
                <w:sz w:val="20"/>
                <w:szCs w:val="20"/>
                <w:color w:val="auto"/>
              </w:rPr>
            </w:pPr>
            <w:r>
              <w:rPr>
                <w:rFonts w:ascii="Arial" w:cs="Arial" w:eastAsia="Arial" w:hAnsi="Arial"/>
                <w:sz w:val="11"/>
                <w:szCs w:val="11"/>
                <w:color w:val="auto"/>
                <w:w w:val="95"/>
              </w:rPr>
              <w:t>A (Chair), G</w:t>
            </w: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776"/>
        </w:trPr>
        <w:tc>
          <w:tcPr>
            <w:tcW w:w="1120" w:type="dxa"/>
            <w:vAlign w:val="bottom"/>
          </w:tcPr>
          <w:p>
            <w:pPr>
              <w:jc w:val="center"/>
              <w:ind w:right="487"/>
              <w:spacing w:after="0"/>
              <w:rPr>
                <w:sz w:val="20"/>
                <w:szCs w:val="20"/>
                <w:color w:val="auto"/>
              </w:rPr>
            </w:pPr>
            <w:r>
              <w:rPr>
                <w:rFonts w:ascii="Arial" w:cs="Arial" w:eastAsia="Arial" w:hAnsi="Arial"/>
                <w:sz w:val="11"/>
                <w:szCs w:val="11"/>
                <w:color w:val="auto"/>
                <w:w w:val="94"/>
              </w:rPr>
              <w:t>A, F (Chair)</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r>
    </w:tbl>
    <w:p>
      <w:pPr>
        <w:spacing w:after="0" w:line="302" w:lineRule="exact"/>
        <w:rPr>
          <w:sz w:val="20"/>
          <w:szCs w:val="20"/>
          <w:color w:val="auto"/>
        </w:rPr>
      </w:pPr>
    </w:p>
    <w:p>
      <w:pPr>
        <w:sectPr>
          <w:pgSz w:w="11900" w:h="16838" w:orient="portrait"/>
          <w:cols w:equalWidth="0" w:num="4">
            <w:col w:w="2980" w:space="720"/>
            <w:col w:w="2800" w:space="500"/>
            <w:col w:w="740" w:space="720"/>
            <w:col w:w="2460"/>
          </w:cols>
          <w:pgMar w:left="480" w:top="299" w:right="499" w:bottom="1440" w:gutter="0" w:footer="0" w:header="0"/>
          <w:type w:val="continuous"/>
        </w:sectPr>
      </w:pP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268"/>
        </w:trPr>
        <w:tc>
          <w:tcPr>
            <w:tcW w:w="920" w:type="dxa"/>
            <w:vAlign w:val="bottom"/>
            <w:shd w:val="clear" w:color="auto" w:fill="D8D8D8"/>
          </w:tcPr>
          <w:p>
            <w:pPr>
              <w:spacing w:after="0"/>
              <w:rPr>
                <w:sz w:val="23"/>
                <w:szCs w:val="23"/>
                <w:color w:val="auto"/>
              </w:rPr>
            </w:pPr>
          </w:p>
        </w:tc>
        <w:tc>
          <w:tcPr>
            <w:tcW w:w="1940" w:type="dxa"/>
            <w:vAlign w:val="bottom"/>
            <w:shd w:val="clear" w:color="auto" w:fill="D8D8D8"/>
          </w:tcPr>
          <w:p>
            <w:pPr>
              <w:ind w:left="300"/>
              <w:spacing w:after="0"/>
              <w:rPr>
                <w:sz w:val="20"/>
                <w:szCs w:val="20"/>
                <w:color w:val="auto"/>
              </w:rPr>
            </w:pPr>
            <w:r>
              <w:rPr>
                <w:rFonts w:ascii="Arial" w:cs="Arial" w:eastAsia="Arial" w:hAnsi="Arial"/>
                <w:sz w:val="11"/>
                <w:szCs w:val="11"/>
                <w:b w:val="1"/>
                <w:bCs w:val="1"/>
                <w:color w:val="auto"/>
              </w:rPr>
              <w:t>Richard J. Tobin</w:t>
            </w:r>
          </w:p>
        </w:tc>
        <w:tc>
          <w:tcPr>
            <w:tcW w:w="3440" w:type="dxa"/>
            <w:vAlign w:val="bottom"/>
            <w:shd w:val="clear" w:color="auto" w:fill="D8D8D8"/>
          </w:tcPr>
          <w:p>
            <w:pPr>
              <w:spacing w:after="0"/>
              <w:rPr>
                <w:sz w:val="23"/>
                <w:szCs w:val="23"/>
                <w:color w:val="auto"/>
              </w:rPr>
            </w:pPr>
          </w:p>
        </w:tc>
        <w:tc>
          <w:tcPr>
            <w:tcW w:w="1520" w:type="dxa"/>
            <w:vAlign w:val="bottom"/>
            <w:shd w:val="clear" w:color="auto" w:fill="D8D8D8"/>
          </w:tcPr>
          <w:p>
            <w:pPr>
              <w:spacing w:after="0"/>
              <w:rPr>
                <w:sz w:val="23"/>
                <w:szCs w:val="23"/>
                <w:color w:val="auto"/>
              </w:rPr>
            </w:pPr>
          </w:p>
        </w:tc>
        <w:tc>
          <w:tcPr>
            <w:tcW w:w="158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920" w:type="dxa"/>
            <w:vAlign w:val="bottom"/>
            <w:shd w:val="clear" w:color="auto" w:fill="D8D8D8"/>
          </w:tcPr>
          <w:p>
            <w:pPr>
              <w:spacing w:after="0"/>
              <w:rPr>
                <w:sz w:val="10"/>
                <w:szCs w:val="10"/>
                <w:color w:val="auto"/>
              </w:rPr>
            </w:pPr>
          </w:p>
        </w:tc>
        <w:tc>
          <w:tcPr>
            <w:tcW w:w="1940" w:type="dxa"/>
            <w:vAlign w:val="bottom"/>
            <w:shd w:val="clear" w:color="auto" w:fill="D8D8D8"/>
          </w:tcPr>
          <w:p>
            <w:pPr>
              <w:ind w:left="300"/>
              <w:spacing w:after="0" w:line="121" w:lineRule="exact"/>
              <w:rPr>
                <w:sz w:val="20"/>
                <w:szCs w:val="20"/>
                <w:color w:val="auto"/>
              </w:rPr>
            </w:pPr>
            <w:r>
              <w:rPr>
                <w:rFonts w:ascii="Arial" w:cs="Arial" w:eastAsia="Arial" w:hAnsi="Arial"/>
                <w:sz w:val="11"/>
                <w:szCs w:val="11"/>
                <w:color w:val="auto"/>
              </w:rPr>
              <w:t>Chair of the Board</w:t>
            </w:r>
          </w:p>
        </w:tc>
        <w:tc>
          <w:tcPr>
            <w:tcW w:w="3440" w:type="dxa"/>
            <w:vAlign w:val="bottom"/>
            <w:vMerge w:val="restart"/>
            <w:shd w:val="clear" w:color="auto" w:fill="D8D8D8"/>
          </w:tcPr>
          <w:p>
            <w:pPr>
              <w:ind w:left="660"/>
              <w:spacing w:after="0"/>
              <w:rPr>
                <w:sz w:val="20"/>
                <w:szCs w:val="20"/>
                <w:color w:val="auto"/>
              </w:rPr>
            </w:pPr>
            <w:r>
              <w:rPr>
                <w:rFonts w:ascii="Arial" w:cs="Arial" w:eastAsia="Arial" w:hAnsi="Arial"/>
                <w:sz w:val="11"/>
                <w:szCs w:val="11"/>
                <w:color w:val="auto"/>
              </w:rPr>
              <w:t>Chairman, President, and CEO of Dover</w:t>
            </w:r>
          </w:p>
        </w:tc>
        <w:tc>
          <w:tcPr>
            <w:tcW w:w="1520" w:type="dxa"/>
            <w:vAlign w:val="bottom"/>
            <w:shd w:val="clear" w:color="auto" w:fill="D8D8D8"/>
          </w:tcPr>
          <w:p>
            <w:pPr>
              <w:jc w:val="center"/>
              <w:ind w:right="45"/>
              <w:spacing w:after="0" w:line="121" w:lineRule="exact"/>
              <w:rPr>
                <w:sz w:val="20"/>
                <w:szCs w:val="20"/>
                <w:color w:val="auto"/>
              </w:rPr>
            </w:pPr>
            <w:r>
              <w:rPr>
                <w:rFonts w:ascii="Arial" w:cs="Arial" w:eastAsia="Arial" w:hAnsi="Arial"/>
                <w:sz w:val="11"/>
                <w:szCs w:val="11"/>
                <w:color w:val="auto"/>
                <w:w w:val="99"/>
              </w:rPr>
              <w:t>No</w:t>
            </w:r>
          </w:p>
        </w:tc>
        <w:tc>
          <w:tcPr>
            <w:tcW w:w="1580" w:type="dxa"/>
            <w:vAlign w:val="bottom"/>
            <w:vMerge w:val="restart"/>
            <w:shd w:val="clear" w:color="auto" w:fill="D8D8D8"/>
          </w:tcPr>
          <w:p>
            <w:pPr>
              <w:jc w:val="center"/>
              <w:ind w:right="27"/>
              <w:spacing w:after="0"/>
              <w:rPr>
                <w:sz w:val="20"/>
                <w:szCs w:val="20"/>
                <w:color w:val="auto"/>
              </w:rPr>
            </w:pPr>
            <w:r>
              <w:rPr>
                <w:rFonts w:ascii="Arial" w:cs="Arial" w:eastAsia="Arial" w:hAnsi="Arial"/>
                <w:sz w:val="11"/>
                <w:szCs w:val="11"/>
                <w:color w:val="auto"/>
                <w:w w:val="90"/>
              </w:rPr>
              <w:t>—</w:t>
            </w:r>
          </w:p>
        </w:tc>
        <w:tc>
          <w:tcPr>
            <w:tcW w:w="1160" w:type="dxa"/>
            <w:vAlign w:val="bottom"/>
            <w:vMerge w:val="restart"/>
            <w:shd w:val="clear" w:color="auto" w:fill="D8D8D8"/>
          </w:tcPr>
          <w:p>
            <w:pPr>
              <w:jc w:val="right"/>
              <w:ind w:right="4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7"/>
        </w:trPr>
        <w:tc>
          <w:tcPr>
            <w:tcW w:w="920" w:type="dxa"/>
            <w:vAlign w:val="bottom"/>
            <w:shd w:val="clear" w:color="auto" w:fill="D8D8D8"/>
          </w:tcPr>
          <w:p>
            <w:pPr>
              <w:spacing w:after="0"/>
              <w:rPr>
                <w:sz w:val="7"/>
                <w:szCs w:val="7"/>
                <w:color w:val="auto"/>
              </w:rPr>
            </w:pPr>
          </w:p>
        </w:tc>
        <w:tc>
          <w:tcPr>
            <w:tcW w:w="1940" w:type="dxa"/>
            <w:vAlign w:val="bottom"/>
            <w:vMerge w:val="restart"/>
            <w:shd w:val="clear" w:color="auto" w:fill="D8D8D8"/>
          </w:tcPr>
          <w:p>
            <w:pPr>
              <w:ind w:left="300"/>
              <w:spacing w:after="0" w:line="121" w:lineRule="exact"/>
              <w:rPr>
                <w:sz w:val="20"/>
                <w:szCs w:val="20"/>
                <w:color w:val="auto"/>
              </w:rPr>
            </w:pPr>
            <w:r>
              <w:rPr>
                <w:rFonts w:ascii="Arial" w:cs="Arial" w:eastAsia="Arial" w:hAnsi="Arial"/>
                <w:sz w:val="11"/>
                <w:szCs w:val="11"/>
                <w:color w:val="auto"/>
              </w:rPr>
              <w:t>Age: 62</w:t>
            </w:r>
          </w:p>
        </w:tc>
        <w:tc>
          <w:tcPr>
            <w:tcW w:w="3440" w:type="dxa"/>
            <w:vAlign w:val="bottom"/>
            <w:vMerge w:val="continue"/>
            <w:shd w:val="clear" w:color="auto" w:fill="D8D8D8"/>
          </w:tcPr>
          <w:p>
            <w:pPr>
              <w:spacing w:after="0"/>
              <w:rPr>
                <w:sz w:val="7"/>
                <w:szCs w:val="7"/>
                <w:color w:val="auto"/>
              </w:rPr>
            </w:pPr>
          </w:p>
        </w:tc>
        <w:tc>
          <w:tcPr>
            <w:tcW w:w="1520" w:type="dxa"/>
            <w:vAlign w:val="bottom"/>
            <w:vMerge w:val="restart"/>
            <w:shd w:val="clear" w:color="auto" w:fill="D8D8D8"/>
          </w:tcPr>
          <w:p>
            <w:pPr>
              <w:jc w:val="center"/>
              <w:ind w:right="45"/>
              <w:spacing w:after="0" w:line="121" w:lineRule="exact"/>
              <w:rPr>
                <w:sz w:val="20"/>
                <w:szCs w:val="20"/>
                <w:color w:val="auto"/>
              </w:rPr>
            </w:pPr>
            <w:r>
              <w:rPr>
                <w:rFonts w:ascii="Arial" w:cs="Arial" w:eastAsia="Arial" w:hAnsi="Arial"/>
                <w:sz w:val="11"/>
                <w:szCs w:val="11"/>
                <w:color w:val="auto"/>
                <w:w w:val="97"/>
              </w:rPr>
              <w:t>(CEO of Dover)</w:t>
            </w:r>
          </w:p>
        </w:tc>
        <w:tc>
          <w:tcPr>
            <w:tcW w:w="1580" w:type="dxa"/>
            <w:vAlign w:val="bottom"/>
            <w:vMerge w:val="continue"/>
            <w:shd w:val="clear" w:color="auto" w:fill="D8D8D8"/>
          </w:tcPr>
          <w:p>
            <w:pPr>
              <w:spacing w:after="0"/>
              <w:rPr>
                <w:sz w:val="7"/>
                <w:szCs w:val="7"/>
                <w:color w:val="auto"/>
              </w:rPr>
            </w:pPr>
          </w:p>
        </w:tc>
        <w:tc>
          <w:tcPr>
            <w:tcW w:w="116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920" w:type="dxa"/>
            <w:vAlign w:val="bottom"/>
            <w:shd w:val="clear" w:color="auto" w:fill="D8D8D8"/>
          </w:tcPr>
          <w:p>
            <w:pPr>
              <w:spacing w:after="0"/>
              <w:rPr>
                <w:sz w:val="2"/>
                <w:szCs w:val="2"/>
                <w:color w:val="auto"/>
              </w:rPr>
            </w:pPr>
          </w:p>
        </w:tc>
        <w:tc>
          <w:tcPr>
            <w:tcW w:w="1940" w:type="dxa"/>
            <w:vAlign w:val="bottom"/>
            <w:vMerge w:val="continue"/>
            <w:shd w:val="clear" w:color="auto" w:fill="D8D8D8"/>
          </w:tcPr>
          <w:p>
            <w:pPr>
              <w:spacing w:after="0"/>
              <w:rPr>
                <w:sz w:val="2"/>
                <w:szCs w:val="2"/>
                <w:color w:val="auto"/>
              </w:rPr>
            </w:pPr>
          </w:p>
        </w:tc>
        <w:tc>
          <w:tcPr>
            <w:tcW w:w="3440" w:type="dxa"/>
            <w:vAlign w:val="bottom"/>
            <w:shd w:val="clear" w:color="auto" w:fill="D8D8D8"/>
          </w:tcPr>
          <w:p>
            <w:pPr>
              <w:spacing w:after="0"/>
              <w:rPr>
                <w:sz w:val="2"/>
                <w:szCs w:val="2"/>
                <w:color w:val="auto"/>
              </w:rPr>
            </w:pPr>
          </w:p>
        </w:tc>
        <w:tc>
          <w:tcPr>
            <w:tcW w:w="1520" w:type="dxa"/>
            <w:vAlign w:val="bottom"/>
            <w:vMerge w:val="continue"/>
            <w:shd w:val="clear" w:color="auto" w:fill="D8D8D8"/>
          </w:tcPr>
          <w:p>
            <w:pPr>
              <w:spacing w:after="0"/>
              <w:rPr>
                <w:sz w:val="2"/>
                <w:szCs w:val="2"/>
                <w:color w:val="auto"/>
              </w:rPr>
            </w:pPr>
          </w:p>
        </w:tc>
        <w:tc>
          <w:tcPr>
            <w:tcW w:w="1580" w:type="dxa"/>
            <w:vAlign w:val="bottom"/>
            <w:shd w:val="clear" w:color="auto" w:fill="D8D8D8"/>
          </w:tcPr>
          <w:p>
            <w:pPr>
              <w:spacing w:after="0"/>
              <w:rPr>
                <w:sz w:val="2"/>
                <w:szCs w:val="2"/>
                <w:color w:val="auto"/>
              </w:rPr>
            </w:pPr>
          </w:p>
        </w:tc>
        <w:tc>
          <w:tcPr>
            <w:tcW w:w="1160" w:type="dxa"/>
            <w:vAlign w:val="bottom"/>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940" w:type="dxa"/>
            <w:vAlign w:val="bottom"/>
            <w:shd w:val="clear" w:color="auto" w:fill="D8D8D8"/>
          </w:tcPr>
          <w:p>
            <w:pPr>
              <w:ind w:left="300"/>
              <w:spacing w:after="0"/>
              <w:rPr>
                <w:sz w:val="20"/>
                <w:szCs w:val="20"/>
                <w:color w:val="auto"/>
              </w:rPr>
            </w:pPr>
            <w:r>
              <w:rPr>
                <w:rFonts w:ascii="Arial" w:cs="Arial" w:eastAsia="Arial" w:hAnsi="Arial"/>
                <w:sz w:val="11"/>
                <w:szCs w:val="11"/>
                <w:color w:val="auto"/>
              </w:rPr>
              <w:t>Director Since: 2016</w:t>
            </w:r>
          </w:p>
        </w:tc>
        <w:tc>
          <w:tcPr>
            <w:tcW w:w="3440" w:type="dxa"/>
            <w:vAlign w:val="bottom"/>
            <w:shd w:val="clear" w:color="auto" w:fill="D8D8D8"/>
          </w:tcPr>
          <w:p>
            <w:pPr>
              <w:spacing w:after="0"/>
              <w:rPr>
                <w:sz w:val="12"/>
                <w:szCs w:val="12"/>
                <w:color w:val="auto"/>
              </w:rPr>
            </w:pPr>
          </w:p>
        </w:tc>
        <w:tc>
          <w:tcPr>
            <w:tcW w:w="152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1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20" w:type="dxa"/>
            <w:vAlign w:val="bottom"/>
            <w:shd w:val="clear" w:color="auto" w:fill="D8D8D8"/>
          </w:tcPr>
          <w:p>
            <w:pPr>
              <w:spacing w:after="0"/>
              <w:rPr>
                <w:sz w:val="12"/>
                <w:szCs w:val="12"/>
                <w:color w:val="auto"/>
              </w:rPr>
            </w:pPr>
          </w:p>
        </w:tc>
        <w:tc>
          <w:tcPr>
            <w:tcW w:w="1940" w:type="dxa"/>
            <w:vAlign w:val="bottom"/>
            <w:shd w:val="clear" w:color="auto" w:fill="D8D8D8"/>
          </w:tcPr>
          <w:p>
            <w:pPr>
              <w:spacing w:after="0"/>
              <w:rPr>
                <w:sz w:val="12"/>
                <w:szCs w:val="12"/>
                <w:color w:val="auto"/>
              </w:rPr>
            </w:pPr>
          </w:p>
        </w:tc>
        <w:tc>
          <w:tcPr>
            <w:tcW w:w="3440" w:type="dxa"/>
            <w:vAlign w:val="bottom"/>
            <w:shd w:val="clear" w:color="auto" w:fill="D8D8D8"/>
          </w:tcPr>
          <w:p>
            <w:pPr>
              <w:spacing w:after="0"/>
              <w:rPr>
                <w:sz w:val="12"/>
                <w:szCs w:val="12"/>
                <w:color w:val="auto"/>
              </w:rPr>
            </w:pPr>
          </w:p>
        </w:tc>
        <w:tc>
          <w:tcPr>
            <w:tcW w:w="152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1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920" w:type="dxa"/>
            <w:vAlign w:val="bottom"/>
          </w:tcPr>
          <w:p>
            <w:pPr>
              <w:spacing w:after="0"/>
              <w:rPr>
                <w:sz w:val="24"/>
                <w:szCs w:val="24"/>
                <w:color w:val="auto"/>
              </w:rPr>
            </w:pPr>
          </w:p>
        </w:tc>
        <w:tc>
          <w:tcPr>
            <w:tcW w:w="1940" w:type="dxa"/>
            <w:vAlign w:val="bottom"/>
          </w:tcPr>
          <w:p>
            <w:pPr>
              <w:ind w:left="300"/>
              <w:spacing w:after="0"/>
              <w:rPr>
                <w:sz w:val="20"/>
                <w:szCs w:val="20"/>
                <w:color w:val="auto"/>
              </w:rPr>
            </w:pPr>
            <w:r>
              <w:rPr>
                <w:rFonts w:ascii="Arial" w:cs="Arial" w:eastAsia="Arial" w:hAnsi="Arial"/>
                <w:sz w:val="11"/>
                <w:szCs w:val="11"/>
                <w:b w:val="1"/>
                <w:bCs w:val="1"/>
                <w:color w:val="auto"/>
              </w:rPr>
              <w:t>Keith E. Wandell</w:t>
            </w:r>
          </w:p>
        </w:tc>
        <w:tc>
          <w:tcPr>
            <w:tcW w:w="3440" w:type="dxa"/>
            <w:vAlign w:val="bottom"/>
          </w:tcPr>
          <w:p>
            <w:pPr>
              <w:spacing w:after="0"/>
              <w:rPr>
                <w:sz w:val="24"/>
                <w:szCs w:val="24"/>
                <w:color w:val="auto"/>
              </w:rPr>
            </w:pPr>
          </w:p>
        </w:tc>
        <w:tc>
          <w:tcPr>
            <w:tcW w:w="1520" w:type="dxa"/>
            <w:vAlign w:val="bottom"/>
            <w:vMerge w:val="restart"/>
          </w:tcPr>
          <w:p>
            <w:pPr>
              <w:jc w:val="center"/>
              <w:ind w:right="85"/>
              <w:spacing w:after="0" w:line="361" w:lineRule="exact"/>
              <w:rPr>
                <w:sz w:val="20"/>
                <w:szCs w:val="20"/>
                <w:color w:val="auto"/>
              </w:rPr>
            </w:pPr>
            <w:r>
              <w:rPr>
                <w:rFonts w:ascii="MS PGothic" w:cs="MS PGothic" w:eastAsia="MS PGothic" w:hAnsi="MS PGothic"/>
                <w:sz w:val="36"/>
                <w:szCs w:val="36"/>
                <w:color w:val="021496"/>
                <w:w w:val="83"/>
              </w:rPr>
              <w:t>✓</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1940" w:type="dxa"/>
            <w:vAlign w:val="bottom"/>
          </w:tcPr>
          <w:p>
            <w:pPr>
              <w:ind w:left="300"/>
              <w:spacing w:after="0" w:line="121" w:lineRule="exact"/>
              <w:rPr>
                <w:sz w:val="20"/>
                <w:szCs w:val="20"/>
                <w:color w:val="auto"/>
              </w:rPr>
            </w:pPr>
            <w:r>
              <w:rPr>
                <w:rFonts w:ascii="Arial" w:cs="Arial" w:eastAsia="Arial" w:hAnsi="Arial"/>
                <w:sz w:val="11"/>
                <w:szCs w:val="11"/>
                <w:color w:val="auto"/>
              </w:rPr>
              <w:t>Age: 76</w:t>
            </w:r>
          </w:p>
        </w:tc>
        <w:tc>
          <w:tcPr>
            <w:tcW w:w="3440" w:type="dxa"/>
            <w:vAlign w:val="bottom"/>
          </w:tcPr>
          <w:p>
            <w:pPr>
              <w:ind w:left="660"/>
              <w:spacing w:after="0" w:line="121" w:lineRule="exact"/>
              <w:rPr>
                <w:sz w:val="20"/>
                <w:szCs w:val="20"/>
                <w:color w:val="auto"/>
              </w:rPr>
            </w:pPr>
            <w:r>
              <w:rPr>
                <w:rFonts w:ascii="Arial" w:cs="Arial" w:eastAsia="Arial" w:hAnsi="Arial"/>
                <w:sz w:val="11"/>
                <w:szCs w:val="11"/>
                <w:color w:val="auto"/>
              </w:rPr>
              <w:t>Former President and CEO of Harley-Davidson, Inc.</w:t>
            </w:r>
          </w:p>
        </w:tc>
        <w:tc>
          <w:tcPr>
            <w:tcW w:w="1520" w:type="dxa"/>
            <w:vAlign w:val="bottom"/>
            <w:vMerge w:val="continue"/>
          </w:tcPr>
          <w:p>
            <w:pPr>
              <w:spacing w:after="0"/>
              <w:rPr>
                <w:sz w:val="10"/>
                <w:szCs w:val="10"/>
                <w:color w:val="auto"/>
              </w:rPr>
            </w:pPr>
          </w:p>
        </w:tc>
        <w:tc>
          <w:tcPr>
            <w:tcW w:w="1580" w:type="dxa"/>
            <w:vAlign w:val="bottom"/>
          </w:tcPr>
          <w:p>
            <w:pPr>
              <w:jc w:val="center"/>
              <w:ind w:right="47"/>
              <w:spacing w:after="0" w:line="121" w:lineRule="exact"/>
              <w:rPr>
                <w:sz w:val="20"/>
                <w:szCs w:val="20"/>
                <w:color w:val="auto"/>
              </w:rPr>
            </w:pPr>
            <w:r>
              <w:rPr>
                <w:rFonts w:ascii="Arial" w:cs="Arial" w:eastAsia="Arial" w:hAnsi="Arial"/>
                <w:sz w:val="11"/>
                <w:szCs w:val="11"/>
                <w:color w:val="auto"/>
                <w:w w:val="97"/>
              </w:rPr>
              <w:t>C (Chair), F</w:t>
            </w:r>
          </w:p>
        </w:tc>
        <w:tc>
          <w:tcPr>
            <w:tcW w:w="1160" w:type="dxa"/>
            <w:vAlign w:val="bottom"/>
          </w:tcPr>
          <w:p>
            <w:pPr>
              <w:jc w:val="right"/>
              <w:ind w:right="487"/>
              <w:spacing w:after="0" w:line="12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1940" w:type="dxa"/>
            <w:vAlign w:val="bottom"/>
          </w:tcPr>
          <w:p>
            <w:pPr>
              <w:ind w:left="300"/>
              <w:spacing w:after="0"/>
              <w:rPr>
                <w:sz w:val="20"/>
                <w:szCs w:val="20"/>
                <w:color w:val="auto"/>
              </w:rPr>
            </w:pPr>
            <w:r>
              <w:rPr>
                <w:rFonts w:ascii="Arial" w:cs="Arial" w:eastAsia="Arial" w:hAnsi="Arial"/>
                <w:sz w:val="11"/>
                <w:szCs w:val="11"/>
                <w:color w:val="auto"/>
              </w:rPr>
              <w:t>Director Since: 2015</w:t>
            </w:r>
          </w:p>
        </w:tc>
        <w:tc>
          <w:tcPr>
            <w:tcW w:w="344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 Audit Committee; C = Compensation Committee; G = Governance and Nominating Committee; F = Finance Committee</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w:t>
      </w:r>
    </w:p>
    <w:p>
      <w:pPr>
        <w:sectPr>
          <w:pgSz w:w="11900" w:h="16838" w:orient="portrait"/>
          <w:cols w:equalWidth="0" w:num="1">
            <w:col w:w="10920"/>
          </w:cols>
          <w:pgMar w:left="480" w:top="299" w:right="4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34200" cy="6195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21496"/>
        </w:rPr>
        <w:t>Board Composition</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Board has the following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w:t>
      </w:r>
    </w:p>
    <w:p>
      <w:pPr>
        <w:sectPr>
          <w:pgSz w:w="11900" w:h="16838" w:orient="portrait"/>
          <w:cols w:equalWidth="0" w:num="1">
            <w:col w:w="10920"/>
          </w:cols>
          <w:pgMar w:left="480" w:top="299" w:right="499" w:bottom="1440" w:gutter="0" w:footer="0" w:header="0"/>
        </w:sectPr>
      </w:pPr>
    </w:p>
    <w:bookmarkStart w:id="13" w:name="page14"/>
    <w:bookmarkEnd w:id="13"/>
    <w:p>
      <w:pPr>
        <w:spacing w:after="0"/>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Criteria for Director Nominees</w:t>
      </w:r>
    </w:p>
    <w:p>
      <w:pPr>
        <w:spacing w:after="0" w:line="8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Board seeks to recommend qualified director nominees who, in the opinion of the Board, demonstrate the highest personal and professional integrity as well as exceptional ability and judgment, who can serve as a sounding board for our CEO on planning and policy, and who will be most effective, together with the other nominees to the Board, in collectively serving the long-term interests of all our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areas of expertise for director nominees, which are reflected in our current director nominees,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163830</wp:posOffset>
            </wp:positionV>
            <wp:extent cx="4509770" cy="23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ectPr>
          <w:pgSz w:w="11900" w:h="16838" w:orient="portrait"/>
          <w:cols w:equalWidth="0" w:num="1">
            <w:col w:w="10920"/>
          </w:cols>
          <w:pgMar w:left="480" w:top="276" w:right="499" w:bottom="1440" w:gutter="0" w:footer="0" w:header="0"/>
        </w:sectPr>
      </w:pPr>
    </w:p>
    <w:p>
      <w:pPr>
        <w:spacing w:after="0" w:line="289"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Strategic M&amp;A</w:t>
      </w:r>
    </w:p>
    <w:p>
      <w:pPr>
        <w:spacing w:after="0" w:line="391"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Global Operations &amp;</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Management</w:t>
      </w:r>
    </w:p>
    <w:p>
      <w:pPr>
        <w:spacing w:after="0" w:line="326"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Capital Markets</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Expertise</w:t>
      </w:r>
    </w:p>
    <w:p>
      <w:pPr>
        <w:spacing w:after="0" w:line="326" w:lineRule="exact"/>
        <w:rPr>
          <w:sz w:val="20"/>
          <w:szCs w:val="20"/>
          <w:color w:val="auto"/>
        </w:rPr>
      </w:pPr>
    </w:p>
    <w:p>
      <w:pPr>
        <w:ind w:left="820" w:right="460" w:hanging="320"/>
        <w:spacing w:after="0" w:line="22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Strategy Development &amp; Execution</w:t>
      </w:r>
    </w:p>
    <w:p>
      <w:pPr>
        <w:spacing w:after="0" w:line="305"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Risk Management Expertise</w:t>
      </w:r>
    </w:p>
    <w:p>
      <w:pPr>
        <w:spacing w:after="0" w:line="391"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Audit &amp; Corporate</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Governance Matters</w:t>
      </w:r>
    </w:p>
    <w:p>
      <w:pPr>
        <w:spacing w:after="0" w:line="326"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Human Capital Management</w:t>
      </w:r>
    </w:p>
    <w:p>
      <w:pPr>
        <w:spacing w:after="0" w:line="200" w:lineRule="exact"/>
        <w:rPr>
          <w:sz w:val="20"/>
          <w:szCs w:val="20"/>
          <w:color w:val="auto"/>
        </w:rPr>
      </w:pPr>
    </w:p>
    <w:p>
      <w:pPr>
        <w:spacing w:after="0" w:line="271"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Sustainability</w:t>
      </w:r>
    </w:p>
    <w:p>
      <w:pPr>
        <w:spacing w:after="0" w:line="200" w:lineRule="exact"/>
        <w:rPr>
          <w:sz w:val="20"/>
          <w:szCs w:val="20"/>
          <w:color w:val="auto"/>
        </w:rPr>
      </w:pPr>
    </w:p>
    <w:p>
      <w:pPr>
        <w:spacing w:after="0" w:line="285" w:lineRule="exact"/>
        <w:rPr>
          <w:sz w:val="20"/>
          <w:szCs w:val="20"/>
          <w:color w:val="auto"/>
        </w:rPr>
      </w:pPr>
    </w:p>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Executive Leadership</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Experience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international acquisitions, post-merger integration, and portfolio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56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371" w:lineRule="exact"/>
        <w:rPr>
          <w:sz w:val="20"/>
          <w:szCs w:val="20"/>
          <w:color w:val="auto"/>
        </w:rPr>
      </w:pPr>
    </w:p>
    <w:p>
      <w:pPr>
        <w:ind w:right="1740"/>
        <w:spacing w:after="0" w:line="279" w:lineRule="auto"/>
        <w:rPr>
          <w:sz w:val="20"/>
          <w:szCs w:val="20"/>
          <w:color w:val="auto"/>
        </w:rPr>
      </w:pPr>
      <w:r>
        <w:rPr>
          <w:rFonts w:ascii="Arial" w:cs="Arial" w:eastAsia="Arial" w:hAnsi="Arial"/>
          <w:sz w:val="16"/>
          <w:szCs w:val="16"/>
          <w:color w:val="auto"/>
        </w:rPr>
        <w:t>Experience with cross-border transactions, global market entry and expansion, and implementation of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170180</wp:posOffset>
            </wp:positionV>
            <wp:extent cx="4509770" cy="356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capital markets and complex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266065</wp:posOffset>
            </wp:positionV>
            <wp:extent cx="4509770" cy="356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860"/>
        <w:spacing w:after="0" w:line="279" w:lineRule="auto"/>
        <w:rPr>
          <w:sz w:val="20"/>
          <w:szCs w:val="20"/>
          <w:color w:val="auto"/>
        </w:rPr>
      </w:pPr>
      <w:r>
        <w:rPr>
          <w:rFonts w:ascii="Arial" w:cs="Arial" w:eastAsia="Arial" w:hAnsi="Arial"/>
          <w:sz w:val="16"/>
          <w:szCs w:val="16"/>
          <w:color w:val="auto"/>
        </w:rPr>
        <w:t>Experience with diversified manufacturing in many of the markets and product areas relevant to Dover’s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170180</wp:posOffset>
            </wp:positionV>
            <wp:extent cx="4509770" cy="237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Experience evaluating risk management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56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assurance and audit, regulation, and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266065</wp:posOffset>
            </wp:positionV>
            <wp:extent cx="4509770" cy="237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Experience attracting, developing and retaining talent and building strong cultures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47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9770" cy="347980"/>
                    </a:xfrm>
                    <a:prstGeom prst="rect">
                      <a:avLst/>
                    </a:prstGeom>
                    <a:noFill/>
                  </pic:spPr>
                </pic:pic>
              </a:graphicData>
            </a:graphic>
          </wp:anchor>
        </w:drawing>
      </w:r>
    </w:p>
    <w:p>
      <w:pPr>
        <w:spacing w:after="0" w:line="371" w:lineRule="exact"/>
        <w:rPr>
          <w:sz w:val="20"/>
          <w:szCs w:val="20"/>
          <w:color w:val="auto"/>
        </w:rPr>
      </w:pPr>
    </w:p>
    <w:p>
      <w:pPr>
        <w:ind w:right="1040"/>
        <w:spacing w:after="0" w:line="279" w:lineRule="auto"/>
        <w:rPr>
          <w:sz w:val="20"/>
          <w:szCs w:val="20"/>
          <w:color w:val="auto"/>
        </w:rPr>
      </w:pPr>
      <w:r>
        <w:rPr>
          <w:rFonts w:ascii="Arial" w:cs="Arial" w:eastAsia="Arial" w:hAnsi="Arial"/>
          <w:sz w:val="16"/>
          <w:szCs w:val="16"/>
          <w:color w:val="auto"/>
        </w:rPr>
        <w:t>Experience creating long-term value by embracing opportunities and managing risks deriving from ESG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161925</wp:posOffset>
            </wp:positionV>
            <wp:extent cx="4509770" cy="356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Leadership experience as current or former CEOs and CFOs of global public companies</w:t>
      </w:r>
    </w:p>
    <w:p>
      <w:pPr>
        <w:spacing w:after="0" w:line="322" w:lineRule="exact"/>
        <w:rPr>
          <w:sz w:val="20"/>
          <w:szCs w:val="20"/>
          <w:color w:val="auto"/>
        </w:rPr>
      </w:pPr>
    </w:p>
    <w:p>
      <w:pPr>
        <w:sectPr>
          <w:pgSz w:w="11900" w:h="16838" w:orient="portrait"/>
          <w:cols w:equalWidth="0" w:num="2">
            <w:col w:w="2980" w:space="320"/>
            <w:col w:w="7620"/>
          </w:cols>
          <w:pgMar w:left="480" w:top="276" w:right="499" w:bottom="1440" w:gutter="0" w:footer="0" w:header="0"/>
          <w:type w:val="continuous"/>
        </w:sectPr>
      </w:pP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021496"/>
        </w:rPr>
        <w:t>Skills Aligned with Dover’s Strategy</w:t>
      </w:r>
      <w:r>
        <w:rPr>
          <w:rFonts w:ascii="Arial" w:cs="Arial" w:eastAsia="Arial" w:hAnsi="Arial"/>
          <w:sz w:val="16"/>
          <w:szCs w:val="16"/>
          <w:color w:val="000000"/>
        </w:rPr>
        <w:t>. The Governance and Nominating Committee considers our current Board composition and the projected</w:t>
      </w:r>
      <w:r>
        <w:rPr>
          <w:rFonts w:ascii="Arial" w:cs="Arial" w:eastAsia="Arial" w:hAnsi="Arial"/>
          <w:sz w:val="16"/>
          <w:szCs w:val="16"/>
          <w:b w:val="1"/>
          <w:bCs w:val="1"/>
          <w:color w:val="021496"/>
        </w:rPr>
        <w:t xml:space="preserve"> </w:t>
      </w:r>
      <w:r>
        <w:rPr>
          <w:rFonts w:ascii="Arial" w:cs="Arial" w:eastAsia="Arial" w:hAnsi="Arial"/>
          <w:sz w:val="16"/>
          <w:szCs w:val="16"/>
          <w:color w:val="000000"/>
        </w:rPr>
        <w:t>retirement date of current directors, as well as such other factors it may deem to be in the best interests of Dover and its shareholders, including a director nominee’s leadership and operating experience (particularly as a CEO), financial and investment expertise, and strategic planning experience. Given the global reach and broad array of the types of businesses operated by Dover, the Governance and Nominating Committee highly values director nominees with multi-industry and multi-geographic experience. We believe that our current director nominees possess the right mix of skills and backgrounds to enable us to achieve our strategic goals.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w:t>
      </w:r>
    </w:p>
    <w:p>
      <w:pPr>
        <w:sectPr>
          <w:pgSz w:w="11900" w:h="16838" w:orient="portrait"/>
          <w:cols w:equalWidth="0" w:num="1">
            <w:col w:w="10920"/>
          </w:cols>
          <w:pgMar w:left="480" w:top="276"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50"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color w:val="021496"/>
        </w:rPr>
        <w:t>Diversity of Experiences, Backgrounds and Tenures</w:t>
      </w:r>
      <w:r>
        <w:rPr>
          <w:rFonts w:ascii="Arial" w:cs="Arial" w:eastAsia="Arial" w:hAnsi="Arial"/>
          <w:sz w:val="16"/>
          <w:szCs w:val="16"/>
          <w:color w:val="000000"/>
        </w:rPr>
        <w:t>. In addition to ensuring our director nominees possess the core areas of expertise considered</w:t>
      </w:r>
      <w:r>
        <w:rPr>
          <w:rFonts w:ascii="Arial" w:cs="Arial" w:eastAsia="Arial" w:hAnsi="Arial"/>
          <w:sz w:val="16"/>
          <w:szCs w:val="16"/>
          <w:b w:val="1"/>
          <w:bCs w:val="1"/>
          <w:color w:val="021496"/>
        </w:rPr>
        <w:t xml:space="preserve"> </w:t>
      </w:r>
      <w:r>
        <w:rPr>
          <w:rFonts w:ascii="Arial" w:cs="Arial" w:eastAsia="Arial" w:hAnsi="Arial"/>
          <w:sz w:val="16"/>
          <w:szCs w:val="16"/>
          <w:color w:val="000000"/>
        </w:rPr>
        <w:t>important by the Governance and Nominating Committee, our Board believes that diverse backgrounds, experiences, and perspectives enhance its decision-making and contribute to the success of Dover. In selecting director nominees, the Governance and Nominating Committee selects candidates who would increase the effectiveness of the Board, which includes consideration of each candidate’s experience, knowledge, backgrounds, skill, and tenure as compared to existing members of the Board. Our Board believes that diverse perspectives enhance its decision-making and contribute to the success of Dover. The Board also considers the value of maintaining a balanced mix of tenures, including directors who have deep understanding of our long-term strategy and business cycles through their longer experience on our Board, and those newer directors who have brought fresh perspectives and complementary skills that strengthen oversight of our strategy in an evolving business environment.</w:t>
      </w:r>
    </w:p>
    <w:p>
      <w:pPr>
        <w:spacing w:after="0" w:line="145" w:lineRule="exact"/>
        <w:rPr>
          <w:sz w:val="20"/>
          <w:szCs w:val="20"/>
          <w:color w:val="auto"/>
        </w:rPr>
      </w:pPr>
    </w:p>
    <w:p>
      <w:pPr>
        <w:jc w:val="both"/>
        <w:ind w:right="380"/>
        <w:spacing w:after="0" w:line="262" w:lineRule="auto"/>
        <w:rPr>
          <w:sz w:val="20"/>
          <w:szCs w:val="20"/>
          <w:color w:val="auto"/>
        </w:rPr>
      </w:pPr>
      <w:r>
        <w:rPr>
          <w:rFonts w:ascii="Arial" w:cs="Arial" w:eastAsia="Arial" w:hAnsi="Arial"/>
          <w:sz w:val="16"/>
          <w:szCs w:val="16"/>
          <w:b w:val="1"/>
          <w:bCs w:val="1"/>
          <w:color w:val="021496"/>
        </w:rPr>
        <w:t>Independence &amp; Depth of Experience</w:t>
      </w:r>
      <w:r>
        <w:rPr>
          <w:rFonts w:ascii="Arial" w:cs="Arial" w:eastAsia="Arial" w:hAnsi="Arial"/>
          <w:sz w:val="16"/>
          <w:szCs w:val="16"/>
          <w:color w:val="000000"/>
        </w:rPr>
        <w:t>. The Corporate Governance Guidelines require at least two thirds of Dover’s Board to be independent. The</w:t>
      </w:r>
      <w:r>
        <w:rPr>
          <w:rFonts w:ascii="Arial" w:cs="Arial" w:eastAsia="Arial" w:hAnsi="Arial"/>
          <w:sz w:val="16"/>
          <w:szCs w:val="16"/>
          <w:b w:val="1"/>
          <w:bCs w:val="1"/>
          <w:color w:val="021496"/>
        </w:rPr>
        <w:t xml:space="preserve"> </w:t>
      </w:r>
      <w:r>
        <w:rPr>
          <w:rFonts w:ascii="Arial" w:cs="Arial" w:eastAsia="Arial" w:hAnsi="Arial"/>
          <w:sz w:val="16"/>
          <w:szCs w:val="16"/>
          <w:color w:val="000000"/>
        </w:rPr>
        <w:t>Board believes ensuring appropriate independence exists among the directors enables the Board to effectively carry out its oversight responsibilities. Each director nominee is presently considered to be independent other than the CEO.</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color w:val="021496"/>
        </w:rPr>
        <w:t>Director Attendance, Participation &amp; External Commitments</w:t>
      </w:r>
      <w:r>
        <w:rPr>
          <w:rFonts w:ascii="Arial" w:cs="Arial" w:eastAsia="Arial" w:hAnsi="Arial"/>
          <w:sz w:val="16"/>
          <w:szCs w:val="16"/>
          <w:color w:val="000000"/>
        </w:rPr>
        <w:t>. The Board evaluates the past attendance and performance of directors, including</w:t>
      </w:r>
      <w:r>
        <w:rPr>
          <w:rFonts w:ascii="Arial" w:cs="Arial" w:eastAsia="Arial" w:hAnsi="Arial"/>
          <w:sz w:val="16"/>
          <w:szCs w:val="16"/>
          <w:b w:val="1"/>
          <w:bCs w:val="1"/>
          <w:color w:val="021496"/>
        </w:rPr>
        <w:t xml:space="preserve"> </w:t>
      </w:r>
      <w:r>
        <w:rPr>
          <w:rFonts w:ascii="Arial" w:cs="Arial" w:eastAsia="Arial" w:hAnsi="Arial"/>
          <w:sz w:val="16"/>
          <w:szCs w:val="16"/>
          <w:color w:val="000000"/>
        </w:rPr>
        <w:t>through its robust evaluation process, as well as the other demands on the time of a director nominee to ensure external commitments will not impair their effective service. To facilitate this review, the Corporate Governance Guidelines require, among other things, that directors advise the Chair of the Board and Chair of the Governance and Nominating Committee in advance of accepting an invitation to serve on the board of another public company and that a member of Dover’s Audit Committee not serve on the audit committees of more than two other public companies unless expressly permitted by Dover’s Board (accompanied by clear disclosure of the rationale in Dover’s next proxy statement). Each director nominee has complied, and is in compliance with, the Guidelines, and each director nominee attended 100% of Board meetings in 2025. Dover’s Board regularly reviews these policies for effectiveness. The Board believes each director nominee has contributed effectively to the work of the Board and its Committees in 2025 and remains presently able to do so.</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Director Nomination Process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Whenever the Governance and Nominating Committee concludes that a new nominee to our Board is required or advisable, it will consider recommendations from directors, management, shareholders and, if it deems appropriate, consultants retained for that purpose. In such circumstances, it will evaluate individuals recommended by shareholders in the same manner as nominees recommended from other sources.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Shareholder Nominations for Director</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Shareholders who wish to recommend an individual for nomination should send that person’s name and supporting information to the Governance and Nominating Committee, in care of the Corporate Secretary at our principal executive offices, 3005 Highland Parkway, Downers Grove, Illinois, 60515, or through our communications coordinator. Shareholders who wish to directly nominate an individual for election as a director, without going through the Governance and Nominating Committee, must comply with the procedures in our by-laws.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xml:space="preserve"> for nomination deadlines.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Proxy Access Shareholder Right</w:t>
      </w:r>
    </w:p>
    <w:p>
      <w:pPr>
        <w:spacing w:after="0" w:line="10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Following extensive engagement with our shareholders, our Board determined to adopt proxy access in February 2016, permitting a shareholder or group of up to 20 shareholders holding 3% of our outstanding shares of common stock for at least three years to nominate a number of directors constituting the greater of two directors or 20% of the number of directors on our Board, as set forth in detail in our by-laws.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p>
    <w:p>
      <w:pPr>
        <w:sectPr>
          <w:pgSz w:w="11900" w:h="16838" w:orient="portrait"/>
          <w:cols w:equalWidth="0" w:num="1">
            <w:col w:w="10920"/>
          </w:cols>
          <w:pgMar w:left="480" w:top="299" w:right="4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2026 Director Nominees</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There are nine nominees for election to our Board at this Annual Meeting, each to serve until the next annual meeting of shareholders or his or her earlier removal, resignation or retirement. All nominees currently serve on our Board and are being proposed for re-election by our Board. If any nominee for election becomes unavailable or unwilling to serve as a director before the Annual Meeting, an event which we do not anticipate, the persons named as proxies will vote for a substitute nominee or nominees as may be designated by our Board, or the Board may reduce the number of directors. Directors will be elected by a majority of the votes cast in connection with their election.</w:t>
      </w:r>
    </w:p>
    <w:p>
      <w:pPr>
        <w:spacing w:after="0" w:line="178" w:lineRule="exact"/>
        <w:rPr>
          <w:sz w:val="20"/>
          <w:szCs w:val="20"/>
          <w:color w:val="auto"/>
        </w:rPr>
      </w:pPr>
    </w:p>
    <w:p>
      <w:pPr>
        <w:ind w:left="1720" w:hanging="81"/>
        <w:spacing w:after="0"/>
        <w:tabs>
          <w:tab w:leader="none" w:pos="1720" w:val="left"/>
        </w:tabs>
        <w:numPr>
          <w:ilvl w:val="0"/>
          <w:numId w:val="11"/>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Deborah L. DeHaas</w:t>
      </w:r>
    </w:p>
    <w:p>
      <w:pPr>
        <w:spacing w:after="0" w:line="277" w:lineRule="exact"/>
        <w:rPr>
          <w:rFonts w:ascii="Arial" w:cs="Arial" w:eastAsia="Arial" w:hAnsi="Arial"/>
          <w:sz w:val="16"/>
          <w:szCs w:val="16"/>
          <w:b w:val="1"/>
          <w:bCs w:val="1"/>
          <w:color w:val="auto"/>
        </w:rPr>
      </w:pPr>
    </w:p>
    <w:p>
      <w:pPr>
        <w:ind w:left="1720" w:right="686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2021</w:t>
      </w:r>
    </w:p>
    <w:p>
      <w:pPr>
        <w:spacing w:after="0" w:line="1"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66</w:t>
      </w:r>
    </w:p>
    <w:p>
      <w:pPr>
        <w:spacing w:after="0" w:line="27"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Audit,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-795020</wp:posOffset>
            </wp:positionV>
            <wp:extent cx="6929755" cy="1240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 </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40" w:right="40" w:hanging="433"/>
        <w:spacing w:after="0" w:line="279"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leadership, financial and corporate governance expertise garnered from her nearly 40 years of experience at major audit, assurance and consulting firms</w:t>
      </w:r>
    </w:p>
    <w:p>
      <w:pPr>
        <w:spacing w:after="0" w:line="26" w:lineRule="exact"/>
        <w:rPr>
          <w:rFonts w:ascii="Arial" w:cs="Arial" w:eastAsia="Arial" w:hAnsi="Arial"/>
          <w:sz w:val="16"/>
          <w:szCs w:val="16"/>
          <w:color w:val="auto"/>
        </w:rPr>
      </w:pPr>
    </w:p>
    <w:p>
      <w:pPr>
        <w:ind w:left="440" w:hanging="433"/>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Certified public accountant (“CPA”) and has extensive experience with financial, accounting, internal controls, and enterprise risk management</w:t>
      </w:r>
    </w:p>
    <w:p>
      <w:pPr>
        <w:spacing w:after="0" w:line="83" w:lineRule="exact"/>
        <w:rPr>
          <w:rFonts w:ascii="Arial" w:cs="Arial" w:eastAsia="Arial" w:hAnsi="Arial"/>
          <w:sz w:val="16"/>
          <w:szCs w:val="16"/>
          <w:color w:val="auto"/>
        </w:rPr>
      </w:pPr>
    </w:p>
    <w:p>
      <w:pPr>
        <w:ind w:left="440" w:hanging="433"/>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Has deep expertise on governance, both as a topic and discipline, developed during her career at Deloitte</w:t>
      </w:r>
    </w:p>
    <w:p>
      <w:pPr>
        <w:spacing w:after="0" w:line="83" w:lineRule="exact"/>
        <w:rPr>
          <w:rFonts w:ascii="Arial" w:cs="Arial" w:eastAsia="Arial" w:hAnsi="Arial"/>
          <w:sz w:val="16"/>
          <w:szCs w:val="16"/>
          <w:color w:val="auto"/>
        </w:rPr>
      </w:pPr>
    </w:p>
    <w:p>
      <w:pPr>
        <w:ind w:left="440" w:right="460" w:hanging="433"/>
        <w:spacing w:after="0" w:line="279"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former member of the Value Reporting Foundation Board (formerly the SASB Foundation Board), contributes valuable and well-informed insights on a variety of ESG matters</w:t>
      </w:r>
    </w:p>
    <w:p>
      <w:pPr>
        <w:spacing w:after="0" w:line="26" w:lineRule="exact"/>
        <w:rPr>
          <w:rFonts w:ascii="Arial" w:cs="Arial" w:eastAsia="Arial" w:hAnsi="Arial"/>
          <w:sz w:val="16"/>
          <w:szCs w:val="16"/>
          <w:color w:val="auto"/>
        </w:rPr>
      </w:pPr>
    </w:p>
    <w:p>
      <w:pPr>
        <w:ind w:left="440" w:hanging="433"/>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Brings relevant public company board service, serving on the board of CF Industries Holdings, Inc.</w:t>
      </w:r>
    </w:p>
    <w:p>
      <w:pPr>
        <w:spacing w:after="0" w:line="83" w:lineRule="exact"/>
        <w:rPr>
          <w:rFonts w:ascii="Arial" w:cs="Arial" w:eastAsia="Arial" w:hAnsi="Arial"/>
          <w:sz w:val="16"/>
          <w:szCs w:val="16"/>
          <w:color w:val="auto"/>
        </w:rPr>
      </w:pPr>
    </w:p>
    <w:p>
      <w:pPr>
        <w:ind w:left="440" w:right="860" w:hanging="433"/>
        <w:spacing w:after="0" w:line="279"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Brings experience and perspective on matters regarding human capital and culture, including succession planning, executive leadership development, and diversity and inclusion</w:t>
      </w:r>
    </w:p>
    <w:p>
      <w:pPr>
        <w:spacing w:after="0" w:line="26" w:lineRule="exact"/>
        <w:rPr>
          <w:rFonts w:ascii="Arial" w:cs="Arial" w:eastAsia="Arial" w:hAnsi="Arial"/>
          <w:sz w:val="16"/>
          <w:szCs w:val="16"/>
          <w:color w:val="auto"/>
        </w:rPr>
      </w:pPr>
    </w:p>
    <w:p>
      <w:pPr>
        <w:ind w:left="440" w:hanging="433"/>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Holds a bachelor’s degree in management science and accounting from Duke University</w:t>
      </w:r>
    </w:p>
    <w:p>
      <w:pPr>
        <w:spacing w:after="0" w:line="83" w:lineRule="exact"/>
        <w:rPr>
          <w:rFonts w:ascii="Arial" w:cs="Arial" w:eastAsia="Arial" w:hAnsi="Arial"/>
          <w:sz w:val="16"/>
          <w:szCs w:val="16"/>
          <w:color w:val="auto"/>
        </w:rPr>
      </w:pPr>
    </w:p>
    <w:p>
      <w:pPr>
        <w:ind w:left="440" w:right="120" w:hanging="433"/>
        <w:spacing w:after="0" w:line="279"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the National Association of Corporate Directors (“NACD”) Directorship 100 from 2015-2020, recognizing influential leaders in corporate governance and is also an NACD Board Leadership Fellow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40" w:hanging="433"/>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CEO of the Corporate Leadership Center, a non-profit executive leadership development organization</w:t>
      </w:r>
    </w:p>
    <w:p>
      <w:pPr>
        <w:spacing w:after="0" w:line="83" w:lineRule="exact"/>
        <w:rPr>
          <w:rFonts w:ascii="Arial" w:cs="Arial" w:eastAsia="Arial" w:hAnsi="Arial"/>
          <w:sz w:val="16"/>
          <w:szCs w:val="16"/>
          <w:color w:val="auto"/>
        </w:rPr>
      </w:pPr>
    </w:p>
    <w:p>
      <w:pPr>
        <w:ind w:left="440" w:hanging="433"/>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Former Vice Chairman and National Managing Partner of the Center for Board Effectiveness at Deloitte</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member of the U.S. Executive Committee</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Vice Chairman and Chief Inclusion Officer</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member of the U.S. Board of Directors</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Vice Chairman and Central Region Managing Partner</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Vice Chairman and Midwest Regional Managing Partner</w:t>
      </w:r>
    </w:p>
    <w:p>
      <w:pPr>
        <w:spacing w:after="0" w:line="83" w:lineRule="exact"/>
        <w:rPr>
          <w:rFonts w:ascii="Arial" w:cs="Arial" w:eastAsia="Arial" w:hAnsi="Arial"/>
          <w:sz w:val="16"/>
          <w:szCs w:val="16"/>
          <w:color w:val="auto"/>
        </w:rPr>
      </w:pPr>
    </w:p>
    <w:p>
      <w:pPr>
        <w:ind w:left="1300" w:hanging="423"/>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Former Regional Managing Partner, Strategic Clients</w:t>
      </w:r>
    </w:p>
    <w:p>
      <w:pPr>
        <w:spacing w:after="0" w:line="83" w:lineRule="exact"/>
        <w:rPr>
          <w:rFonts w:ascii="Arial" w:cs="Arial" w:eastAsia="Arial" w:hAnsi="Arial"/>
          <w:sz w:val="16"/>
          <w:szCs w:val="16"/>
          <w:color w:val="auto"/>
        </w:rPr>
      </w:pPr>
    </w:p>
    <w:p>
      <w:pPr>
        <w:ind w:left="440" w:right="300" w:hanging="433"/>
        <w:spacing w:after="0" w:line="279"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Former positions of increasing responsibility at Arthur Andersen, an audit, financial advisory, tax and consulting firm, most recently as Managing Partner &amp; Business Advisory Assurance, Central Region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17" w:lineRule="exact"/>
        <w:rPr>
          <w:sz w:val="20"/>
          <w:szCs w:val="20"/>
          <w:color w:val="auto"/>
        </w:rPr>
      </w:pPr>
    </w:p>
    <w:p>
      <w:pPr>
        <w:ind w:left="440" w:hanging="433"/>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 Chair of Audit Committee and member of Environmental Sustainability and Community Committee at CF Industries Holdings, Inc.</w:t>
      </w:r>
    </w:p>
    <w:p>
      <w:pPr>
        <w:spacing w:after="0" w:line="150" w:lineRule="exact"/>
        <w:rPr>
          <w:rFonts w:ascii="Arial" w:cs="Arial" w:eastAsia="Arial" w:hAnsi="Arial"/>
          <w:sz w:val="16"/>
          <w:szCs w:val="16"/>
          <w:color w:val="auto"/>
        </w:rPr>
      </w:pPr>
    </w:p>
    <w:p>
      <w:pPr>
        <w:ind w:left="7140"/>
        <w:spacing w:after="0"/>
        <w:rPr>
          <w:rFonts w:ascii="Arial" w:cs="Arial" w:eastAsia="Arial" w:hAnsi="Arial"/>
          <w:sz w:val="16"/>
          <w:szCs w:val="16"/>
          <w:color w:val="auto"/>
        </w:rPr>
      </w:pPr>
      <w:r>
        <w:rPr>
          <w:rFonts w:ascii="Arial" w:cs="Arial" w:eastAsia="Arial" w:hAnsi="Arial"/>
          <w:sz w:val="15"/>
          <w:szCs w:val="15"/>
          <w:b w:val="1"/>
          <w:bCs w:val="1"/>
          <w:color w:val="auto"/>
        </w:rPr>
        <w:t xml:space="preserve">DOVER CORPORATION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2026 Proxy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11</w:t>
      </w:r>
    </w:p>
    <w:p>
      <w:pPr>
        <w:sectPr>
          <w:pgSz w:w="11900" w:h="16838" w:orient="portrait"/>
          <w:cols w:equalWidth="0" w:num="1">
            <w:col w:w="10920"/>
          </w:cols>
          <w:pgMar w:left="480" w:top="299" w:right="4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640" w:hanging="81"/>
        <w:spacing w:after="0"/>
        <w:tabs>
          <w:tab w:leader="none" w:pos="1640" w:val="left"/>
        </w:tabs>
        <w:numPr>
          <w:ilvl w:val="0"/>
          <w:numId w:val="15"/>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H. John Gilbertson, Jr.</w:t>
      </w:r>
    </w:p>
    <w:p>
      <w:pPr>
        <w:spacing w:after="0" w:line="263" w:lineRule="exact"/>
        <w:rPr>
          <w:rFonts w:ascii="Arial" w:cs="Arial" w:eastAsia="Arial" w:hAnsi="Arial"/>
          <w:sz w:val="16"/>
          <w:szCs w:val="16"/>
          <w:b w:val="1"/>
          <w:bCs w:val="1"/>
          <w:color w:val="auto"/>
        </w:rPr>
      </w:pPr>
    </w:p>
    <w:p>
      <w:pPr>
        <w:ind w:left="164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2018</w:t>
      </w:r>
    </w:p>
    <w:p>
      <w:pPr>
        <w:spacing w:after="0" w:line="1"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69</w:t>
      </w:r>
    </w:p>
    <w:p>
      <w:pPr>
        <w:spacing w:after="0" w:line="27"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Committees:   Finance, Governance and Nominating </w:t>
      </w:r>
      <w:r>
        <w:rPr>
          <w:rFonts w:ascii="Arial" w:cs="Arial" w:eastAsia="Arial" w:hAnsi="Arial"/>
          <w:sz w:val="16"/>
          <w:szCs w:val="16"/>
          <w:b w:val="1"/>
          <w:bCs w:val="1"/>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-786765</wp:posOffset>
            </wp:positionV>
            <wp:extent cx="6929755" cy="1197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Extensive experience in corporate finance, capital markets, and mergers and acquisitions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Considerable expertise and decades of experience in corporate governance and board and committee processes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Served as a strategic and financial advisor to his clients, forming deep relationships with companies in a range of industries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nearly four decades of experience in the professional and financial services industry</w:t>
      </w:r>
    </w:p>
    <w:p>
      <w:pPr>
        <w:spacing w:after="0" w:line="83" w:lineRule="exact"/>
        <w:rPr>
          <w:rFonts w:ascii="Arial" w:cs="Arial" w:eastAsia="Arial" w:hAnsi="Arial"/>
          <w:sz w:val="16"/>
          <w:szCs w:val="16"/>
          <w:color w:val="auto"/>
        </w:rPr>
      </w:pPr>
    </w:p>
    <w:p>
      <w:pPr>
        <w:ind w:left="320" w:right="280" w:hanging="313"/>
        <w:spacing w:after="0" w:line="279"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Deep expertise in financial management, coupled with his analytical and collaborative mindset, allows him to make invaluable contributions to our Board</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Strong background in senior leadership development, succession planning, and organizational culture development</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Brings to the Board considerable expertise in financial risk oversight and capital allocation</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Bachelor’s degree in political economy from Dartmouth College and an MBA from Harvard University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Retired Managing Director at Goldman Sachs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Served as Partner-in-Charge, Midwest Region Investment Banking Services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Served as Managing Director at Travelers Group Inc.</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Associate, Mergers and Acquisitions at Morgan Stanley</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Consultant, Corporate Strategy at Bain &amp; Company</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Assistant Treasurer, Corporate Banking at Chase Manhattan Bank</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News Reporter at The Providence Journal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 and Chair of Audit Committee of Meijer, Inc. (“Meijer”)</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Former Director of AAR Corp.</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Former Chair of the Investment Committee of Rush University Medical Center</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12</w:t>
      </w:r>
    </w:p>
    <w:p>
      <w:pPr>
        <w:sectPr>
          <w:pgSz w:w="11900" w:h="16838" w:orient="portrait"/>
          <w:cols w:equalWidth="0" w:num="1">
            <w:col w:w="10920"/>
          </w:cols>
          <w:pgMar w:left="480" w:top="299" w:right="4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540" w:hanging="75"/>
        <w:spacing w:after="0"/>
        <w:tabs>
          <w:tab w:leader="none" w:pos="1540" w:val="left"/>
        </w:tabs>
        <w:numPr>
          <w:ilvl w:val="0"/>
          <w:numId w:val="19"/>
        </w:numPr>
        <w:rPr>
          <w:rFonts w:ascii="Arial" w:cs="Arial" w:eastAsia="Arial" w:hAnsi="Arial"/>
          <w:sz w:val="14"/>
          <w:szCs w:val="14"/>
          <w:b w:val="1"/>
          <w:bCs w:val="1"/>
          <w:color w:val="auto"/>
        </w:rPr>
      </w:pPr>
      <w:r>
        <w:rPr>
          <w:rFonts w:ascii="Arial" w:cs="Arial" w:eastAsia="Arial" w:hAnsi="Arial"/>
          <w:sz w:val="16"/>
          <w:szCs w:val="16"/>
          <w:b w:val="1"/>
          <w:bCs w:val="1"/>
          <w:i w:val="1"/>
          <w:iCs w:val="1"/>
          <w:color w:val="021496"/>
        </w:rPr>
        <w:t>Kristiane C. Graham</w:t>
      </w:r>
    </w:p>
    <w:p>
      <w:pPr>
        <w:spacing w:after="0" w:line="260" w:lineRule="exact"/>
        <w:rPr>
          <w:rFonts w:ascii="Arial" w:cs="Arial" w:eastAsia="Arial" w:hAnsi="Arial"/>
          <w:sz w:val="14"/>
          <w:szCs w:val="14"/>
          <w:b w:val="1"/>
          <w:bCs w:val="1"/>
          <w:color w:val="auto"/>
        </w:rPr>
      </w:pPr>
    </w:p>
    <w:p>
      <w:pPr>
        <w:ind w:left="1540" w:right="7040"/>
        <w:spacing w:after="0" w:line="254" w:lineRule="auto"/>
        <w:rPr>
          <w:rFonts w:ascii="Arial" w:cs="Arial" w:eastAsia="Arial" w:hAnsi="Arial"/>
          <w:sz w:val="14"/>
          <w:szCs w:val="14"/>
          <w:b w:val="1"/>
          <w:bCs w:val="1"/>
          <w:color w:val="auto"/>
        </w:rPr>
      </w:pPr>
      <w:r>
        <w:rPr>
          <w:rFonts w:ascii="Arial" w:cs="Arial" w:eastAsia="Arial" w:hAnsi="Arial"/>
          <w:sz w:val="16"/>
          <w:szCs w:val="16"/>
          <w:b w:val="1"/>
          <w:bCs w:val="1"/>
          <w:color w:val="auto"/>
        </w:rPr>
        <w:t>Independent Director Nominee Director since: 1999</w:t>
      </w:r>
    </w:p>
    <w:p>
      <w:pPr>
        <w:spacing w:after="0" w:line="1" w:lineRule="exact"/>
        <w:rPr>
          <w:rFonts w:ascii="Arial" w:cs="Arial" w:eastAsia="Arial" w:hAnsi="Arial"/>
          <w:sz w:val="14"/>
          <w:szCs w:val="14"/>
          <w:b w:val="1"/>
          <w:bCs w:val="1"/>
          <w:color w:val="auto"/>
        </w:rPr>
      </w:pPr>
    </w:p>
    <w:p>
      <w:pPr>
        <w:ind w:left="15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Age: 68</w:t>
      </w:r>
    </w:p>
    <w:p>
      <w:pPr>
        <w:spacing w:after="0" w:line="27" w:lineRule="exact"/>
        <w:rPr>
          <w:rFonts w:ascii="Arial" w:cs="Arial" w:eastAsia="Arial" w:hAnsi="Arial"/>
          <w:sz w:val="14"/>
          <w:szCs w:val="14"/>
          <w:b w:val="1"/>
          <w:bCs w:val="1"/>
          <w:color w:val="auto"/>
        </w:rPr>
      </w:pPr>
    </w:p>
    <w:p>
      <w:pPr>
        <w:ind w:left="15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Committees:   Compensation,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-769620</wp:posOffset>
            </wp:positionV>
            <wp:extent cx="6929755" cy="1112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right="34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Experience as a private investor with substantial holdings of Dover stock and her shared interests in Dover, including interests through charitable organizations of which she is a director, makes her a good surrogate for our individual and retail investors</w:t>
      </w:r>
    </w:p>
    <w:p>
      <w:pPr>
        <w:spacing w:after="0" w:line="26" w:lineRule="exact"/>
        <w:rPr>
          <w:rFonts w:ascii="Arial" w:cs="Arial" w:eastAsia="Arial" w:hAnsi="Arial"/>
          <w:sz w:val="16"/>
          <w:szCs w:val="16"/>
          <w:color w:val="auto"/>
        </w:rPr>
      </w:pPr>
    </w:p>
    <w:p>
      <w:pPr>
        <w:ind w:left="320" w:right="8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Experience with a commercial bank, primarily as a loan officer; founded and operated an advisory company and a publication regarding international thoroughbred racing and now co-manages her family’s investments</w:t>
      </w:r>
    </w:p>
    <w:p>
      <w:pPr>
        <w:spacing w:after="0" w:line="26" w:lineRule="exact"/>
        <w:rPr>
          <w:rFonts w:ascii="Arial" w:cs="Arial" w:eastAsia="Arial" w:hAnsi="Arial"/>
          <w:sz w:val="16"/>
          <w:szCs w:val="16"/>
          <w:color w:val="auto"/>
        </w:rPr>
      </w:pPr>
    </w:p>
    <w:p>
      <w:pPr>
        <w:ind w:left="320" w:right="60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Actively works with and has served on the boards of various organizations to support the objectives of local communities, affordable housing, education, and health</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Co-manages the Graham Foundation and Graham family investments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Serves on the Boards of Directors of Habitat for Humanity International (“HFHI”) and the U.S. Council of HFHI</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Serves on the Board of Trustees of the Virginia Museum of Fine Arts Foundation</w:t>
      </w:r>
    </w:p>
    <w:p>
      <w:pPr>
        <w:spacing w:after="0" w:line="83" w:lineRule="exact"/>
        <w:rPr>
          <w:rFonts w:ascii="Arial" w:cs="Arial" w:eastAsia="Arial" w:hAnsi="Arial"/>
          <w:sz w:val="16"/>
          <w:szCs w:val="16"/>
          <w:color w:val="auto"/>
        </w:rPr>
      </w:pPr>
    </w:p>
    <w:p>
      <w:pPr>
        <w:ind w:left="32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Serves on the Board of the University of Virginia Health Foundation and as an Emeritus Trustee of the UVA College Foundation; previously served on the Advisory Board of the University of Virginia School of Nursing as well as the University’s Ridley Scholarship Fund</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Brings valuable insights on the development of our policies and strategies relating to talent, leadership, and culture</w:t>
      </w:r>
    </w:p>
    <w:p>
      <w:pPr>
        <w:spacing w:after="0" w:line="83" w:lineRule="exact"/>
        <w:rPr>
          <w:rFonts w:ascii="Arial" w:cs="Arial" w:eastAsia="Arial" w:hAnsi="Arial"/>
          <w:sz w:val="16"/>
          <w:szCs w:val="16"/>
          <w:color w:val="auto"/>
        </w:rPr>
      </w:pPr>
    </w:p>
    <w:p>
      <w:pPr>
        <w:ind w:left="320" w:right="30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Devoted substantial time to monitoring the development of Dover operating company leaders, enabling her to provide the Board valuable insights regarding management succession</w:t>
      </w:r>
    </w:p>
    <w:p>
      <w:pPr>
        <w:spacing w:after="0" w:line="26" w:lineRule="exact"/>
        <w:rPr>
          <w:rFonts w:ascii="Arial" w:cs="Arial" w:eastAsia="Arial" w:hAnsi="Arial"/>
          <w:sz w:val="16"/>
          <w:szCs w:val="16"/>
          <w:color w:val="auto"/>
        </w:rPr>
      </w:pPr>
    </w:p>
    <w:p>
      <w:pPr>
        <w:ind w:left="320" w:hanging="313"/>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member of one of the founding families of Dover, Ms. Graham also brings to the Board a sense of Dover’s historical values, culture and strategic vision which the Board believes is beneficial as it considers various strategic planning alternatives for shaping Dover’s future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Private Investor</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13</w:t>
      </w:r>
    </w:p>
    <w:p>
      <w:pPr>
        <w:sectPr>
          <w:pgSz w:w="11900" w:h="16838" w:orient="portrait"/>
          <w:cols w:equalWidth="0" w:num="1">
            <w:col w:w="10920"/>
          </w:cols>
          <w:pgMar w:left="480" w:top="299" w:right="4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640" w:hanging="81"/>
        <w:spacing w:after="0"/>
        <w:tabs>
          <w:tab w:leader="none" w:pos="1640" w:val="left"/>
        </w:tabs>
        <w:numPr>
          <w:ilvl w:val="0"/>
          <w:numId w:val="22"/>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Marc A. Howze</w:t>
      </w:r>
    </w:p>
    <w:p>
      <w:pPr>
        <w:spacing w:after="0" w:line="223" w:lineRule="exact"/>
        <w:rPr>
          <w:rFonts w:ascii="Arial" w:cs="Arial" w:eastAsia="Arial" w:hAnsi="Arial"/>
          <w:sz w:val="16"/>
          <w:szCs w:val="16"/>
          <w:b w:val="1"/>
          <w:bCs w:val="1"/>
          <w:color w:val="auto"/>
        </w:rPr>
      </w:pPr>
    </w:p>
    <w:p>
      <w:pPr>
        <w:ind w:left="164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62</w:t>
      </w:r>
    </w:p>
    <w:p>
      <w:pPr>
        <w:spacing w:after="0" w:line="27"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-761365</wp:posOffset>
            </wp:positionV>
            <wp:extent cx="6929755" cy="1197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right="200" w:hanging="313"/>
        <w:spacing w:after="0" w:line="27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Brings significant leadership and business experience garnered during more than two decades at Deere &amp; Company (“Deere”), including in his role as Senior Advisor, Office of the Chairman</w:t>
      </w:r>
    </w:p>
    <w:p>
      <w:pPr>
        <w:spacing w:after="0" w:line="26" w:lineRule="exact"/>
        <w:rPr>
          <w:rFonts w:ascii="Arial" w:cs="Arial" w:eastAsia="Arial" w:hAnsi="Arial"/>
          <w:sz w:val="16"/>
          <w:szCs w:val="16"/>
          <w:color w:val="auto"/>
        </w:rPr>
      </w:pPr>
    </w:p>
    <w:p>
      <w:pPr>
        <w:ind w:left="320" w:right="600" w:hanging="313"/>
        <w:spacing w:after="0" w:line="27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his career, Mr. Howze spearheaded strategic initiatives focused on improving operations, delivering customer value, developing future leaders, making Deere a highly regarded employer, and promoting Deere’s brand</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Broad knowledge of global manufacturing, supply chain and aftermarket operations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Extensive experience in succession planning and executive compensation</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Strong governance experience gained during service as the Corporate Secretary and Associate General Counsel</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Broad leadership, litigation and government contracting experience gained during service in the U.S. Army attaining the rank of major</w:t>
      </w:r>
    </w:p>
    <w:p>
      <w:pPr>
        <w:spacing w:after="0" w:line="83" w:lineRule="exact"/>
        <w:rPr>
          <w:rFonts w:ascii="Arial" w:cs="Arial" w:eastAsia="Arial" w:hAnsi="Arial"/>
          <w:sz w:val="16"/>
          <w:szCs w:val="16"/>
          <w:color w:val="auto"/>
        </w:rPr>
      </w:pPr>
    </w:p>
    <w:p>
      <w:pPr>
        <w:ind w:left="320" w:right="220" w:hanging="313"/>
        <w:spacing w:after="0" w:line="279"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Holds a bachelor’s degree from the University of Michigan-Dearborn, a Juris Doctor from the University of Michigan Law School, and an MBA from the Fuqua School of Business at Duke University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Senior Advisor, Office of the Chairman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Group President, Lifecycle Solutions and Chief Administrative Officer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Senior Vice President and Chief Administrative Officer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Vice President of Global Human Resources and Employee Communications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Global Director Cotton Harvesting Business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Manager of Business Development, Ag &amp; Turf division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Associate General Counsel and Corporate Secretary at Deere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Special Assistant United State Attorney, US Army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Director, member of Finance Committee and Chair of Human Resources Committee at Nationwide Mutual Insurance Company</w:t>
      </w:r>
    </w:p>
    <w:p>
      <w:pPr>
        <w:spacing w:after="0" w:line="83" w:lineRule="exact"/>
        <w:rPr>
          <w:rFonts w:ascii="Arial" w:cs="Arial" w:eastAsia="Arial" w:hAnsi="Arial"/>
          <w:sz w:val="16"/>
          <w:szCs w:val="16"/>
          <w:color w:val="auto"/>
        </w:rPr>
      </w:pPr>
    </w:p>
    <w:p>
      <w:pPr>
        <w:ind w:left="320" w:right="520" w:hanging="313"/>
        <w:spacing w:after="0" w:line="279"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Director, chair of Nominating and Corporate Governance Committee and member of Compensation and Executive Development Committee at Lincoln Electric Holdings, Inc.</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14</w:t>
      </w:r>
    </w:p>
    <w:p>
      <w:pPr>
        <w:sectPr>
          <w:pgSz w:w="11900" w:h="16838" w:orient="portrait"/>
          <w:cols w:equalWidth="0" w:num="1">
            <w:col w:w="10920"/>
          </w:cols>
          <w:pgMar w:left="480" w:top="299" w:right="4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640" w:hanging="81"/>
        <w:spacing w:after="0"/>
        <w:tabs>
          <w:tab w:leader="none" w:pos="1640" w:val="left"/>
        </w:tabs>
        <w:numPr>
          <w:ilvl w:val="0"/>
          <w:numId w:val="26"/>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Michael Manley</w:t>
      </w:r>
    </w:p>
    <w:p>
      <w:pPr>
        <w:spacing w:after="0" w:line="223" w:lineRule="exact"/>
        <w:rPr>
          <w:rFonts w:ascii="Arial" w:cs="Arial" w:eastAsia="Arial" w:hAnsi="Arial"/>
          <w:sz w:val="16"/>
          <w:szCs w:val="16"/>
          <w:b w:val="1"/>
          <w:bCs w:val="1"/>
          <w:color w:val="auto"/>
        </w:rPr>
      </w:pPr>
    </w:p>
    <w:p>
      <w:pPr>
        <w:ind w:left="164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62</w:t>
      </w:r>
    </w:p>
    <w:p>
      <w:pPr>
        <w:spacing w:after="0" w:line="27" w:lineRule="exact"/>
        <w:rPr>
          <w:rFonts w:ascii="Arial" w:cs="Arial" w:eastAsia="Arial" w:hAnsi="Arial"/>
          <w:sz w:val="16"/>
          <w:szCs w:val="16"/>
          <w:b w:val="1"/>
          <w:bCs w:val="1"/>
          <w:color w:val="auto"/>
        </w:rPr>
      </w:pPr>
    </w:p>
    <w:p>
      <w:pPr>
        <w:ind w:left="1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Compensation,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-761365</wp:posOffset>
            </wp:positionV>
            <wp:extent cx="6929755" cy="1197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Currently the Chief Executive Officer of AutoNation, Inc., the largest automotive retailer in the United States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Successfully managed a wide array of business models over his career</w:t>
      </w:r>
    </w:p>
    <w:p>
      <w:pPr>
        <w:spacing w:after="0" w:line="83" w:lineRule="exact"/>
        <w:rPr>
          <w:rFonts w:ascii="Arial" w:cs="Arial" w:eastAsia="Arial" w:hAnsi="Arial"/>
          <w:sz w:val="16"/>
          <w:szCs w:val="16"/>
          <w:color w:val="auto"/>
        </w:rPr>
      </w:pPr>
    </w:p>
    <w:p>
      <w:pPr>
        <w:ind w:left="320" w:right="540" w:hanging="313"/>
        <w:spacing w:after="0" w:line="279"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Extensive knowledge of manufacturing operations and supply chains, multi-national business management, capital markets, and mergers and acquisitions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MBA from Ashridge Management College and a Bachelor of Science in engineering from Southbank University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Chief Executive Officer AutoNation, Inc.</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Former head of Americas and member of the Group Executive Council for Stellantis N.V.</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Former Chief Executive Officer of Fiat Chrysler Automobiles N.V. (“FCA”), a predecessor to Stellantis N.V.</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Former Executive Vice President – International Sales &amp; Marketing, Business Development and Global Product Planning Operations</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Former Chief Executive Officer of Jeep</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Former Chief Executive Officer of Ram</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Former Chief Operating Officer for the Asia Pacific region</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Former FCA Global Executive Council member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AutoNation,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p>
      <w:pPr>
        <w:sectPr>
          <w:pgSz w:w="11900" w:h="16838" w:orient="portrait"/>
          <w:cols w:equalWidth="0" w:num="1">
            <w:col w:w="10920"/>
          </w:cols>
          <w:pgMar w:left="480" w:top="299" w:right="4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540" w:hanging="75"/>
        <w:spacing w:after="0"/>
        <w:tabs>
          <w:tab w:leader="none" w:pos="1540" w:val="left"/>
        </w:tabs>
        <w:numPr>
          <w:ilvl w:val="0"/>
          <w:numId w:val="30"/>
        </w:numPr>
        <w:rPr>
          <w:rFonts w:ascii="Arial" w:cs="Arial" w:eastAsia="Arial" w:hAnsi="Arial"/>
          <w:sz w:val="14"/>
          <w:szCs w:val="14"/>
          <w:b w:val="1"/>
          <w:bCs w:val="1"/>
          <w:color w:val="auto"/>
        </w:rPr>
      </w:pPr>
      <w:r>
        <w:rPr>
          <w:rFonts w:ascii="Arial" w:cs="Arial" w:eastAsia="Arial" w:hAnsi="Arial"/>
          <w:sz w:val="16"/>
          <w:szCs w:val="16"/>
          <w:b w:val="1"/>
          <w:bCs w:val="1"/>
          <w:i w:val="1"/>
          <w:iCs w:val="1"/>
          <w:color w:val="021496"/>
        </w:rPr>
        <w:t>Danita K. Ostling</w:t>
      </w:r>
    </w:p>
    <w:p>
      <w:pPr>
        <w:spacing w:after="0" w:line="219" w:lineRule="exact"/>
        <w:rPr>
          <w:rFonts w:ascii="Arial" w:cs="Arial" w:eastAsia="Arial" w:hAnsi="Arial"/>
          <w:sz w:val="14"/>
          <w:szCs w:val="14"/>
          <w:b w:val="1"/>
          <w:bCs w:val="1"/>
          <w:color w:val="auto"/>
        </w:rPr>
      </w:pPr>
    </w:p>
    <w:p>
      <w:pPr>
        <w:ind w:left="1540" w:right="7040"/>
        <w:spacing w:after="0" w:line="254" w:lineRule="auto"/>
        <w:rPr>
          <w:rFonts w:ascii="Arial" w:cs="Arial" w:eastAsia="Arial" w:hAnsi="Arial"/>
          <w:sz w:val="14"/>
          <w:szCs w:val="14"/>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4"/>
          <w:szCs w:val="14"/>
          <w:b w:val="1"/>
          <w:bCs w:val="1"/>
          <w:color w:val="auto"/>
        </w:rPr>
      </w:pPr>
    </w:p>
    <w:p>
      <w:pPr>
        <w:ind w:left="15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Age: 65</w:t>
      </w:r>
    </w:p>
    <w:p>
      <w:pPr>
        <w:spacing w:after="0" w:line="27" w:lineRule="exact"/>
        <w:rPr>
          <w:rFonts w:ascii="Arial" w:cs="Arial" w:eastAsia="Arial" w:hAnsi="Arial"/>
          <w:sz w:val="14"/>
          <w:szCs w:val="14"/>
          <w:b w:val="1"/>
          <w:bCs w:val="1"/>
          <w:color w:val="auto"/>
        </w:rPr>
      </w:pPr>
    </w:p>
    <w:p>
      <w:pPr>
        <w:ind w:left="15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Committees:   Audit </w:t>
      </w:r>
      <w:r>
        <w:rPr>
          <w:rFonts w:ascii="Arial" w:cs="Arial" w:eastAsia="Arial" w:hAnsi="Arial"/>
          <w:sz w:val="16"/>
          <w:szCs w:val="16"/>
          <w:b w:val="1"/>
          <w:bCs w:val="1"/>
          <w:i w:val="1"/>
          <w:iCs w:val="1"/>
          <w:color w:val="auto"/>
        </w:rPr>
        <w:t>(Chair)</w:t>
      </w:r>
      <w:r>
        <w:rPr>
          <w:rFonts w:ascii="Arial" w:cs="Arial" w:eastAsia="Arial" w:hAnsi="Arial"/>
          <w:sz w:val="16"/>
          <w:szCs w:val="16"/>
          <w:b w:val="1"/>
          <w:bCs w:val="1"/>
          <w:color w:val="auto"/>
        </w:rPr>
        <w:t>,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-744220</wp:posOffset>
            </wp:positionV>
            <wp:extent cx="6929755" cy="1112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right="780" w:hanging="313"/>
        <w:spacing w:after="0" w:line="27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Brings extensive expertise in accounting and auditing, with significant experience consulting on complex accounting issues for large global companies and ESG reporting</w:t>
      </w:r>
    </w:p>
    <w:p>
      <w:pPr>
        <w:spacing w:after="0" w:line="26" w:lineRule="exact"/>
        <w:rPr>
          <w:rFonts w:ascii="Arial" w:cs="Arial" w:eastAsia="Arial" w:hAnsi="Arial"/>
          <w:sz w:val="16"/>
          <w:szCs w:val="16"/>
          <w:color w:val="auto"/>
        </w:rPr>
      </w:pPr>
    </w:p>
    <w:p>
      <w:pPr>
        <w:ind w:left="320" w:right="620" w:hanging="313"/>
        <w:spacing w:after="0" w:line="27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Certified public accountant (“CPA”), bringing subject matter knowledge with respect to accounting and audit standards, risk management and compliance, and evaluation of cybersecurity breaches and potential accounting and financial controls impacts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Holds a bachelor’s degree in accounting from the University of Arkansas at Little Rock</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right="240" w:hanging="313"/>
        <w:spacing w:after="0" w:line="279"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 partner and senior leader at Ernst &amp; Young LLP (“EY”), serving in various leadership roles from 1999 until her retirement in 2021; and prior thereto, various positions with EY</w:t>
      </w:r>
    </w:p>
    <w:p>
      <w:pPr>
        <w:spacing w:after="0" w:line="26" w:lineRule="exact"/>
        <w:rPr>
          <w:rFonts w:ascii="Arial" w:cs="Arial" w:eastAsia="Arial" w:hAnsi="Arial"/>
          <w:sz w:val="16"/>
          <w:szCs w:val="16"/>
          <w:color w:val="auto"/>
        </w:rPr>
      </w:pPr>
    </w:p>
    <w:p>
      <w:pPr>
        <w:ind w:left="1100" w:hanging="330"/>
        <w:spacing w:after="0"/>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Former Professional Practice Director, U.S. East Region</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Former Americas IFRS Technical Leader</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Former co-Director of Assurance Professional Practice – Accounting</w:t>
      </w:r>
    </w:p>
    <w:p>
      <w:pPr>
        <w:spacing w:after="0" w:line="83" w:lineRule="exact"/>
        <w:rPr>
          <w:rFonts w:ascii="Arial" w:cs="Arial" w:eastAsia="Arial" w:hAnsi="Arial"/>
          <w:sz w:val="16"/>
          <w:szCs w:val="16"/>
          <w:color w:val="auto"/>
        </w:rPr>
      </w:pPr>
    </w:p>
    <w:p>
      <w:pPr>
        <w:ind w:left="1100" w:hanging="330"/>
        <w:spacing w:after="0"/>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Former Deputy Director of Global Assurance Professional Practice – Accounting</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 Vice President, Corporate Accounting Policy and Advisory Group at Citigroup,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127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Director and Chair of Audit Committee of Circle Internet Group, Inc.</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Director and Audit Committee member of nVent Electric plc</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Former Director and Chair of Audit Committee of Varsity Brands,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16</w:t>
      </w:r>
    </w:p>
    <w:p>
      <w:pPr>
        <w:sectPr>
          <w:pgSz w:w="11900" w:h="16838" w:orient="portrait"/>
          <w:cols w:equalWidth="0" w:num="1">
            <w:col w:w="10920"/>
          </w:cols>
          <w:pgMar w:left="480" w:top="299" w:right="4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440" w:hanging="82"/>
        <w:spacing w:after="0"/>
        <w:tabs>
          <w:tab w:leader="none" w:pos="1440" w:val="left"/>
        </w:tabs>
        <w:numPr>
          <w:ilvl w:val="0"/>
          <w:numId w:val="34"/>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Eric A. Spiegel</w:t>
      </w:r>
    </w:p>
    <w:p>
      <w:pPr>
        <w:spacing w:after="0" w:line="237" w:lineRule="exact"/>
        <w:rPr>
          <w:rFonts w:ascii="Arial" w:cs="Arial" w:eastAsia="Arial" w:hAnsi="Arial"/>
          <w:sz w:val="16"/>
          <w:szCs w:val="16"/>
          <w:b w:val="1"/>
          <w:bCs w:val="1"/>
          <w:color w:val="auto"/>
        </w:rPr>
      </w:pPr>
    </w:p>
    <w:p>
      <w:pPr>
        <w:ind w:left="1440" w:right="71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2017</w:t>
      </w:r>
    </w:p>
    <w:p>
      <w:pPr>
        <w:spacing w:after="0" w:line="1" w:lineRule="exact"/>
        <w:rPr>
          <w:rFonts w:ascii="Arial" w:cs="Arial" w:eastAsia="Arial" w:hAnsi="Arial"/>
          <w:sz w:val="16"/>
          <w:szCs w:val="16"/>
          <w:b w:val="1"/>
          <w:bCs w:val="1"/>
          <w:color w:val="auto"/>
        </w:rPr>
      </w:pPr>
    </w:p>
    <w:p>
      <w:pPr>
        <w:ind w:left="1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68</w:t>
      </w:r>
    </w:p>
    <w:p>
      <w:pPr>
        <w:spacing w:after="0" w:line="27" w:lineRule="exact"/>
        <w:rPr>
          <w:rFonts w:ascii="Arial" w:cs="Arial" w:eastAsia="Arial" w:hAnsi="Arial"/>
          <w:sz w:val="16"/>
          <w:szCs w:val="16"/>
          <w:b w:val="1"/>
          <w:bCs w:val="1"/>
          <w:color w:val="auto"/>
        </w:rPr>
      </w:pPr>
    </w:p>
    <w:p>
      <w:pPr>
        <w:ind w:left="1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Committees:   Audit, Finance </w:t>
      </w:r>
      <w:r>
        <w:rPr>
          <w:rFonts w:ascii="Arial" w:cs="Arial" w:eastAsia="Arial" w:hAnsi="Arial"/>
          <w:sz w:val="16"/>
          <w:szCs w:val="16"/>
          <w:b w:val="1"/>
          <w:bCs w:val="1"/>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-769620</wp:posOffset>
            </wp:positionV>
            <wp:extent cx="6929755" cy="1010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01028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right="700" w:hanging="313"/>
        <w:spacing w:after="0" w:line="27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Experienced business leader with diversified, global experience who brings deep and valuable expertise in strategy development, corporate restructuring, portfolio management and M&amp;A to our Board</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40+ years of experience working with large, global companies in the energy and industrial markets, mostly recently as President &amp; CEO of Siemens</w:t>
      </w:r>
    </w:p>
    <w:p>
      <w:pPr>
        <w:spacing w:after="0" w:line="1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USA</w:t>
      </w:r>
    </w:p>
    <w:p>
      <w:pPr>
        <w:spacing w:after="0" w:line="67" w:lineRule="exact"/>
        <w:rPr>
          <w:rFonts w:ascii="Arial" w:cs="Arial" w:eastAsia="Arial" w:hAnsi="Arial"/>
          <w:sz w:val="16"/>
          <w:szCs w:val="16"/>
          <w:color w:val="auto"/>
        </w:rPr>
      </w:pPr>
    </w:p>
    <w:p>
      <w:pPr>
        <w:ind w:left="320" w:right="260" w:hanging="313"/>
        <w:spacing w:after="0" w:line="27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Siemens, he led strategic reviews across a portfolio of ~45 businesses in the company’s largest market with over $22 billion in revenue, 50,000 employees and over 60 manufacturing facilities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Participated in the acquisition, divestiture, joint venture and carve-out of over 30 business units and segments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Executed Siemens’ “Vision 2020” initiative to optimize growth and margins in the U.S., across all sectors</w:t>
      </w:r>
    </w:p>
    <w:p>
      <w:pPr>
        <w:spacing w:after="0" w:line="83" w:lineRule="exact"/>
        <w:rPr>
          <w:rFonts w:ascii="Arial" w:cs="Arial" w:eastAsia="Arial" w:hAnsi="Arial"/>
          <w:sz w:val="16"/>
          <w:szCs w:val="16"/>
          <w:color w:val="auto"/>
        </w:rPr>
      </w:pPr>
    </w:p>
    <w:p>
      <w:pPr>
        <w:ind w:left="320" w:right="420" w:hanging="313"/>
        <w:spacing w:after="0" w:line="27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Prior to Siemens, Mr. Spiegel was a global consultant at Booz Allen Hamilton focused on complex organizations in the energy, power, chemical, water, industrial and automotive fields</w:t>
      </w:r>
    </w:p>
    <w:p>
      <w:pPr>
        <w:spacing w:after="0" w:line="26" w:lineRule="exact"/>
        <w:rPr>
          <w:rFonts w:ascii="Arial" w:cs="Arial" w:eastAsia="Arial" w:hAnsi="Arial"/>
          <w:sz w:val="16"/>
          <w:szCs w:val="16"/>
          <w:color w:val="auto"/>
        </w:rPr>
      </w:pPr>
    </w:p>
    <w:p>
      <w:pPr>
        <w:ind w:left="320" w:right="160" w:hanging="313"/>
        <w:spacing w:after="0" w:line="27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Booz, he worked with major energy clients globally on projects around corporate strategy, M&amp;A, major capital projects, cost restructuring, margin enhancement and supply chain re-design and was also closely involved with the government sector</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expert on the global energy industry, Mr. Spiegel co-authored the book Energy Shift: Game-changing Options for Fueling the Future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Brings expertise in risk oversight, including climate-related risks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Holds a bachelor’s degree in economics from Harvard University and an MBA from the Tuck School of Business at Dartmouth College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3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88" w:lineRule="exact"/>
        <w:rPr>
          <w:sz w:val="20"/>
          <w:szCs w:val="20"/>
          <w:color w:val="auto"/>
        </w:rPr>
      </w:pPr>
    </w:p>
    <w:p>
      <w:pPr>
        <w:ind w:left="320" w:right="400" w:hanging="313"/>
        <w:spacing w:after="0" w:line="279"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Special Advisor at Brighton Park Capital, a private equity firm, where he supports the firm’s sector investment teams and portfolio companies by providing strategic counsel on industry trends and growth strategies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President and CEO of Siemens USA</w:t>
      </w:r>
    </w:p>
    <w:p>
      <w:pPr>
        <w:spacing w:after="0" w:line="83" w:lineRule="exact"/>
        <w:rPr>
          <w:rFonts w:ascii="Arial" w:cs="Arial" w:eastAsia="Arial" w:hAnsi="Arial"/>
          <w:sz w:val="16"/>
          <w:szCs w:val="16"/>
          <w:color w:val="auto"/>
        </w:rPr>
      </w:pPr>
    </w:p>
    <w:p>
      <w:pPr>
        <w:ind w:left="320" w:right="640" w:hanging="313"/>
        <w:spacing w:after="0" w:line="279"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Managing Partner, Global Energy, Chemicals, and Power, and Managing Partner, Washington, D.C. office, and other roles at Booz &amp; Company, Inc. (now known as Strategy&amp;) and Booz Allen Hamilton, Inc., global consulting firms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Associate, Energy and Industrials Practice, at Temple, Barker &amp; Sloane, Inc. (now known as Oliver Wyman)</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Marketing and Strategy Manager at Brown Boveri &amp; Cie (now known as ABB), a Swiss group of electrical engineering companies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connection with his position at Brighton Park Capital, Mr. Spiegel serves as Chair of Relatient,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3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88"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Director and Risk Committee Chair of Liberty Mutual Holding Company, Inc.</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Director of TeamBuilder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17</w:t>
      </w:r>
    </w:p>
    <w:p>
      <w:pPr>
        <w:sectPr>
          <w:pgSz w:w="11900" w:h="16838" w:orient="portrait"/>
          <w:cols w:equalWidth="0" w:num="1">
            <w:col w:w="10920"/>
          </w:cols>
          <w:pgMar w:left="480" w:top="299" w:right="4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720" w:hanging="81"/>
        <w:spacing w:after="0"/>
        <w:tabs>
          <w:tab w:leader="none" w:pos="1720" w:val="left"/>
        </w:tabs>
        <w:numPr>
          <w:ilvl w:val="0"/>
          <w:numId w:val="38"/>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Richard J. Tobin</w:t>
      </w:r>
    </w:p>
    <w:p>
      <w:pPr>
        <w:spacing w:after="0" w:line="263" w:lineRule="exact"/>
        <w:rPr>
          <w:rFonts w:ascii="Arial" w:cs="Arial" w:eastAsia="Arial" w:hAnsi="Arial"/>
          <w:sz w:val="16"/>
          <w:szCs w:val="16"/>
          <w:b w:val="1"/>
          <w:bCs w:val="1"/>
          <w:color w:val="auto"/>
        </w:rPr>
      </w:pPr>
    </w:p>
    <w:p>
      <w:pPr>
        <w:ind w:left="1720" w:right="532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Board Chair; President and Chief Executive Officer Director since: 2016</w:t>
      </w:r>
    </w:p>
    <w:p>
      <w:pPr>
        <w:spacing w:after="0" w:line="1" w:lineRule="exact"/>
        <w:rPr>
          <w:rFonts w:ascii="Arial" w:cs="Arial" w:eastAsia="Arial" w:hAnsi="Arial"/>
          <w:sz w:val="16"/>
          <w:szCs w:val="16"/>
          <w:b w:val="1"/>
          <w:bCs w:val="1"/>
          <w:color w:val="auto"/>
        </w:rPr>
      </w:pPr>
    </w:p>
    <w:p>
      <w:pPr>
        <w:ind w:left="1720" w:right="7700"/>
        <w:spacing w:after="0" w:line="361" w:lineRule="auto"/>
        <w:rPr>
          <w:rFonts w:ascii="Arial" w:cs="Arial" w:eastAsia="Arial" w:hAnsi="Arial"/>
          <w:sz w:val="16"/>
          <w:szCs w:val="16"/>
          <w:b w:val="1"/>
          <w:bCs w:val="1"/>
          <w:color w:val="auto"/>
        </w:rPr>
      </w:pPr>
      <w:r>
        <w:rPr>
          <w:rFonts w:ascii="Arial" w:cs="Arial" w:eastAsia="Arial" w:hAnsi="Arial"/>
          <w:sz w:val="15"/>
          <w:szCs w:val="15"/>
          <w:b w:val="1"/>
          <w:bCs w:val="1"/>
          <w:color w:val="auto"/>
        </w:rPr>
        <w:t>Age: 62 Committees: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-864870</wp:posOffset>
            </wp:positionV>
            <wp:extent cx="6929755" cy="1240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Tobin is Dover’s current Chairman, President, and CEO</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Has a broad range of industry and functional experiences acquired through regional and global leadership positions</w:t>
      </w:r>
    </w:p>
    <w:p>
      <w:pPr>
        <w:spacing w:after="0" w:line="83" w:lineRule="exact"/>
        <w:rPr>
          <w:rFonts w:ascii="Arial" w:cs="Arial" w:eastAsia="Arial" w:hAnsi="Arial"/>
          <w:sz w:val="16"/>
          <w:szCs w:val="16"/>
          <w:color w:val="auto"/>
        </w:rPr>
      </w:pPr>
    </w:p>
    <w:p>
      <w:pPr>
        <w:ind w:left="320" w:right="520" w:hanging="313"/>
        <w:spacing w:after="0" w:line="279"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CEO of CNH Industrial, a complex international industrial company, where he led efforts to increase efficiencies, innovate through new technologies, expand geographically, and maximize the company’s portfolio of businesses</w:t>
      </w:r>
    </w:p>
    <w:p>
      <w:pPr>
        <w:spacing w:after="0" w:line="26"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Gained extensive experience in international finance, operations, management, and information technology in his prior roles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Developed deep expertise with global capital markets through his international finance leadership roles</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Prior to beginning his business career, Mr. Tobin was an officer in the United States Army</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the Board of Trustees of the John G. Shedd Aquarium in Chicago</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Formerly served on the U.S. Chamber of Commerce Board of Directors, and is a former member of the Business Roundtable</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Holds a bachelor of arts from Norwich University and an MBA from Drexel University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Chairman, President, and CEO of Dover</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CEO of CNH Industrial NV (“CNH Industrial”)</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Group Chief Operating Officer of Fiat Industrial S.p.A</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President and CEO of CNH Global NV</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CFO of CNH Global NV</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Chief Finance Officer &amp; Head of Information Technology of SGS Group</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Chief Operating Officer for North America of SGS Group</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Director of KeyCorp</w:t>
      </w:r>
    </w:p>
    <w:p>
      <w:pPr>
        <w:spacing w:after="0" w:line="83" w:lineRule="exact"/>
        <w:rPr>
          <w:rFonts w:ascii="Arial" w:cs="Arial" w:eastAsia="Arial" w:hAnsi="Arial"/>
          <w:sz w:val="16"/>
          <w:szCs w:val="16"/>
          <w:color w:val="auto"/>
        </w:rPr>
      </w:pPr>
    </w:p>
    <w:p>
      <w:pPr>
        <w:ind w:left="320" w:hanging="313"/>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director of CNH Industrial</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p>
    <w:p>
      <w:pPr>
        <w:sectPr>
          <w:pgSz w:w="11900" w:h="16838" w:orient="portrait"/>
          <w:cols w:equalWidth="0" w:num="1">
            <w:col w:w="10920"/>
          </w:cols>
          <w:pgMar w:left="480" w:top="299" w:right="49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8" w:lineRule="exact"/>
        <w:rPr>
          <w:sz w:val="20"/>
          <w:szCs w:val="20"/>
          <w:color w:val="auto"/>
        </w:rPr>
      </w:pPr>
    </w:p>
    <w:p>
      <w:pPr>
        <w:ind w:left="1620" w:hanging="75"/>
        <w:spacing w:after="0"/>
        <w:tabs>
          <w:tab w:leader="none" w:pos="162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6"/>
          <w:szCs w:val="16"/>
          <w:b w:val="1"/>
          <w:bCs w:val="1"/>
          <w:i w:val="1"/>
          <w:iCs w:val="1"/>
          <w:color w:val="021496"/>
        </w:rPr>
        <w:t>Keith E. Wandell</w:t>
      </w:r>
    </w:p>
    <w:p>
      <w:pPr>
        <w:spacing w:after="0" w:line="273" w:lineRule="exact"/>
        <w:rPr>
          <w:rFonts w:ascii="Times New Roman" w:cs="Times New Roman" w:eastAsia="Times New Roman" w:hAnsi="Times New Roman"/>
          <w:sz w:val="14"/>
          <w:szCs w:val="14"/>
          <w:color w:val="auto"/>
        </w:rPr>
      </w:pPr>
    </w:p>
    <w:p>
      <w:pPr>
        <w:ind w:left="1620" w:right="6960"/>
        <w:spacing w:after="0" w:line="254" w:lineRule="auto"/>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Independent Director Nominee Director since: 2015</w:t>
      </w:r>
    </w:p>
    <w:p>
      <w:pPr>
        <w:spacing w:after="0" w:line="1"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Age: 76</w:t>
      </w:r>
    </w:p>
    <w:p>
      <w:pPr>
        <w:spacing w:after="0" w:line="27"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 xml:space="preserve">Committees:   Compensation </w:t>
      </w:r>
      <w:r>
        <w:rPr>
          <w:rFonts w:ascii="Arial" w:cs="Arial" w:eastAsia="Arial" w:hAnsi="Arial"/>
          <w:sz w:val="16"/>
          <w:szCs w:val="16"/>
          <w:b w:val="1"/>
          <w:bCs w:val="1"/>
          <w:i w:val="1"/>
          <w:iCs w:val="1"/>
          <w:color w:val="auto"/>
        </w:rPr>
        <w:t>(Chair)</w:t>
      </w:r>
      <w:r>
        <w:rPr>
          <w:rFonts w:ascii="Arial" w:cs="Arial" w:eastAsia="Arial" w:hAnsi="Arial"/>
          <w:sz w:val="16"/>
          <w:szCs w:val="16"/>
          <w:b w:val="1"/>
          <w:bCs w:val="1"/>
          <w:color w:val="auto"/>
        </w:rPr>
        <w: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-777875</wp:posOffset>
            </wp:positionV>
            <wp:extent cx="6929755" cy="1180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220" w:right="560" w:hanging="213"/>
        <w:spacing w:after="0" w:line="279" w:lineRule="auto"/>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Wandell brings to the Board the valuable perspective of a strategic, experienced leader with a strong record focused on growth, profitability, international expansion and innovation</w:t>
      </w:r>
    </w:p>
    <w:p>
      <w:pPr>
        <w:spacing w:after="0" w:line="26" w:lineRule="exact"/>
        <w:rPr>
          <w:rFonts w:ascii="Arial" w:cs="Arial" w:eastAsia="Arial" w:hAnsi="Arial"/>
          <w:sz w:val="16"/>
          <w:szCs w:val="16"/>
          <w:color w:val="auto"/>
        </w:rPr>
      </w:pPr>
    </w:p>
    <w:p>
      <w:pPr>
        <w:jc w:val="both"/>
        <w:ind w:left="220" w:right="260" w:hanging="213"/>
        <w:spacing w:after="0" w:line="262" w:lineRule="auto"/>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Has over 30 years of experience in diversified manufacturing businesses, most recently as the former Chairman and CEO of Harley-Davidson, Inc. (“Harley-Davidson”) where he led transformation efforts across the company’s product development, manufacturing and retail functions, focused on international expansion and implemented a restructuring plan</w:t>
      </w:r>
    </w:p>
    <w:p>
      <w:pPr>
        <w:spacing w:after="0" w:line="39" w:lineRule="exact"/>
        <w:rPr>
          <w:rFonts w:ascii="Arial" w:cs="Arial" w:eastAsia="Arial" w:hAnsi="Arial"/>
          <w:sz w:val="16"/>
          <w:szCs w:val="16"/>
          <w:color w:val="auto"/>
        </w:rPr>
      </w:pPr>
    </w:p>
    <w:p>
      <w:pPr>
        <w:ind w:left="220" w:right="420" w:hanging="213"/>
        <w:spacing w:after="0" w:line="262" w:lineRule="auto"/>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Prior to joining Harley-Davidson, Mr. Wandell served as President and Chief Operating Officer of Johnson Controls, Inc. (“Johnson Controls”) and helped manage the company’s entry into the Chinese car-battery market as well as its subsequent joint venture with China’s largest battery manufacturer</w:t>
      </w:r>
    </w:p>
    <w:p>
      <w:pPr>
        <w:spacing w:after="0" w:line="39" w:lineRule="exact"/>
        <w:rPr>
          <w:rFonts w:ascii="Arial" w:cs="Arial" w:eastAsia="Arial" w:hAnsi="Arial"/>
          <w:sz w:val="16"/>
          <w:szCs w:val="16"/>
          <w:color w:val="auto"/>
        </w:rPr>
      </w:pPr>
    </w:p>
    <w:p>
      <w:pPr>
        <w:ind w:left="220" w:right="100" w:hanging="213"/>
        <w:spacing w:after="0" w:line="279" w:lineRule="auto"/>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Gained valuable insights into the effective development of executive leadership capabilities and strong corporate cultures through his experience as a senior leader at various companies</w:t>
      </w:r>
    </w:p>
    <w:p>
      <w:pPr>
        <w:spacing w:after="0" w:line="26" w:lineRule="exact"/>
        <w:rPr>
          <w:rFonts w:ascii="Arial" w:cs="Arial" w:eastAsia="Arial" w:hAnsi="Arial"/>
          <w:sz w:val="16"/>
          <w:szCs w:val="16"/>
          <w:color w:val="auto"/>
        </w:rPr>
      </w:pPr>
    </w:p>
    <w:p>
      <w:pPr>
        <w:ind w:left="220" w:hanging="213"/>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Served on the boards of four other public companies, including the two on which he currently serves</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Holds a bachelor’s degree in business administration from Ohio University and an MBA from the University of Dayton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President and CEO of Harley-Davidson</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President and Chief Operating Officer of Johnson Controls</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Executive Vice President of Johnson Controls</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Corporate Vice President of Johnson Controls</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President of the Automotive Experience business of Johnson Controls</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President of the Power Solutions business of Johnson Controls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127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220" w:hanging="213"/>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Director of Dana Incorporated</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Former Director of Constellation Brands, Inc. and Clarcor, Inc.</w:t>
      </w:r>
    </w:p>
    <w:p>
      <w:pPr>
        <w:spacing w:after="0" w:line="83" w:lineRule="exact"/>
        <w:rPr>
          <w:rFonts w:ascii="Arial" w:cs="Arial" w:eastAsia="Arial" w:hAnsi="Arial"/>
          <w:sz w:val="16"/>
          <w:szCs w:val="16"/>
          <w:color w:val="auto"/>
        </w:rPr>
      </w:pPr>
    </w:p>
    <w:p>
      <w:pPr>
        <w:ind w:left="220" w:hanging="213"/>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Former Chairman of Harley-Davidson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THE BOARD RECOMMENDS A VOTE “FOR” THE ELECTION OF EACH</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OF THE NOMINEES NAMED ABOVE.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19</w:t>
      </w:r>
    </w:p>
    <w:p>
      <w:pPr>
        <w:sectPr>
          <w:pgSz w:w="11900" w:h="16838" w:orient="portrait"/>
          <w:cols w:equalWidth="0" w:num="1">
            <w:col w:w="10920"/>
          </w:cols>
          <w:pgMar w:left="480" w:top="299" w:right="4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Board Oversight and Governance Practices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Board is responsible for, and committed to, overseeing our long-term strategic development as well as managing the principal and most significant risks that we face. In carrying out this duty, our Board advises senior management to help drive long-term value creation for our shareholders. The Board delegates specific areas of responsibility to relevant Board committees, as detailed below under the heading “Overview of Committee Responsibilities”, who report on their deliberations to the Board. The following summarizes our Board’s key areas of oversight responsibility.</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Board Oversight</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760" w:type="dxa"/>
            <w:vAlign w:val="bottom"/>
            <w:tcBorders>
              <w:left w:val="single" w:sz="8" w:color="021496"/>
              <w:bottom w:val="single" w:sz="8" w:color="021496"/>
              <w:right w:val="single" w:sz="8" w:color="021496"/>
            </w:tcBorders>
            <w:shd w:val="clear" w:color="auto" w:fill="021496"/>
          </w:tcPr>
          <w:p>
            <w:pPr>
              <w:spacing w:after="0"/>
              <w:rPr>
                <w:sz w:val="23"/>
                <w:szCs w:val="23"/>
                <w:color w:val="auto"/>
              </w:rPr>
            </w:pPr>
          </w:p>
        </w:tc>
        <w:tc>
          <w:tcPr>
            <w:tcW w:w="300" w:type="dxa"/>
            <w:vAlign w:val="bottom"/>
            <w:tcBorders>
              <w:bottom w:val="single" w:sz="8" w:color="021496"/>
            </w:tcBorders>
            <w:shd w:val="clear" w:color="auto" w:fill="021496"/>
          </w:tcPr>
          <w:p>
            <w:pPr>
              <w:spacing w:after="0"/>
              <w:rPr>
                <w:sz w:val="23"/>
                <w:szCs w:val="23"/>
                <w:color w:val="auto"/>
              </w:rPr>
            </w:pPr>
          </w:p>
        </w:tc>
        <w:tc>
          <w:tcPr>
            <w:tcW w:w="7880" w:type="dxa"/>
            <w:vAlign w:val="bottom"/>
            <w:tcBorders>
              <w:bottom w:val="single" w:sz="8" w:color="021496"/>
              <w:right w:val="single" w:sz="8" w:color="021496"/>
            </w:tcBorders>
            <w:shd w:val="clear" w:color="auto" w:fill="021496"/>
          </w:tcPr>
          <w:p>
            <w:pPr>
              <w:ind w:left="106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240"/>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Long-Term</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One of the primary responsibilities of our Board is the </w:t>
            </w:r>
            <w:r>
              <w:rPr>
                <w:rFonts w:ascii="Arial" w:cs="Arial" w:eastAsia="Arial" w:hAnsi="Arial"/>
                <w:sz w:val="16"/>
                <w:szCs w:val="16"/>
                <w:b w:val="1"/>
                <w:bCs w:val="1"/>
                <w:color w:val="021496"/>
              </w:rPr>
              <w:t>oversight of management’s long-term strategy and</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vMerge w:val="continue"/>
            <w:shd w:val="clear" w:color="auto" w:fill="EAEFED"/>
          </w:tcPr>
          <w:p>
            <w:pPr>
              <w:spacing w:after="0"/>
              <w:rPr>
                <w:sz w:val="8"/>
                <w:szCs w:val="8"/>
                <w:color w:val="auto"/>
              </w:rPr>
            </w:pPr>
          </w:p>
        </w:tc>
        <w:tc>
          <w:tcPr>
            <w:tcW w:w="300" w:type="dxa"/>
            <w:vAlign w:val="bottom"/>
          </w:tcPr>
          <w:p>
            <w:pPr>
              <w:spacing w:after="0"/>
              <w:rPr>
                <w:sz w:val="8"/>
                <w:szCs w:val="8"/>
                <w:color w:val="auto"/>
              </w:rPr>
            </w:pPr>
          </w:p>
        </w:tc>
        <w:tc>
          <w:tcPr>
            <w:tcW w:w="7880" w:type="dxa"/>
            <w:vAlign w:val="bottom"/>
            <w:tcBorders>
              <w:right w:val="single" w:sz="8" w:color="021496"/>
            </w:tcBorders>
            <w:vMerge w:val="restart"/>
          </w:tcPr>
          <w:p>
            <w:pPr>
              <w:ind w:left="120"/>
              <w:spacing w:after="0"/>
              <w:rPr>
                <w:sz w:val="20"/>
                <w:szCs w:val="20"/>
                <w:color w:val="auto"/>
              </w:rPr>
            </w:pPr>
            <w:r>
              <w:rPr>
                <w:rFonts w:ascii="Arial" w:cs="Arial" w:eastAsia="Arial" w:hAnsi="Arial"/>
                <w:sz w:val="16"/>
                <w:szCs w:val="16"/>
                <w:b w:val="1"/>
                <w:bCs w:val="1"/>
                <w:color w:val="021496"/>
              </w:rPr>
              <w:t>planning</w:t>
            </w:r>
            <w:r>
              <w:rPr>
                <w:rFonts w:ascii="Arial" w:cs="Arial" w:eastAsia="Arial" w:hAnsi="Arial"/>
                <w:sz w:val="16"/>
                <w:szCs w:val="16"/>
                <w:color w:val="000000"/>
              </w:rPr>
              <w:t>. Accordingly, our Board maintains a deep level of engagement with management in setting and</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vMerge w:val="restart"/>
            <w:shd w:val="clear" w:color="auto" w:fill="EAEFED"/>
          </w:tcPr>
          <w:p>
            <w:pPr>
              <w:ind w:left="720"/>
              <w:spacing w:after="0"/>
              <w:rPr>
                <w:sz w:val="20"/>
                <w:szCs w:val="20"/>
                <w:color w:val="auto"/>
              </w:rPr>
            </w:pPr>
            <w:r>
              <w:rPr>
                <w:rFonts w:ascii="Arial" w:cs="Arial" w:eastAsia="Arial" w:hAnsi="Arial"/>
                <w:sz w:val="16"/>
                <w:szCs w:val="16"/>
                <w:b w:val="1"/>
                <w:bCs w:val="1"/>
                <w:color w:val="auto"/>
              </w:rPr>
              <w:t>Business Strategy</w:t>
            </w:r>
          </w:p>
        </w:tc>
        <w:tc>
          <w:tcPr>
            <w:tcW w:w="300" w:type="dxa"/>
            <w:vAlign w:val="bottom"/>
          </w:tcPr>
          <w:p>
            <w:pPr>
              <w:spacing w:after="0"/>
              <w:rPr>
                <w:sz w:val="8"/>
                <w:szCs w:val="8"/>
                <w:color w:val="auto"/>
              </w:rPr>
            </w:pPr>
          </w:p>
        </w:tc>
        <w:tc>
          <w:tcPr>
            <w:tcW w:w="788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76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300" w:type="dxa"/>
            <w:vAlign w:val="bottom"/>
          </w:tcPr>
          <w:p>
            <w:pPr>
              <w:spacing w:after="0"/>
              <w:rPr>
                <w:sz w:val="11"/>
                <w:szCs w:val="11"/>
                <w:color w:val="auto"/>
              </w:rPr>
            </w:pPr>
          </w:p>
        </w:tc>
        <w:tc>
          <w:tcPr>
            <w:tcW w:w="7880" w:type="dxa"/>
            <w:vAlign w:val="bottom"/>
            <w:tcBorders>
              <w:right w:val="single" w:sz="8" w:color="021496"/>
            </w:tcBorders>
            <w:vMerge w:val="restart"/>
          </w:tcPr>
          <w:p>
            <w:pPr>
              <w:ind w:left="120"/>
              <w:spacing w:after="0"/>
              <w:rPr>
                <w:sz w:val="20"/>
                <w:szCs w:val="20"/>
                <w:color w:val="auto"/>
              </w:rPr>
            </w:pPr>
            <w:r>
              <w:rPr>
                <w:rFonts w:ascii="Arial" w:cs="Arial" w:eastAsia="Arial" w:hAnsi="Arial"/>
                <w:sz w:val="16"/>
                <w:szCs w:val="16"/>
                <w:color w:val="auto"/>
              </w:rPr>
              <w:t>overseeing Dover’s long-term business strategy.</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300" w:type="dxa"/>
            <w:vAlign w:val="bottom"/>
          </w:tcPr>
          <w:p>
            <w:pPr>
              <w:spacing w:after="0"/>
              <w:rPr>
                <w:sz w:val="7"/>
                <w:szCs w:val="7"/>
                <w:color w:val="auto"/>
              </w:rPr>
            </w:pPr>
          </w:p>
        </w:tc>
        <w:tc>
          <w:tcPr>
            <w:tcW w:w="788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300" w:type="dxa"/>
            <w:vAlign w:val="bottom"/>
            <w:tcBorders>
              <w:bottom w:val="single" w:sz="8" w:color="021496"/>
            </w:tcBorders>
          </w:tcPr>
          <w:p>
            <w:pPr>
              <w:spacing w:after="0"/>
              <w:rPr>
                <w:sz w:val="7"/>
                <w:szCs w:val="7"/>
                <w:color w:val="auto"/>
              </w:rPr>
            </w:pPr>
          </w:p>
        </w:tc>
        <w:tc>
          <w:tcPr>
            <w:tcW w:w="78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Our Board is focused on the efficient allocation of capital to drive growth and provide returns to our</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shareholders. Our capital allocation priorities are organic investments, strategic acquisitions, and the return</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of capital to our shareholders.</w:t>
            </w:r>
          </w:p>
        </w:tc>
        <w:tc>
          <w:tcPr>
            <w:tcW w:w="0" w:type="dxa"/>
            <w:vAlign w:val="bottom"/>
          </w:tcPr>
          <w:p>
            <w:pPr>
              <w:spacing w:after="0"/>
              <w:rPr>
                <w:sz w:val="1"/>
                <w:szCs w:val="1"/>
                <w:color w:val="auto"/>
              </w:rPr>
            </w:pPr>
          </w:p>
        </w:tc>
      </w:tr>
      <w:tr>
        <w:trPr>
          <w:trHeight w:val="243"/>
        </w:trPr>
        <w:tc>
          <w:tcPr>
            <w:tcW w:w="2760" w:type="dxa"/>
            <w:vAlign w:val="bottom"/>
            <w:tcBorders>
              <w:left w:val="single" w:sz="8" w:color="021496"/>
              <w:right w:val="single" w:sz="8" w:color="021496"/>
            </w:tcBorders>
            <w:shd w:val="clear" w:color="auto" w:fill="EAEFED"/>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We made approximately $220.3 million in capital expenditures in 2025, representing 2.7% of revenue, in line</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with our priority of </w:t>
            </w:r>
            <w:r>
              <w:rPr>
                <w:rFonts w:ascii="Arial" w:cs="Arial" w:eastAsia="Arial" w:hAnsi="Arial"/>
                <w:sz w:val="16"/>
                <w:szCs w:val="16"/>
                <w:b w:val="1"/>
                <w:bCs w:val="1"/>
                <w:color w:val="021496"/>
              </w:rPr>
              <w:t>organic reinvestment to support growth initiatives, productivity and new product</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300" w:type="dxa"/>
            <w:vAlign w:val="bottom"/>
          </w:tcPr>
          <w:p>
            <w:pPr>
              <w:spacing w:after="0"/>
              <w:rPr>
                <w:sz w:val="19"/>
                <w:szCs w:val="19"/>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b w:val="1"/>
                <w:bCs w:val="1"/>
                <w:color w:val="021496"/>
              </w:rPr>
              <w:t>launches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Capital Allocation</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We employ a </w:t>
            </w:r>
            <w:r>
              <w:rPr>
                <w:rFonts w:ascii="Arial" w:cs="Arial" w:eastAsia="Arial" w:hAnsi="Arial"/>
                <w:sz w:val="16"/>
                <w:szCs w:val="16"/>
                <w:b w:val="1"/>
                <w:bCs w:val="1"/>
                <w:color w:val="021496"/>
              </w:rPr>
              <w:t>prudent financial policy</w:t>
            </w:r>
            <w:r>
              <w:rPr>
                <w:rFonts w:ascii="Arial" w:cs="Arial" w:eastAsia="Arial" w:hAnsi="Arial"/>
                <w:sz w:val="16"/>
                <w:szCs w:val="16"/>
                <w:color w:val="auto"/>
              </w:rPr>
              <w:t xml:space="preserve"> to support our capital allocation strategy, which includes maintaining</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300" w:type="dxa"/>
            <w:vAlign w:val="bottom"/>
          </w:tcPr>
          <w:p>
            <w:pPr>
              <w:spacing w:after="0"/>
              <w:rPr>
                <w:sz w:val="19"/>
                <w:szCs w:val="19"/>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021496"/>
              </w:rPr>
              <w:t>investment grade credit rating</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We consistently </w:t>
            </w:r>
            <w:r>
              <w:rPr>
                <w:rFonts w:ascii="Arial" w:cs="Arial" w:eastAsia="Arial" w:hAnsi="Arial"/>
                <w:sz w:val="16"/>
                <w:szCs w:val="16"/>
                <w:b w:val="1"/>
                <w:bCs w:val="1"/>
                <w:color w:val="021496"/>
              </w:rPr>
              <w:t>return cash to shareholders</w:t>
            </w:r>
            <w:r>
              <w:rPr>
                <w:rFonts w:ascii="Arial" w:cs="Arial" w:eastAsia="Arial" w:hAnsi="Arial"/>
                <w:sz w:val="16"/>
                <w:szCs w:val="16"/>
                <w:color w:val="auto"/>
              </w:rPr>
              <w:t xml:space="preserve"> by paying </w:t>
            </w:r>
            <w:r>
              <w:rPr>
                <w:rFonts w:ascii="Arial" w:cs="Arial" w:eastAsia="Arial" w:hAnsi="Arial"/>
                <w:sz w:val="16"/>
                <w:szCs w:val="16"/>
                <w:b w:val="1"/>
                <w:bCs w:val="1"/>
                <w:color w:val="021496"/>
              </w:rPr>
              <w:t>dividends</w:t>
            </w:r>
            <w:r>
              <w:rPr>
                <w:rFonts w:ascii="Arial" w:cs="Arial" w:eastAsia="Arial" w:hAnsi="Arial"/>
                <w:sz w:val="16"/>
                <w:szCs w:val="16"/>
                <w:color w:val="auto"/>
              </w:rPr>
              <w:t xml:space="preserve">, which </w:t>
            </w:r>
            <w:r>
              <w:rPr>
                <w:rFonts w:ascii="Arial" w:cs="Arial" w:eastAsia="Arial" w:hAnsi="Arial"/>
                <w:sz w:val="16"/>
                <w:szCs w:val="16"/>
                <w:b w:val="1"/>
                <w:bCs w:val="1"/>
                <w:color w:val="021496"/>
              </w:rPr>
              <w:t>have increased annually over</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300" w:type="dxa"/>
            <w:vAlign w:val="bottom"/>
          </w:tcPr>
          <w:p>
            <w:pPr>
              <w:spacing w:after="0"/>
              <w:rPr>
                <w:sz w:val="19"/>
                <w:szCs w:val="19"/>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b w:val="1"/>
                <w:bCs w:val="1"/>
                <w:color w:val="021496"/>
              </w:rPr>
              <w:t>each of the last 70 years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We also undertake opportunistic share repurchases as part of our capital allocation strategy, announcing</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b w:val="1"/>
                <w:bCs w:val="1"/>
                <w:color w:val="021496"/>
              </w:rPr>
              <w:t xml:space="preserve">$541 million in share repurchases in 2025 </w:t>
            </w:r>
            <w:r>
              <w:rPr>
                <w:rFonts w:ascii="Arial" w:cs="Arial" w:eastAsia="Arial" w:hAnsi="Arial"/>
                <w:sz w:val="16"/>
                <w:szCs w:val="16"/>
                <w:color w:val="000000"/>
              </w:rPr>
              <w:t>including a $500 million ASR program announced in</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November.</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300" w:type="dxa"/>
            <w:vAlign w:val="bottom"/>
            <w:tcBorders>
              <w:bottom w:val="single" w:sz="8" w:color="021496"/>
            </w:tcBorders>
          </w:tcPr>
          <w:p>
            <w:pPr>
              <w:spacing w:after="0"/>
              <w:rPr>
                <w:sz w:val="7"/>
                <w:szCs w:val="7"/>
                <w:color w:val="auto"/>
              </w:rPr>
            </w:pPr>
          </w:p>
        </w:tc>
        <w:tc>
          <w:tcPr>
            <w:tcW w:w="78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760" w:type="dxa"/>
            <w:vAlign w:val="bottom"/>
            <w:tcBorders>
              <w:left w:val="single" w:sz="8" w:color="021496"/>
              <w:right w:val="single" w:sz="8" w:color="021496"/>
            </w:tcBorders>
            <w:shd w:val="clear" w:color="auto" w:fill="EAEFED"/>
          </w:tcPr>
          <w:p>
            <w:pPr>
              <w:spacing w:after="0"/>
              <w:rPr>
                <w:sz w:val="23"/>
                <w:szCs w:val="23"/>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Businesses in our portfolio are continually evaluated for </w:t>
            </w:r>
            <w:r>
              <w:rPr>
                <w:rFonts w:ascii="Arial" w:cs="Arial" w:eastAsia="Arial" w:hAnsi="Arial"/>
                <w:sz w:val="16"/>
                <w:szCs w:val="16"/>
                <w:b w:val="1"/>
                <w:bCs w:val="1"/>
                <w:color w:val="021496"/>
              </w:rPr>
              <w:t>strategic fit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b w:val="1"/>
                <w:bCs w:val="1"/>
                <w:color w:val="021496"/>
              </w:rPr>
              <w:t>We seek to deploy capital on acquisitions in attractive growth areas across our five segments</w:t>
            </w:r>
            <w:r>
              <w:rPr>
                <w:rFonts w:ascii="Arial" w:cs="Arial" w:eastAsia="Arial" w:hAnsi="Arial"/>
                <w:sz w:val="16"/>
                <w:szCs w:val="16"/>
                <w:color w:val="000000"/>
              </w:rPr>
              <w:t>. We</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focus primarily on bolt-on acquisitions, </w:t>
            </w:r>
            <w:r>
              <w:rPr>
                <w:rFonts w:ascii="Arial" w:cs="Arial" w:eastAsia="Arial" w:hAnsi="Arial"/>
                <w:sz w:val="16"/>
                <w:szCs w:val="16"/>
                <w:b w:val="1"/>
                <w:bCs w:val="1"/>
                <w:color w:val="021496"/>
              </w:rPr>
              <w:t>applying strict selection criteria of market attractiveness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(including growth, market landscape, and performance-based competition), </w:t>
            </w:r>
            <w:r>
              <w:rPr>
                <w:rFonts w:ascii="Arial" w:cs="Arial" w:eastAsia="Arial" w:hAnsi="Arial"/>
                <w:sz w:val="16"/>
                <w:szCs w:val="16"/>
                <w:b w:val="1"/>
                <w:bCs w:val="1"/>
                <w:color w:val="021496"/>
              </w:rPr>
              <w:t>business fit</w:t>
            </w:r>
            <w:r>
              <w:rPr>
                <w:rFonts w:ascii="Arial" w:cs="Arial" w:eastAsia="Arial" w:hAnsi="Arial"/>
                <w:sz w:val="16"/>
                <w:szCs w:val="16"/>
                <w:color w:val="auto"/>
              </w:rPr>
              <w:t xml:space="preserve"> (including</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Portfolio</w:t>
            </w: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sustained leading position, revenue visibility, and favorable customer value-add versus switching cost or</w:t>
            </w:r>
          </w:p>
        </w:tc>
        <w:tc>
          <w:tcPr>
            <w:tcW w:w="0" w:type="dxa"/>
            <w:vAlign w:val="bottom"/>
          </w:tcPr>
          <w:p>
            <w:pPr>
              <w:spacing w:after="0"/>
              <w:rPr>
                <w:sz w:val="1"/>
                <w:szCs w:val="1"/>
                <w:color w:val="auto"/>
              </w:rPr>
            </w:pPr>
          </w:p>
        </w:tc>
      </w:tr>
      <w:tr>
        <w:trPr>
          <w:trHeight w:val="235"/>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Management</w:t>
            </w:r>
          </w:p>
        </w:tc>
        <w:tc>
          <w:tcPr>
            <w:tcW w:w="300" w:type="dxa"/>
            <w:vAlign w:val="bottom"/>
          </w:tcPr>
          <w:p>
            <w:pPr>
              <w:spacing w:after="0"/>
              <w:rPr>
                <w:sz w:val="20"/>
                <w:szCs w:val="20"/>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risk) and </w:t>
            </w:r>
            <w:r>
              <w:rPr>
                <w:rFonts w:ascii="Arial" w:cs="Arial" w:eastAsia="Arial" w:hAnsi="Arial"/>
                <w:sz w:val="16"/>
                <w:szCs w:val="16"/>
                <w:b w:val="1"/>
                <w:bCs w:val="1"/>
                <w:color w:val="021496"/>
              </w:rPr>
              <w:t>financial return profile</w:t>
            </w:r>
            <w:r>
              <w:rPr>
                <w:rFonts w:ascii="Arial" w:cs="Arial" w:eastAsia="Arial" w:hAnsi="Arial"/>
                <w:sz w:val="16"/>
                <w:szCs w:val="16"/>
                <w:color w:val="auto"/>
              </w:rPr>
              <w:t xml:space="preserve"> (accretive growth and margins and double-digit return on invested capital).</w:t>
            </w:r>
          </w:p>
        </w:tc>
        <w:tc>
          <w:tcPr>
            <w:tcW w:w="0" w:type="dxa"/>
            <w:vAlign w:val="bottom"/>
          </w:tcPr>
          <w:p>
            <w:pPr>
              <w:spacing w:after="0"/>
              <w:rPr>
                <w:sz w:val="1"/>
                <w:szCs w:val="1"/>
                <w:color w:val="auto"/>
              </w:rPr>
            </w:pPr>
          </w:p>
        </w:tc>
      </w:tr>
      <w:tr>
        <w:trPr>
          <w:trHeight w:val="220"/>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 xml:space="preserve">We have </w:t>
            </w:r>
            <w:r>
              <w:rPr>
                <w:rFonts w:ascii="Arial" w:cs="Arial" w:eastAsia="Arial" w:hAnsi="Arial"/>
                <w:sz w:val="16"/>
                <w:szCs w:val="16"/>
                <w:b w:val="1"/>
                <w:bCs w:val="1"/>
                <w:color w:val="021496"/>
              </w:rPr>
              <w:t>sold or divested some of our businesses</w:t>
            </w:r>
            <w:r>
              <w:rPr>
                <w:rFonts w:ascii="Arial" w:cs="Arial" w:eastAsia="Arial" w:hAnsi="Arial"/>
                <w:sz w:val="16"/>
                <w:szCs w:val="16"/>
                <w:color w:val="auto"/>
              </w:rPr>
              <w:t xml:space="preserve"> based on changes in specific market outlook,</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structural changes in financial performance, value-creation potential, or for other strategic considerations,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which included an effort to reduce our exposure to cyclical markets or focus on our higher margin and higher</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Borders>
              <w:right w:val="single" w:sz="8" w:color="021496"/>
            </w:tcBorders>
          </w:tcPr>
          <w:p>
            <w:pPr>
              <w:ind w:left="120"/>
              <w:spacing w:after="0"/>
              <w:rPr>
                <w:sz w:val="20"/>
                <w:szCs w:val="20"/>
                <w:color w:val="auto"/>
              </w:rPr>
            </w:pPr>
            <w:r>
              <w:rPr>
                <w:rFonts w:ascii="Arial" w:cs="Arial" w:eastAsia="Arial" w:hAnsi="Arial"/>
                <w:sz w:val="16"/>
                <w:szCs w:val="16"/>
                <w:color w:val="auto"/>
              </w:rPr>
              <w:t>growth spaces.</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300" w:type="dxa"/>
            <w:vAlign w:val="bottom"/>
            <w:tcBorders>
              <w:bottom w:val="single" w:sz="8" w:color="021496"/>
            </w:tcBorders>
          </w:tcPr>
          <w:p>
            <w:pPr>
              <w:spacing w:after="0"/>
              <w:rPr>
                <w:sz w:val="7"/>
                <w:szCs w:val="7"/>
                <w:color w:val="auto"/>
              </w:rPr>
            </w:pPr>
          </w:p>
        </w:tc>
        <w:tc>
          <w:tcPr>
            <w:tcW w:w="78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ind w:left="40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2026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bl>
    <w:p>
      <w:pPr>
        <w:sectPr>
          <w:pgSz w:w="11900" w:h="16838" w:orient="portrait"/>
          <w:cols w:equalWidth="0" w:num="1">
            <w:col w:w="10940"/>
          </w:cols>
          <w:pgMar w:left="480" w:top="299" w:right="4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760" w:type="dxa"/>
            <w:vAlign w:val="bottom"/>
            <w:tcBorders>
              <w:left w:val="single" w:sz="8" w:color="021496"/>
              <w:bottom w:val="single" w:sz="8" w:color="021496"/>
              <w:right w:val="single" w:sz="8" w:color="021496"/>
            </w:tcBorders>
            <w:shd w:val="clear" w:color="auto" w:fill="021496"/>
          </w:tcPr>
          <w:p>
            <w:pPr>
              <w:spacing w:after="0"/>
              <w:rPr>
                <w:sz w:val="23"/>
                <w:szCs w:val="23"/>
                <w:color w:val="auto"/>
              </w:rPr>
            </w:pPr>
          </w:p>
        </w:tc>
        <w:tc>
          <w:tcPr>
            <w:tcW w:w="8180" w:type="dxa"/>
            <w:vAlign w:val="bottom"/>
            <w:tcBorders>
              <w:bottom w:val="single" w:sz="8" w:color="021496"/>
              <w:right w:val="single" w:sz="8" w:color="021496"/>
            </w:tcBorders>
            <w:shd w:val="clear" w:color="auto" w:fill="021496"/>
          </w:tcPr>
          <w:p>
            <w:pPr>
              <w:ind w:left="136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240"/>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has established a </w:t>
            </w:r>
            <w:r>
              <w:rPr>
                <w:rFonts w:ascii="Arial" w:cs="Arial" w:eastAsia="Arial" w:hAnsi="Arial"/>
                <w:sz w:val="16"/>
                <w:szCs w:val="16"/>
                <w:b w:val="1"/>
                <w:bCs w:val="1"/>
                <w:color w:val="021496"/>
              </w:rPr>
              <w:t>comprehensive enterprise risk management process to identify and</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manage risks</w:t>
            </w:r>
            <w:r>
              <w:rPr>
                <w:rFonts w:ascii="Arial" w:cs="Arial" w:eastAsia="Arial" w:hAnsi="Arial"/>
                <w:sz w:val="16"/>
                <w:szCs w:val="16"/>
                <w:color w:val="000000"/>
              </w:rPr>
              <w:t>, and periodically reviews the processes established by management to identify and manage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risks and communicates with management about these processes.</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Risk</w:t>
            </w: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established a risk assessment team</w:t>
            </w:r>
            <w:r>
              <w:rPr>
                <w:rFonts w:ascii="Arial" w:cs="Arial" w:eastAsia="Arial" w:hAnsi="Arial"/>
                <w:sz w:val="16"/>
                <w:szCs w:val="16"/>
                <w:color w:val="auto"/>
              </w:rPr>
              <w:t xml:space="preserve"> consisting of senior executives, which annually, with the</w:t>
            </w:r>
          </w:p>
        </w:tc>
        <w:tc>
          <w:tcPr>
            <w:tcW w:w="0" w:type="dxa"/>
            <w:vAlign w:val="bottom"/>
          </w:tcPr>
          <w:p>
            <w:pPr>
              <w:spacing w:after="0"/>
              <w:rPr>
                <w:sz w:val="1"/>
                <w:szCs w:val="1"/>
                <w:color w:val="auto"/>
              </w:rPr>
            </w:pPr>
          </w:p>
        </w:tc>
      </w:tr>
      <w:tr>
        <w:trPr>
          <w:trHeight w:val="213"/>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assistance of a consultant, oversees a risk assessment made at the corporate center, segment and</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operating company levels and, with that information in mind, performs an assessment of the overall risks our</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company may face and reports to the Board on that assessment. Each quarter, this team reassesses the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risks, the severity of these risks, and the status of efforts to mitigate them.</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auto"/>
              <w:right w:val="single" w:sz="8" w:color="021496"/>
            </w:tcBorders>
            <w:shd w:val="clear" w:color="auto" w:fill="EAEFED"/>
          </w:tcPr>
          <w:p>
            <w:pPr>
              <w:spacing w:after="0"/>
              <w:rPr>
                <w:sz w:val="7"/>
                <w:szCs w:val="7"/>
                <w:color w:val="auto"/>
              </w:rPr>
            </w:pPr>
          </w:p>
        </w:tc>
        <w:tc>
          <w:tcPr>
            <w:tcW w:w="8180" w:type="dxa"/>
            <w:vAlign w:val="bottom"/>
            <w:tcBorders>
              <w:bottom w:val="single" w:sz="8" w:color="auto"/>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021496"/>
              </w:rPr>
              <w:t>full Board has oversight of ESG matters</w:t>
            </w:r>
            <w:r>
              <w:rPr>
                <w:rFonts w:ascii="Arial" w:cs="Arial" w:eastAsia="Arial" w:hAnsi="Arial"/>
                <w:sz w:val="16"/>
                <w:szCs w:val="16"/>
                <w:color w:val="auto"/>
              </w:rPr>
              <w:t xml:space="preserve"> and is regularly briefed on strategic planning, risks, and</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vMerge w:val="restart"/>
            <w:shd w:val="clear" w:color="auto" w:fill="EAEFED"/>
          </w:tcPr>
          <w:p>
            <w:pPr>
              <w:ind w:left="1320"/>
              <w:spacing w:after="0"/>
              <w:rPr>
                <w:sz w:val="20"/>
                <w:szCs w:val="20"/>
                <w:color w:val="auto"/>
              </w:rPr>
            </w:pPr>
            <w:r>
              <w:rPr>
                <w:rFonts w:ascii="Arial" w:cs="Arial" w:eastAsia="Arial" w:hAnsi="Arial"/>
                <w:sz w:val="16"/>
                <w:szCs w:val="16"/>
                <w:b w:val="1"/>
                <w:bCs w:val="1"/>
                <w:color w:val="auto"/>
              </w:rPr>
              <w:t>ESG</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opportunities related to ESG by senior management, including our CEO.</w:t>
            </w:r>
          </w:p>
        </w:tc>
        <w:tc>
          <w:tcPr>
            <w:tcW w:w="0" w:type="dxa"/>
            <w:vAlign w:val="bottom"/>
          </w:tcPr>
          <w:p>
            <w:pPr>
              <w:spacing w:after="0"/>
              <w:rPr>
                <w:sz w:val="1"/>
                <w:szCs w:val="1"/>
                <w:color w:val="auto"/>
              </w:rPr>
            </w:pPr>
          </w:p>
        </w:tc>
      </w:tr>
      <w:tr>
        <w:trPr>
          <w:trHeight w:val="157"/>
        </w:trPr>
        <w:tc>
          <w:tcPr>
            <w:tcW w:w="2760" w:type="dxa"/>
            <w:vAlign w:val="bottom"/>
            <w:tcBorders>
              <w:left w:val="single" w:sz="8" w:color="021496"/>
              <w:right w:val="single" w:sz="8" w:color="021496"/>
            </w:tcBorders>
            <w:vMerge w:val="continue"/>
            <w:shd w:val="clear" w:color="auto" w:fill="EAEFED"/>
          </w:tcPr>
          <w:p>
            <w:pPr>
              <w:spacing w:after="0"/>
              <w:rPr>
                <w:sz w:val="13"/>
                <w:szCs w:val="13"/>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Compensation Committee has </w:t>
            </w:r>
            <w:r>
              <w:rPr>
                <w:rFonts w:ascii="Arial" w:cs="Arial" w:eastAsia="Arial" w:hAnsi="Arial"/>
                <w:sz w:val="16"/>
                <w:szCs w:val="16"/>
                <w:b w:val="1"/>
                <w:bCs w:val="1"/>
                <w:color w:val="021496"/>
              </w:rPr>
              <w:t>integrated ESG oversight responsibility into our CEO’s individual</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818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 xml:space="preserve">strategic objectives </w:t>
            </w:r>
            <w:r>
              <w:rPr>
                <w:rFonts w:ascii="Arial" w:cs="Arial" w:eastAsia="Arial" w:hAnsi="Arial"/>
                <w:sz w:val="16"/>
                <w:szCs w:val="16"/>
                <w:color w:val="000000"/>
              </w:rPr>
              <w:t>within the AIP.</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818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entrepreneurial culture depends upon an </w:t>
            </w:r>
            <w:r>
              <w:rPr>
                <w:rFonts w:ascii="Arial" w:cs="Arial" w:eastAsia="Arial" w:hAnsi="Arial"/>
                <w:sz w:val="16"/>
                <w:szCs w:val="16"/>
                <w:b w:val="1"/>
                <w:bCs w:val="1"/>
                <w:color w:val="021496"/>
              </w:rPr>
              <w:t>inclusive approach that leverages employees’</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contributions and diversity of perspectives, backgrounds, skills, and experiences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20"/>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foster </w:t>
            </w:r>
            <w:r>
              <w:rPr>
                <w:rFonts w:ascii="Arial" w:cs="Arial" w:eastAsia="Arial" w:hAnsi="Arial"/>
                <w:sz w:val="16"/>
                <w:szCs w:val="16"/>
                <w:b w:val="1"/>
                <w:bCs w:val="1"/>
                <w:color w:val="021496"/>
              </w:rPr>
              <w:t>an operating culture with high ethical standards</w:t>
            </w:r>
            <w:r>
              <w:rPr>
                <w:rFonts w:ascii="Arial" w:cs="Arial" w:eastAsia="Arial" w:hAnsi="Arial"/>
                <w:sz w:val="16"/>
                <w:szCs w:val="16"/>
                <w:color w:val="auto"/>
              </w:rPr>
              <w:t xml:space="preserve"> that values accountability, rigor, trust,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inclusion, respect, and open communication and is designed to encourage individual growth and operational</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Culture &amp; Human</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effectiveness. We continue to make significant investments in talent development, including in the areas of</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Capital</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digital applications and operational management, and </w:t>
            </w:r>
            <w:r>
              <w:rPr>
                <w:rFonts w:ascii="Arial" w:cs="Arial" w:eastAsia="Arial" w:hAnsi="Arial"/>
                <w:sz w:val="16"/>
                <w:szCs w:val="16"/>
                <w:b w:val="1"/>
                <w:bCs w:val="1"/>
                <w:color w:val="021496"/>
              </w:rPr>
              <w:t>recognize that the growth and development of our</w:t>
            </w:r>
          </w:p>
        </w:tc>
        <w:tc>
          <w:tcPr>
            <w:tcW w:w="0" w:type="dxa"/>
            <w:vAlign w:val="bottom"/>
          </w:tcPr>
          <w:p>
            <w:pPr>
              <w:spacing w:after="0"/>
              <w:rPr>
                <w:sz w:val="1"/>
                <w:szCs w:val="1"/>
                <w:color w:val="auto"/>
              </w:rPr>
            </w:pPr>
          </w:p>
        </w:tc>
      </w:tr>
      <w:tr>
        <w:trPr>
          <w:trHeight w:val="235"/>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employees is essential for our continued success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20"/>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As part of our commitment to strong corporate governance practices, </w:t>
            </w:r>
            <w:r>
              <w:rPr>
                <w:rFonts w:ascii="Arial" w:cs="Arial" w:eastAsia="Arial" w:hAnsi="Arial"/>
                <w:sz w:val="16"/>
                <w:szCs w:val="16"/>
                <w:b w:val="1"/>
                <w:bCs w:val="1"/>
                <w:color w:val="021496"/>
              </w:rPr>
              <w:t>we maintain an active and robust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ethics program</w:t>
            </w:r>
            <w:r>
              <w:rPr>
                <w:rFonts w:ascii="Arial" w:cs="Arial" w:eastAsia="Arial" w:hAnsi="Arial"/>
                <w:sz w:val="16"/>
                <w:szCs w:val="16"/>
                <w:color w:val="000000"/>
              </w:rPr>
              <w:t>. Our Code of Conduct applies to all employees and directors of Dover and its subsidiaries.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We enforce our Code of Conduct fairly and consistently, regardless of one’s position in Dover, and </w:t>
            </w:r>
            <w:r>
              <w:rPr>
                <w:rFonts w:ascii="Arial" w:cs="Arial" w:eastAsia="Arial" w:hAnsi="Arial"/>
                <w:sz w:val="16"/>
                <w:szCs w:val="16"/>
                <w:b w:val="1"/>
                <w:bCs w:val="1"/>
                <w:color w:val="021496"/>
              </w:rPr>
              <w:t>will not</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 xml:space="preserve">tolerate retaliation </w:t>
            </w:r>
            <w:r>
              <w:rPr>
                <w:rFonts w:ascii="Arial" w:cs="Arial" w:eastAsia="Arial" w:hAnsi="Arial"/>
                <w:sz w:val="16"/>
                <w:szCs w:val="16"/>
                <w:color w:val="000000"/>
              </w:rPr>
              <w:t>against those who report suspected misconduct in good faith.</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818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Another of the Board’s primary responsibilities is </w:t>
            </w:r>
            <w:r>
              <w:rPr>
                <w:rFonts w:ascii="Arial" w:cs="Arial" w:eastAsia="Arial" w:hAnsi="Arial"/>
                <w:sz w:val="16"/>
                <w:szCs w:val="16"/>
                <w:b w:val="1"/>
                <w:bCs w:val="1"/>
                <w:color w:val="021496"/>
              </w:rPr>
              <w:t>overseeing a sound Board and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succession process</w:t>
            </w:r>
            <w:r>
              <w:rPr>
                <w:rFonts w:ascii="Arial" w:cs="Arial" w:eastAsia="Arial" w:hAnsi="Arial"/>
                <w:sz w:val="16"/>
                <w:szCs w:val="16"/>
                <w:color w:val="000000"/>
              </w:rPr>
              <w:t>. The Board has developed a</w:t>
            </w:r>
            <w:r>
              <w:rPr>
                <w:rFonts w:ascii="Arial" w:cs="Arial" w:eastAsia="Arial" w:hAnsi="Arial"/>
                <w:sz w:val="16"/>
                <w:szCs w:val="16"/>
                <w:b w:val="1"/>
                <w:bCs w:val="1"/>
                <w:color w:val="021496"/>
              </w:rPr>
              <w:t xml:space="preserve"> comprehensive plan </w:t>
            </w:r>
            <w:r>
              <w:rPr>
                <w:rFonts w:ascii="Arial" w:cs="Arial" w:eastAsia="Arial" w:hAnsi="Arial"/>
                <w:sz w:val="16"/>
                <w:szCs w:val="16"/>
                <w:color w:val="000000"/>
              </w:rPr>
              <w:t>to address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succession — both over the long term and for emergency purposes. The framework for the long-term plan</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includes thoughtful, deliberate monitoring of management beyond our top executives to ensure Dover</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Succession</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continues to build a deep internal bench of talent.</w:t>
            </w:r>
          </w:p>
        </w:tc>
        <w:tc>
          <w:tcPr>
            <w:tcW w:w="0" w:type="dxa"/>
            <w:vAlign w:val="bottom"/>
          </w:tcPr>
          <w:p>
            <w:pPr>
              <w:spacing w:after="0"/>
              <w:rPr>
                <w:sz w:val="1"/>
                <w:szCs w:val="1"/>
                <w:color w:val="auto"/>
              </w:rPr>
            </w:pPr>
          </w:p>
        </w:tc>
      </w:tr>
      <w:tr>
        <w:trPr>
          <w:trHeight w:val="163"/>
        </w:trPr>
        <w:tc>
          <w:tcPr>
            <w:tcW w:w="2760" w:type="dxa"/>
            <w:vAlign w:val="bottom"/>
            <w:tcBorders>
              <w:left w:val="single" w:sz="8" w:color="021496"/>
              <w:right w:val="single" w:sz="8" w:color="021496"/>
            </w:tcBorders>
            <w:vMerge w:val="continue"/>
            <w:shd w:val="clear" w:color="auto" w:fill="EAEFED"/>
          </w:tcPr>
          <w:p>
            <w:pPr>
              <w:spacing w:after="0"/>
              <w:rPr>
                <w:sz w:val="14"/>
                <w:szCs w:val="14"/>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021496"/>
              </w:rPr>
              <w:t>recent appointment of Chris Woenker as our new Chief Financial Officer in January 2025</w:t>
            </w:r>
            <w:r>
              <w:rPr>
                <w:rFonts w:ascii="Arial" w:cs="Arial" w:eastAsia="Arial" w:hAnsi="Arial"/>
                <w:sz w:val="16"/>
                <w:szCs w:val="16"/>
                <w:color w:val="auto"/>
              </w:rPr>
              <w:t xml:space="preserve"> was the</w:t>
            </w:r>
          </w:p>
        </w:tc>
        <w:tc>
          <w:tcPr>
            <w:tcW w:w="0" w:type="dxa"/>
            <w:vAlign w:val="bottom"/>
          </w:tcPr>
          <w:p>
            <w:pPr>
              <w:spacing w:after="0"/>
              <w:rPr>
                <w:sz w:val="1"/>
                <w:szCs w:val="1"/>
                <w:color w:val="auto"/>
              </w:rPr>
            </w:pPr>
          </w:p>
        </w:tc>
      </w:tr>
      <w:tr>
        <w:trPr>
          <w:trHeight w:val="80"/>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Planning</w:t>
            </w:r>
          </w:p>
        </w:tc>
        <w:tc>
          <w:tcPr>
            <w:tcW w:w="81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760" w:type="dxa"/>
            <w:vAlign w:val="bottom"/>
            <w:tcBorders>
              <w:left w:val="single" w:sz="8" w:color="021496"/>
              <w:right w:val="single" w:sz="8" w:color="021496"/>
            </w:tcBorders>
            <w:vMerge w:val="continue"/>
            <w:shd w:val="clear" w:color="auto" w:fill="EAEFED"/>
          </w:tcPr>
          <w:p>
            <w:pPr>
              <w:spacing w:after="0"/>
              <w:rPr>
                <w:sz w:val="12"/>
                <w:szCs w:val="12"/>
                <w:color w:val="auto"/>
              </w:rPr>
            </w:pPr>
          </w:p>
        </w:tc>
        <w:tc>
          <w:tcPr>
            <w:tcW w:w="818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6"/>
                <w:szCs w:val="16"/>
                <w:color w:val="auto"/>
              </w:rPr>
              <w:t xml:space="preserve">result of our </w:t>
            </w:r>
            <w:r>
              <w:rPr>
                <w:rFonts w:ascii="Arial" w:cs="Arial" w:eastAsia="Arial" w:hAnsi="Arial"/>
                <w:sz w:val="16"/>
                <w:szCs w:val="16"/>
                <w:b w:val="1"/>
                <w:bCs w:val="1"/>
                <w:color w:val="021496"/>
              </w:rPr>
              <w:t>Board’s active engagement in a thoughtful and comprehensive succession planning</w:t>
            </w:r>
          </w:p>
        </w:tc>
        <w:tc>
          <w:tcPr>
            <w:tcW w:w="0" w:type="dxa"/>
            <w:vAlign w:val="bottom"/>
          </w:tcPr>
          <w:p>
            <w:pPr>
              <w:spacing w:after="0"/>
              <w:rPr>
                <w:sz w:val="1"/>
                <w:szCs w:val="1"/>
                <w:color w:val="auto"/>
              </w:rPr>
            </w:pPr>
          </w:p>
        </w:tc>
      </w:tr>
      <w:tr>
        <w:trPr>
          <w:trHeight w:val="46"/>
        </w:trPr>
        <w:tc>
          <w:tcPr>
            <w:tcW w:w="2760" w:type="dxa"/>
            <w:vAlign w:val="bottom"/>
            <w:tcBorders>
              <w:left w:val="single" w:sz="8" w:color="021496"/>
              <w:right w:val="single" w:sz="8" w:color="021496"/>
            </w:tcBorders>
            <w:shd w:val="clear" w:color="auto" w:fill="EAEFED"/>
          </w:tcPr>
          <w:p>
            <w:pPr>
              <w:spacing w:after="0"/>
              <w:rPr>
                <w:sz w:val="4"/>
                <w:szCs w:val="4"/>
                <w:color w:val="auto"/>
              </w:rPr>
            </w:pPr>
          </w:p>
        </w:tc>
        <w:tc>
          <w:tcPr>
            <w:tcW w:w="8180" w:type="dxa"/>
            <w:vAlign w:val="bottom"/>
            <w:tcBorders>
              <w:right w:val="single" w:sz="8" w:color="02149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process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is also focused on its </w:t>
            </w:r>
            <w:r>
              <w:rPr>
                <w:rFonts w:ascii="Arial" w:cs="Arial" w:eastAsia="Arial" w:hAnsi="Arial"/>
                <w:sz w:val="16"/>
                <w:szCs w:val="16"/>
                <w:b w:val="1"/>
                <w:bCs w:val="1"/>
                <w:color w:val="021496"/>
              </w:rPr>
              <w:t>own succession plan</w:t>
            </w:r>
            <w:r>
              <w:rPr>
                <w:rFonts w:ascii="Arial" w:cs="Arial" w:eastAsia="Arial" w:hAnsi="Arial"/>
                <w:sz w:val="16"/>
                <w:szCs w:val="16"/>
                <w:color w:val="auto"/>
              </w:rPr>
              <w:t>, which drives not only our director selection efforts,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but also how we approach Board and committee leadership structure and membership, with a </w:t>
            </w:r>
            <w:r>
              <w:rPr>
                <w:rFonts w:ascii="Arial" w:cs="Arial" w:eastAsia="Arial" w:hAnsi="Arial"/>
                <w:sz w:val="16"/>
                <w:szCs w:val="16"/>
                <w:b w:val="1"/>
                <w:bCs w:val="1"/>
                <w:color w:val="021496"/>
              </w:rPr>
              <w:t>focus on</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critical board skills, diversity of experience and background, and independence</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818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The full Board is briefed on </w:t>
            </w:r>
            <w:r>
              <w:rPr>
                <w:rFonts w:ascii="Arial" w:cs="Arial" w:eastAsia="Arial" w:hAnsi="Arial"/>
                <w:sz w:val="16"/>
                <w:szCs w:val="16"/>
                <w:b w:val="1"/>
                <w:bCs w:val="1"/>
                <w:color w:val="021496"/>
              </w:rPr>
              <w:t>cybersecurity risks and preparedness</w:t>
            </w:r>
            <w:r>
              <w:rPr>
                <w:rFonts w:ascii="Arial" w:cs="Arial" w:eastAsia="Arial" w:hAnsi="Arial"/>
                <w:sz w:val="16"/>
                <w:szCs w:val="16"/>
                <w:color w:val="auto"/>
              </w:rPr>
              <w:t>, oversees major tasks related to</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cybersecurity risk management, periodically reviews our response capabilities, and meets with the Senior</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Cybersecurity</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Vice President &amp; Chief Digital Officer and our Chief Information Security Officer on at least an annual basis.</w:t>
            </w:r>
          </w:p>
        </w:tc>
        <w:tc>
          <w:tcPr>
            <w:tcW w:w="0" w:type="dxa"/>
            <w:vAlign w:val="bottom"/>
          </w:tcPr>
          <w:p>
            <w:pPr>
              <w:spacing w:after="0"/>
              <w:rPr>
                <w:sz w:val="1"/>
                <w:szCs w:val="1"/>
                <w:color w:val="auto"/>
              </w:rPr>
            </w:pPr>
          </w:p>
        </w:tc>
      </w:tr>
      <w:tr>
        <w:trPr>
          <w:trHeight w:val="157"/>
        </w:trPr>
        <w:tc>
          <w:tcPr>
            <w:tcW w:w="2760" w:type="dxa"/>
            <w:vAlign w:val="bottom"/>
            <w:tcBorders>
              <w:left w:val="single" w:sz="8" w:color="021496"/>
              <w:right w:val="single" w:sz="8" w:color="021496"/>
            </w:tcBorders>
            <w:vMerge w:val="continue"/>
            <w:shd w:val="clear" w:color="auto" w:fill="EAEFED"/>
          </w:tcPr>
          <w:p>
            <w:pPr>
              <w:spacing w:after="0"/>
              <w:rPr>
                <w:sz w:val="13"/>
                <w:szCs w:val="13"/>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We regularly assess our threat landscape and monitor our systems and other technical security controls,</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818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maintain information security policies and procedures, ensure maintenance of backup and protective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systems, and have a team of security personnel managing our efforts and initiatives.</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760" w:type="dxa"/>
            <w:vAlign w:val="bottom"/>
          </w:tcPr>
          <w:p>
            <w:pPr>
              <w:spacing w:after="0"/>
              <w:rPr>
                <w:sz w:val="24"/>
                <w:szCs w:val="24"/>
                <w:color w:val="auto"/>
              </w:rPr>
            </w:pPr>
          </w:p>
        </w:tc>
        <w:tc>
          <w:tcPr>
            <w:tcW w:w="8180" w:type="dxa"/>
            <w:vAlign w:val="bottom"/>
          </w:tcPr>
          <w:p>
            <w:pPr>
              <w:ind w:left="43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2026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bl>
    <w:p>
      <w:pPr>
        <w:sectPr>
          <w:pgSz w:w="11900" w:h="16838" w:orient="portrait"/>
          <w:cols w:equalWidth="0" w:num="1">
            <w:col w:w="10940"/>
          </w:cols>
          <w:pgMar w:left="480" w:top="299" w:right="479" w:bottom="1440" w:gutter="0" w:footer="0" w:header="0"/>
        </w:sectPr>
      </w:pPr>
    </w:p>
    <w:bookmarkStart w:id="26" w:name="page27"/>
    <w:bookmarkEnd w:id="26"/>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21496"/>
        </w:rPr>
        <w:t>Board Committees</w:t>
      </w:r>
    </w:p>
    <w:p>
      <w:pPr>
        <w:spacing w:after="0" w:line="60" w:lineRule="exact"/>
        <w:rPr>
          <w:sz w:val="20"/>
          <w:szCs w:val="20"/>
          <w:color w:val="auto"/>
        </w:rPr>
      </w:pPr>
    </w:p>
    <w:p>
      <w:pPr>
        <w:ind w:left="80" w:right="280"/>
        <w:spacing w:after="0" w:line="279" w:lineRule="auto"/>
        <w:rPr>
          <w:sz w:val="20"/>
          <w:szCs w:val="20"/>
          <w:color w:val="auto"/>
        </w:rPr>
      </w:pPr>
      <w:r>
        <w:rPr>
          <w:rFonts w:ascii="Arial" w:cs="Arial" w:eastAsia="Arial" w:hAnsi="Arial"/>
          <w:sz w:val="16"/>
          <w:szCs w:val="16"/>
          <w:color w:val="auto"/>
        </w:rPr>
        <w:t>Our Board has four standing committees — the Audit Committee, the Compensation Committee, the Governance and Nominating Committee, and the Finance Committee. The table below sets forth a summary of our committee structure and membership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 w:type="dxa"/>
            <w:vAlign w:val="bottom"/>
          </w:tcPr>
          <w:p>
            <w:pPr>
              <w:spacing w:after="0"/>
              <w:rPr>
                <w:sz w:val="17"/>
                <w:szCs w:val="17"/>
                <w:color w:val="auto"/>
              </w:rPr>
            </w:pPr>
          </w:p>
        </w:tc>
        <w:tc>
          <w:tcPr>
            <w:tcW w:w="6480" w:type="dxa"/>
            <w:vAlign w:val="bottom"/>
            <w:tcBorders>
              <w:top w:val="single" w:sz="8" w:color="021496"/>
              <w:right w:val="single" w:sz="8" w:color="999999"/>
            </w:tcBorders>
          </w:tcPr>
          <w:p>
            <w:pPr>
              <w:spacing w:after="0"/>
              <w:rPr>
                <w:sz w:val="17"/>
                <w:szCs w:val="17"/>
                <w:color w:val="auto"/>
              </w:rPr>
            </w:pPr>
          </w:p>
        </w:tc>
        <w:tc>
          <w:tcPr>
            <w:tcW w:w="1220" w:type="dxa"/>
            <w:vAlign w:val="bottom"/>
            <w:tcBorders>
              <w:top w:val="single" w:sz="8" w:color="021496"/>
            </w:tcBorders>
          </w:tcPr>
          <w:p>
            <w:pPr>
              <w:spacing w:after="0"/>
              <w:rPr>
                <w:sz w:val="17"/>
                <w:szCs w:val="17"/>
                <w:color w:val="auto"/>
              </w:rPr>
            </w:pPr>
          </w:p>
        </w:tc>
        <w:tc>
          <w:tcPr>
            <w:tcW w:w="1300" w:type="dxa"/>
            <w:vAlign w:val="bottom"/>
            <w:tcBorders>
              <w:top w:val="single" w:sz="8" w:color="021496"/>
            </w:tcBorders>
          </w:tcPr>
          <w:p>
            <w:pPr>
              <w:spacing w:after="0"/>
              <w:rPr>
                <w:sz w:val="17"/>
                <w:szCs w:val="17"/>
                <w:color w:val="auto"/>
              </w:rPr>
            </w:pPr>
          </w:p>
        </w:tc>
        <w:tc>
          <w:tcPr>
            <w:tcW w:w="1040" w:type="dxa"/>
            <w:vAlign w:val="bottom"/>
            <w:tcBorders>
              <w:top w:val="single" w:sz="8" w:color="021496"/>
            </w:tcBorders>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880" w:type="dxa"/>
            <w:vAlign w:val="bottom"/>
            <w:tcBorders>
              <w:top w:val="single" w:sz="8" w:color="021496"/>
            </w:tcBorders>
          </w:tcPr>
          <w:p>
            <w:pPr>
              <w:spacing w:after="0"/>
              <w:rPr>
                <w:sz w:val="17"/>
                <w:szCs w:val="17"/>
                <w:color w:val="auto"/>
              </w:rPr>
            </w:pPr>
          </w:p>
        </w:tc>
      </w:tr>
      <w:tr>
        <w:trPr>
          <w:trHeight w:val="187"/>
        </w:trPr>
        <w:tc>
          <w:tcPr>
            <w:tcW w:w="80" w:type="dxa"/>
            <w:vAlign w:val="bottom"/>
          </w:tcPr>
          <w:p>
            <w:pPr>
              <w:spacing w:after="0"/>
              <w:rPr>
                <w:sz w:val="16"/>
                <w:szCs w:val="16"/>
                <w:color w:val="auto"/>
              </w:rPr>
            </w:pPr>
          </w:p>
        </w:tc>
        <w:tc>
          <w:tcPr>
            <w:tcW w:w="6480" w:type="dxa"/>
            <w:vAlign w:val="bottom"/>
            <w:tcBorders>
              <w:right w:val="single" w:sz="8" w:color="999999"/>
            </w:tcBorders>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880" w:type="dxa"/>
            <w:vAlign w:val="bottom"/>
          </w:tcPr>
          <w:p>
            <w:pPr>
              <w:spacing w:after="0"/>
              <w:rPr>
                <w:sz w:val="16"/>
                <w:szCs w:val="16"/>
                <w:color w:val="auto"/>
              </w:rPr>
            </w:pPr>
          </w:p>
        </w:tc>
      </w:tr>
      <w:tr>
        <w:trPr>
          <w:trHeight w:val="187"/>
        </w:trPr>
        <w:tc>
          <w:tcPr>
            <w:tcW w:w="80" w:type="dxa"/>
            <w:vAlign w:val="bottom"/>
          </w:tcPr>
          <w:p>
            <w:pPr>
              <w:spacing w:after="0"/>
              <w:rPr>
                <w:sz w:val="16"/>
                <w:szCs w:val="16"/>
                <w:color w:val="auto"/>
              </w:rPr>
            </w:pPr>
          </w:p>
        </w:tc>
        <w:tc>
          <w:tcPr>
            <w:tcW w:w="6480" w:type="dxa"/>
            <w:vAlign w:val="bottom"/>
            <w:tcBorders>
              <w:right w:val="single" w:sz="8" w:color="999999"/>
            </w:tcBorders>
          </w:tcPr>
          <w:p>
            <w:pPr>
              <w:spacing w:after="0"/>
              <w:rPr>
                <w:sz w:val="16"/>
                <w:szCs w:val="16"/>
                <w:color w:val="auto"/>
              </w:rPr>
            </w:pPr>
          </w:p>
        </w:tc>
        <w:tc>
          <w:tcPr>
            <w:tcW w:w="1220" w:type="dxa"/>
            <w:vAlign w:val="bottom"/>
          </w:tcPr>
          <w:p>
            <w:pPr>
              <w:jc w:val="center"/>
              <w:ind w:left="60"/>
              <w:spacing w:after="0"/>
              <w:rPr>
                <w:sz w:val="20"/>
                <w:szCs w:val="20"/>
                <w:color w:val="auto"/>
              </w:rPr>
            </w:pPr>
            <w:r>
              <w:rPr>
                <w:rFonts w:ascii="Arial" w:cs="Arial" w:eastAsia="Arial" w:hAnsi="Arial"/>
                <w:sz w:val="16"/>
                <w:szCs w:val="16"/>
                <w:b w:val="1"/>
                <w:bCs w:val="1"/>
                <w:color w:val="auto"/>
                <w:w w:val="97"/>
              </w:rPr>
              <w:t>Audit</w:t>
            </w:r>
          </w:p>
        </w:tc>
        <w:tc>
          <w:tcPr>
            <w:tcW w:w="1300" w:type="dxa"/>
            <w:vAlign w:val="bottom"/>
          </w:tcPr>
          <w:p>
            <w:pPr>
              <w:jc w:val="center"/>
              <w:ind w:left="20"/>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Nominating</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Finance</w:t>
            </w:r>
          </w:p>
        </w:tc>
      </w:tr>
      <w:tr>
        <w:trPr>
          <w:trHeight w:val="235"/>
        </w:trPr>
        <w:tc>
          <w:tcPr>
            <w:tcW w:w="6560" w:type="dxa"/>
            <w:vAlign w:val="bottom"/>
            <w:tcBorders>
              <w:right w:val="single" w:sz="8" w:color="999999"/>
            </w:tcBorders>
            <w:gridSpan w:val="2"/>
          </w:tcPr>
          <w:p>
            <w:pPr>
              <w:spacing w:after="0"/>
              <w:rPr>
                <w:sz w:val="20"/>
                <w:szCs w:val="20"/>
                <w:color w:val="auto"/>
              </w:rPr>
            </w:pPr>
            <w:r>
              <w:rPr>
                <w:rFonts w:ascii="Arial" w:cs="Arial" w:eastAsia="Arial" w:hAnsi="Arial"/>
                <w:sz w:val="16"/>
                <w:szCs w:val="16"/>
                <w:b w:val="1"/>
                <w:bCs w:val="1"/>
                <w:color w:val="auto"/>
              </w:rPr>
              <w:t> DIRECTOR</w:t>
            </w:r>
          </w:p>
        </w:tc>
        <w:tc>
          <w:tcPr>
            <w:tcW w:w="1220" w:type="dxa"/>
            <w:vAlign w:val="bottom"/>
          </w:tcPr>
          <w:p>
            <w:pPr>
              <w:jc w:val="center"/>
              <w:ind w:left="60"/>
              <w:spacing w:after="0"/>
              <w:rPr>
                <w:sz w:val="20"/>
                <w:szCs w:val="20"/>
                <w:color w:val="auto"/>
              </w:rPr>
            </w:pPr>
            <w:r>
              <w:rPr>
                <w:rFonts w:ascii="Arial" w:cs="Arial" w:eastAsia="Arial" w:hAnsi="Arial"/>
                <w:sz w:val="16"/>
                <w:szCs w:val="16"/>
                <w:b w:val="1"/>
                <w:bCs w:val="1"/>
                <w:color w:val="auto"/>
              </w:rPr>
              <w:t>Committee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r>
      <w:tr>
        <w:trPr>
          <w:trHeight w:val="34"/>
        </w:trPr>
        <w:tc>
          <w:tcPr>
            <w:tcW w:w="80" w:type="dxa"/>
            <w:vAlign w:val="bottom"/>
          </w:tcPr>
          <w:p>
            <w:pPr>
              <w:spacing w:after="0"/>
              <w:rPr>
                <w:sz w:val="2"/>
                <w:szCs w:val="2"/>
                <w:color w:val="auto"/>
              </w:rPr>
            </w:pPr>
          </w:p>
        </w:tc>
        <w:tc>
          <w:tcPr>
            <w:tcW w:w="6480" w:type="dxa"/>
            <w:vAlign w:val="bottom"/>
            <w:tcBorders>
              <w:bottom w:val="single" w:sz="8" w:color="021496"/>
              <w:right w:val="single" w:sz="8" w:color="999999"/>
            </w:tcBorders>
          </w:tcPr>
          <w:p>
            <w:pPr>
              <w:spacing w:after="0"/>
              <w:rPr>
                <w:sz w:val="2"/>
                <w:szCs w:val="2"/>
                <w:color w:val="auto"/>
              </w:rPr>
            </w:pPr>
          </w:p>
        </w:tc>
        <w:tc>
          <w:tcPr>
            <w:tcW w:w="1220" w:type="dxa"/>
            <w:vAlign w:val="bottom"/>
            <w:tcBorders>
              <w:bottom w:val="single" w:sz="8" w:color="021496"/>
            </w:tcBorders>
          </w:tcPr>
          <w:p>
            <w:pPr>
              <w:spacing w:after="0"/>
              <w:rPr>
                <w:sz w:val="2"/>
                <w:szCs w:val="2"/>
                <w:color w:val="auto"/>
              </w:rPr>
            </w:pPr>
          </w:p>
        </w:tc>
        <w:tc>
          <w:tcPr>
            <w:tcW w:w="1300" w:type="dxa"/>
            <w:vAlign w:val="bottom"/>
            <w:tcBorders>
              <w:bottom w:val="single" w:sz="8" w:color="021496"/>
            </w:tcBorders>
          </w:tcPr>
          <w:p>
            <w:pPr>
              <w:spacing w:after="0"/>
              <w:rPr>
                <w:sz w:val="2"/>
                <w:szCs w:val="2"/>
                <w:color w:val="auto"/>
              </w:rPr>
            </w:pPr>
          </w:p>
        </w:tc>
        <w:tc>
          <w:tcPr>
            <w:tcW w:w="1040" w:type="dxa"/>
            <w:vAlign w:val="bottom"/>
            <w:tcBorders>
              <w:bottom w:val="single" w:sz="8" w:color="021496"/>
            </w:tcBorders>
          </w:tcPr>
          <w:p>
            <w:pPr>
              <w:spacing w:after="0"/>
              <w:rPr>
                <w:sz w:val="2"/>
                <w:szCs w:val="2"/>
                <w:color w:val="auto"/>
              </w:rPr>
            </w:pPr>
          </w:p>
        </w:tc>
        <w:tc>
          <w:tcPr>
            <w:tcW w:w="880" w:type="dxa"/>
            <w:vAlign w:val="bottom"/>
            <w:tcBorders>
              <w:bottom w:val="single" w:sz="8" w:color="021496"/>
            </w:tcBorders>
          </w:tcPr>
          <w:p>
            <w:pPr>
              <w:spacing w:after="0"/>
              <w:rPr>
                <w:sz w:val="2"/>
                <w:szCs w:val="2"/>
                <w:color w:val="auto"/>
              </w:rPr>
            </w:pPr>
          </w:p>
        </w:tc>
      </w:tr>
      <w:tr>
        <w:trPr>
          <w:trHeight w:val="221"/>
        </w:trPr>
        <w:tc>
          <w:tcPr>
            <w:tcW w:w="80" w:type="dxa"/>
            <w:vAlign w:val="bottom"/>
          </w:tcPr>
          <w:p>
            <w:pPr>
              <w:spacing w:after="0"/>
              <w:rPr>
                <w:sz w:val="19"/>
                <w:szCs w:val="19"/>
                <w:color w:val="auto"/>
              </w:rPr>
            </w:pPr>
          </w:p>
        </w:tc>
        <w:tc>
          <w:tcPr>
            <w:tcW w:w="6480" w:type="dxa"/>
            <w:vAlign w:val="bottom"/>
            <w:tcBorders>
              <w:right w:val="single" w:sz="8" w:color="999999"/>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DEBORAH L. DEHAAS</w:t>
            </w:r>
          </w:p>
        </w:tc>
        <w:tc>
          <w:tcPr>
            <w:tcW w:w="1220" w:type="dxa"/>
            <w:vAlign w:val="bottom"/>
            <w:shd w:val="clear" w:color="auto" w:fill="D8D8D8"/>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shd w:val="clear" w:color="auto" w:fill="D8D8D8"/>
          </w:tcPr>
          <w:p>
            <w:pPr>
              <w:spacing w:after="0"/>
              <w:rPr>
                <w:sz w:val="19"/>
                <w:szCs w:val="19"/>
                <w:color w:val="auto"/>
              </w:rPr>
            </w:pPr>
          </w:p>
        </w:tc>
        <w:tc>
          <w:tcPr>
            <w:tcW w:w="104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shd w:val="clear" w:color="auto" w:fill="D8D8D8"/>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tcPr>
          <w:p>
            <w:pPr>
              <w:ind w:left="160"/>
              <w:spacing w:after="0"/>
              <w:rPr>
                <w:sz w:val="20"/>
                <w:szCs w:val="20"/>
                <w:color w:val="auto"/>
              </w:rPr>
            </w:pPr>
            <w:r>
              <w:rPr>
                <w:rFonts w:ascii="Arial" w:cs="Arial" w:eastAsia="Arial" w:hAnsi="Arial"/>
                <w:sz w:val="16"/>
                <w:szCs w:val="16"/>
                <w:b w:val="1"/>
                <w:bCs w:val="1"/>
                <w:color w:val="auto"/>
              </w:rPr>
              <w:t> H. JOHN GILBERTSON, JR.</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KRISTIANE C. GRAHAM</w:t>
            </w:r>
          </w:p>
        </w:tc>
        <w:tc>
          <w:tcPr>
            <w:tcW w:w="1220" w:type="dxa"/>
            <w:vAlign w:val="bottom"/>
            <w:shd w:val="clear" w:color="auto" w:fill="D8D8D8"/>
          </w:tcPr>
          <w:p>
            <w:pPr>
              <w:spacing w:after="0"/>
              <w:rPr>
                <w:sz w:val="19"/>
                <w:szCs w:val="19"/>
                <w:color w:val="auto"/>
              </w:rPr>
            </w:pPr>
          </w:p>
        </w:tc>
        <w:tc>
          <w:tcPr>
            <w:tcW w:w="130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shd w:val="clear" w:color="auto" w:fill="D8D8D8"/>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tcPr>
          <w:p>
            <w:pPr>
              <w:ind w:left="160"/>
              <w:spacing w:after="0"/>
              <w:rPr>
                <w:sz w:val="20"/>
                <w:szCs w:val="20"/>
                <w:color w:val="auto"/>
              </w:rPr>
            </w:pPr>
            <w:r>
              <w:rPr>
                <w:rFonts w:ascii="Arial" w:cs="Arial" w:eastAsia="Arial" w:hAnsi="Arial"/>
                <w:sz w:val="16"/>
                <w:szCs w:val="16"/>
                <w:b w:val="1"/>
                <w:bCs w:val="1"/>
                <w:color w:val="auto"/>
              </w:rPr>
              <w:t> MARC A. HOWZE</w:t>
            </w:r>
          </w:p>
        </w:tc>
        <w:tc>
          <w:tcPr>
            <w:tcW w:w="122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MICHAEL MANLEY</w:t>
            </w:r>
          </w:p>
        </w:tc>
        <w:tc>
          <w:tcPr>
            <w:tcW w:w="1220" w:type="dxa"/>
            <w:vAlign w:val="bottom"/>
            <w:shd w:val="clear" w:color="auto" w:fill="D8D8D8"/>
          </w:tcPr>
          <w:p>
            <w:pPr>
              <w:spacing w:after="0"/>
              <w:rPr>
                <w:sz w:val="19"/>
                <w:szCs w:val="19"/>
                <w:color w:val="auto"/>
              </w:rPr>
            </w:pPr>
          </w:p>
        </w:tc>
        <w:tc>
          <w:tcPr>
            <w:tcW w:w="130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shd w:val="clear" w:color="auto" w:fill="D8D8D8"/>
          </w:tcPr>
          <w:p>
            <w:pPr>
              <w:spacing w:after="0"/>
              <w:rPr>
                <w:sz w:val="19"/>
                <w:szCs w:val="19"/>
                <w:color w:val="auto"/>
              </w:rPr>
            </w:pPr>
          </w:p>
        </w:tc>
        <w:tc>
          <w:tcPr>
            <w:tcW w:w="88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tcPr>
          <w:p>
            <w:pPr>
              <w:ind w:left="160"/>
              <w:spacing w:after="0"/>
              <w:rPr>
                <w:sz w:val="20"/>
                <w:szCs w:val="20"/>
                <w:color w:val="auto"/>
              </w:rPr>
            </w:pPr>
            <w:r>
              <w:rPr>
                <w:rFonts w:ascii="Arial" w:cs="Arial" w:eastAsia="Arial" w:hAnsi="Arial"/>
                <w:sz w:val="16"/>
                <w:szCs w:val="16"/>
                <w:b w:val="1"/>
                <w:bCs w:val="1"/>
                <w:color w:val="auto"/>
              </w:rPr>
              <w:t> DANITA K. OSTLING</w:t>
            </w:r>
          </w:p>
        </w:tc>
        <w:tc>
          <w:tcPr>
            <w:tcW w:w="1220" w:type="dxa"/>
            <w:vAlign w:val="bottom"/>
          </w:tcPr>
          <w:p>
            <w:pPr>
              <w:jc w:val="center"/>
              <w:ind w:left="6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1300" w:type="dxa"/>
            <w:vAlign w:val="bottom"/>
          </w:tcPr>
          <w:p>
            <w:pPr>
              <w:spacing w:after="0"/>
              <w:rPr>
                <w:sz w:val="19"/>
                <w:szCs w:val="19"/>
                <w:color w:val="auto"/>
              </w:rPr>
            </w:pP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6480" w:type="dxa"/>
            <w:vAlign w:val="bottom"/>
            <w:tcBorders>
              <w:right w:val="single" w:sz="8" w:color="999999"/>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ERIC A. SPIEGEL</w:t>
            </w:r>
          </w:p>
        </w:tc>
        <w:tc>
          <w:tcPr>
            <w:tcW w:w="1220" w:type="dxa"/>
            <w:vAlign w:val="bottom"/>
            <w:shd w:val="clear" w:color="auto" w:fill="D8D8D8"/>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880" w:type="dxa"/>
            <w:vAlign w:val="bottom"/>
            <w:shd w:val="clear" w:color="auto" w:fill="D8D8D8"/>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r>
      <w:tr>
        <w:trPr>
          <w:trHeight w:val="224"/>
        </w:trPr>
        <w:tc>
          <w:tcPr>
            <w:tcW w:w="80" w:type="dxa"/>
            <w:vAlign w:val="bottom"/>
          </w:tcPr>
          <w:p>
            <w:pPr>
              <w:spacing w:after="0"/>
              <w:rPr>
                <w:sz w:val="19"/>
                <w:szCs w:val="19"/>
                <w:color w:val="auto"/>
              </w:rPr>
            </w:pPr>
          </w:p>
        </w:tc>
        <w:tc>
          <w:tcPr>
            <w:tcW w:w="6480" w:type="dxa"/>
            <w:vAlign w:val="bottom"/>
            <w:tcBorders>
              <w:right w:val="single" w:sz="8" w:color="999999"/>
            </w:tcBorders>
          </w:tcPr>
          <w:p>
            <w:pPr>
              <w:ind w:left="160"/>
              <w:spacing w:after="0"/>
              <w:rPr>
                <w:sz w:val="20"/>
                <w:szCs w:val="20"/>
                <w:color w:val="auto"/>
              </w:rPr>
            </w:pPr>
            <w:r>
              <w:rPr>
                <w:rFonts w:ascii="Arial" w:cs="Arial" w:eastAsia="Arial" w:hAnsi="Arial"/>
                <w:sz w:val="16"/>
                <w:szCs w:val="16"/>
                <w:b w:val="1"/>
                <w:bCs w:val="1"/>
                <w:color w:val="auto"/>
              </w:rPr>
              <w:t> RICHARD J. TOBIN</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6480" w:type="dxa"/>
            <w:vAlign w:val="bottom"/>
            <w:tcBorders>
              <w:right w:val="single" w:sz="8" w:color="999999"/>
            </w:tcBorders>
            <w:shd w:val="clear" w:color="auto" w:fill="D8D8D8"/>
          </w:tcPr>
          <w:p>
            <w:pPr>
              <w:ind w:left="160"/>
              <w:spacing w:after="0"/>
              <w:rPr>
                <w:sz w:val="20"/>
                <w:szCs w:val="20"/>
                <w:color w:val="auto"/>
              </w:rPr>
            </w:pPr>
            <w:r>
              <w:rPr>
                <w:rFonts w:ascii="Arial" w:cs="Arial" w:eastAsia="Arial" w:hAnsi="Arial"/>
                <w:sz w:val="16"/>
                <w:szCs w:val="16"/>
                <w:b w:val="1"/>
                <w:bCs w:val="1"/>
                <w:color w:val="auto"/>
              </w:rPr>
              <w:t> KEITH E. WANDELL</w:t>
            </w:r>
          </w:p>
        </w:tc>
        <w:tc>
          <w:tcPr>
            <w:tcW w:w="1220" w:type="dxa"/>
            <w:vAlign w:val="bottom"/>
            <w:shd w:val="clear" w:color="auto" w:fill="D8D8D8"/>
          </w:tcPr>
          <w:p>
            <w:pPr>
              <w:spacing w:after="0"/>
              <w:rPr>
                <w:sz w:val="20"/>
                <w:szCs w:val="20"/>
                <w:color w:val="auto"/>
              </w:rPr>
            </w:pPr>
          </w:p>
        </w:tc>
        <w:tc>
          <w:tcPr>
            <w:tcW w:w="1300" w:type="dxa"/>
            <w:vAlign w:val="bottom"/>
            <w:shd w:val="clear" w:color="auto" w:fill="D8D8D8"/>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(Chair)</w:t>
            </w:r>
          </w:p>
        </w:tc>
        <w:tc>
          <w:tcPr>
            <w:tcW w:w="1040" w:type="dxa"/>
            <w:vAlign w:val="bottom"/>
            <w:shd w:val="clear" w:color="auto" w:fill="D8D8D8"/>
          </w:tcPr>
          <w:p>
            <w:pPr>
              <w:spacing w:after="0"/>
              <w:rPr>
                <w:sz w:val="20"/>
                <w:szCs w:val="20"/>
                <w:color w:val="auto"/>
              </w:rPr>
            </w:pPr>
          </w:p>
        </w:tc>
        <w:tc>
          <w:tcPr>
            <w:tcW w:w="880" w:type="dxa"/>
            <w:vAlign w:val="bottom"/>
            <w:shd w:val="clear" w:color="auto" w:fill="D8D8D8"/>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7"/>
        </w:trPr>
        <w:tc>
          <w:tcPr>
            <w:tcW w:w="80" w:type="dxa"/>
            <w:vAlign w:val="bottom"/>
          </w:tcPr>
          <w:p>
            <w:pPr>
              <w:spacing w:after="0"/>
              <w:rPr>
                <w:sz w:val="19"/>
                <w:szCs w:val="19"/>
                <w:color w:val="auto"/>
              </w:rPr>
            </w:pPr>
          </w:p>
        </w:tc>
        <w:tc>
          <w:tcPr>
            <w:tcW w:w="6480" w:type="dxa"/>
            <w:vAlign w:val="bottom"/>
            <w:tcBorders>
              <w:bottom w:val="single" w:sz="8" w:color="021496"/>
              <w:right w:val="single" w:sz="8" w:color="999999"/>
            </w:tcBorders>
          </w:tcPr>
          <w:p>
            <w:pPr>
              <w:spacing w:after="0"/>
              <w:rPr>
                <w:sz w:val="20"/>
                <w:szCs w:val="20"/>
                <w:color w:val="auto"/>
              </w:rPr>
            </w:pPr>
            <w:r>
              <w:rPr>
                <w:rFonts w:ascii="Arial" w:cs="Arial" w:eastAsia="Arial" w:hAnsi="Arial"/>
                <w:sz w:val="16"/>
                <w:szCs w:val="16"/>
                <w:b w:val="1"/>
                <w:bCs w:val="1"/>
                <w:color w:val="auto"/>
              </w:rPr>
              <w:t> MEETINGS HELD IN 2025</w:t>
            </w:r>
          </w:p>
        </w:tc>
        <w:tc>
          <w:tcPr>
            <w:tcW w:w="1220" w:type="dxa"/>
            <w:vAlign w:val="bottom"/>
            <w:tcBorders>
              <w:bottom w:val="single" w:sz="8" w:color="021496"/>
            </w:tcBorders>
          </w:tcPr>
          <w:p>
            <w:pPr>
              <w:jc w:val="center"/>
              <w:ind w:left="60"/>
              <w:spacing w:after="0"/>
              <w:rPr>
                <w:sz w:val="20"/>
                <w:szCs w:val="20"/>
                <w:color w:val="auto"/>
              </w:rPr>
            </w:pPr>
            <w:r>
              <w:rPr>
                <w:rFonts w:ascii="Arial" w:cs="Arial" w:eastAsia="Arial" w:hAnsi="Arial"/>
                <w:sz w:val="16"/>
                <w:szCs w:val="16"/>
                <w:color w:val="auto"/>
                <w:w w:val="89"/>
              </w:rPr>
              <w:t>8</w:t>
            </w:r>
          </w:p>
        </w:tc>
        <w:tc>
          <w:tcPr>
            <w:tcW w:w="1300" w:type="dxa"/>
            <w:vAlign w:val="bottom"/>
            <w:tcBorders>
              <w:bottom w:val="single" w:sz="8" w:color="021496"/>
            </w:tcBorders>
          </w:tcPr>
          <w:p>
            <w:pPr>
              <w:jc w:val="center"/>
              <w:spacing w:after="0"/>
              <w:rPr>
                <w:sz w:val="20"/>
                <w:szCs w:val="20"/>
                <w:color w:val="auto"/>
              </w:rPr>
            </w:pPr>
            <w:r>
              <w:rPr>
                <w:rFonts w:ascii="Arial" w:cs="Arial" w:eastAsia="Arial" w:hAnsi="Arial"/>
                <w:sz w:val="16"/>
                <w:szCs w:val="16"/>
                <w:color w:val="auto"/>
              </w:rPr>
              <w:t>5</w:t>
            </w:r>
          </w:p>
        </w:tc>
        <w:tc>
          <w:tcPr>
            <w:tcW w:w="1040" w:type="dxa"/>
            <w:vAlign w:val="bottom"/>
            <w:tcBorders>
              <w:bottom w:val="single" w:sz="8" w:color="021496"/>
            </w:tcBorders>
          </w:tcPr>
          <w:p>
            <w:pPr>
              <w:jc w:val="center"/>
              <w:spacing w:after="0"/>
              <w:rPr>
                <w:sz w:val="20"/>
                <w:szCs w:val="20"/>
                <w:color w:val="auto"/>
              </w:rPr>
            </w:pPr>
            <w:r>
              <w:rPr>
                <w:rFonts w:ascii="Arial" w:cs="Arial" w:eastAsia="Arial" w:hAnsi="Arial"/>
                <w:sz w:val="16"/>
                <w:szCs w:val="16"/>
                <w:color w:val="auto"/>
                <w:w w:val="89"/>
              </w:rPr>
              <w:t>4</w:t>
            </w:r>
          </w:p>
        </w:tc>
        <w:tc>
          <w:tcPr>
            <w:tcW w:w="880" w:type="dxa"/>
            <w:vAlign w:val="bottom"/>
            <w:tcBorders>
              <w:bottom w:val="single" w:sz="8" w:color="021496"/>
            </w:tcBorders>
          </w:tcPr>
          <w:p>
            <w:pPr>
              <w:jc w:val="center"/>
              <w:spacing w:after="0"/>
              <w:rPr>
                <w:sz w:val="20"/>
                <w:szCs w:val="20"/>
                <w:color w:val="auto"/>
              </w:rPr>
            </w:pPr>
            <w:r>
              <w:rPr>
                <w:rFonts w:ascii="Arial" w:cs="Arial" w:eastAsia="Arial" w:hAnsi="Arial"/>
                <w:sz w:val="16"/>
                <w:szCs w:val="16"/>
                <w:color w:val="auto"/>
                <w:w w:val="89"/>
              </w:rPr>
              <w:t>5</w:t>
            </w: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22</w:t>
      </w:r>
    </w:p>
    <w:p>
      <w:pPr>
        <w:sectPr>
          <w:pgSz w:w="11900" w:h="16838" w:orient="portrait"/>
          <w:cols w:equalWidth="0" w:num="1">
            <w:col w:w="11000"/>
          </w:cols>
          <w:pgMar w:left="400" w:top="299" w:right="4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Overview of Committee Responsibilities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580" w:type="dxa"/>
            <w:vAlign w:val="bottom"/>
            <w:tcBorders>
              <w:bottom w:val="single" w:sz="8" w:color="021496"/>
            </w:tcBorders>
            <w:shd w:val="clear" w:color="auto" w:fill="021496"/>
          </w:tcPr>
          <w:p>
            <w:pPr>
              <w:spacing w:after="0"/>
              <w:rPr>
                <w:sz w:val="24"/>
                <w:szCs w:val="24"/>
                <w:color w:val="auto"/>
              </w:rPr>
            </w:pPr>
          </w:p>
        </w:tc>
        <w:tc>
          <w:tcPr>
            <w:tcW w:w="6400" w:type="dxa"/>
            <w:vAlign w:val="bottom"/>
            <w:tcBorders>
              <w:bottom w:val="single" w:sz="8" w:color="021496"/>
              <w:right w:val="single" w:sz="8" w:color="021496"/>
            </w:tcBorders>
            <w:shd w:val="clear" w:color="auto" w:fill="021496"/>
          </w:tcPr>
          <w:p>
            <w:pPr>
              <w:ind w:left="380"/>
              <w:spacing w:after="0"/>
              <w:rPr>
                <w:sz w:val="20"/>
                <w:szCs w:val="20"/>
                <w:color w:val="auto"/>
              </w:rPr>
            </w:pPr>
            <w:r>
              <w:rPr>
                <w:rFonts w:ascii="Arial" w:cs="Arial" w:eastAsia="Arial" w:hAnsi="Arial"/>
                <w:sz w:val="16"/>
                <w:szCs w:val="16"/>
                <w:b w:val="1"/>
                <w:bCs w:val="1"/>
                <w:color w:val="FFFFFF"/>
              </w:rPr>
              <w:t>Audit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Danita K. Ostling (Chair)</w:t>
            </w:r>
          </w:p>
        </w:tc>
        <w:tc>
          <w:tcPr>
            <w:tcW w:w="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Deborah L. DeHaas</w:t>
            </w:r>
          </w:p>
        </w:tc>
        <w:tc>
          <w:tcPr>
            <w:tcW w:w="80" w:type="dxa"/>
            <w:vAlign w:val="bottom"/>
          </w:tcPr>
          <w:p>
            <w:pPr>
              <w:spacing w:after="0"/>
              <w:rPr>
                <w:sz w:val="22"/>
                <w:szCs w:val="22"/>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Selecting and engaging our independent registered public accounting firm (“independent auditors”)</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Marc. A Howze</w:t>
            </w:r>
          </w:p>
        </w:tc>
        <w:tc>
          <w:tcPr>
            <w:tcW w:w="80" w:type="dxa"/>
            <w:vAlign w:val="bottom"/>
          </w:tcPr>
          <w:p>
            <w:pPr>
              <w:spacing w:after="0"/>
              <w:rPr>
                <w:sz w:val="16"/>
                <w:szCs w:val="16"/>
                <w:color w:val="auto"/>
              </w:rPr>
            </w:pPr>
          </w:p>
        </w:tc>
        <w:tc>
          <w:tcPr>
            <w:tcW w:w="79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Overseeing the work of our independent auditors and our internal audit function</w:t>
            </w:r>
          </w:p>
        </w:tc>
        <w:tc>
          <w:tcPr>
            <w:tcW w:w="0" w:type="dxa"/>
            <w:vAlign w:val="bottom"/>
          </w:tcPr>
          <w:p>
            <w:pPr>
              <w:spacing w:after="0"/>
              <w:rPr>
                <w:sz w:val="1"/>
                <w:szCs w:val="1"/>
                <w:color w:val="auto"/>
              </w:rPr>
            </w:pPr>
          </w:p>
        </w:tc>
      </w:tr>
      <w:tr>
        <w:trPr>
          <w:trHeight w:val="104"/>
        </w:trPr>
        <w:tc>
          <w:tcPr>
            <w:tcW w:w="260" w:type="dxa"/>
            <w:vAlign w:val="bottom"/>
            <w:tcBorders>
              <w:left w:val="single" w:sz="8" w:color="021496"/>
            </w:tcBorders>
            <w:vMerge w:val="restart"/>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vMerge w:val="restart"/>
            <w:shd w:val="clear" w:color="auto" w:fill="D8D8D8"/>
          </w:tcPr>
          <w:p>
            <w:pPr>
              <w:ind w:left="60"/>
              <w:spacing w:after="0"/>
              <w:rPr>
                <w:sz w:val="20"/>
                <w:szCs w:val="20"/>
                <w:color w:val="auto"/>
              </w:rPr>
            </w:pPr>
            <w:r>
              <w:rPr>
                <w:rFonts w:ascii="Arial" w:cs="Arial" w:eastAsia="Arial" w:hAnsi="Arial"/>
                <w:sz w:val="16"/>
                <w:szCs w:val="16"/>
                <w:color w:val="auto"/>
              </w:rPr>
              <w:t>Eric A. Spiegel</w:t>
            </w:r>
          </w:p>
        </w:tc>
        <w:tc>
          <w:tcPr>
            <w:tcW w:w="80" w:type="dxa"/>
            <w:vAlign w:val="bottom"/>
          </w:tcPr>
          <w:p>
            <w:pPr>
              <w:spacing w:after="0"/>
              <w:rPr>
                <w:sz w:val="9"/>
                <w:szCs w:val="9"/>
                <w:color w:val="auto"/>
              </w:rPr>
            </w:pPr>
          </w:p>
        </w:tc>
        <w:tc>
          <w:tcPr>
            <w:tcW w:w="7980" w:type="dxa"/>
            <w:vAlign w:val="bottom"/>
            <w:tcBorders>
              <w:right w:val="single" w:sz="8" w:color="021496"/>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 w:type="dxa"/>
            <w:vAlign w:val="bottom"/>
            <w:tcBorders>
              <w:left w:val="single" w:sz="8" w:color="021496"/>
            </w:tcBorders>
            <w:vMerge w:val="continue"/>
            <w:shd w:val="clear" w:color="auto" w:fill="D8D8D8"/>
          </w:tcPr>
          <w:p>
            <w:pPr>
              <w:spacing w:after="0"/>
              <w:rPr>
                <w:sz w:val="9"/>
                <w:szCs w:val="9"/>
                <w:color w:val="auto"/>
              </w:rPr>
            </w:pPr>
          </w:p>
        </w:tc>
        <w:tc>
          <w:tcPr>
            <w:tcW w:w="2620" w:type="dxa"/>
            <w:vAlign w:val="bottom"/>
            <w:tcBorders>
              <w:right w:val="single" w:sz="8" w:color="021496"/>
            </w:tcBorders>
            <w:vMerge w:val="continue"/>
            <w:shd w:val="clear" w:color="auto" w:fill="D8D8D8"/>
          </w:tcPr>
          <w:p>
            <w:pPr>
              <w:spacing w:after="0"/>
              <w:rPr>
                <w:sz w:val="9"/>
                <w:szCs w:val="9"/>
                <w:color w:val="auto"/>
              </w:rPr>
            </w:pPr>
          </w:p>
        </w:tc>
        <w:tc>
          <w:tcPr>
            <w:tcW w:w="80" w:type="dxa"/>
            <w:vAlign w:val="bottom"/>
          </w:tcPr>
          <w:p>
            <w:pPr>
              <w:spacing w:after="0"/>
              <w:rPr>
                <w:sz w:val="9"/>
                <w:szCs w:val="9"/>
                <w:color w:val="auto"/>
              </w:rPr>
            </w:pPr>
          </w:p>
        </w:tc>
        <w:tc>
          <w:tcPr>
            <w:tcW w:w="79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Approving in advance all services to be provided by, and all fees to be paid to, our independent auditors,</w:t>
            </w:r>
          </w:p>
        </w:tc>
        <w:tc>
          <w:tcPr>
            <w:tcW w:w="0" w:type="dxa"/>
            <w:vAlign w:val="bottom"/>
          </w:tcPr>
          <w:p>
            <w:pPr>
              <w:spacing w:after="0"/>
              <w:rPr>
                <w:sz w:val="1"/>
                <w:szCs w:val="1"/>
                <w:color w:val="auto"/>
              </w:rPr>
            </w:pPr>
          </w:p>
        </w:tc>
      </w:tr>
      <w:tr>
        <w:trPr>
          <w:trHeight w:val="136"/>
        </w:trPr>
        <w:tc>
          <w:tcPr>
            <w:tcW w:w="260" w:type="dxa"/>
            <w:vAlign w:val="bottom"/>
            <w:tcBorders>
              <w:left w:val="single" w:sz="8" w:color="021496"/>
            </w:tcBorders>
            <w:shd w:val="clear" w:color="auto" w:fill="D8D8D8"/>
          </w:tcPr>
          <w:p>
            <w:pPr>
              <w:spacing w:after="0"/>
              <w:rPr>
                <w:sz w:val="11"/>
                <w:szCs w:val="11"/>
                <w:color w:val="auto"/>
              </w:rPr>
            </w:pPr>
          </w:p>
        </w:tc>
        <w:tc>
          <w:tcPr>
            <w:tcW w:w="2620" w:type="dxa"/>
            <w:vAlign w:val="bottom"/>
            <w:tcBorders>
              <w:right w:val="single" w:sz="8" w:color="021496"/>
            </w:tcBorders>
            <w:shd w:val="clear" w:color="auto" w:fill="D8D8D8"/>
          </w:tcPr>
          <w:p>
            <w:pPr>
              <w:spacing w:after="0"/>
              <w:rPr>
                <w:sz w:val="11"/>
                <w:szCs w:val="11"/>
                <w:color w:val="auto"/>
              </w:rPr>
            </w:pPr>
          </w:p>
        </w:tc>
        <w:tc>
          <w:tcPr>
            <w:tcW w:w="80" w:type="dxa"/>
            <w:vAlign w:val="bottom"/>
          </w:tcPr>
          <w:p>
            <w:pPr>
              <w:spacing w:after="0"/>
              <w:rPr>
                <w:sz w:val="11"/>
                <w:szCs w:val="11"/>
                <w:color w:val="auto"/>
              </w:rPr>
            </w:pPr>
          </w:p>
        </w:tc>
        <w:tc>
          <w:tcPr>
            <w:tcW w:w="7980" w:type="dxa"/>
            <w:vAlign w:val="bottom"/>
            <w:tcBorders>
              <w:right w:val="single" w:sz="8" w:color="021496"/>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ind w:left="260"/>
              <w:spacing w:after="0"/>
              <w:rPr>
                <w:sz w:val="20"/>
                <w:szCs w:val="20"/>
                <w:color w:val="auto"/>
              </w:rPr>
            </w:pPr>
            <w:r>
              <w:rPr>
                <w:rFonts w:ascii="Arial" w:cs="Arial" w:eastAsia="Arial" w:hAnsi="Arial"/>
                <w:sz w:val="16"/>
                <w:szCs w:val="16"/>
                <w:color w:val="auto"/>
              </w:rPr>
              <w:t>who report directly to the committee</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with management and the independent auditors the audit plan and results of the auditing</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ind w:left="260"/>
              <w:spacing w:after="0"/>
              <w:rPr>
                <w:sz w:val="20"/>
                <w:szCs w:val="20"/>
                <w:color w:val="auto"/>
              </w:rPr>
            </w:pPr>
            <w:r>
              <w:rPr>
                <w:rFonts w:ascii="Arial" w:cs="Arial" w:eastAsia="Arial" w:hAnsi="Arial"/>
                <w:sz w:val="16"/>
                <w:szCs w:val="16"/>
                <w:color w:val="auto"/>
              </w:rPr>
              <w:t>engagement</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with management and our independent auditors the quality and adequacy of our internal control</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ind w:left="260"/>
              <w:spacing w:after="0"/>
              <w:rPr>
                <w:sz w:val="20"/>
                <w:szCs w:val="20"/>
                <w:color w:val="auto"/>
              </w:rPr>
            </w:pPr>
            <w:r>
              <w:rPr>
                <w:rFonts w:ascii="Arial" w:cs="Arial" w:eastAsia="Arial" w:hAnsi="Arial"/>
                <w:sz w:val="16"/>
                <w:szCs w:val="16"/>
                <w:color w:val="auto"/>
              </w:rPr>
              <w:t>over financial reporting</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Audit Committee holds regular quarterly meetings at which it meets separately with each of our</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independent registered public accounting firm, PwC, our internal audit function, financial management and our</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general counsel to assess certain matters including the status of the independent audit process,</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management’s assessment of the effectiveness of internal control over financial reporting and the operation</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and effectiveness of our compliance program. In addition, the Audit Committee, as a whole, reviews and</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meets to discuss the contents of each Form 10-Q and Form 10-K (including the financial statements) prior to</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its filing with the SEC.</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Our Board has determined that all members of the Audit Committee except for Mr. Howze qualify as “audit</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committee financial experts” as defined in the SEC rules.</w:t>
            </w:r>
          </w:p>
        </w:tc>
        <w:tc>
          <w:tcPr>
            <w:tcW w:w="0" w:type="dxa"/>
            <w:vAlign w:val="bottom"/>
          </w:tcPr>
          <w:p>
            <w:pPr>
              <w:spacing w:after="0"/>
              <w:rPr>
                <w:sz w:val="1"/>
                <w:szCs w:val="1"/>
                <w:color w:val="auto"/>
              </w:rPr>
            </w:pPr>
          </w:p>
        </w:tc>
      </w:tr>
      <w:tr>
        <w:trPr>
          <w:trHeight w:val="388"/>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Audit Committee’s responsibilities and authority are described in greater detail in its written 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58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580" w:type="dxa"/>
            <w:vAlign w:val="bottom"/>
            <w:tcBorders>
              <w:bottom w:val="single" w:sz="8" w:color="021496"/>
            </w:tcBorders>
            <w:shd w:val="clear" w:color="auto" w:fill="021496"/>
          </w:tcPr>
          <w:p>
            <w:pPr>
              <w:spacing w:after="0"/>
              <w:rPr>
                <w:sz w:val="24"/>
                <w:szCs w:val="24"/>
                <w:color w:val="auto"/>
              </w:rPr>
            </w:pPr>
          </w:p>
        </w:tc>
        <w:tc>
          <w:tcPr>
            <w:tcW w:w="6400" w:type="dxa"/>
            <w:vAlign w:val="bottom"/>
            <w:tcBorders>
              <w:bottom w:val="single" w:sz="8" w:color="021496"/>
              <w:right w:val="single" w:sz="8" w:color="021496"/>
            </w:tcBorders>
            <w:shd w:val="clear" w:color="auto" w:fill="021496"/>
          </w:tcPr>
          <w:p>
            <w:pPr>
              <w:ind w:left="40"/>
              <w:spacing w:after="0"/>
              <w:rPr>
                <w:sz w:val="20"/>
                <w:szCs w:val="20"/>
                <w:color w:val="auto"/>
              </w:rPr>
            </w:pPr>
            <w:r>
              <w:rPr>
                <w:rFonts w:ascii="Arial" w:cs="Arial" w:eastAsia="Arial" w:hAnsi="Arial"/>
                <w:sz w:val="16"/>
                <w:szCs w:val="16"/>
                <w:b w:val="1"/>
                <w:bCs w:val="1"/>
                <w:color w:val="FFFFFF"/>
              </w:rPr>
              <w:t>Compensation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Keith E. Wandell (Chair)</w:t>
            </w:r>
          </w:p>
        </w:tc>
        <w:tc>
          <w:tcPr>
            <w:tcW w:w="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Kristiane C. Graham</w:t>
            </w:r>
          </w:p>
        </w:tc>
        <w:tc>
          <w:tcPr>
            <w:tcW w:w="80" w:type="dxa"/>
            <w:vAlign w:val="bottom"/>
          </w:tcPr>
          <w:p>
            <w:pPr>
              <w:spacing w:after="0"/>
              <w:rPr>
                <w:sz w:val="22"/>
                <w:szCs w:val="22"/>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Compensation Committee, together with our independent directors, approves compensation for the CEO</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Marc A. Howze</w:t>
            </w:r>
          </w:p>
        </w:tc>
        <w:tc>
          <w:tcPr>
            <w:tcW w:w="80" w:type="dxa"/>
            <w:vAlign w:val="bottom"/>
          </w:tcPr>
          <w:p>
            <w:pPr>
              <w:spacing w:after="0"/>
              <w:rPr>
                <w:sz w:val="16"/>
                <w:szCs w:val="16"/>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of Dover. The functions of the Compensation Committee also include:</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Michael Manley</w:t>
            </w:r>
          </w:p>
        </w:tc>
        <w:tc>
          <w:tcPr>
            <w:tcW w:w="80" w:type="dxa"/>
            <w:vAlign w:val="bottom"/>
          </w:tcPr>
          <w:p>
            <w:pPr>
              <w:spacing w:after="0"/>
              <w:rPr>
                <w:sz w:val="18"/>
                <w:szCs w:val="18"/>
                <w:color w:val="auto"/>
              </w:rPr>
            </w:pPr>
          </w:p>
        </w:tc>
        <w:tc>
          <w:tcPr>
            <w:tcW w:w="79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Approving compensation for executive officers who report directly to the CEO (together with the CEO,</w:t>
            </w:r>
          </w:p>
        </w:tc>
        <w:tc>
          <w:tcPr>
            <w:tcW w:w="0" w:type="dxa"/>
            <w:vAlign w:val="bottom"/>
          </w:tcPr>
          <w:p>
            <w:pPr>
              <w:spacing w:after="0"/>
              <w:rPr>
                <w:sz w:val="1"/>
                <w:szCs w:val="1"/>
                <w:color w:val="auto"/>
              </w:rPr>
            </w:pPr>
          </w:p>
        </w:tc>
      </w:tr>
      <w:tr>
        <w:trPr>
          <w:trHeight w:val="56"/>
        </w:trPr>
        <w:tc>
          <w:tcPr>
            <w:tcW w:w="260" w:type="dxa"/>
            <w:vAlign w:val="bottom"/>
            <w:tcBorders>
              <w:left w:val="single" w:sz="8" w:color="021496"/>
            </w:tcBorders>
            <w:shd w:val="clear" w:color="auto" w:fill="D8D8D8"/>
          </w:tcPr>
          <w:p>
            <w:pPr>
              <w:spacing w:after="0"/>
              <w:rPr>
                <w:sz w:val="4"/>
                <w:szCs w:val="4"/>
                <w:color w:val="auto"/>
              </w:rPr>
            </w:pPr>
          </w:p>
        </w:tc>
        <w:tc>
          <w:tcPr>
            <w:tcW w:w="2620" w:type="dxa"/>
            <w:vAlign w:val="bottom"/>
            <w:tcBorders>
              <w:right w:val="single" w:sz="8" w:color="021496"/>
            </w:tcBorders>
            <w:shd w:val="clear" w:color="auto" w:fill="D8D8D8"/>
          </w:tcPr>
          <w:p>
            <w:pPr>
              <w:spacing w:after="0"/>
              <w:rPr>
                <w:sz w:val="4"/>
                <w:szCs w:val="4"/>
                <w:color w:val="auto"/>
              </w:rPr>
            </w:pPr>
          </w:p>
        </w:tc>
        <w:tc>
          <w:tcPr>
            <w:tcW w:w="80" w:type="dxa"/>
            <w:vAlign w:val="bottom"/>
          </w:tcPr>
          <w:p>
            <w:pPr>
              <w:spacing w:after="0"/>
              <w:rPr>
                <w:sz w:val="4"/>
                <w:szCs w:val="4"/>
                <w:color w:val="auto"/>
              </w:rPr>
            </w:pPr>
          </w:p>
        </w:tc>
        <w:tc>
          <w:tcPr>
            <w:tcW w:w="7980" w:type="dxa"/>
            <w:vAlign w:val="bottom"/>
            <w:tcBorders>
              <w:right w:val="single" w:sz="8" w:color="02149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ind w:left="260"/>
              <w:spacing w:after="0"/>
              <w:rPr>
                <w:sz w:val="20"/>
                <w:szCs w:val="20"/>
                <w:color w:val="auto"/>
              </w:rPr>
            </w:pPr>
            <w:r>
              <w:rPr>
                <w:rFonts w:ascii="Arial" w:cs="Arial" w:eastAsia="Arial" w:hAnsi="Arial"/>
                <w:sz w:val="16"/>
                <w:szCs w:val="16"/>
                <w:color w:val="auto"/>
              </w:rPr>
              <w:t>“senior executive officers”)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Granting awards and approving payouts under our 2021 Omnibus Incentive Plan (the “2021 LTIP”) and our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ind w:left="260"/>
              <w:spacing w:after="0"/>
              <w:rPr>
                <w:sz w:val="20"/>
                <w:szCs w:val="20"/>
                <w:color w:val="auto"/>
              </w:rPr>
            </w:pPr>
            <w:r>
              <w:rPr>
                <w:rFonts w:ascii="Arial" w:cs="Arial" w:eastAsia="Arial" w:hAnsi="Arial"/>
                <w:sz w:val="16"/>
                <w:szCs w:val="16"/>
                <w:color w:val="auto"/>
              </w:rPr>
              <w:t>AIP</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Approving changes to our executive compensation plans</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recommending compensation for the Board</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Overseeing succession planning and management development programs</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Compensation Committee’s responsibilities and authority are described in greater detail in its written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58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0" w:type="dxa"/>
            <w:vAlign w:val="bottom"/>
          </w:tcPr>
          <w:p>
            <w:pPr>
              <w:ind w:left="258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2026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23</w:t>
            </w:r>
          </w:p>
        </w:tc>
        <w:tc>
          <w:tcPr>
            <w:tcW w:w="0" w:type="dxa"/>
            <w:vAlign w:val="bottom"/>
          </w:tcPr>
          <w:p>
            <w:pPr>
              <w:spacing w:after="0"/>
              <w:rPr>
                <w:sz w:val="1"/>
                <w:szCs w:val="1"/>
                <w:color w:val="auto"/>
              </w:rPr>
            </w:pPr>
          </w:p>
        </w:tc>
      </w:tr>
    </w:tbl>
    <w:p>
      <w:pPr>
        <w:sectPr>
          <w:pgSz w:w="11900" w:h="16838" w:orient="portrait"/>
          <w:cols w:equalWidth="0" w:num="1">
            <w:col w:w="10940"/>
          </w:cols>
          <w:pgMar w:left="480" w:top="299" w:right="4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3040" w:type="dxa"/>
            <w:vAlign w:val="bottom"/>
            <w:tcBorders>
              <w:bottom w:val="single" w:sz="8" w:color="021496"/>
              <w:right w:val="single" w:sz="8" w:color="021496"/>
            </w:tcBorders>
            <w:shd w:val="clear" w:color="auto" w:fill="021496"/>
          </w:tcPr>
          <w:p>
            <w:pPr>
              <w:spacing w:after="0"/>
              <w:rPr>
                <w:sz w:val="24"/>
                <w:szCs w:val="24"/>
                <w:color w:val="auto"/>
              </w:rPr>
            </w:pPr>
          </w:p>
        </w:tc>
        <w:tc>
          <w:tcPr>
            <w:tcW w:w="100" w:type="dxa"/>
            <w:vAlign w:val="bottom"/>
            <w:tcBorders>
              <w:bottom w:val="single" w:sz="8" w:color="021496"/>
            </w:tcBorders>
            <w:shd w:val="clear" w:color="auto" w:fill="021496"/>
          </w:tcPr>
          <w:p>
            <w:pPr>
              <w:spacing w:after="0"/>
              <w:rPr>
                <w:sz w:val="24"/>
                <w:szCs w:val="24"/>
                <w:color w:val="auto"/>
              </w:rPr>
            </w:pPr>
          </w:p>
        </w:tc>
        <w:tc>
          <w:tcPr>
            <w:tcW w:w="7540" w:type="dxa"/>
            <w:vAlign w:val="bottom"/>
            <w:tcBorders>
              <w:bottom w:val="single" w:sz="8" w:color="021496"/>
              <w:right w:val="single" w:sz="8" w:color="021496"/>
            </w:tcBorders>
            <w:gridSpan w:val="2"/>
            <w:shd w:val="clear" w:color="auto" w:fill="021496"/>
          </w:tcPr>
          <w:p>
            <w:pPr>
              <w:ind w:left="640"/>
              <w:spacing w:after="0"/>
              <w:rPr>
                <w:sz w:val="20"/>
                <w:szCs w:val="20"/>
                <w:color w:val="auto"/>
              </w:rPr>
            </w:pPr>
            <w:r>
              <w:rPr>
                <w:rFonts w:ascii="Arial" w:cs="Arial" w:eastAsia="Arial" w:hAnsi="Arial"/>
                <w:sz w:val="16"/>
                <w:szCs w:val="16"/>
                <w:b w:val="1"/>
                <w:bCs w:val="1"/>
                <w:color w:val="FFFFFF"/>
              </w:rPr>
              <w:t>Governance and Nominating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H. John Gilbertson, Jr. (Chair)</w:t>
            </w:r>
          </w:p>
        </w:tc>
        <w:tc>
          <w:tcPr>
            <w:tcW w:w="100" w:type="dxa"/>
            <w:vAlign w:val="bottom"/>
          </w:tcPr>
          <w:p>
            <w:pPr>
              <w:spacing w:after="0"/>
              <w:rPr>
                <w:sz w:val="20"/>
                <w:szCs w:val="20"/>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60" w:type="dxa"/>
            <w:vAlign w:val="bottom"/>
            <w:tcBorders>
              <w:left w:val="single" w:sz="8" w:color="021496"/>
            </w:tcBorders>
            <w:shd w:val="clear" w:color="auto" w:fill="D8D8D8"/>
          </w:tcPr>
          <w:p>
            <w:pPr>
              <w:spacing w:after="0" w:line="20" w:lineRule="exact"/>
              <w:rPr>
                <w:sz w:val="1"/>
                <w:szCs w:val="1"/>
                <w:color w:val="auto"/>
              </w:rPr>
            </w:pPr>
          </w:p>
        </w:tc>
        <w:tc>
          <w:tcPr>
            <w:tcW w:w="3040" w:type="dxa"/>
            <w:vAlign w:val="bottom"/>
            <w:tcBorders>
              <w:right w:val="single" w:sz="8" w:color="021496"/>
            </w:tcBorders>
            <w:shd w:val="clear" w:color="auto" w:fill="D8D8D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980" w:type="dxa"/>
            <w:vAlign w:val="bottom"/>
            <w:tcBorders>
              <w:right w:val="single" w:sz="8" w:color="0214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Deborah L. DeHaas</w:t>
            </w:r>
          </w:p>
        </w:tc>
        <w:tc>
          <w:tcPr>
            <w:tcW w:w="100" w:type="dxa"/>
            <w:vAlign w:val="bottom"/>
          </w:tcPr>
          <w:p>
            <w:pPr>
              <w:spacing w:after="0"/>
              <w:rPr>
                <w:sz w:val="22"/>
                <w:szCs w:val="22"/>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Developing and recommending corporate governance principles to our Board</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Kristiane C. Graham</w:t>
            </w:r>
          </w:p>
        </w:tc>
        <w:tc>
          <w:tcPr>
            <w:tcW w:w="100" w:type="dxa"/>
            <w:vAlign w:val="bottom"/>
          </w:tcPr>
          <w:p>
            <w:pPr>
              <w:spacing w:after="0"/>
              <w:rPr>
                <w:sz w:val="16"/>
                <w:szCs w:val="16"/>
                <w:color w:val="auto"/>
              </w:rPr>
            </w:pPr>
          </w:p>
        </w:tc>
        <w:tc>
          <w:tcPr>
            <w:tcW w:w="754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Annually reviewing the requisite skills and characteristics of board members as well as the size,</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vMerge w:val="restart"/>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vMerge w:val="restart"/>
            <w:shd w:val="clear" w:color="auto" w:fill="D8D8D8"/>
          </w:tcPr>
          <w:p>
            <w:pPr>
              <w:ind w:left="60"/>
              <w:spacing w:after="0"/>
              <w:rPr>
                <w:sz w:val="20"/>
                <w:szCs w:val="20"/>
                <w:color w:val="auto"/>
              </w:rPr>
            </w:pPr>
            <w:r>
              <w:rPr>
                <w:rFonts w:ascii="Arial" w:cs="Arial" w:eastAsia="Arial" w:hAnsi="Arial"/>
                <w:sz w:val="16"/>
                <w:szCs w:val="16"/>
                <w:color w:val="auto"/>
              </w:rPr>
              <w:t>Danita K. Ostling</w:t>
            </w:r>
          </w:p>
        </w:tc>
        <w:tc>
          <w:tcPr>
            <w:tcW w:w="100" w:type="dxa"/>
            <w:vAlign w:val="bottom"/>
          </w:tcPr>
          <w:p>
            <w:pPr>
              <w:spacing w:after="0"/>
              <w:rPr>
                <w:sz w:val="6"/>
                <w:szCs w:val="6"/>
                <w:color w:val="auto"/>
              </w:rPr>
            </w:pPr>
          </w:p>
        </w:tc>
        <w:tc>
          <w:tcPr>
            <w:tcW w:w="754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60" w:type="dxa"/>
            <w:vAlign w:val="bottom"/>
            <w:tcBorders>
              <w:left w:val="single" w:sz="8" w:color="021496"/>
            </w:tcBorders>
            <w:vMerge w:val="continue"/>
            <w:shd w:val="clear" w:color="auto" w:fill="D8D8D8"/>
          </w:tcPr>
          <w:p>
            <w:pPr>
              <w:spacing w:after="0"/>
              <w:rPr>
                <w:sz w:val="11"/>
                <w:szCs w:val="11"/>
                <w:color w:val="auto"/>
              </w:rPr>
            </w:pPr>
          </w:p>
        </w:tc>
        <w:tc>
          <w:tcPr>
            <w:tcW w:w="3040" w:type="dxa"/>
            <w:vAlign w:val="bottom"/>
            <w:tcBorders>
              <w:right w:val="single" w:sz="8" w:color="021496"/>
            </w:tcBorders>
            <w:vMerge w:val="continue"/>
            <w:shd w:val="clear" w:color="auto" w:fill="D8D8D8"/>
          </w:tcPr>
          <w:p>
            <w:pPr>
              <w:spacing w:after="0"/>
              <w:rPr>
                <w:sz w:val="11"/>
                <w:szCs w:val="11"/>
                <w:color w:val="auto"/>
              </w:rPr>
            </w:pPr>
          </w:p>
        </w:tc>
        <w:tc>
          <w:tcPr>
            <w:tcW w:w="100" w:type="dxa"/>
            <w:vAlign w:val="bottom"/>
          </w:tcPr>
          <w:p>
            <w:pPr>
              <w:spacing w:after="0"/>
              <w:rPr>
                <w:sz w:val="11"/>
                <w:szCs w:val="11"/>
                <w:color w:val="auto"/>
              </w:rPr>
            </w:pPr>
          </w:p>
        </w:tc>
        <w:tc>
          <w:tcPr>
            <w:tcW w:w="7540" w:type="dxa"/>
            <w:vAlign w:val="bottom"/>
            <w:tcBorders>
              <w:right w:val="single" w:sz="8" w:color="021496"/>
            </w:tcBorders>
            <w:gridSpan w:val="2"/>
            <w:vMerge w:val="restart"/>
          </w:tcPr>
          <w:p>
            <w:pPr>
              <w:ind w:left="240"/>
              <w:spacing w:after="0"/>
              <w:rPr>
                <w:sz w:val="20"/>
                <w:szCs w:val="20"/>
                <w:color w:val="auto"/>
              </w:rPr>
            </w:pPr>
            <w:r>
              <w:rPr>
                <w:rFonts w:ascii="Arial" w:cs="Arial" w:eastAsia="Arial" w:hAnsi="Arial"/>
                <w:sz w:val="16"/>
                <w:szCs w:val="16"/>
                <w:color w:val="auto"/>
              </w:rPr>
              <w:t>composition, functioning and needs of our Board as a whole</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shd w:val="clear" w:color="auto" w:fill="D8D8D8"/>
          </w:tcPr>
          <w:p>
            <w:pPr>
              <w:spacing w:after="0"/>
              <w:rPr>
                <w:sz w:val="6"/>
                <w:szCs w:val="6"/>
                <w:color w:val="auto"/>
              </w:rPr>
            </w:pPr>
          </w:p>
        </w:tc>
        <w:tc>
          <w:tcPr>
            <w:tcW w:w="3040" w:type="dxa"/>
            <w:vAlign w:val="bottom"/>
            <w:tcBorders>
              <w:right w:val="single" w:sz="8" w:color="021496"/>
            </w:tcBorders>
            <w:shd w:val="clear" w:color="auto" w:fill="D8D8D8"/>
          </w:tcPr>
          <w:p>
            <w:pPr>
              <w:spacing w:after="0"/>
              <w:rPr>
                <w:sz w:val="6"/>
                <w:szCs w:val="6"/>
                <w:color w:val="auto"/>
              </w:rPr>
            </w:pPr>
          </w:p>
        </w:tc>
        <w:tc>
          <w:tcPr>
            <w:tcW w:w="100" w:type="dxa"/>
            <w:vAlign w:val="bottom"/>
          </w:tcPr>
          <w:p>
            <w:pPr>
              <w:spacing w:after="0"/>
              <w:rPr>
                <w:sz w:val="6"/>
                <w:szCs w:val="6"/>
                <w:color w:val="auto"/>
              </w:rPr>
            </w:pPr>
          </w:p>
        </w:tc>
        <w:tc>
          <w:tcPr>
            <w:tcW w:w="754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Considering and recommending to the Board nominees for election to, or for filling any vacancy on,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our Board in accordance with our by-laws, our governance guidelines, and the committee’s charter</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Identifying and recommending to our Board any changes it believes desirable in the size and</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composition of our Board</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Recommending to our Board any changes it believes desirable in structure and membership of our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Board’s committees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Providing oversight of Dover’s practices on political contributions and lobbying expenses and</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reviewing annually Dover’s political contributions and lobbying expenses</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3040" w:type="dxa"/>
            <w:vAlign w:val="bottom"/>
            <w:tcBorders>
              <w:right w:val="single" w:sz="8" w:color="021496"/>
            </w:tcBorders>
            <w:shd w:val="clear" w:color="auto" w:fill="D8D8D8"/>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Governance and Nominating Committee’s responsibilities and authority are described in greater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detail in its written 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3040" w:type="dxa"/>
            <w:vAlign w:val="bottom"/>
            <w:tcBorders>
              <w:bottom w:val="single" w:sz="8" w:color="021496"/>
              <w:right w:val="single" w:sz="8" w:color="021496"/>
            </w:tcBorders>
            <w:shd w:val="clear" w:color="auto" w:fill="D8D8D8"/>
          </w:tcPr>
          <w:p>
            <w:pPr>
              <w:spacing w:after="0"/>
              <w:rPr>
                <w:sz w:val="10"/>
                <w:szCs w:val="10"/>
                <w:color w:val="auto"/>
              </w:rPr>
            </w:pPr>
          </w:p>
        </w:tc>
        <w:tc>
          <w:tcPr>
            <w:tcW w:w="100" w:type="dxa"/>
            <w:vAlign w:val="bottom"/>
            <w:tcBorders>
              <w:bottom w:val="single" w:sz="8" w:color="021496"/>
            </w:tcBorders>
          </w:tcPr>
          <w:p>
            <w:pPr>
              <w:spacing w:after="0"/>
              <w:rPr>
                <w:sz w:val="10"/>
                <w:szCs w:val="10"/>
                <w:color w:val="auto"/>
              </w:rPr>
            </w:pPr>
          </w:p>
        </w:tc>
        <w:tc>
          <w:tcPr>
            <w:tcW w:w="1560" w:type="dxa"/>
            <w:vAlign w:val="bottom"/>
            <w:tcBorders>
              <w:bottom w:val="single" w:sz="8" w:color="021496"/>
            </w:tcBorders>
          </w:tcPr>
          <w:p>
            <w:pPr>
              <w:spacing w:after="0"/>
              <w:rPr>
                <w:sz w:val="10"/>
                <w:szCs w:val="10"/>
                <w:color w:val="auto"/>
              </w:rPr>
            </w:pPr>
          </w:p>
        </w:tc>
        <w:tc>
          <w:tcPr>
            <w:tcW w:w="598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3040" w:type="dxa"/>
            <w:vAlign w:val="bottom"/>
            <w:tcBorders>
              <w:bottom w:val="single" w:sz="8" w:color="021496"/>
              <w:right w:val="single" w:sz="8" w:color="021496"/>
            </w:tcBorders>
            <w:shd w:val="clear" w:color="auto" w:fill="021496"/>
          </w:tcPr>
          <w:p>
            <w:pPr>
              <w:spacing w:after="0"/>
              <w:rPr>
                <w:sz w:val="24"/>
                <w:szCs w:val="24"/>
                <w:color w:val="auto"/>
              </w:rPr>
            </w:pPr>
          </w:p>
        </w:tc>
        <w:tc>
          <w:tcPr>
            <w:tcW w:w="100" w:type="dxa"/>
            <w:vAlign w:val="bottom"/>
            <w:tcBorders>
              <w:bottom w:val="single" w:sz="8" w:color="021496"/>
            </w:tcBorders>
            <w:shd w:val="clear" w:color="auto" w:fill="021496"/>
          </w:tcPr>
          <w:p>
            <w:pPr>
              <w:spacing w:after="0"/>
              <w:rPr>
                <w:sz w:val="24"/>
                <w:szCs w:val="24"/>
                <w:color w:val="auto"/>
              </w:rPr>
            </w:pPr>
          </w:p>
        </w:tc>
        <w:tc>
          <w:tcPr>
            <w:tcW w:w="7540" w:type="dxa"/>
            <w:vAlign w:val="bottom"/>
            <w:tcBorders>
              <w:bottom w:val="single" w:sz="8" w:color="021496"/>
              <w:right w:val="single" w:sz="8" w:color="021496"/>
            </w:tcBorders>
            <w:gridSpan w:val="2"/>
            <w:shd w:val="clear" w:color="auto" w:fill="021496"/>
          </w:tcPr>
          <w:p>
            <w:pPr>
              <w:ind w:left="1420"/>
              <w:spacing w:after="0"/>
              <w:rPr>
                <w:sz w:val="20"/>
                <w:szCs w:val="20"/>
                <w:color w:val="auto"/>
              </w:rPr>
            </w:pPr>
            <w:r>
              <w:rPr>
                <w:rFonts w:ascii="Arial" w:cs="Arial" w:eastAsia="Arial" w:hAnsi="Arial"/>
                <w:sz w:val="16"/>
                <w:szCs w:val="16"/>
                <w:b w:val="1"/>
                <w:bCs w:val="1"/>
                <w:color w:val="FFFFFF"/>
              </w:rPr>
              <w:t>Finance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Eric A. Spiegel (Chair)</w:t>
            </w:r>
          </w:p>
        </w:tc>
        <w:tc>
          <w:tcPr>
            <w:tcW w:w="100" w:type="dxa"/>
            <w:vAlign w:val="bottom"/>
          </w:tcPr>
          <w:p>
            <w:pPr>
              <w:spacing w:after="0"/>
              <w:rPr>
                <w:sz w:val="20"/>
                <w:szCs w:val="20"/>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60" w:type="dxa"/>
            <w:vAlign w:val="bottom"/>
            <w:tcBorders>
              <w:left w:val="single" w:sz="8" w:color="021496"/>
            </w:tcBorders>
            <w:shd w:val="clear" w:color="auto" w:fill="D8D8D8"/>
          </w:tcPr>
          <w:p>
            <w:pPr>
              <w:spacing w:after="0" w:line="20" w:lineRule="exact"/>
              <w:rPr>
                <w:sz w:val="1"/>
                <w:szCs w:val="1"/>
                <w:color w:val="auto"/>
              </w:rPr>
            </w:pPr>
          </w:p>
        </w:tc>
        <w:tc>
          <w:tcPr>
            <w:tcW w:w="3040" w:type="dxa"/>
            <w:vAlign w:val="bottom"/>
            <w:tcBorders>
              <w:right w:val="single" w:sz="8" w:color="021496"/>
            </w:tcBorders>
            <w:shd w:val="clear" w:color="auto" w:fill="D8D8D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980" w:type="dxa"/>
            <w:vAlign w:val="bottom"/>
            <w:tcBorders>
              <w:right w:val="single" w:sz="8" w:color="0214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H. John Gilbertson, Jr.</w:t>
            </w:r>
          </w:p>
        </w:tc>
        <w:tc>
          <w:tcPr>
            <w:tcW w:w="100" w:type="dxa"/>
            <w:vAlign w:val="bottom"/>
          </w:tcPr>
          <w:p>
            <w:pPr>
              <w:spacing w:after="0"/>
              <w:rPr>
                <w:sz w:val="22"/>
                <w:szCs w:val="22"/>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recommending for approval by the Board proposed changes to dividend policies, stock</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Michael Manley</w:t>
            </w:r>
          </w:p>
        </w:tc>
        <w:tc>
          <w:tcPr>
            <w:tcW w:w="100" w:type="dxa"/>
            <w:vAlign w:val="bottom"/>
          </w:tcPr>
          <w:p>
            <w:pPr>
              <w:spacing w:after="0"/>
              <w:rPr>
                <w:sz w:val="16"/>
                <w:szCs w:val="16"/>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splits, and repurchase programs</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304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Keith E. Wandell</w:t>
            </w:r>
          </w:p>
        </w:tc>
        <w:tc>
          <w:tcPr>
            <w:tcW w:w="100" w:type="dxa"/>
            <w:vAlign w:val="bottom"/>
          </w:tcPr>
          <w:p>
            <w:pPr>
              <w:spacing w:after="0"/>
              <w:rPr>
                <w:sz w:val="18"/>
                <w:szCs w:val="18"/>
                <w:color w:val="auto"/>
              </w:rPr>
            </w:pPr>
          </w:p>
        </w:tc>
        <w:tc>
          <w:tcPr>
            <w:tcW w:w="754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Reviewing our capital structure, liquidity, and financing plans</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shd w:val="clear" w:color="auto" w:fill="D8D8D8"/>
          </w:tcPr>
          <w:p>
            <w:pPr>
              <w:spacing w:after="0"/>
              <w:rPr>
                <w:sz w:val="6"/>
                <w:szCs w:val="6"/>
                <w:color w:val="auto"/>
              </w:rPr>
            </w:pPr>
          </w:p>
        </w:tc>
        <w:tc>
          <w:tcPr>
            <w:tcW w:w="3040" w:type="dxa"/>
            <w:vAlign w:val="bottom"/>
            <w:tcBorders>
              <w:right w:val="single" w:sz="8" w:color="021496"/>
            </w:tcBorders>
            <w:shd w:val="clear" w:color="auto" w:fill="D8D8D8"/>
          </w:tcPr>
          <w:p>
            <w:pPr>
              <w:spacing w:after="0"/>
              <w:rPr>
                <w:sz w:val="6"/>
                <w:szCs w:val="6"/>
                <w:color w:val="auto"/>
              </w:rPr>
            </w:pPr>
          </w:p>
        </w:tc>
        <w:tc>
          <w:tcPr>
            <w:tcW w:w="100" w:type="dxa"/>
            <w:vAlign w:val="bottom"/>
          </w:tcPr>
          <w:p>
            <w:pPr>
              <w:spacing w:after="0"/>
              <w:rPr>
                <w:sz w:val="6"/>
                <w:szCs w:val="6"/>
                <w:color w:val="auto"/>
              </w:rPr>
            </w:pPr>
          </w:p>
        </w:tc>
        <w:tc>
          <w:tcPr>
            <w:tcW w:w="754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3040" w:type="dxa"/>
            <w:vAlign w:val="bottom"/>
            <w:tcBorders>
              <w:right w:val="single" w:sz="8" w:color="021496"/>
            </w:tcBorders>
            <w:shd w:val="clear" w:color="auto" w:fill="D8D8D8"/>
          </w:tcPr>
          <w:p>
            <w:pPr>
              <w:spacing w:after="0"/>
              <w:rPr>
                <w:sz w:val="23"/>
                <w:szCs w:val="23"/>
                <w:color w:val="auto"/>
              </w:rPr>
            </w:pPr>
          </w:p>
        </w:tc>
        <w:tc>
          <w:tcPr>
            <w:tcW w:w="100" w:type="dxa"/>
            <w:vAlign w:val="bottom"/>
          </w:tcPr>
          <w:p>
            <w:pPr>
              <w:spacing w:after="0"/>
              <w:rPr>
                <w:sz w:val="23"/>
                <w:szCs w:val="23"/>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approving the registration and issuance of debt or equity securities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reviewing and recommending for Board approval, capital expenditures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3040" w:type="dxa"/>
            <w:vAlign w:val="bottom"/>
            <w:tcBorders>
              <w:right w:val="single" w:sz="8" w:color="021496"/>
            </w:tcBorders>
            <w:shd w:val="clear" w:color="auto" w:fill="D8D8D8"/>
          </w:tcPr>
          <w:p>
            <w:pPr>
              <w:spacing w:after="0"/>
              <w:rPr>
                <w:sz w:val="21"/>
                <w:szCs w:val="21"/>
                <w:color w:val="auto"/>
              </w:rPr>
            </w:pPr>
          </w:p>
        </w:tc>
        <w:tc>
          <w:tcPr>
            <w:tcW w:w="100" w:type="dxa"/>
            <w:vAlign w:val="bottom"/>
          </w:tcPr>
          <w:p>
            <w:pPr>
              <w:spacing w:after="0"/>
              <w:rPr>
                <w:sz w:val="21"/>
                <w:szCs w:val="21"/>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reviewing and recommending for Board approval, M&amp;A transactions</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3040" w:type="dxa"/>
            <w:vAlign w:val="bottom"/>
            <w:tcBorders>
              <w:right w:val="single" w:sz="8" w:color="021496"/>
            </w:tcBorders>
            <w:shd w:val="clear" w:color="auto" w:fill="D8D8D8"/>
          </w:tcPr>
          <w:p>
            <w:pPr>
              <w:spacing w:after="0"/>
              <w:rPr>
                <w:sz w:val="23"/>
                <w:szCs w:val="23"/>
                <w:color w:val="auto"/>
              </w:rPr>
            </w:pPr>
          </w:p>
        </w:tc>
        <w:tc>
          <w:tcPr>
            <w:tcW w:w="100" w:type="dxa"/>
            <w:vAlign w:val="bottom"/>
          </w:tcPr>
          <w:p>
            <w:pPr>
              <w:spacing w:after="0"/>
              <w:rPr>
                <w:sz w:val="23"/>
                <w:szCs w:val="23"/>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Oversight of treasury, insurance, and tax planning matters</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3040" w:type="dxa"/>
            <w:vAlign w:val="bottom"/>
            <w:tcBorders>
              <w:right w:val="single" w:sz="8" w:color="021496"/>
            </w:tcBorders>
            <w:shd w:val="clear" w:color="auto" w:fill="D8D8D8"/>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Finance Committee’s responsibilities and authority are described in greater detail in its written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3040" w:type="dxa"/>
            <w:vAlign w:val="bottom"/>
            <w:tcBorders>
              <w:right w:val="single" w:sz="8" w:color="021496"/>
            </w:tcBorders>
            <w:shd w:val="clear" w:color="auto" w:fill="D8D8D8"/>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3040" w:type="dxa"/>
            <w:vAlign w:val="bottom"/>
            <w:tcBorders>
              <w:bottom w:val="single" w:sz="8" w:color="021496"/>
              <w:right w:val="single" w:sz="8" w:color="021496"/>
            </w:tcBorders>
            <w:shd w:val="clear" w:color="auto" w:fill="D8D8D8"/>
          </w:tcPr>
          <w:p>
            <w:pPr>
              <w:spacing w:after="0"/>
              <w:rPr>
                <w:sz w:val="10"/>
                <w:szCs w:val="10"/>
                <w:color w:val="auto"/>
              </w:rPr>
            </w:pPr>
          </w:p>
        </w:tc>
        <w:tc>
          <w:tcPr>
            <w:tcW w:w="100" w:type="dxa"/>
            <w:vAlign w:val="bottom"/>
            <w:tcBorders>
              <w:bottom w:val="single" w:sz="8" w:color="021496"/>
            </w:tcBorders>
          </w:tcPr>
          <w:p>
            <w:pPr>
              <w:spacing w:after="0"/>
              <w:rPr>
                <w:sz w:val="10"/>
                <w:szCs w:val="10"/>
                <w:color w:val="auto"/>
              </w:rPr>
            </w:pPr>
          </w:p>
        </w:tc>
        <w:tc>
          <w:tcPr>
            <w:tcW w:w="1560" w:type="dxa"/>
            <w:vAlign w:val="bottom"/>
            <w:tcBorders>
              <w:bottom w:val="single" w:sz="8" w:color="021496"/>
            </w:tcBorders>
          </w:tcPr>
          <w:p>
            <w:pPr>
              <w:spacing w:after="0"/>
              <w:rPr>
                <w:sz w:val="10"/>
                <w:szCs w:val="10"/>
                <w:color w:val="auto"/>
              </w:rPr>
            </w:pPr>
          </w:p>
        </w:tc>
        <w:tc>
          <w:tcPr>
            <w:tcW w:w="598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980" w:type="dxa"/>
            <w:vAlign w:val="bottom"/>
          </w:tcPr>
          <w:p>
            <w:pPr>
              <w:ind w:left="21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2026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bl>
    <w:p>
      <w:pPr>
        <w:sectPr>
          <w:pgSz w:w="11900" w:h="16838" w:orient="portrait"/>
          <w:cols w:equalWidth="0" w:num="1">
            <w:col w:w="10940"/>
          </w:cols>
          <w:pgMar w:left="480" w:top="299" w:right="4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Corporate Governance</w:t>
      </w:r>
    </w:p>
    <w:p>
      <w:pPr>
        <w:spacing w:after="0" w:line="6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Our Board is committed to sound governance practices and regularly reviews and refines our profile to reflect evolving best practices and matters raised by our shareholders. The following summarizes key aspects of our governance framework.</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96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8760" w:type="dxa"/>
            <w:vAlign w:val="bottom"/>
            <w:tcBorders>
              <w:bottom w:val="single" w:sz="8" w:color="021496"/>
              <w:right w:val="single" w:sz="8" w:color="021496"/>
            </w:tcBorders>
            <w:shd w:val="clear" w:color="auto" w:fill="021496"/>
          </w:tcPr>
          <w:p>
            <w:pPr>
              <w:ind w:left="2360"/>
              <w:spacing w:after="0"/>
              <w:rPr>
                <w:sz w:val="20"/>
                <w:szCs w:val="20"/>
                <w:color w:val="auto"/>
              </w:rPr>
            </w:pPr>
            <w:r>
              <w:rPr>
                <w:rFonts w:ascii="Arial" w:cs="Arial" w:eastAsia="Arial" w:hAnsi="Arial"/>
                <w:sz w:val="16"/>
                <w:szCs w:val="16"/>
                <w:b w:val="1"/>
                <w:bCs w:val="1"/>
                <w:color w:val="FFFFFF"/>
              </w:rPr>
              <w:t>GOVERNANCE HIGHLIGHTS</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Independent</w:t>
            </w:r>
          </w:p>
        </w:tc>
        <w:tc>
          <w:tcPr>
            <w:tcW w:w="876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Our Board has leadership that is independent from management, by way of a Lead Independent Director, and all</w:t>
            </w:r>
          </w:p>
        </w:tc>
        <w:tc>
          <w:tcPr>
            <w:tcW w:w="0" w:type="dxa"/>
            <w:vAlign w:val="bottom"/>
          </w:tcPr>
          <w:p>
            <w:pPr>
              <w:spacing w:after="0"/>
              <w:rPr>
                <w:sz w:val="1"/>
                <w:szCs w:val="1"/>
                <w:color w:val="auto"/>
              </w:rPr>
            </w:pPr>
          </w:p>
        </w:tc>
      </w:tr>
      <w:tr>
        <w:trPr>
          <w:trHeight w:val="227"/>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Leadership</w:t>
            </w:r>
          </w:p>
        </w:tc>
        <w:tc>
          <w:tcPr>
            <w:tcW w:w="876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directors are independent other than our Board Chair.</w:t>
            </w:r>
          </w:p>
        </w:tc>
        <w:tc>
          <w:tcPr>
            <w:tcW w:w="0" w:type="dxa"/>
            <w:vAlign w:val="bottom"/>
          </w:tcPr>
          <w:p>
            <w:pPr>
              <w:spacing w:after="0"/>
              <w:rPr>
                <w:sz w:val="1"/>
                <w:szCs w:val="1"/>
                <w:color w:val="auto"/>
              </w:rPr>
            </w:pPr>
          </w:p>
        </w:tc>
      </w:tr>
      <w:tr>
        <w:trPr>
          <w:trHeight w:val="181"/>
        </w:trPr>
        <w:tc>
          <w:tcPr>
            <w:tcW w:w="1960" w:type="dxa"/>
            <w:vAlign w:val="bottom"/>
            <w:tcBorders>
              <w:left w:val="single" w:sz="8" w:color="021496"/>
              <w:right w:val="single" w:sz="8" w:color="021496"/>
            </w:tcBorders>
            <w:shd w:val="clear" w:color="auto" w:fill="EAEFED"/>
          </w:tcPr>
          <w:p>
            <w:pPr>
              <w:jc w:val="center"/>
              <w:ind w:left="60"/>
              <w:spacing w:after="0" w:line="181" w:lineRule="exact"/>
              <w:rPr>
                <w:sz w:val="20"/>
                <w:szCs w:val="20"/>
                <w:color w:val="auto"/>
              </w:rPr>
            </w:pPr>
            <w:r>
              <w:rPr>
                <w:rFonts w:ascii="Arial" w:cs="Arial" w:eastAsia="Arial" w:hAnsi="Arial"/>
                <w:sz w:val="16"/>
                <w:szCs w:val="16"/>
                <w:b w:val="1"/>
                <w:bCs w:val="1"/>
                <w:color w:val="auto"/>
              </w:rPr>
              <w:t>Special Shareholder</w:t>
            </w:r>
          </w:p>
        </w:tc>
        <w:tc>
          <w:tcPr>
            <w:tcW w:w="8760" w:type="dxa"/>
            <w:vAlign w:val="bottom"/>
            <w:tcBorders>
              <w:right w:val="single" w:sz="8" w:color="021496"/>
            </w:tcBorders>
          </w:tcPr>
          <w:p>
            <w:pPr>
              <w:ind w:left="80"/>
              <w:spacing w:after="0" w:line="181" w:lineRule="exact"/>
              <w:rPr>
                <w:sz w:val="20"/>
                <w:szCs w:val="20"/>
                <w:color w:val="auto"/>
              </w:rPr>
            </w:pPr>
            <w:r>
              <w:rPr>
                <w:rFonts w:ascii="Arial" w:cs="Arial" w:eastAsia="Arial" w:hAnsi="Arial"/>
                <w:sz w:val="16"/>
                <w:szCs w:val="16"/>
                <w:color w:val="auto"/>
              </w:rPr>
              <w:t xml:space="preserve">•  Our by-laws include a right of shareholders holding </w:t>
            </w:r>
            <w:r>
              <w:rPr>
                <w:rFonts w:ascii="Arial" w:cs="Arial" w:eastAsia="Arial" w:hAnsi="Arial"/>
                <w:sz w:val="16"/>
                <w:szCs w:val="16"/>
                <w:b w:val="1"/>
                <w:bCs w:val="1"/>
                <w:color w:val="021496"/>
              </w:rPr>
              <w:t>15% or more of the voting power of our outstanding stock to</w:t>
            </w:r>
          </w:p>
        </w:tc>
        <w:tc>
          <w:tcPr>
            <w:tcW w:w="0" w:type="dxa"/>
            <w:vAlign w:val="bottom"/>
          </w:tcPr>
          <w:p>
            <w:pPr>
              <w:spacing w:after="0"/>
              <w:rPr>
                <w:sz w:val="1"/>
                <w:szCs w:val="1"/>
                <w:color w:val="auto"/>
              </w:rPr>
            </w:pPr>
          </w:p>
        </w:tc>
      </w:tr>
      <w:tr>
        <w:trPr>
          <w:trHeight w:val="227"/>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Meetings</w:t>
            </w:r>
          </w:p>
        </w:tc>
        <w:tc>
          <w:tcPr>
            <w:tcW w:w="876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b w:val="1"/>
                <w:bCs w:val="1"/>
                <w:color w:val="021496"/>
              </w:rPr>
              <w:t>call a special meeting of shareholders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66"/>
        </w:trPr>
        <w:tc>
          <w:tcPr>
            <w:tcW w:w="1960" w:type="dxa"/>
            <w:vAlign w:val="bottom"/>
            <w:tcBorders>
              <w:left w:val="single" w:sz="8" w:color="021496"/>
              <w:right w:val="single" w:sz="8" w:color="021496"/>
            </w:tcBorders>
            <w:shd w:val="clear" w:color="auto" w:fill="EAEFED"/>
          </w:tcPr>
          <w:p>
            <w:pPr>
              <w:jc w:val="center"/>
              <w:ind w:left="60"/>
              <w:spacing w:after="0" w:line="167" w:lineRule="exact"/>
              <w:rPr>
                <w:sz w:val="20"/>
                <w:szCs w:val="20"/>
                <w:color w:val="auto"/>
              </w:rPr>
            </w:pPr>
            <w:r>
              <w:rPr>
                <w:rFonts w:ascii="Arial" w:cs="Arial" w:eastAsia="Arial" w:hAnsi="Arial"/>
                <w:sz w:val="16"/>
                <w:szCs w:val="16"/>
                <w:b w:val="1"/>
                <w:bCs w:val="1"/>
                <w:color w:val="auto"/>
              </w:rPr>
              <w:t>No</w:t>
            </w:r>
          </w:p>
        </w:tc>
        <w:tc>
          <w:tcPr>
            <w:tcW w:w="8760" w:type="dxa"/>
            <w:vAlign w:val="bottom"/>
            <w:tcBorders>
              <w:right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Super-majority</w:t>
            </w:r>
          </w:p>
        </w:tc>
        <w:tc>
          <w:tcPr>
            <w:tcW w:w="876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have no supermajority voting provisions in our charter.</w:t>
            </w:r>
          </w:p>
        </w:tc>
        <w:tc>
          <w:tcPr>
            <w:tcW w:w="0" w:type="dxa"/>
            <w:vAlign w:val="bottom"/>
          </w:tcPr>
          <w:p>
            <w:pPr>
              <w:spacing w:after="0"/>
              <w:rPr>
                <w:sz w:val="1"/>
                <w:szCs w:val="1"/>
                <w:color w:val="auto"/>
              </w:rPr>
            </w:pPr>
          </w:p>
        </w:tc>
      </w:tr>
      <w:tr>
        <w:trPr>
          <w:trHeight w:val="201"/>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Provisions</w:t>
            </w:r>
          </w:p>
        </w:tc>
        <w:tc>
          <w:tcPr>
            <w:tcW w:w="8760" w:type="dxa"/>
            <w:vAlign w:val="bottom"/>
            <w:tcBorders>
              <w:bottom w:val="single" w:sz="8" w:color="021496"/>
              <w:right w:val="single" w:sz="8" w:color="021496"/>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60" w:type="dxa"/>
            <w:vAlign w:val="bottom"/>
            <w:tcBorders>
              <w:left w:val="single" w:sz="8" w:color="021496"/>
              <w:right w:val="single" w:sz="8" w:color="021496"/>
            </w:tcBorders>
            <w:shd w:val="clear" w:color="auto" w:fill="EAEFED"/>
          </w:tcPr>
          <w:p>
            <w:pPr>
              <w:jc w:val="center"/>
              <w:ind w:left="60"/>
              <w:spacing w:after="0" w:line="181" w:lineRule="exact"/>
              <w:rPr>
                <w:sz w:val="20"/>
                <w:szCs w:val="20"/>
                <w:color w:val="auto"/>
              </w:rPr>
            </w:pPr>
            <w:r>
              <w:rPr>
                <w:rFonts w:ascii="Arial" w:cs="Arial" w:eastAsia="Arial" w:hAnsi="Arial"/>
                <w:sz w:val="16"/>
                <w:szCs w:val="16"/>
                <w:b w:val="1"/>
                <w:bCs w:val="1"/>
                <w:color w:val="auto"/>
              </w:rPr>
              <w:t>Board Committee</w:t>
            </w:r>
          </w:p>
        </w:tc>
        <w:tc>
          <w:tcPr>
            <w:tcW w:w="8760" w:type="dxa"/>
            <w:vAlign w:val="bottom"/>
            <w:tcBorders>
              <w:right w:val="single" w:sz="8" w:color="021496"/>
            </w:tcBorders>
          </w:tcPr>
          <w:p>
            <w:pPr>
              <w:ind w:left="80"/>
              <w:spacing w:after="0" w:line="181" w:lineRule="exact"/>
              <w:rPr>
                <w:sz w:val="20"/>
                <w:szCs w:val="20"/>
                <w:color w:val="auto"/>
              </w:rPr>
            </w:pPr>
            <w:r>
              <w:rPr>
                <w:rFonts w:ascii="Arial" w:cs="Arial" w:eastAsia="Arial" w:hAnsi="Arial"/>
                <w:sz w:val="16"/>
                <w:szCs w:val="16"/>
                <w:color w:val="auto"/>
              </w:rPr>
              <w:t xml:space="preserve">•  Our Board </w:t>
            </w:r>
            <w:r>
              <w:rPr>
                <w:rFonts w:ascii="Arial" w:cs="Arial" w:eastAsia="Arial" w:hAnsi="Arial"/>
                <w:sz w:val="16"/>
                <w:szCs w:val="16"/>
                <w:b w:val="1"/>
                <w:bCs w:val="1"/>
                <w:color w:val="021496"/>
              </w:rPr>
              <w:t>periodically reviews committee composition and chair positions</w:t>
            </w:r>
            <w:r>
              <w:rPr>
                <w:rFonts w:ascii="Arial" w:cs="Arial" w:eastAsia="Arial" w:hAnsi="Arial"/>
                <w:sz w:val="16"/>
                <w:szCs w:val="16"/>
                <w:color w:val="auto"/>
              </w:rPr>
              <w:t>, seeking the appropriate blend of</w:t>
            </w:r>
          </w:p>
        </w:tc>
        <w:tc>
          <w:tcPr>
            <w:tcW w:w="0" w:type="dxa"/>
            <w:vAlign w:val="bottom"/>
          </w:tcPr>
          <w:p>
            <w:pPr>
              <w:spacing w:after="0"/>
              <w:rPr>
                <w:sz w:val="1"/>
                <w:szCs w:val="1"/>
                <w:color w:val="auto"/>
              </w:rPr>
            </w:pPr>
          </w:p>
        </w:tc>
      </w:tr>
      <w:tr>
        <w:trPr>
          <w:trHeight w:val="227"/>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Refreshment</w:t>
            </w:r>
          </w:p>
        </w:tc>
        <w:tc>
          <w:tcPr>
            <w:tcW w:w="876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continuity and fresh perspectives on committees.</w:t>
            </w:r>
          </w:p>
        </w:tc>
        <w:tc>
          <w:tcPr>
            <w:tcW w:w="0" w:type="dxa"/>
            <w:vAlign w:val="bottom"/>
          </w:tcPr>
          <w:p>
            <w:pPr>
              <w:spacing w:after="0"/>
              <w:rPr>
                <w:sz w:val="1"/>
                <w:szCs w:val="1"/>
                <w:color w:val="auto"/>
              </w:rPr>
            </w:pPr>
          </w:p>
        </w:tc>
      </w:tr>
      <w:tr>
        <w:trPr>
          <w:trHeight w:val="241"/>
        </w:trPr>
        <w:tc>
          <w:tcPr>
            <w:tcW w:w="1960" w:type="dxa"/>
            <w:vAlign w:val="bottom"/>
            <w:tcBorders>
              <w:left w:val="single" w:sz="8" w:color="021496"/>
              <w:right w:val="single" w:sz="8" w:color="021496"/>
            </w:tcBorders>
            <w:shd w:val="clear" w:color="auto" w:fill="EAEFED"/>
          </w:tcPr>
          <w:p>
            <w:pPr>
              <w:spacing w:after="0"/>
              <w:rPr>
                <w:sz w:val="20"/>
                <w:szCs w:val="20"/>
                <w:color w:val="auto"/>
              </w:rPr>
            </w:pPr>
          </w:p>
        </w:tc>
        <w:tc>
          <w:tcPr>
            <w:tcW w:w="876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All of our </w:t>
            </w:r>
            <w:r>
              <w:rPr>
                <w:rFonts w:ascii="Arial" w:cs="Arial" w:eastAsia="Arial" w:hAnsi="Arial"/>
                <w:sz w:val="16"/>
                <w:szCs w:val="16"/>
                <w:b w:val="1"/>
                <w:bCs w:val="1"/>
                <w:color w:val="021496"/>
              </w:rPr>
              <w:t>directors are elected annually</w:t>
            </w:r>
            <w:r>
              <w:rPr>
                <w:rFonts w:ascii="Arial" w:cs="Arial" w:eastAsia="Arial" w:hAnsi="Arial"/>
                <w:sz w:val="16"/>
                <w:szCs w:val="16"/>
                <w:color w:val="auto"/>
              </w:rPr>
              <w:t xml:space="preserve"> by our shareholders.</w:t>
            </w:r>
          </w:p>
        </w:tc>
        <w:tc>
          <w:tcPr>
            <w:tcW w:w="0" w:type="dxa"/>
            <w:vAlign w:val="bottom"/>
          </w:tcPr>
          <w:p>
            <w:pPr>
              <w:spacing w:after="0"/>
              <w:rPr>
                <w:sz w:val="1"/>
                <w:szCs w:val="1"/>
                <w:color w:val="auto"/>
              </w:rPr>
            </w:pPr>
          </w:p>
        </w:tc>
      </w:tr>
      <w:tr>
        <w:trPr>
          <w:trHeight w:val="20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Annual Majority Vote</w:t>
            </w:r>
          </w:p>
        </w:tc>
        <w:tc>
          <w:tcPr>
            <w:tcW w:w="876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Our </w:t>
            </w:r>
            <w:r>
              <w:rPr>
                <w:rFonts w:ascii="Arial" w:cs="Arial" w:eastAsia="Arial" w:hAnsi="Arial"/>
                <w:sz w:val="16"/>
                <w:szCs w:val="16"/>
                <w:b w:val="1"/>
                <w:bCs w:val="1"/>
                <w:color w:val="021496"/>
              </w:rPr>
              <w:t>directors must receive a majority of the votes cast</w:t>
            </w:r>
            <w:r>
              <w:rPr>
                <w:rFonts w:ascii="Arial" w:cs="Arial" w:eastAsia="Arial" w:hAnsi="Arial"/>
                <w:sz w:val="16"/>
                <w:szCs w:val="16"/>
                <w:color w:val="auto"/>
              </w:rPr>
              <w:t xml:space="preserve"> in uncontested elections to be elected.</w:t>
            </w:r>
          </w:p>
        </w:tc>
        <w:tc>
          <w:tcPr>
            <w:tcW w:w="0" w:type="dxa"/>
            <w:vAlign w:val="bottom"/>
          </w:tcPr>
          <w:p>
            <w:pPr>
              <w:spacing w:after="0"/>
              <w:rPr>
                <w:sz w:val="1"/>
                <w:szCs w:val="1"/>
                <w:color w:val="auto"/>
              </w:rPr>
            </w:pPr>
          </w:p>
        </w:tc>
      </w:tr>
      <w:tr>
        <w:trPr>
          <w:trHeight w:val="186"/>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Director Elections &amp;</w:t>
            </w:r>
          </w:p>
        </w:tc>
        <w:tc>
          <w:tcPr>
            <w:tcW w:w="8760" w:type="dxa"/>
            <w:vAlign w:val="bottom"/>
            <w:tcBorders>
              <w:right w:val="single" w:sz="8" w:color="021496"/>
            </w:tcBorders>
            <w:vMerge w:val="restart"/>
          </w:tcPr>
          <w:p>
            <w:pPr>
              <w:ind w:left="80"/>
              <w:spacing w:after="0"/>
              <w:rPr>
                <w:sz w:val="20"/>
                <w:szCs w:val="20"/>
                <w:color w:val="auto"/>
              </w:rPr>
            </w:pPr>
            <w:r>
              <w:rPr>
                <w:rFonts w:ascii="Arial" w:cs="Arial" w:eastAsia="Arial" w:hAnsi="Arial"/>
                <w:sz w:val="16"/>
                <w:szCs w:val="16"/>
                <w:color w:val="auto"/>
              </w:rPr>
              <w:t>•  We have a director resignation policy that requires a director to tender an irrevocable resignation letter to the Board</w:t>
            </w:r>
          </w:p>
        </w:tc>
        <w:tc>
          <w:tcPr>
            <w:tcW w:w="0" w:type="dxa"/>
            <w:vAlign w:val="bottom"/>
          </w:tcPr>
          <w:p>
            <w:pPr>
              <w:spacing w:after="0"/>
              <w:rPr>
                <w:sz w:val="1"/>
                <w:szCs w:val="1"/>
                <w:color w:val="auto"/>
              </w:rPr>
            </w:pPr>
          </w:p>
        </w:tc>
      </w:tr>
      <w:tr>
        <w:trPr>
          <w:trHeight w:val="107"/>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Mandatory</w:t>
            </w:r>
          </w:p>
        </w:tc>
        <w:tc>
          <w:tcPr>
            <w:tcW w:w="8760" w:type="dxa"/>
            <w:vAlign w:val="bottom"/>
            <w:tcBorders>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960" w:type="dxa"/>
            <w:vAlign w:val="bottom"/>
            <w:tcBorders>
              <w:left w:val="single" w:sz="8" w:color="021496"/>
              <w:right w:val="single" w:sz="8" w:color="021496"/>
            </w:tcBorders>
            <w:vMerge w:val="continue"/>
            <w:shd w:val="clear" w:color="auto" w:fill="EAEFED"/>
          </w:tcPr>
          <w:p>
            <w:pPr>
              <w:spacing w:after="0"/>
              <w:rPr>
                <w:sz w:val="6"/>
                <w:szCs w:val="6"/>
                <w:color w:val="auto"/>
              </w:rPr>
            </w:pPr>
          </w:p>
        </w:tc>
        <w:tc>
          <w:tcPr>
            <w:tcW w:w="876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prior to being nominated, contingent on the director not receiving a majority of the votes cast in an uncontested</w:t>
            </w:r>
          </w:p>
        </w:tc>
        <w:tc>
          <w:tcPr>
            <w:tcW w:w="0" w:type="dxa"/>
            <w:vAlign w:val="bottom"/>
          </w:tcPr>
          <w:p>
            <w:pPr>
              <w:spacing w:after="0"/>
              <w:rPr>
                <w:sz w:val="1"/>
                <w:szCs w:val="1"/>
                <w:color w:val="auto"/>
              </w:rPr>
            </w:pPr>
          </w:p>
        </w:tc>
      </w:tr>
      <w:tr>
        <w:trPr>
          <w:trHeight w:val="107"/>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Resignation Policy</w:t>
            </w:r>
          </w:p>
        </w:tc>
        <w:tc>
          <w:tcPr>
            <w:tcW w:w="8760" w:type="dxa"/>
            <w:vAlign w:val="bottom"/>
            <w:tcBorders>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76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election and the Board’s acceptance of the resignation. The Governance and Nominating Committee will recommend</w:t>
            </w:r>
          </w:p>
        </w:tc>
        <w:tc>
          <w:tcPr>
            <w:tcW w:w="0" w:type="dxa"/>
            <w:vAlign w:val="bottom"/>
          </w:tcPr>
          <w:p>
            <w:pPr>
              <w:spacing w:after="0"/>
              <w:rPr>
                <w:sz w:val="1"/>
                <w:szCs w:val="1"/>
                <w:color w:val="auto"/>
              </w:rPr>
            </w:pPr>
          </w:p>
        </w:tc>
      </w:tr>
      <w:tr>
        <w:trPr>
          <w:trHeight w:val="73"/>
        </w:trPr>
        <w:tc>
          <w:tcPr>
            <w:tcW w:w="1960" w:type="dxa"/>
            <w:vAlign w:val="bottom"/>
            <w:tcBorders>
              <w:left w:val="single" w:sz="8" w:color="021496"/>
              <w:right w:val="single" w:sz="8" w:color="021496"/>
            </w:tcBorders>
            <w:shd w:val="clear" w:color="auto" w:fill="EAEFED"/>
          </w:tcPr>
          <w:p>
            <w:pPr>
              <w:spacing w:after="0"/>
              <w:rPr>
                <w:sz w:val="6"/>
                <w:szCs w:val="6"/>
                <w:color w:val="auto"/>
              </w:rPr>
            </w:pPr>
          </w:p>
        </w:tc>
        <w:tc>
          <w:tcPr>
            <w:tcW w:w="876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960" w:type="dxa"/>
            <w:vAlign w:val="bottom"/>
            <w:tcBorders>
              <w:left w:val="single" w:sz="8" w:color="021496"/>
              <w:bottom w:val="single" w:sz="8" w:color="021496"/>
              <w:right w:val="single" w:sz="8" w:color="021496"/>
            </w:tcBorders>
            <w:shd w:val="clear" w:color="auto" w:fill="EAEFED"/>
          </w:tcPr>
          <w:p>
            <w:pPr>
              <w:spacing w:after="0"/>
              <w:rPr>
                <w:sz w:val="17"/>
                <w:szCs w:val="17"/>
                <w:color w:val="auto"/>
              </w:rPr>
            </w:pPr>
          </w:p>
        </w:tc>
        <w:tc>
          <w:tcPr>
            <w:tcW w:w="876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to the full Board whether to accept the resignation or whether to take other action.</w:t>
            </w:r>
          </w:p>
        </w:tc>
        <w:tc>
          <w:tcPr>
            <w:tcW w:w="0" w:type="dxa"/>
            <w:vAlign w:val="bottom"/>
          </w:tcPr>
          <w:p>
            <w:pPr>
              <w:spacing w:after="0"/>
              <w:rPr>
                <w:sz w:val="1"/>
                <w:szCs w:val="1"/>
                <w:color w:val="auto"/>
              </w:rPr>
            </w:pPr>
          </w:p>
        </w:tc>
      </w:tr>
      <w:tr>
        <w:trPr>
          <w:trHeight w:val="207"/>
        </w:trPr>
        <w:tc>
          <w:tcPr>
            <w:tcW w:w="1960" w:type="dxa"/>
            <w:vAlign w:val="bottom"/>
            <w:tcBorders>
              <w:left w:val="single" w:sz="8" w:color="021496"/>
              <w:right w:val="single" w:sz="8" w:color="021496"/>
            </w:tcBorders>
            <w:shd w:val="clear" w:color="auto" w:fill="EAEFED"/>
          </w:tcPr>
          <w:p>
            <w:pPr>
              <w:spacing w:after="0"/>
              <w:rPr>
                <w:sz w:val="17"/>
                <w:szCs w:val="17"/>
                <w:color w:val="auto"/>
              </w:rPr>
            </w:pPr>
          </w:p>
        </w:tc>
        <w:tc>
          <w:tcPr>
            <w:tcW w:w="876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Our by-laws permit a shareholder or a group of up to </w:t>
            </w:r>
            <w:r>
              <w:rPr>
                <w:rFonts w:ascii="Arial" w:cs="Arial" w:eastAsia="Arial" w:hAnsi="Arial"/>
                <w:sz w:val="16"/>
                <w:szCs w:val="16"/>
                <w:b w:val="1"/>
                <w:bCs w:val="1"/>
                <w:color w:val="021496"/>
              </w:rPr>
              <w:t>20 shareholders owning 3% or more</w:t>
            </w:r>
            <w:r>
              <w:rPr>
                <w:rFonts w:ascii="Arial" w:cs="Arial" w:eastAsia="Arial" w:hAnsi="Arial"/>
                <w:sz w:val="16"/>
                <w:szCs w:val="16"/>
                <w:color w:val="auto"/>
              </w:rPr>
              <w:t xml:space="preserve"> of our outstanding</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Proxy Access</w:t>
            </w:r>
          </w:p>
        </w:tc>
        <w:tc>
          <w:tcPr>
            <w:tcW w:w="876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common stock continuously for at least three years to nominate and include in our proxy materials director candidates</w:t>
            </w:r>
          </w:p>
        </w:tc>
        <w:tc>
          <w:tcPr>
            <w:tcW w:w="0" w:type="dxa"/>
            <w:vAlign w:val="bottom"/>
          </w:tcPr>
          <w:p>
            <w:pPr>
              <w:spacing w:after="0"/>
              <w:rPr>
                <w:sz w:val="1"/>
                <w:szCs w:val="1"/>
                <w:color w:val="auto"/>
              </w:rPr>
            </w:pPr>
          </w:p>
        </w:tc>
      </w:tr>
      <w:tr>
        <w:trPr>
          <w:trHeight w:val="101"/>
        </w:trPr>
        <w:tc>
          <w:tcPr>
            <w:tcW w:w="1960" w:type="dxa"/>
            <w:vAlign w:val="bottom"/>
            <w:tcBorders>
              <w:left w:val="single" w:sz="8" w:color="021496"/>
              <w:right w:val="single" w:sz="8" w:color="021496"/>
            </w:tcBorders>
            <w:vMerge w:val="continue"/>
            <w:shd w:val="clear" w:color="auto" w:fill="EAEFED"/>
          </w:tcPr>
          <w:p>
            <w:pPr>
              <w:spacing w:after="0"/>
              <w:rPr>
                <w:sz w:val="8"/>
                <w:szCs w:val="8"/>
                <w:color w:val="auto"/>
              </w:rPr>
            </w:pPr>
          </w:p>
        </w:tc>
        <w:tc>
          <w:tcPr>
            <w:tcW w:w="876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constituting up to the greater of two individuals or 20% of the Board, provided that the shareholder(s) and the</w:t>
            </w:r>
          </w:p>
        </w:tc>
        <w:tc>
          <w:tcPr>
            <w:tcW w:w="0" w:type="dxa"/>
            <w:vAlign w:val="bottom"/>
          </w:tcPr>
          <w:p>
            <w:pPr>
              <w:spacing w:after="0"/>
              <w:rPr>
                <w:sz w:val="1"/>
                <w:szCs w:val="1"/>
                <w:color w:val="auto"/>
              </w:rPr>
            </w:pPr>
          </w:p>
        </w:tc>
      </w:tr>
      <w:tr>
        <w:trPr>
          <w:trHeight w:val="86"/>
        </w:trPr>
        <w:tc>
          <w:tcPr>
            <w:tcW w:w="1960" w:type="dxa"/>
            <w:vAlign w:val="bottom"/>
            <w:tcBorders>
              <w:left w:val="single" w:sz="8" w:color="021496"/>
              <w:right w:val="single" w:sz="8" w:color="021496"/>
            </w:tcBorders>
            <w:shd w:val="clear" w:color="auto" w:fill="EAEFED"/>
          </w:tcPr>
          <w:p>
            <w:pPr>
              <w:spacing w:after="0"/>
              <w:rPr>
                <w:sz w:val="7"/>
                <w:szCs w:val="7"/>
                <w:color w:val="auto"/>
              </w:rPr>
            </w:pPr>
          </w:p>
        </w:tc>
        <w:tc>
          <w:tcPr>
            <w:tcW w:w="876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960" w:type="dxa"/>
            <w:vAlign w:val="bottom"/>
            <w:tcBorders>
              <w:left w:val="single" w:sz="8" w:color="021496"/>
              <w:bottom w:val="single" w:sz="8" w:color="021496"/>
              <w:right w:val="single" w:sz="8" w:color="021496"/>
            </w:tcBorders>
            <w:shd w:val="clear" w:color="auto" w:fill="EAEFED"/>
          </w:tcPr>
          <w:p>
            <w:pPr>
              <w:spacing w:after="0"/>
              <w:rPr>
                <w:sz w:val="17"/>
                <w:szCs w:val="17"/>
                <w:color w:val="auto"/>
              </w:rPr>
            </w:pPr>
          </w:p>
        </w:tc>
        <w:tc>
          <w:tcPr>
            <w:tcW w:w="876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nominee(s) satisfy the requirements specified in our by-laws.</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Board Leadership Structure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Chairman of the Board</w:t>
      </w:r>
    </w:p>
    <w:p>
      <w:pPr>
        <w:spacing w:after="0" w:line="10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Our Board believes that it should retain the flexibility to determine whether the Chair of the Board and Chief Executive Officer roles should be separated or combined based on the circumstances at any given point in time. The Board also believes that it is important to have strong, independent Board leadership to help ensure effective Board oversight and sound Board decision-making involving corporate strategy, performance, succession, and other critical matters. Accordingly, our Corporate Governance Guidelines require that, in the event the Chair of the Board is not an independent director, the independent directors will appoint an independent director as Lead Independent Director.</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Currently, Richard J. Tobin, our President and CEO, serves as our Board Chair. The Board believes that this leadership structure promotes efficient Board functioning, fosters a constructive and cooperative relationship between the Board and senior management and, together with an experienced Lead Independent Director, is the appropriate leadership structure for Dover at this time.</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Lead Independent Director</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Board believes it is important to have strong and empowered leadership that is independent from management. In connection with the Board’s decision to appoint Mr. Tobin as Chair, the Board amended Dover’s Corporate Governance Guidelines to provide that whenever the Board Chair is not an independent director, the independent directors shall appoint an independent director to serve as Lead Independent Director. As such, the Board has had a Lead Independent Direct since February 2024.</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25</w:t>
      </w:r>
    </w:p>
    <w:p>
      <w:pPr>
        <w:sectPr>
          <w:pgSz w:w="11900" w:h="16838" w:orient="portrait"/>
          <w:cols w:equalWidth="0" w:num="1">
            <w:col w:w="10920"/>
          </w:cols>
          <w:pgMar w:left="480" w:top="299" w:right="49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Keith E. Wandell has served as our Lead Independent Director since the 2025 Annual Meeting. In appointing Mr. Wandell to this role, the independent directors took into consideration Mr. Wandell’s tenure, knowledge of Dover’s business and strategy, and demonstrated independent voice in the boardroom. The Board concluded that Mr. Wandell, who has served on the Board since 2015 and who also has experience as lead independent director of another Fortune 500 company, is well positioned to provide independent leadership to the Board as it carries out its oversight responsibilities. </w:t>
      </w:r>
    </w:p>
    <w:p>
      <w:pPr>
        <w:spacing w:after="0" w:line="71"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auto"/>
        </w:rPr>
        <w:t>Dover’s Corporate Governance Guidelines set forth the significant authority and well-defined responsibilities of the Lead Independent Director, which include:</w:t>
      </w:r>
    </w:p>
    <w:p>
      <w:pPr>
        <w:spacing w:after="0" w:line="67" w:lineRule="exact"/>
        <w:rPr>
          <w:sz w:val="20"/>
          <w:szCs w:val="20"/>
          <w:color w:val="auto"/>
        </w:rPr>
      </w:pPr>
    </w:p>
    <w:p>
      <w:pPr>
        <w:ind w:left="660" w:hanging="653"/>
        <w:spacing w:after="0"/>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Presiding at all meetings of the Board at which the Board Chair is not present, including executive sessions of the independent directors;</w:t>
      </w:r>
    </w:p>
    <w:p>
      <w:pPr>
        <w:spacing w:after="0" w:line="123" w:lineRule="exact"/>
        <w:rPr>
          <w:rFonts w:ascii="MS PGothic" w:cs="MS PGothic" w:eastAsia="MS PGothic" w:hAnsi="MS PGothic"/>
          <w:sz w:val="16"/>
          <w:szCs w:val="16"/>
          <w:color w:val="auto"/>
        </w:rPr>
      </w:pPr>
    </w:p>
    <w:p>
      <w:pPr>
        <w:ind w:left="660" w:hanging="653"/>
        <w:spacing w:after="0"/>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Coordinating the activities of the independent directors, including having the authority to call meetings of the independent directors;</w:t>
      </w:r>
    </w:p>
    <w:p>
      <w:pPr>
        <w:spacing w:after="0" w:line="123" w:lineRule="exact"/>
        <w:rPr>
          <w:rFonts w:ascii="MS PGothic" w:cs="MS PGothic" w:eastAsia="MS PGothic" w:hAnsi="MS PGothic"/>
          <w:sz w:val="16"/>
          <w:szCs w:val="16"/>
          <w:color w:val="auto"/>
        </w:rPr>
      </w:pPr>
    </w:p>
    <w:p>
      <w:pPr>
        <w:ind w:left="660" w:hanging="653"/>
        <w:spacing w:after="0"/>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Establishing the agenda for executive sessions of the independent directors;</w:t>
      </w:r>
    </w:p>
    <w:p>
      <w:pPr>
        <w:spacing w:after="0" w:line="123" w:lineRule="exact"/>
        <w:rPr>
          <w:rFonts w:ascii="MS PGothic" w:cs="MS PGothic" w:eastAsia="MS PGothic" w:hAnsi="MS PGothic"/>
          <w:sz w:val="16"/>
          <w:szCs w:val="16"/>
          <w:color w:val="auto"/>
        </w:rPr>
      </w:pPr>
    </w:p>
    <w:p>
      <w:pPr>
        <w:ind w:left="660" w:right="320" w:hanging="653"/>
        <w:spacing w:after="0" w:line="279" w:lineRule="auto"/>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In consultation with the Board Chair and senior management, establishing the agenda for each Board meeting and ensuring that information provided to the Board is timely and appropriate;</w:t>
      </w:r>
    </w:p>
    <w:p>
      <w:pPr>
        <w:spacing w:after="0" w:line="53" w:lineRule="exact"/>
        <w:rPr>
          <w:rFonts w:ascii="MS PGothic" w:cs="MS PGothic" w:eastAsia="MS PGothic" w:hAnsi="MS PGothic"/>
          <w:sz w:val="16"/>
          <w:szCs w:val="16"/>
          <w:color w:val="auto"/>
        </w:rPr>
      </w:pPr>
    </w:p>
    <w:p>
      <w:pPr>
        <w:ind w:left="660" w:right="240" w:hanging="653"/>
        <w:spacing w:after="0" w:line="279" w:lineRule="auto"/>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Facilitating communications between Board members, including serving as principal liaison between the independent directors and the Board Chair;</w:t>
      </w:r>
    </w:p>
    <w:p>
      <w:pPr>
        <w:spacing w:after="0" w:line="53" w:lineRule="exact"/>
        <w:rPr>
          <w:rFonts w:ascii="MS PGothic" w:cs="MS PGothic" w:eastAsia="MS PGothic" w:hAnsi="MS PGothic"/>
          <w:sz w:val="16"/>
          <w:szCs w:val="16"/>
          <w:color w:val="auto"/>
        </w:rPr>
      </w:pPr>
    </w:p>
    <w:p>
      <w:pPr>
        <w:ind w:left="660" w:hanging="653"/>
        <w:spacing w:after="0"/>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Consulting with the Board Chair on such other matters as are pertinent to the Board and the Company;</w:t>
      </w:r>
    </w:p>
    <w:p>
      <w:pPr>
        <w:spacing w:after="0" w:line="123" w:lineRule="exact"/>
        <w:rPr>
          <w:rFonts w:ascii="MS PGothic" w:cs="MS PGothic" w:eastAsia="MS PGothic" w:hAnsi="MS PGothic"/>
          <w:sz w:val="16"/>
          <w:szCs w:val="16"/>
          <w:color w:val="auto"/>
        </w:rPr>
      </w:pPr>
    </w:p>
    <w:p>
      <w:pPr>
        <w:ind w:left="660" w:right="580" w:hanging="653"/>
        <w:spacing w:after="0" w:line="279" w:lineRule="auto"/>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If appropriate, and in coordination with executive management, being available for consultation and direct communication with significant stakeholders; and</w:t>
      </w:r>
    </w:p>
    <w:p>
      <w:pPr>
        <w:spacing w:after="0" w:line="53" w:lineRule="exact"/>
        <w:rPr>
          <w:rFonts w:ascii="MS PGothic" w:cs="MS PGothic" w:eastAsia="MS PGothic" w:hAnsi="MS PGothic"/>
          <w:sz w:val="16"/>
          <w:szCs w:val="16"/>
          <w:color w:val="auto"/>
        </w:rPr>
      </w:pPr>
    </w:p>
    <w:p>
      <w:pPr>
        <w:ind w:left="660" w:hanging="653"/>
        <w:spacing w:after="0"/>
        <w:tabs>
          <w:tab w:leader="none" w:pos="66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Performing such other duties as may be specified by the Board.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Board, Committee and Individual Director Evaluations</w:t>
      </w:r>
    </w:p>
    <w:p>
      <w:pPr>
        <w:spacing w:after="0" w:line="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Board and its committees conduct robust annual self-evaluations of their performance. In addition, our Board evaluates one-third of our directors on a rotating individual basis each year with the purpose of assisting each director to be a more effective member of the Board. New directors undergo the evaluation process in each of their first two years on the Board. Our directors believe the rotational nature of our evaluation process enables a more in-depth, comprehensive evaluation for each of our directors.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Directors’ Meetings and Attendance</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During 2025, the Board met five times. No director attended less than 75% of the board meetings and standing committee meetings on which he or she served in 2025. Board attendance was 100% in 2025. Our independent directors meet at regularly scheduled executive sessions at least quarterly without management representatives or non-independent directors present. The Chair of the Board or the Lead Independent Director, as applicable, presides at these sessions. We expect our directors to attend the Annual Meeting. All directors then in office attended the 2025 Annual Meeting.</w:t>
      </w:r>
    </w:p>
    <w:p>
      <w:pPr>
        <w:spacing w:after="0" w:line="13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directors also regularly engage with management and outside subject matter experts outside of formal meetings. Examples include developing agendas and reviewing the content of materials in advance of meetings, calls, or in-person meetings with members of management to prepare for meetings, receiving periodic updates from management on significant operational or strategic developments between meetings, and, from time to time, engaging with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Management Meetings and Site Visits</w:t>
      </w:r>
    </w:p>
    <w:p>
      <w:pPr>
        <w:spacing w:after="0" w:line="6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encourage our directors to meet with senior managers throughout the enterprise and attend management’s strategic planning sessions. When considering businesses to visit, priority goes to those businesses identified as strategically important as well as those that were recently acquired. From time to time, the Board makes on-site visits to our businesses to tour the manufacturing facilities and meet face-to-face with company management and employees. These visits serve as an important tool in the Board’s succession planning process for our senior leadership team and enable a deeper understanding of our businesses and our culture.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26</w:t>
      </w:r>
    </w:p>
    <w:p>
      <w:pPr>
        <w:sectPr>
          <w:pgSz w:w="11900" w:h="16838" w:orient="portrait"/>
          <w:cols w:equalWidth="0" w:num="1">
            <w:col w:w="10920"/>
          </w:cols>
          <w:pgMar w:left="480" w:top="299" w:right="49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Director Orientation and Education</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All new directors participate in our director orientation program. New directors meet with senior corporate leaders to review and discuss our businesses, operations, strategy, end markets, governance, internal controls, and culture. We believe that our on-boarding approach, coupled with participation in regular Board and committee meetings, as well as additional exposure to our business through participation in management meetings and site visits, whether virtually or in-person, provides new directors a strong foundation in our businesses and accelerates their effectiveness to fully engage in Board deliberations.</w:t>
      </w:r>
    </w:p>
    <w:p>
      <w:pPr>
        <w:spacing w:after="0" w:line="154"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Our Board also encourages directors to participate annually in continuing director education programs outside of the Boardroom, and we reimburse directors for their expenses associated with this participation.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Director Independence</w:t>
      </w:r>
    </w:p>
    <w:p>
      <w:pPr>
        <w:spacing w:after="0" w:line="6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has determined that each of the current members of the Board, except for Richard J. Tobin, who is our Chair and CEO, has no material relationship with Dover and satisfies all the criteria for being “independent” members of our Board. This includes the criteria established by the New York Stock Exchange (“NYSE”) listing standards, as well as our standards for classification as an independent director which are available on our website at www.dovercorporation.com. Our Board makes an annual determination of the independence of each nominee for director prior to his or her nomination for re-election. No director may be deemed independent unless the Board determines that he or she has no material relationship with Dover, directly or as an officer, shareholder or partner of an organization that has a material relationship with Dover.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Majority Standard for Election of Directors and Mandatory Resignation Policy</w:t>
      </w:r>
    </w:p>
    <w:p>
      <w:pPr>
        <w:spacing w:after="0" w:line="6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Under our by-laws and corporate governance guidelines, the voting standard in director elections is a majority of the votes cast. Under this majority of the votes cast standard, a director must receive more votes in favor of his or her election than votes against his or her election. Abstentions and broker non-votes do not count as votes cast with respect to a director’s election. In contested director elections (where there are more nominees than available seats on the board), the plurality standard will apply. Under the plurality standard, the nominees who receive the most “for” votes are elected to the Board until all seats are filled.</w:t>
      </w:r>
    </w:p>
    <w:p>
      <w:pPr>
        <w:spacing w:after="0" w:line="15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For an incumbent director to be nominated for re-election, he or she must submit an irrevocable resignation letter. The resignation will be contingent on the nominee not receiving a majority of the votes cast in an uncontested election and on the Board’s acceptance of the resignation. If an incumbent director fails to receive a majority of the votes cast in an uncontested election, the Governance and Nominating Committee will make a recommendation to our Board concerning whether to accept or reject the resignation or whether other action should be taken. Our Board will act on the resignation within 90 days following certification of the election results, taking into account the committee’s recommendation. The Board will publicly announce its decision and, if the resignation is rejected, the rationale for its decision.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Governance Guidelines and Code of Ethics</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Board long ago adopted written corporate governance guidelines that set forth the responsibilities of our Board and the qualifications and independence of its members and the members of its standing committees. The Board reviews these guidelines at least annually, in light of evolving best practices, shareholder feedback and the evolution of our business. In addition, our Board has a long-standing Code of Conduct setting forth standards applicable to all of our companies and their employees, a code of ethics for our CEO and senior financial officers, and charters for each of its standing committees. All of these documents (referred to collectively as “governance materials”) are available on our website at www.dovercorporation.com.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Procedures for Approval of Related Person Transactions</w:t>
      </w:r>
    </w:p>
    <w:p>
      <w:pPr>
        <w:spacing w:after="0" w:line="6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generally do not engage in transactions in which our senior executive officers or directors, any of their immediate family members or any of our 5% shareholders have a material interest. Should a proposed transaction or series of similar transactions involve any such persons and an amount that exceeds $120,000, it would be subject to review and approval by the Governance and Nominating Committee in accordance with a written policy and the procedures adopted by our Board, which are available with the governance materials on our website.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27</w:t>
      </w:r>
    </w:p>
    <w:p>
      <w:pPr>
        <w:sectPr>
          <w:pgSz w:w="11900" w:h="16838" w:orient="portrait"/>
          <w:cols w:equalWidth="0" w:num="1">
            <w:col w:w="10920"/>
          </w:cols>
          <w:pgMar w:left="480" w:top="299" w:right="4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5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procedures, management determines whether a proposed transaction requires review under the policy and, if so, presents the transaction to the Governance and Nominating Committee. The Governance and Nominating Committee reviews the relevant facts and circumstances of the transaction and approves or rejects the transaction. If the proposed transaction is immaterial or it is impractical or undesirable to defer the proposed transaction until the next committee meeting, the Chair of the committee decides whether to (i) approve the transaction and report the transaction at the next meeting or (ii) call a special meeting of the committee to review and approve the transaction. Should the proposed transaction involve the CEO or enough members of the Governance and Nominating Committee to prevent a quorum, the disinterested members of the committee will review the transaction and make a recommendation to the Board, and the disinterested members of the Board will then approve or reject the transaction. No director may participate in the review of any transaction in which he or she is a related person.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Communication with Directors</w:t>
      </w:r>
    </w:p>
    <w:p>
      <w:pPr>
        <w:spacing w:after="0" w:line="60"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Audit Committee has established procedures for (i) the receipt, retention and treatment of complaints regarding accounting, internal accounting controls or auditing matters (“accounting matters”) and (ii) the confidential, anonymous submission by employees of concerns regarding questionable accounting matters. Such complaints or concerns may be submitted to Dover, care of our Corporate Secretary or through the communications coordinator, an external service provider, by mail, fax, telephone, or via the internet as published on our website. The communications coordinator forwards such communications to Dover without disclosing the identity of the sender if anonymity is requested.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other interested persons may also communicate with our Board and the non-management directors in any of these same manners.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Such communications are forwarded to the Chair of the Governance and Nominating Committee.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28</w:t>
      </w:r>
    </w:p>
    <w:p>
      <w:pPr>
        <w:sectPr>
          <w:pgSz w:w="11900" w:h="16838" w:orient="portrait"/>
          <w:cols w:equalWidth="0" w:num="1">
            <w:col w:w="10920"/>
          </w:cols>
          <w:pgMar w:left="480" w:top="299" w:right="4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Shareholder Engagement and History of Board Responsiveness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Shareholder Engagement</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2025, we continued our focus on regularly engaging with our shareholders. We reached out to holders of approximately 57% of our shares outstanding and engaged with governance professionals and/or portfolio managers at investors holding approximately 26% of our shares outstanding. Our shareholder engagement team consists of senior management and has also included our Lead Independent Director in select engagements. We also participate in various governance forums with our shareholders and regularly engage with shareholders through industry conferences and meetings.</w:t>
      </w:r>
    </w:p>
    <w:p>
      <w:pPr>
        <w:spacing w:after="0" w:line="13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heard perspectives and received feedback from investors on a range of topics as discussed below. We are pleased with the feedback we received with investors on the topics we discussed, and look forward to ongoing engagement with our shareholders in order to continue to incorporate their views into our Board’s decision-making process. We aim to have best-in-class governance and compensation structures at Dover.</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12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260" w:type="dxa"/>
            <w:vAlign w:val="bottom"/>
            <w:tcBorders>
              <w:bottom w:val="single" w:sz="8" w:color="021496"/>
            </w:tcBorders>
            <w:shd w:val="clear" w:color="auto" w:fill="021496"/>
          </w:tcPr>
          <w:p>
            <w:pPr>
              <w:spacing w:after="0"/>
              <w:rPr>
                <w:sz w:val="22"/>
                <w:szCs w:val="22"/>
                <w:color w:val="auto"/>
              </w:rPr>
            </w:pPr>
          </w:p>
        </w:tc>
        <w:tc>
          <w:tcPr>
            <w:tcW w:w="8560" w:type="dxa"/>
            <w:vAlign w:val="bottom"/>
            <w:tcBorders>
              <w:bottom w:val="single" w:sz="8" w:color="021496"/>
              <w:right w:val="single" w:sz="8" w:color="021496"/>
            </w:tcBorders>
            <w:shd w:val="clear" w:color="auto" w:fill="021496"/>
          </w:tcPr>
          <w:p>
            <w:pPr>
              <w:ind w:left="1540"/>
              <w:spacing w:after="0"/>
              <w:rPr>
                <w:sz w:val="20"/>
                <w:szCs w:val="20"/>
                <w:color w:val="auto"/>
              </w:rPr>
            </w:pPr>
            <w:r>
              <w:rPr>
                <w:rFonts w:ascii="Arial" w:cs="Arial" w:eastAsia="Arial" w:hAnsi="Arial"/>
                <w:sz w:val="15"/>
                <w:szCs w:val="15"/>
                <w:b w:val="1"/>
                <w:bCs w:val="1"/>
                <w:color w:val="FFFFFF"/>
              </w:rPr>
              <w:t>KEY ITEMS OF DISCUSSION AND FEEDBACK</w:t>
            </w:r>
          </w:p>
        </w:tc>
        <w:tc>
          <w:tcPr>
            <w:tcW w:w="0" w:type="dxa"/>
            <w:vAlign w:val="bottom"/>
          </w:tcPr>
          <w:p>
            <w:pPr>
              <w:spacing w:after="0"/>
              <w:rPr>
                <w:sz w:val="1"/>
                <w:szCs w:val="1"/>
                <w:color w:val="auto"/>
              </w:rPr>
            </w:pPr>
          </w:p>
        </w:tc>
      </w:tr>
      <w:tr>
        <w:trPr>
          <w:trHeight w:val="231"/>
        </w:trPr>
        <w:tc>
          <w:tcPr>
            <w:tcW w:w="2120" w:type="dxa"/>
            <w:vAlign w:val="bottom"/>
            <w:tcBorders>
              <w:left w:val="single" w:sz="8" w:color="021496"/>
              <w:right w:val="single" w:sz="8" w:color="021496"/>
            </w:tcBorders>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Performance &amp;</w:t>
            </w:r>
          </w:p>
        </w:tc>
        <w:tc>
          <w:tcPr>
            <w:tcW w:w="26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8560" w:type="dxa"/>
            <w:vAlign w:val="bottom"/>
            <w:tcBorders>
              <w:right w:val="single" w:sz="8" w:color="021496"/>
            </w:tcBorders>
            <w:vMerge w:val="restart"/>
          </w:tcPr>
          <w:p>
            <w:pPr>
              <w:ind w:left="140"/>
              <w:spacing w:after="0"/>
              <w:rPr>
                <w:sz w:val="20"/>
                <w:szCs w:val="20"/>
                <w:color w:val="auto"/>
              </w:rPr>
            </w:pPr>
            <w:r>
              <w:rPr>
                <w:rFonts w:ascii="Arial" w:cs="Arial" w:eastAsia="Arial" w:hAnsi="Arial"/>
                <w:sz w:val="15"/>
                <w:szCs w:val="15"/>
                <w:color w:val="auto"/>
              </w:rPr>
              <w:t xml:space="preserve">We reviewed </w:t>
            </w:r>
            <w:r>
              <w:rPr>
                <w:rFonts w:ascii="Arial" w:cs="Arial" w:eastAsia="Arial" w:hAnsi="Arial"/>
                <w:sz w:val="15"/>
                <w:szCs w:val="15"/>
                <w:b w:val="1"/>
                <w:bCs w:val="1"/>
                <w:color w:val="021496"/>
              </w:rPr>
              <w:t>our portfolio of businesses, performance, strategic priorities</w:t>
            </w:r>
            <w:r>
              <w:rPr>
                <w:rFonts w:ascii="Arial" w:cs="Arial" w:eastAsia="Arial" w:hAnsi="Arial"/>
                <w:sz w:val="15"/>
                <w:szCs w:val="15"/>
                <w:color w:val="auto"/>
              </w:rPr>
              <w:t xml:space="preserve">, and our focus on continuing to </w:t>
            </w:r>
            <w:r>
              <w:rPr>
                <w:rFonts w:ascii="Arial" w:cs="Arial" w:eastAsia="Arial" w:hAnsi="Arial"/>
                <w:sz w:val="15"/>
                <w:szCs w:val="15"/>
                <w:b w:val="1"/>
                <w:bCs w:val="1"/>
                <w:color w:val="021496"/>
              </w:rPr>
              <w:t>deliver long-</w:t>
            </w:r>
          </w:p>
        </w:tc>
        <w:tc>
          <w:tcPr>
            <w:tcW w:w="0" w:type="dxa"/>
            <w:vAlign w:val="bottom"/>
          </w:tcPr>
          <w:p>
            <w:pPr>
              <w:spacing w:after="0"/>
              <w:rPr>
                <w:sz w:val="1"/>
                <w:szCs w:val="1"/>
                <w:color w:val="auto"/>
              </w:rPr>
            </w:pPr>
          </w:p>
        </w:tc>
      </w:tr>
      <w:tr>
        <w:trPr>
          <w:trHeight w:val="86"/>
        </w:trPr>
        <w:tc>
          <w:tcPr>
            <w:tcW w:w="2120" w:type="dxa"/>
            <w:vAlign w:val="bottom"/>
            <w:tcBorders>
              <w:left w:val="single" w:sz="8" w:color="021496"/>
              <w:right w:val="single" w:sz="8" w:color="021496"/>
            </w:tcBorders>
            <w:vMerge w:val="restart"/>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Long-Term</w:t>
            </w:r>
          </w:p>
        </w:tc>
        <w:tc>
          <w:tcPr>
            <w:tcW w:w="260" w:type="dxa"/>
            <w:vAlign w:val="bottom"/>
            <w:vMerge w:val="continue"/>
          </w:tcPr>
          <w:p>
            <w:pPr>
              <w:spacing w:after="0"/>
              <w:rPr>
                <w:sz w:val="7"/>
                <w:szCs w:val="7"/>
                <w:color w:val="auto"/>
              </w:rPr>
            </w:pPr>
          </w:p>
        </w:tc>
        <w:tc>
          <w:tcPr>
            <w:tcW w:w="856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120" w:type="dxa"/>
            <w:vAlign w:val="bottom"/>
            <w:tcBorders>
              <w:left w:val="single" w:sz="8" w:color="021496"/>
              <w:right w:val="single" w:sz="8" w:color="021496"/>
            </w:tcBorders>
            <w:vMerge w:val="continue"/>
            <w:shd w:val="clear" w:color="auto" w:fill="D8D8D8"/>
          </w:tcPr>
          <w:p>
            <w:pPr>
              <w:spacing w:after="0"/>
              <w:rPr>
                <w:sz w:val="6"/>
                <w:szCs w:val="6"/>
                <w:color w:val="auto"/>
              </w:rPr>
            </w:pPr>
          </w:p>
        </w:tc>
        <w:tc>
          <w:tcPr>
            <w:tcW w:w="260" w:type="dxa"/>
            <w:vAlign w:val="bottom"/>
          </w:tcPr>
          <w:p>
            <w:pPr>
              <w:spacing w:after="0"/>
              <w:rPr>
                <w:sz w:val="6"/>
                <w:szCs w:val="6"/>
                <w:color w:val="auto"/>
              </w:rPr>
            </w:pPr>
          </w:p>
        </w:tc>
        <w:tc>
          <w:tcPr>
            <w:tcW w:w="8560" w:type="dxa"/>
            <w:vAlign w:val="bottom"/>
            <w:tcBorders>
              <w:right w:val="single" w:sz="8" w:color="021496"/>
            </w:tcBorders>
            <w:vMerge w:val="restart"/>
          </w:tcPr>
          <w:p>
            <w:pPr>
              <w:ind w:left="140"/>
              <w:spacing w:after="0"/>
              <w:rPr>
                <w:sz w:val="20"/>
                <w:szCs w:val="20"/>
                <w:color w:val="auto"/>
              </w:rPr>
            </w:pPr>
            <w:r>
              <w:rPr>
                <w:rFonts w:ascii="Arial" w:cs="Arial" w:eastAsia="Arial" w:hAnsi="Arial"/>
                <w:sz w:val="15"/>
                <w:szCs w:val="15"/>
                <w:b w:val="1"/>
                <w:bCs w:val="1"/>
                <w:color w:val="021496"/>
              </w:rPr>
              <w:t>term value to shareholders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32"/>
        </w:trPr>
        <w:tc>
          <w:tcPr>
            <w:tcW w:w="2120" w:type="dxa"/>
            <w:vAlign w:val="bottom"/>
            <w:tcBorders>
              <w:left w:val="single" w:sz="8" w:color="021496"/>
              <w:right w:val="single" w:sz="8" w:color="021496"/>
            </w:tcBorders>
            <w:vMerge w:val="restart"/>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Strategy</w:t>
            </w:r>
          </w:p>
        </w:tc>
        <w:tc>
          <w:tcPr>
            <w:tcW w:w="260" w:type="dxa"/>
            <w:vAlign w:val="bottom"/>
          </w:tcPr>
          <w:p>
            <w:pPr>
              <w:spacing w:after="0"/>
              <w:rPr>
                <w:sz w:val="11"/>
                <w:szCs w:val="11"/>
                <w:color w:val="auto"/>
              </w:rPr>
            </w:pPr>
          </w:p>
        </w:tc>
        <w:tc>
          <w:tcPr>
            <w:tcW w:w="8560" w:type="dxa"/>
            <w:vAlign w:val="bottom"/>
            <w:tcBorders>
              <w:right w:val="single" w:sz="8" w:color="02149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120" w:type="dxa"/>
            <w:vAlign w:val="bottom"/>
            <w:tcBorders>
              <w:left w:val="single" w:sz="8" w:color="021496"/>
              <w:bottom w:val="single" w:sz="8" w:color="D8D8D8"/>
              <w:right w:val="single" w:sz="8" w:color="021496"/>
            </w:tcBorders>
            <w:vMerge w:val="continue"/>
            <w:shd w:val="clear" w:color="auto" w:fill="D8D8D8"/>
          </w:tcPr>
          <w:p>
            <w:pPr>
              <w:spacing w:after="0"/>
              <w:rPr>
                <w:sz w:val="10"/>
                <w:szCs w:val="10"/>
                <w:color w:val="auto"/>
              </w:rPr>
            </w:pPr>
          </w:p>
        </w:tc>
        <w:tc>
          <w:tcPr>
            <w:tcW w:w="260" w:type="dxa"/>
            <w:vAlign w:val="bottom"/>
          </w:tcPr>
          <w:p>
            <w:pPr>
              <w:spacing w:after="0"/>
              <w:rPr>
                <w:sz w:val="10"/>
                <w:szCs w:val="10"/>
                <w:color w:val="auto"/>
              </w:rPr>
            </w:pPr>
          </w:p>
        </w:tc>
        <w:tc>
          <w:tcPr>
            <w:tcW w:w="8560" w:type="dxa"/>
            <w:vAlign w:val="bottom"/>
            <w:tcBorders>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Capital Allocation</w:t>
            </w:r>
          </w:p>
        </w:tc>
        <w:tc>
          <w:tcPr>
            <w:tcW w:w="26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5"/>
                <w:szCs w:val="15"/>
                <w:color w:val="auto"/>
              </w:rPr>
              <w:t>•</w:t>
            </w:r>
          </w:p>
        </w:tc>
        <w:tc>
          <w:tcPr>
            <w:tcW w:w="8560" w:type="dxa"/>
            <w:vAlign w:val="bottom"/>
            <w:tcBorders>
              <w:top w:val="single" w:sz="8" w:color="021496"/>
              <w:right w:val="single" w:sz="8" w:color="021496"/>
            </w:tcBorders>
          </w:tcPr>
          <w:p>
            <w:pPr>
              <w:ind w:left="140"/>
              <w:spacing w:after="0" w:line="150" w:lineRule="exact"/>
              <w:rPr>
                <w:sz w:val="20"/>
                <w:szCs w:val="20"/>
                <w:color w:val="auto"/>
              </w:rPr>
            </w:pPr>
            <w:r>
              <w:rPr>
                <w:rFonts w:ascii="Arial" w:cs="Arial" w:eastAsia="Arial" w:hAnsi="Arial"/>
                <w:sz w:val="15"/>
                <w:szCs w:val="15"/>
                <w:color w:val="auto"/>
              </w:rPr>
              <w:t xml:space="preserve">We discussed how our </w:t>
            </w:r>
            <w:r>
              <w:rPr>
                <w:rFonts w:ascii="Arial" w:cs="Arial" w:eastAsia="Arial" w:hAnsi="Arial"/>
                <w:sz w:val="15"/>
                <w:szCs w:val="15"/>
                <w:b w:val="1"/>
                <w:bCs w:val="1"/>
                <w:color w:val="021496"/>
              </w:rPr>
              <w:t>balance sheet strength</w:t>
            </w:r>
            <w:r>
              <w:rPr>
                <w:rFonts w:ascii="Arial" w:cs="Arial" w:eastAsia="Arial" w:hAnsi="Arial"/>
                <w:sz w:val="15"/>
                <w:szCs w:val="15"/>
                <w:color w:val="auto"/>
              </w:rPr>
              <w:t xml:space="preserve"> and </w:t>
            </w:r>
            <w:r>
              <w:rPr>
                <w:rFonts w:ascii="Arial" w:cs="Arial" w:eastAsia="Arial" w:hAnsi="Arial"/>
                <w:sz w:val="15"/>
                <w:szCs w:val="15"/>
                <w:b w:val="1"/>
                <w:bCs w:val="1"/>
                <w:color w:val="021496"/>
              </w:rPr>
              <w:t>history of prudent capital allocation</w:t>
            </w:r>
            <w:r>
              <w:rPr>
                <w:rFonts w:ascii="Arial" w:cs="Arial" w:eastAsia="Arial" w:hAnsi="Arial"/>
                <w:sz w:val="15"/>
                <w:szCs w:val="15"/>
                <w:color w:val="auto"/>
              </w:rPr>
              <w:t xml:space="preserve"> serve as differentiating factors</w:t>
            </w:r>
          </w:p>
        </w:tc>
        <w:tc>
          <w:tcPr>
            <w:tcW w:w="0" w:type="dxa"/>
            <w:vAlign w:val="bottom"/>
          </w:tcPr>
          <w:p>
            <w:pPr>
              <w:spacing w:after="0"/>
              <w:rPr>
                <w:sz w:val="1"/>
                <w:szCs w:val="1"/>
                <w:color w:val="auto"/>
              </w:rPr>
            </w:pPr>
          </w:p>
        </w:tc>
      </w:tr>
      <w:tr>
        <w:trPr>
          <w:trHeight w:val="127"/>
        </w:trPr>
        <w:tc>
          <w:tcPr>
            <w:tcW w:w="2120" w:type="dxa"/>
            <w:vAlign w:val="bottom"/>
            <w:tcBorders>
              <w:left w:val="single" w:sz="8" w:color="021496"/>
              <w:right w:val="single" w:sz="8" w:color="021496"/>
            </w:tcBorders>
            <w:vMerge w:val="continue"/>
            <w:shd w:val="clear" w:color="auto" w:fill="D8D8D8"/>
          </w:tcPr>
          <w:p>
            <w:pPr>
              <w:spacing w:after="0"/>
              <w:rPr>
                <w:sz w:val="11"/>
                <w:szCs w:val="11"/>
                <w:color w:val="auto"/>
              </w:rPr>
            </w:pPr>
          </w:p>
        </w:tc>
        <w:tc>
          <w:tcPr>
            <w:tcW w:w="260" w:type="dxa"/>
            <w:vAlign w:val="bottom"/>
          </w:tcPr>
          <w:p>
            <w:pPr>
              <w:spacing w:after="0"/>
              <w:rPr>
                <w:sz w:val="11"/>
                <w:szCs w:val="11"/>
                <w:color w:val="auto"/>
              </w:rPr>
            </w:pPr>
          </w:p>
        </w:tc>
        <w:tc>
          <w:tcPr>
            <w:tcW w:w="8560" w:type="dxa"/>
            <w:vAlign w:val="bottom"/>
            <w:tcBorders>
              <w:right w:val="single" w:sz="8" w:color="021496"/>
            </w:tcBorders>
            <w:vMerge w:val="restart"/>
          </w:tcPr>
          <w:p>
            <w:pPr>
              <w:ind w:left="140"/>
              <w:spacing w:after="0"/>
              <w:rPr>
                <w:sz w:val="20"/>
                <w:szCs w:val="20"/>
                <w:color w:val="auto"/>
              </w:rPr>
            </w:pPr>
            <w:r>
              <w:rPr>
                <w:rFonts w:ascii="Arial" w:cs="Arial" w:eastAsia="Arial" w:hAnsi="Arial"/>
                <w:sz w:val="15"/>
                <w:szCs w:val="15"/>
                <w:color w:val="auto"/>
              </w:rPr>
              <w:t>that allow us to remain flexible.</w:t>
            </w:r>
          </w:p>
        </w:tc>
        <w:tc>
          <w:tcPr>
            <w:tcW w:w="0" w:type="dxa"/>
            <w:vAlign w:val="bottom"/>
          </w:tcPr>
          <w:p>
            <w:pPr>
              <w:spacing w:after="0"/>
              <w:rPr>
                <w:sz w:val="1"/>
                <w:szCs w:val="1"/>
                <w:color w:val="auto"/>
              </w:rPr>
            </w:pPr>
          </w:p>
        </w:tc>
      </w:tr>
      <w:tr>
        <w:trPr>
          <w:trHeight w:val="118"/>
        </w:trPr>
        <w:tc>
          <w:tcPr>
            <w:tcW w:w="2120" w:type="dxa"/>
            <w:vAlign w:val="bottom"/>
            <w:tcBorders>
              <w:left w:val="single" w:sz="8" w:color="021496"/>
              <w:bottom w:val="single" w:sz="8" w:color="D8D8D8"/>
              <w:right w:val="single" w:sz="8" w:color="021496"/>
            </w:tcBorders>
            <w:shd w:val="clear" w:color="auto" w:fill="D8D8D8"/>
          </w:tcPr>
          <w:p>
            <w:pPr>
              <w:spacing w:after="0"/>
              <w:rPr>
                <w:sz w:val="10"/>
                <w:szCs w:val="10"/>
                <w:color w:val="auto"/>
              </w:rPr>
            </w:pPr>
          </w:p>
        </w:tc>
        <w:tc>
          <w:tcPr>
            <w:tcW w:w="260" w:type="dxa"/>
            <w:vAlign w:val="bottom"/>
          </w:tcPr>
          <w:p>
            <w:pPr>
              <w:spacing w:after="0"/>
              <w:rPr>
                <w:sz w:val="10"/>
                <w:szCs w:val="10"/>
                <w:color w:val="auto"/>
              </w:rPr>
            </w:pPr>
          </w:p>
        </w:tc>
        <w:tc>
          <w:tcPr>
            <w:tcW w:w="856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jc w:val="center"/>
              <w:ind w:left="145"/>
              <w:spacing w:after="0" w:line="150" w:lineRule="exact"/>
              <w:rPr>
                <w:sz w:val="20"/>
                <w:szCs w:val="20"/>
                <w:color w:val="auto"/>
              </w:rPr>
            </w:pPr>
            <w:r>
              <w:rPr>
                <w:rFonts w:ascii="Arial" w:cs="Arial" w:eastAsia="Arial" w:hAnsi="Arial"/>
                <w:sz w:val="15"/>
                <w:szCs w:val="15"/>
                <w:b w:val="1"/>
                <w:bCs w:val="1"/>
                <w:color w:val="auto"/>
              </w:rPr>
              <w:t>Human Capital</w:t>
            </w:r>
          </w:p>
        </w:tc>
        <w:tc>
          <w:tcPr>
            <w:tcW w:w="26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5"/>
                <w:szCs w:val="15"/>
                <w:color w:val="auto"/>
              </w:rPr>
              <w:t>•</w:t>
            </w:r>
          </w:p>
        </w:tc>
        <w:tc>
          <w:tcPr>
            <w:tcW w:w="8560" w:type="dxa"/>
            <w:vAlign w:val="bottom"/>
            <w:tcBorders>
              <w:top w:val="single" w:sz="8" w:color="021496"/>
              <w:right w:val="single" w:sz="8" w:color="021496"/>
            </w:tcBorders>
          </w:tcPr>
          <w:p>
            <w:pPr>
              <w:ind w:left="140"/>
              <w:spacing w:after="0" w:line="150" w:lineRule="exact"/>
              <w:rPr>
                <w:sz w:val="20"/>
                <w:szCs w:val="20"/>
                <w:color w:val="auto"/>
              </w:rPr>
            </w:pPr>
            <w:r>
              <w:rPr>
                <w:rFonts w:ascii="Arial" w:cs="Arial" w:eastAsia="Arial" w:hAnsi="Arial"/>
                <w:sz w:val="15"/>
                <w:szCs w:val="15"/>
                <w:color w:val="auto"/>
              </w:rPr>
              <w:t xml:space="preserve">We discussed </w:t>
            </w:r>
            <w:r>
              <w:rPr>
                <w:rFonts w:ascii="Arial" w:cs="Arial" w:eastAsia="Arial" w:hAnsi="Arial"/>
                <w:sz w:val="15"/>
                <w:szCs w:val="15"/>
                <w:b w:val="1"/>
                <w:bCs w:val="1"/>
                <w:color w:val="021496"/>
              </w:rPr>
              <w:t>our approach to human capital management and the role of the corporate center working with</w:t>
            </w:r>
          </w:p>
        </w:tc>
        <w:tc>
          <w:tcPr>
            <w:tcW w:w="0" w:type="dxa"/>
            <w:vAlign w:val="bottom"/>
          </w:tcPr>
          <w:p>
            <w:pPr>
              <w:spacing w:after="0"/>
              <w:rPr>
                <w:sz w:val="1"/>
                <w:szCs w:val="1"/>
                <w:color w:val="auto"/>
              </w:rPr>
            </w:pPr>
          </w:p>
        </w:tc>
      </w:tr>
      <w:tr>
        <w:trPr>
          <w:trHeight w:val="245"/>
        </w:trPr>
        <w:tc>
          <w:tcPr>
            <w:tcW w:w="2120" w:type="dxa"/>
            <w:vAlign w:val="bottom"/>
            <w:tcBorders>
              <w:left w:val="single" w:sz="8" w:color="021496"/>
              <w:bottom w:val="single" w:sz="8" w:color="D8D8D8"/>
              <w:right w:val="single" w:sz="8" w:color="021496"/>
            </w:tcBorders>
            <w:shd w:val="clear" w:color="auto" w:fill="D8D8D8"/>
          </w:tcPr>
          <w:p>
            <w:pPr>
              <w:jc w:val="center"/>
              <w:ind w:left="65"/>
              <w:spacing w:after="0"/>
              <w:rPr>
                <w:sz w:val="20"/>
                <w:szCs w:val="20"/>
                <w:color w:val="auto"/>
              </w:rPr>
            </w:pPr>
            <w:r>
              <w:rPr>
                <w:rFonts w:ascii="Arial" w:cs="Arial" w:eastAsia="Arial" w:hAnsi="Arial"/>
                <w:sz w:val="15"/>
                <w:szCs w:val="15"/>
                <w:b w:val="1"/>
                <w:bCs w:val="1"/>
                <w:color w:val="auto"/>
              </w:rPr>
              <w:t>Management</w:t>
            </w:r>
          </w:p>
        </w:tc>
        <w:tc>
          <w:tcPr>
            <w:tcW w:w="260" w:type="dxa"/>
            <w:vAlign w:val="bottom"/>
          </w:tcPr>
          <w:p>
            <w:pPr>
              <w:spacing w:after="0"/>
              <w:rPr>
                <w:sz w:val="21"/>
                <w:szCs w:val="21"/>
                <w:color w:val="auto"/>
              </w:rPr>
            </w:pPr>
          </w:p>
        </w:tc>
        <w:tc>
          <w:tcPr>
            <w:tcW w:w="8560" w:type="dxa"/>
            <w:vAlign w:val="bottom"/>
            <w:tcBorders>
              <w:right w:val="single" w:sz="8" w:color="021496"/>
            </w:tcBorders>
          </w:tcPr>
          <w:p>
            <w:pPr>
              <w:ind w:left="140"/>
              <w:spacing w:after="0"/>
              <w:rPr>
                <w:sz w:val="20"/>
                <w:szCs w:val="20"/>
                <w:color w:val="auto"/>
              </w:rPr>
            </w:pPr>
            <w:r>
              <w:rPr>
                <w:rFonts w:ascii="Arial" w:cs="Arial" w:eastAsia="Arial" w:hAnsi="Arial"/>
                <w:sz w:val="15"/>
                <w:szCs w:val="15"/>
                <w:b w:val="1"/>
                <w:bCs w:val="1"/>
                <w:color w:val="021496"/>
              </w:rPr>
              <w:t>operating company leadership on such matters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spacing w:after="0"/>
              <w:rPr>
                <w:sz w:val="13"/>
                <w:szCs w:val="13"/>
                <w:color w:val="auto"/>
              </w:rPr>
            </w:pPr>
          </w:p>
        </w:tc>
        <w:tc>
          <w:tcPr>
            <w:tcW w:w="26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5"/>
                <w:szCs w:val="15"/>
                <w:color w:val="auto"/>
              </w:rPr>
              <w:t>•</w:t>
            </w:r>
          </w:p>
        </w:tc>
        <w:tc>
          <w:tcPr>
            <w:tcW w:w="8560" w:type="dxa"/>
            <w:vAlign w:val="bottom"/>
            <w:tcBorders>
              <w:top w:val="single" w:sz="8" w:color="021496"/>
              <w:right w:val="single" w:sz="8" w:color="021496"/>
            </w:tcBorders>
          </w:tcPr>
          <w:p>
            <w:pPr>
              <w:ind w:left="140"/>
              <w:spacing w:after="0" w:line="150" w:lineRule="exact"/>
              <w:rPr>
                <w:sz w:val="20"/>
                <w:szCs w:val="20"/>
                <w:color w:val="auto"/>
              </w:rPr>
            </w:pPr>
            <w:r>
              <w:rPr>
                <w:rFonts w:ascii="Arial" w:cs="Arial" w:eastAsia="Arial" w:hAnsi="Arial"/>
                <w:sz w:val="15"/>
                <w:szCs w:val="15"/>
                <w:color w:val="auto"/>
              </w:rPr>
              <w:t xml:space="preserve">We discussed progress against our </w:t>
            </w:r>
            <w:r>
              <w:rPr>
                <w:rFonts w:ascii="Arial" w:cs="Arial" w:eastAsia="Arial" w:hAnsi="Arial"/>
                <w:sz w:val="15"/>
                <w:szCs w:val="15"/>
                <w:b w:val="1"/>
                <w:bCs w:val="1"/>
                <w:color w:val="021496"/>
              </w:rPr>
              <w:t>science-based targets to reduce our GHG emissions</w:t>
            </w:r>
            <w:r>
              <w:rPr>
                <w:rFonts w:ascii="Arial" w:cs="Arial" w:eastAsia="Arial" w:hAnsi="Arial"/>
                <w:sz w:val="15"/>
                <w:szCs w:val="15"/>
                <w:color w:val="auto"/>
              </w:rPr>
              <w:t xml:space="preserve"> and against our goal of</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ESG</w:t>
            </w:r>
          </w:p>
        </w:tc>
        <w:tc>
          <w:tcPr>
            <w:tcW w:w="260" w:type="dxa"/>
            <w:vAlign w:val="bottom"/>
          </w:tcPr>
          <w:p>
            <w:pPr>
              <w:spacing w:after="0"/>
              <w:rPr>
                <w:sz w:val="17"/>
                <w:szCs w:val="17"/>
                <w:color w:val="auto"/>
              </w:rPr>
            </w:pPr>
          </w:p>
        </w:tc>
        <w:tc>
          <w:tcPr>
            <w:tcW w:w="8560" w:type="dxa"/>
            <w:vAlign w:val="bottom"/>
            <w:tcBorders>
              <w:right w:val="single" w:sz="8" w:color="021496"/>
            </w:tcBorders>
          </w:tcPr>
          <w:p>
            <w:pPr>
              <w:ind w:left="140"/>
              <w:spacing w:after="0"/>
              <w:rPr>
                <w:sz w:val="20"/>
                <w:szCs w:val="20"/>
                <w:color w:val="auto"/>
              </w:rPr>
            </w:pPr>
            <w:r>
              <w:rPr>
                <w:rFonts w:ascii="Arial" w:cs="Arial" w:eastAsia="Arial" w:hAnsi="Arial"/>
                <w:sz w:val="15"/>
                <w:szCs w:val="15"/>
                <w:color w:val="auto"/>
              </w:rPr>
              <w:t>reducing TRIR by 40% by 2025 (from a 2019 baseline year).</w:t>
            </w:r>
          </w:p>
        </w:tc>
        <w:tc>
          <w:tcPr>
            <w:tcW w:w="0" w:type="dxa"/>
            <w:vAlign w:val="bottom"/>
          </w:tcPr>
          <w:p>
            <w:pPr>
              <w:spacing w:after="0"/>
              <w:rPr>
                <w:sz w:val="1"/>
                <w:szCs w:val="1"/>
                <w:color w:val="auto"/>
              </w:rPr>
            </w:pPr>
          </w:p>
        </w:tc>
      </w:tr>
      <w:tr>
        <w:trPr>
          <w:trHeight w:val="128"/>
        </w:trPr>
        <w:tc>
          <w:tcPr>
            <w:tcW w:w="2120" w:type="dxa"/>
            <w:vAlign w:val="bottom"/>
            <w:tcBorders>
              <w:left w:val="single" w:sz="8" w:color="021496"/>
              <w:right w:val="single" w:sz="8" w:color="021496"/>
            </w:tcBorders>
            <w:vMerge w:val="continue"/>
            <w:shd w:val="clear" w:color="auto" w:fill="D8D8D8"/>
          </w:tcPr>
          <w:p>
            <w:pPr>
              <w:spacing w:after="0"/>
              <w:rPr>
                <w:sz w:val="11"/>
                <w:szCs w:val="11"/>
                <w:color w:val="auto"/>
              </w:rPr>
            </w:pPr>
          </w:p>
        </w:tc>
        <w:tc>
          <w:tcPr>
            <w:tcW w:w="26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8560" w:type="dxa"/>
            <w:vAlign w:val="bottom"/>
            <w:tcBorders>
              <w:right w:val="single" w:sz="8" w:color="021496"/>
            </w:tcBorders>
            <w:vMerge w:val="restart"/>
          </w:tcPr>
          <w:p>
            <w:pPr>
              <w:ind w:left="140"/>
              <w:spacing w:after="0"/>
              <w:rPr>
                <w:sz w:val="20"/>
                <w:szCs w:val="20"/>
                <w:color w:val="auto"/>
              </w:rPr>
            </w:pPr>
            <w:r>
              <w:rPr>
                <w:rFonts w:ascii="Arial" w:cs="Arial" w:eastAsia="Arial" w:hAnsi="Arial"/>
                <w:sz w:val="15"/>
                <w:szCs w:val="15"/>
                <w:color w:val="auto"/>
              </w:rPr>
              <w:t>We discussed that we continued to provide detailed disclosure on our website with information on our ESG areas of focus,</w:t>
            </w:r>
          </w:p>
        </w:tc>
        <w:tc>
          <w:tcPr>
            <w:tcW w:w="0" w:type="dxa"/>
            <w:vAlign w:val="bottom"/>
          </w:tcPr>
          <w:p>
            <w:pPr>
              <w:spacing w:after="0"/>
              <w:rPr>
                <w:sz w:val="1"/>
                <w:szCs w:val="1"/>
                <w:color w:val="auto"/>
              </w:rPr>
            </w:pPr>
          </w:p>
        </w:tc>
      </w:tr>
      <w:tr>
        <w:trPr>
          <w:trHeight w:val="74"/>
        </w:trPr>
        <w:tc>
          <w:tcPr>
            <w:tcW w:w="2120" w:type="dxa"/>
            <w:vAlign w:val="bottom"/>
            <w:tcBorders>
              <w:left w:val="single" w:sz="8" w:color="021496"/>
              <w:right w:val="single" w:sz="8" w:color="021496"/>
            </w:tcBorders>
            <w:shd w:val="clear" w:color="auto" w:fill="D8D8D8"/>
          </w:tcPr>
          <w:p>
            <w:pPr>
              <w:spacing w:after="0"/>
              <w:rPr>
                <w:sz w:val="6"/>
                <w:szCs w:val="6"/>
                <w:color w:val="auto"/>
              </w:rPr>
            </w:pPr>
          </w:p>
        </w:tc>
        <w:tc>
          <w:tcPr>
            <w:tcW w:w="260" w:type="dxa"/>
            <w:vAlign w:val="bottom"/>
            <w:vMerge w:val="continue"/>
          </w:tcPr>
          <w:p>
            <w:pPr>
              <w:spacing w:after="0"/>
              <w:rPr>
                <w:sz w:val="6"/>
                <w:szCs w:val="6"/>
                <w:color w:val="auto"/>
              </w:rPr>
            </w:pPr>
          </w:p>
        </w:tc>
        <w:tc>
          <w:tcPr>
            <w:tcW w:w="856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120" w:type="dxa"/>
            <w:vAlign w:val="bottom"/>
            <w:tcBorders>
              <w:left w:val="single" w:sz="8" w:color="021496"/>
              <w:bottom w:val="single" w:sz="8" w:color="D8D8D8"/>
              <w:right w:val="single" w:sz="8" w:color="021496"/>
            </w:tcBorders>
            <w:shd w:val="clear" w:color="auto" w:fill="D8D8D8"/>
          </w:tcPr>
          <w:p>
            <w:pPr>
              <w:spacing w:after="0"/>
              <w:rPr>
                <w:sz w:val="21"/>
                <w:szCs w:val="21"/>
                <w:color w:val="auto"/>
              </w:rPr>
            </w:pPr>
          </w:p>
        </w:tc>
        <w:tc>
          <w:tcPr>
            <w:tcW w:w="260" w:type="dxa"/>
            <w:vAlign w:val="bottom"/>
          </w:tcPr>
          <w:p>
            <w:pPr>
              <w:spacing w:after="0"/>
              <w:rPr>
                <w:sz w:val="21"/>
                <w:szCs w:val="21"/>
                <w:color w:val="auto"/>
              </w:rPr>
            </w:pPr>
          </w:p>
        </w:tc>
        <w:tc>
          <w:tcPr>
            <w:tcW w:w="8560" w:type="dxa"/>
            <w:vAlign w:val="bottom"/>
            <w:tcBorders>
              <w:right w:val="single" w:sz="8" w:color="021496"/>
            </w:tcBorders>
          </w:tcPr>
          <w:p>
            <w:pPr>
              <w:ind w:left="140"/>
              <w:spacing w:after="0"/>
              <w:rPr>
                <w:sz w:val="20"/>
                <w:szCs w:val="20"/>
                <w:color w:val="auto"/>
              </w:rPr>
            </w:pPr>
            <w:r>
              <w:rPr>
                <w:rFonts w:ascii="Arial" w:cs="Arial" w:eastAsia="Arial" w:hAnsi="Arial"/>
                <w:sz w:val="15"/>
                <w:szCs w:val="15"/>
                <w:color w:val="auto"/>
              </w:rPr>
              <w:t>and are preparing for mandatory sustainability disclosure requirements.</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vMerge w:val="restart"/>
            <w:shd w:val="clear" w:color="auto" w:fill="D8D8D8"/>
          </w:tcPr>
          <w:p>
            <w:pPr>
              <w:jc w:val="center"/>
              <w:ind w:left="145"/>
              <w:spacing w:after="0"/>
              <w:rPr>
                <w:sz w:val="20"/>
                <w:szCs w:val="20"/>
                <w:color w:val="auto"/>
              </w:rPr>
            </w:pPr>
            <w:r>
              <w:rPr>
                <w:rFonts w:ascii="Arial" w:cs="Arial" w:eastAsia="Arial" w:hAnsi="Arial"/>
                <w:sz w:val="15"/>
                <w:szCs w:val="15"/>
                <w:b w:val="1"/>
                <w:bCs w:val="1"/>
                <w:color w:val="auto"/>
                <w:w w:val="99"/>
              </w:rPr>
              <w:t>Executive</w:t>
            </w:r>
          </w:p>
        </w:tc>
        <w:tc>
          <w:tcPr>
            <w:tcW w:w="26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5"/>
                <w:szCs w:val="15"/>
                <w:color w:val="auto"/>
              </w:rPr>
              <w:t>•</w:t>
            </w:r>
          </w:p>
        </w:tc>
        <w:tc>
          <w:tcPr>
            <w:tcW w:w="8560" w:type="dxa"/>
            <w:vAlign w:val="bottom"/>
            <w:tcBorders>
              <w:top w:val="single" w:sz="8" w:color="021496"/>
              <w:right w:val="single" w:sz="8" w:color="021496"/>
            </w:tcBorders>
          </w:tcPr>
          <w:p>
            <w:pPr>
              <w:ind w:left="140"/>
              <w:spacing w:after="0" w:line="150" w:lineRule="exact"/>
              <w:rPr>
                <w:sz w:val="20"/>
                <w:szCs w:val="20"/>
                <w:color w:val="auto"/>
              </w:rPr>
            </w:pPr>
            <w:r>
              <w:rPr>
                <w:rFonts w:ascii="Arial" w:cs="Arial" w:eastAsia="Arial" w:hAnsi="Arial"/>
                <w:sz w:val="15"/>
                <w:szCs w:val="15"/>
                <w:color w:val="auto"/>
              </w:rPr>
              <w:t>After enhancements to our compensation program in recent years, informed by extensive shareholder feedback,</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vMerge w:val="continue"/>
            <w:shd w:val="clear" w:color="auto" w:fill="D8D8D8"/>
          </w:tcPr>
          <w:p>
            <w:pPr>
              <w:spacing w:after="0"/>
              <w:rPr>
                <w:sz w:val="13"/>
                <w:szCs w:val="13"/>
                <w:color w:val="auto"/>
              </w:rPr>
            </w:pPr>
          </w:p>
        </w:tc>
        <w:tc>
          <w:tcPr>
            <w:tcW w:w="260" w:type="dxa"/>
            <w:vAlign w:val="bottom"/>
          </w:tcPr>
          <w:p>
            <w:pPr>
              <w:spacing w:after="0"/>
              <w:rPr>
                <w:sz w:val="13"/>
                <w:szCs w:val="13"/>
                <w:color w:val="auto"/>
              </w:rPr>
            </w:pPr>
          </w:p>
        </w:tc>
        <w:tc>
          <w:tcPr>
            <w:tcW w:w="8560" w:type="dxa"/>
            <w:vAlign w:val="bottom"/>
            <w:tcBorders>
              <w:right w:val="single" w:sz="8" w:color="021496"/>
            </w:tcBorders>
          </w:tcPr>
          <w:p>
            <w:pPr>
              <w:ind w:left="140"/>
              <w:spacing w:after="0" w:line="161" w:lineRule="exact"/>
              <w:rPr>
                <w:sz w:val="20"/>
                <w:szCs w:val="20"/>
                <w:color w:val="auto"/>
              </w:rPr>
            </w:pPr>
            <w:r>
              <w:rPr>
                <w:rFonts w:ascii="Arial" w:cs="Arial" w:eastAsia="Arial" w:hAnsi="Arial"/>
                <w:sz w:val="15"/>
                <w:szCs w:val="15"/>
                <w:color w:val="auto"/>
              </w:rPr>
              <w:t>shareholders expressed continued support of our executive compensation program, which is aligned with our strategy and</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jc w:val="center"/>
              <w:ind w:left="65"/>
              <w:spacing w:after="0" w:line="161" w:lineRule="exact"/>
              <w:rPr>
                <w:sz w:val="20"/>
                <w:szCs w:val="20"/>
                <w:color w:val="auto"/>
              </w:rPr>
            </w:pPr>
            <w:r>
              <w:rPr>
                <w:rFonts w:ascii="Arial" w:cs="Arial" w:eastAsia="Arial" w:hAnsi="Arial"/>
                <w:sz w:val="15"/>
                <w:szCs w:val="15"/>
                <w:b w:val="1"/>
                <w:bCs w:val="1"/>
                <w:color w:val="auto"/>
              </w:rPr>
              <w:t>Compensation</w:t>
            </w:r>
          </w:p>
        </w:tc>
        <w:tc>
          <w:tcPr>
            <w:tcW w:w="260" w:type="dxa"/>
            <w:vAlign w:val="bottom"/>
          </w:tcPr>
          <w:p>
            <w:pPr>
              <w:spacing w:after="0"/>
              <w:rPr>
                <w:sz w:val="13"/>
                <w:szCs w:val="13"/>
                <w:color w:val="auto"/>
              </w:rPr>
            </w:pPr>
          </w:p>
        </w:tc>
        <w:tc>
          <w:tcPr>
            <w:tcW w:w="8560" w:type="dxa"/>
            <w:vAlign w:val="bottom"/>
            <w:tcBorders>
              <w:right w:val="single" w:sz="8" w:color="021496"/>
            </w:tcBorders>
          </w:tcPr>
          <w:p>
            <w:pPr>
              <w:ind w:left="140"/>
              <w:spacing w:after="0" w:line="161" w:lineRule="exact"/>
              <w:rPr>
                <w:sz w:val="20"/>
                <w:szCs w:val="20"/>
                <w:color w:val="auto"/>
              </w:rPr>
            </w:pPr>
            <w:r>
              <w:rPr>
                <w:rFonts w:ascii="Arial" w:cs="Arial" w:eastAsia="Arial" w:hAnsi="Arial"/>
                <w:sz w:val="15"/>
                <w:szCs w:val="15"/>
                <w:color w:val="auto"/>
              </w:rPr>
              <w:t>performance. In addition, they expressed support for the adoption, in 2024, of an additional performance metric (Tangible</w:t>
            </w:r>
          </w:p>
        </w:tc>
        <w:tc>
          <w:tcPr>
            <w:tcW w:w="0" w:type="dxa"/>
            <w:vAlign w:val="bottom"/>
          </w:tcPr>
          <w:p>
            <w:pPr>
              <w:spacing w:after="0"/>
              <w:rPr>
                <w:sz w:val="1"/>
                <w:szCs w:val="1"/>
                <w:color w:val="auto"/>
              </w:rPr>
            </w:pPr>
          </w:p>
        </w:tc>
      </w:tr>
      <w:tr>
        <w:trPr>
          <w:trHeight w:val="245"/>
        </w:trPr>
        <w:tc>
          <w:tcPr>
            <w:tcW w:w="2120" w:type="dxa"/>
            <w:vAlign w:val="bottom"/>
            <w:tcBorders>
              <w:left w:val="single" w:sz="8" w:color="021496"/>
              <w:bottom w:val="single" w:sz="8" w:color="D8D8D8"/>
              <w:right w:val="single" w:sz="8" w:color="021496"/>
            </w:tcBorders>
            <w:shd w:val="clear" w:color="auto" w:fill="D8D8D8"/>
          </w:tcPr>
          <w:p>
            <w:pPr>
              <w:spacing w:after="0"/>
              <w:rPr>
                <w:sz w:val="21"/>
                <w:szCs w:val="21"/>
                <w:color w:val="auto"/>
              </w:rPr>
            </w:pPr>
          </w:p>
        </w:tc>
        <w:tc>
          <w:tcPr>
            <w:tcW w:w="260" w:type="dxa"/>
            <w:vAlign w:val="bottom"/>
          </w:tcPr>
          <w:p>
            <w:pPr>
              <w:spacing w:after="0"/>
              <w:rPr>
                <w:sz w:val="21"/>
                <w:szCs w:val="21"/>
                <w:color w:val="auto"/>
              </w:rPr>
            </w:pPr>
          </w:p>
        </w:tc>
        <w:tc>
          <w:tcPr>
            <w:tcW w:w="8560" w:type="dxa"/>
            <w:vAlign w:val="bottom"/>
            <w:tcBorders>
              <w:right w:val="single" w:sz="8" w:color="021496"/>
            </w:tcBorders>
          </w:tcPr>
          <w:p>
            <w:pPr>
              <w:ind w:left="140"/>
              <w:spacing w:after="0"/>
              <w:rPr>
                <w:sz w:val="20"/>
                <w:szCs w:val="20"/>
                <w:color w:val="auto"/>
              </w:rPr>
            </w:pPr>
            <w:r>
              <w:rPr>
                <w:rFonts w:ascii="Arial" w:cs="Arial" w:eastAsia="Arial" w:hAnsi="Arial"/>
                <w:sz w:val="15"/>
                <w:szCs w:val="15"/>
                <w:color w:val="auto"/>
              </w:rPr>
              <w:t>ROIC) for performance shares granted under the LTIP.</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jc w:val="center"/>
              <w:ind w:left="165"/>
              <w:spacing w:after="0" w:line="150" w:lineRule="exact"/>
              <w:rPr>
                <w:sz w:val="20"/>
                <w:szCs w:val="20"/>
                <w:color w:val="auto"/>
              </w:rPr>
            </w:pPr>
            <w:r>
              <w:rPr>
                <w:rFonts w:ascii="Arial" w:cs="Arial" w:eastAsia="Arial" w:hAnsi="Arial"/>
                <w:sz w:val="15"/>
                <w:szCs w:val="15"/>
                <w:b w:val="1"/>
                <w:bCs w:val="1"/>
                <w:color w:val="auto"/>
              </w:rPr>
              <w:t>Corporate</w:t>
            </w:r>
          </w:p>
        </w:tc>
        <w:tc>
          <w:tcPr>
            <w:tcW w:w="26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5"/>
                <w:szCs w:val="15"/>
                <w:color w:val="auto"/>
              </w:rPr>
              <w:t>•</w:t>
            </w:r>
          </w:p>
        </w:tc>
        <w:tc>
          <w:tcPr>
            <w:tcW w:w="8560" w:type="dxa"/>
            <w:vAlign w:val="bottom"/>
            <w:tcBorders>
              <w:top w:val="single" w:sz="8" w:color="021496"/>
              <w:right w:val="single" w:sz="8" w:color="021496"/>
            </w:tcBorders>
          </w:tcPr>
          <w:p>
            <w:pPr>
              <w:ind w:left="140"/>
              <w:spacing w:after="0" w:line="150" w:lineRule="exact"/>
              <w:rPr>
                <w:sz w:val="20"/>
                <w:szCs w:val="20"/>
                <w:color w:val="auto"/>
              </w:rPr>
            </w:pPr>
            <w:r>
              <w:rPr>
                <w:rFonts w:ascii="Arial" w:cs="Arial" w:eastAsia="Arial" w:hAnsi="Arial"/>
                <w:sz w:val="15"/>
                <w:szCs w:val="15"/>
                <w:color w:val="auto"/>
              </w:rPr>
              <w:t xml:space="preserve">Our shareholders continued to express their </w:t>
            </w:r>
            <w:r>
              <w:rPr>
                <w:rFonts w:ascii="Arial" w:cs="Arial" w:eastAsia="Arial" w:hAnsi="Arial"/>
                <w:sz w:val="15"/>
                <w:szCs w:val="15"/>
                <w:b w:val="1"/>
                <w:bCs w:val="1"/>
                <w:color w:val="021496"/>
              </w:rPr>
              <w:t>broad support for our governance practices and shareholder rights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120" w:type="dxa"/>
            <w:vAlign w:val="bottom"/>
            <w:tcBorders>
              <w:left w:val="single" w:sz="8" w:color="021496"/>
              <w:bottom w:val="single" w:sz="8" w:color="D8D8D8"/>
              <w:right w:val="single" w:sz="8" w:color="021496"/>
            </w:tcBorders>
            <w:shd w:val="clear" w:color="auto" w:fill="D8D8D8"/>
          </w:tcPr>
          <w:p>
            <w:pPr>
              <w:jc w:val="center"/>
              <w:ind w:left="65"/>
              <w:spacing w:after="0"/>
              <w:rPr>
                <w:sz w:val="20"/>
                <w:szCs w:val="20"/>
                <w:color w:val="auto"/>
              </w:rPr>
            </w:pPr>
            <w:r>
              <w:rPr>
                <w:rFonts w:ascii="Arial" w:cs="Arial" w:eastAsia="Arial" w:hAnsi="Arial"/>
                <w:sz w:val="15"/>
                <w:szCs w:val="15"/>
                <w:b w:val="1"/>
                <w:bCs w:val="1"/>
                <w:color w:val="auto"/>
                <w:w w:val="99"/>
              </w:rPr>
              <w:t>Governance</w:t>
            </w:r>
          </w:p>
        </w:tc>
        <w:tc>
          <w:tcPr>
            <w:tcW w:w="260" w:type="dxa"/>
            <w:vAlign w:val="bottom"/>
          </w:tcPr>
          <w:p>
            <w:pPr>
              <w:spacing w:after="0"/>
              <w:rPr>
                <w:sz w:val="19"/>
                <w:szCs w:val="19"/>
                <w:color w:val="auto"/>
              </w:rPr>
            </w:pPr>
          </w:p>
        </w:tc>
        <w:tc>
          <w:tcPr>
            <w:tcW w:w="8560" w:type="dxa"/>
            <w:vAlign w:val="bottom"/>
            <w:tcBorders>
              <w:right w:val="single" w:sz="8" w:color="021496"/>
            </w:tcBorders>
          </w:tcPr>
          <w:p>
            <w:pPr>
              <w:ind w:left="140"/>
              <w:spacing w:after="0"/>
              <w:rPr>
                <w:sz w:val="20"/>
                <w:szCs w:val="20"/>
                <w:color w:val="auto"/>
              </w:rPr>
            </w:pPr>
            <w:r>
              <w:rPr>
                <w:rFonts w:ascii="Arial" w:cs="Arial" w:eastAsia="Arial" w:hAnsi="Arial"/>
                <w:sz w:val="15"/>
                <w:szCs w:val="15"/>
                <w:color w:val="auto"/>
              </w:rPr>
              <w:t>including our Board’s independence and thoughtful composition, and our active Board refreshment process.</w:t>
            </w:r>
          </w:p>
        </w:tc>
        <w:tc>
          <w:tcPr>
            <w:tcW w:w="0" w:type="dxa"/>
            <w:vAlign w:val="bottom"/>
          </w:tcPr>
          <w:p>
            <w:pPr>
              <w:spacing w:after="0"/>
              <w:rPr>
                <w:sz w:val="1"/>
                <w:szCs w:val="1"/>
                <w:color w:val="auto"/>
              </w:rPr>
            </w:pPr>
          </w:p>
        </w:tc>
      </w:tr>
      <w:tr>
        <w:trPr>
          <w:trHeight w:val="20"/>
        </w:trPr>
        <w:tc>
          <w:tcPr>
            <w:tcW w:w="2120" w:type="dxa"/>
            <w:vAlign w:val="bottom"/>
            <w:tcBorders>
              <w:left w:val="single" w:sz="8" w:color="021496"/>
              <w:right w:val="single" w:sz="8" w:color="021496"/>
            </w:tcBorders>
            <w:shd w:val="clear" w:color="auto" w:fill="021496"/>
          </w:tcPr>
          <w:p>
            <w:pPr>
              <w:spacing w:after="0" w:line="20" w:lineRule="exact"/>
              <w:rPr>
                <w:sz w:val="1"/>
                <w:szCs w:val="1"/>
                <w:color w:val="auto"/>
              </w:rPr>
            </w:pPr>
          </w:p>
        </w:tc>
        <w:tc>
          <w:tcPr>
            <w:tcW w:w="260" w:type="dxa"/>
            <w:vAlign w:val="bottom"/>
            <w:shd w:val="clear" w:color="auto" w:fill="021496"/>
          </w:tcPr>
          <w:p>
            <w:pPr>
              <w:spacing w:after="0" w:line="20" w:lineRule="exact"/>
              <w:rPr>
                <w:sz w:val="1"/>
                <w:szCs w:val="1"/>
                <w:color w:val="auto"/>
              </w:rPr>
            </w:pPr>
          </w:p>
        </w:tc>
        <w:tc>
          <w:tcPr>
            <w:tcW w:w="8560" w:type="dxa"/>
            <w:vAlign w:val="bottom"/>
            <w:tcBorders>
              <w:right w:val="single" w:sz="8" w:color="021496"/>
            </w:tcBorders>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History of Board Responsiveness</w:t>
      </w:r>
    </w:p>
    <w:p>
      <w:pPr>
        <w:spacing w:after="0" w:line="18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are committed to being responsive to our shareholders as demonstrated by the number of changes we have made over the years based on their input. In direct response to shareholder feedback, since 2014, Dover has adopted and amended our special meeting right, adopted proxy access, implemented meaningful changes to our executive compensation program, removed all our super-majority voting provisions in our charter, adopted a cash severance policy, and enhanced our disclosures to investors. The table below highlights many of the changes to our governance structures and compensation program that have been implemented over the past several years informed by shareholder feedback. These changes specifically address shareholders’ areas of focus and input gathered through our extensive shareholder engagements and outreach efforts.</w:t>
      </w:r>
    </w:p>
    <w:p>
      <w:pPr>
        <w:spacing w:after="0" w:line="116"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29</w:t>
      </w:r>
    </w:p>
    <w:p>
      <w:pPr>
        <w:sectPr>
          <w:pgSz w:w="11900" w:h="16838" w:orient="portrait"/>
          <w:cols w:equalWidth="0" w:num="1">
            <w:col w:w="10940"/>
          </w:cols>
          <w:pgMar w:left="480" w:top="299" w:right="4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1"/>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PROPOSAL 1 — ELECTION OF DIRECTORS</w:t>
            </w:r>
          </w:p>
        </w:tc>
        <w:tc>
          <w:tcPr>
            <w:tcW w:w="7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2"/>
                <w:szCs w:val="22"/>
                <w:color w:val="auto"/>
              </w:rPr>
            </w:pPr>
          </w:p>
        </w:tc>
        <w:tc>
          <w:tcPr>
            <w:tcW w:w="900" w:type="dxa"/>
            <w:vAlign w:val="bottom"/>
            <w:vMerge w:val="restart"/>
            <w:shd w:val="clear" w:color="auto" w:fill="021496"/>
          </w:tcPr>
          <w:p>
            <w:pPr>
              <w:ind w:left="340"/>
              <w:spacing w:after="0"/>
              <w:rPr>
                <w:sz w:val="20"/>
                <w:szCs w:val="20"/>
                <w:color w:val="auto"/>
              </w:rPr>
            </w:pPr>
            <w:r>
              <w:rPr>
                <w:rFonts w:ascii="Arial" w:cs="Arial" w:eastAsia="Arial" w:hAnsi="Arial"/>
                <w:sz w:val="16"/>
                <w:szCs w:val="16"/>
                <w:b w:val="1"/>
                <w:bCs w:val="1"/>
                <w:color w:val="FFFFFF"/>
              </w:rPr>
              <w:t>Year</w:t>
            </w:r>
          </w:p>
        </w:tc>
        <w:tc>
          <w:tcPr>
            <w:tcW w:w="2280" w:type="dxa"/>
            <w:vAlign w:val="bottom"/>
            <w:shd w:val="clear" w:color="auto" w:fill="021496"/>
          </w:tcPr>
          <w:p>
            <w:pPr>
              <w:jc w:val="center"/>
              <w:spacing w:after="0"/>
              <w:rPr>
                <w:sz w:val="20"/>
                <w:szCs w:val="20"/>
                <w:color w:val="auto"/>
              </w:rPr>
            </w:pPr>
            <w:r>
              <w:rPr>
                <w:rFonts w:ascii="Arial" w:cs="Arial" w:eastAsia="Arial" w:hAnsi="Arial"/>
                <w:sz w:val="16"/>
                <w:szCs w:val="16"/>
                <w:b w:val="1"/>
                <w:bCs w:val="1"/>
                <w:color w:val="FFFFFF"/>
                <w:w w:val="99"/>
              </w:rPr>
              <w:t>% of Outstanding Shares</w:t>
            </w:r>
          </w:p>
        </w:tc>
        <w:tc>
          <w:tcPr>
            <w:tcW w:w="7120" w:type="dxa"/>
            <w:vAlign w:val="bottom"/>
            <w:vMerge w:val="restart"/>
            <w:shd w:val="clear" w:color="auto" w:fill="021496"/>
          </w:tcPr>
          <w:p>
            <w:pPr>
              <w:ind w:left="1860"/>
              <w:spacing w:after="0"/>
              <w:rPr>
                <w:sz w:val="20"/>
                <w:szCs w:val="20"/>
                <w:color w:val="auto"/>
              </w:rPr>
            </w:pPr>
            <w:r>
              <w:rPr>
                <w:rFonts w:ascii="Arial" w:cs="Arial" w:eastAsia="Arial" w:hAnsi="Arial"/>
                <w:sz w:val="16"/>
                <w:szCs w:val="16"/>
                <w:b w:val="1"/>
                <w:bCs w:val="1"/>
                <w:color w:val="FFFFFF"/>
              </w:rPr>
              <w:t>Actions in Response to Shareholder Feedback</w:t>
            </w: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00" w:type="dxa"/>
            <w:vAlign w:val="bottom"/>
            <w:vMerge w:val="continue"/>
            <w:shd w:val="clear" w:color="auto" w:fill="021496"/>
          </w:tcPr>
          <w:p>
            <w:pPr>
              <w:spacing w:after="0"/>
              <w:rPr>
                <w:sz w:val="11"/>
                <w:szCs w:val="11"/>
                <w:color w:val="auto"/>
              </w:rPr>
            </w:pPr>
          </w:p>
        </w:tc>
        <w:tc>
          <w:tcPr>
            <w:tcW w:w="2280" w:type="dxa"/>
            <w:vAlign w:val="bottom"/>
            <w:vMerge w:val="restart"/>
            <w:shd w:val="clear" w:color="auto" w:fill="021496"/>
          </w:tcPr>
          <w:p>
            <w:pPr>
              <w:jc w:val="center"/>
              <w:spacing w:after="0"/>
              <w:rPr>
                <w:sz w:val="20"/>
                <w:szCs w:val="20"/>
                <w:color w:val="auto"/>
              </w:rPr>
            </w:pPr>
            <w:r>
              <w:rPr>
                <w:rFonts w:ascii="Arial" w:cs="Arial" w:eastAsia="Arial" w:hAnsi="Arial"/>
                <w:sz w:val="16"/>
                <w:szCs w:val="16"/>
                <w:b w:val="1"/>
                <w:bCs w:val="1"/>
                <w:color w:val="FFFFFF"/>
              </w:rPr>
              <w:t>Outreached /Engaged</w:t>
            </w:r>
          </w:p>
        </w:tc>
        <w:tc>
          <w:tcPr>
            <w:tcW w:w="7120" w:type="dxa"/>
            <w:vAlign w:val="bottom"/>
            <w:vMerge w:val="continue"/>
            <w:shd w:val="clear" w:color="auto" w:fill="021496"/>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900" w:type="dxa"/>
            <w:vAlign w:val="bottom"/>
            <w:shd w:val="clear" w:color="auto" w:fill="021496"/>
          </w:tcPr>
          <w:p>
            <w:pPr>
              <w:spacing w:after="0"/>
              <w:rPr>
                <w:sz w:val="8"/>
                <w:szCs w:val="8"/>
                <w:color w:val="auto"/>
              </w:rPr>
            </w:pPr>
          </w:p>
        </w:tc>
        <w:tc>
          <w:tcPr>
            <w:tcW w:w="2280" w:type="dxa"/>
            <w:vAlign w:val="bottom"/>
            <w:vMerge w:val="continue"/>
            <w:shd w:val="clear" w:color="auto" w:fill="021496"/>
          </w:tcPr>
          <w:p>
            <w:pPr>
              <w:spacing w:after="0"/>
              <w:rPr>
                <w:sz w:val="8"/>
                <w:szCs w:val="8"/>
                <w:color w:val="auto"/>
              </w:rPr>
            </w:pPr>
          </w:p>
        </w:tc>
        <w:tc>
          <w:tcPr>
            <w:tcW w:w="7120" w:type="dxa"/>
            <w:vAlign w:val="bottom"/>
            <w:shd w:val="clear" w:color="auto" w:fill="021496"/>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2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9"/>
              </w:rPr>
              <w:t> </w:t>
            </w:r>
          </w:p>
        </w:tc>
        <w:tc>
          <w:tcPr>
            <w:tcW w:w="900" w:type="dxa"/>
            <w:vAlign w:val="bottom"/>
            <w:shd w:val="clear" w:color="auto" w:fill="021496"/>
          </w:tcPr>
          <w:p>
            <w:pPr>
              <w:spacing w:after="0"/>
              <w:rPr>
                <w:sz w:val="6"/>
                <w:szCs w:val="6"/>
                <w:color w:val="auto"/>
              </w:rPr>
            </w:pPr>
          </w:p>
        </w:tc>
        <w:tc>
          <w:tcPr>
            <w:tcW w:w="2280" w:type="dxa"/>
            <w:vAlign w:val="bottom"/>
            <w:shd w:val="clear" w:color="auto" w:fill="021496"/>
          </w:tcPr>
          <w:p>
            <w:pPr>
              <w:spacing w:after="0"/>
              <w:rPr>
                <w:sz w:val="6"/>
                <w:szCs w:val="6"/>
                <w:color w:val="auto"/>
              </w:rPr>
            </w:pPr>
          </w:p>
        </w:tc>
        <w:tc>
          <w:tcPr>
            <w:tcW w:w="7120" w:type="dxa"/>
            <w:vAlign w:val="bottom"/>
            <w:shd w:val="clear" w:color="auto" w:fill="02149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vMerge w:val="continue"/>
          </w:tcPr>
          <w:p>
            <w:pPr>
              <w:spacing w:after="0"/>
              <w:rPr>
                <w:sz w:val="23"/>
                <w:szCs w:val="23"/>
                <w:color w:val="auto"/>
              </w:rPr>
            </w:pPr>
          </w:p>
        </w:tc>
        <w:tc>
          <w:tcPr>
            <w:tcW w:w="900" w:type="dxa"/>
            <w:vAlign w:val="bottom"/>
            <w:shd w:val="clear" w:color="auto" w:fill="EAEFED"/>
          </w:tcPr>
          <w:p>
            <w:pPr>
              <w:ind w:left="200"/>
              <w:spacing w:after="0"/>
              <w:rPr>
                <w:sz w:val="20"/>
                <w:szCs w:val="20"/>
                <w:color w:val="auto"/>
              </w:rPr>
            </w:pPr>
            <w:r>
              <w:rPr>
                <w:rFonts w:ascii="Arial" w:cs="Arial" w:eastAsia="Arial" w:hAnsi="Arial"/>
                <w:sz w:val="14"/>
                <w:szCs w:val="14"/>
                <w:b w:val="1"/>
                <w:bCs w:val="1"/>
                <w:color w:val="auto"/>
              </w:rPr>
              <w:t>   2026 </w:t>
            </w:r>
          </w:p>
        </w:tc>
        <w:tc>
          <w:tcPr>
            <w:tcW w:w="2280" w:type="dxa"/>
            <w:vAlign w:val="bottom"/>
            <w:shd w:val="clear" w:color="auto" w:fill="EAEFED"/>
          </w:tcPr>
          <w:p>
            <w:pPr>
              <w:jc w:val="center"/>
              <w:spacing w:after="0"/>
              <w:rPr>
                <w:sz w:val="20"/>
                <w:szCs w:val="20"/>
                <w:color w:val="auto"/>
              </w:rPr>
            </w:pPr>
            <w:r>
              <w:rPr>
                <w:rFonts w:ascii="Arial" w:cs="Arial" w:eastAsia="Arial" w:hAnsi="Arial"/>
                <w:sz w:val="14"/>
                <w:szCs w:val="14"/>
                <w:b w:val="1"/>
                <w:bCs w:val="1"/>
                <w:color w:val="021496"/>
              </w:rPr>
              <w:t>Ongoing</w:t>
            </w:r>
          </w:p>
        </w:tc>
        <w:tc>
          <w:tcPr>
            <w:tcW w:w="7120" w:type="dxa"/>
            <w:vAlign w:val="bottom"/>
            <w:shd w:val="clear" w:color="auto" w:fill="EAEFED"/>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 Currently engaging with shareholders on corporate governance, executive compensation and sustainability</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Borders>
              <w:bottom w:val="single" w:sz="8" w:color="7F7F7F"/>
            </w:tcBorders>
            <w:shd w:val="clear" w:color="auto" w:fill="EAEFED"/>
          </w:tcPr>
          <w:p>
            <w:pPr>
              <w:spacing w:after="0"/>
              <w:rPr>
                <w:sz w:val="15"/>
                <w:szCs w:val="15"/>
                <w:color w:val="auto"/>
              </w:rPr>
            </w:pPr>
          </w:p>
        </w:tc>
        <w:tc>
          <w:tcPr>
            <w:tcW w:w="2280" w:type="dxa"/>
            <w:vAlign w:val="bottom"/>
            <w:tcBorders>
              <w:bottom w:val="single" w:sz="8" w:color="7F7F7F"/>
            </w:tcBorders>
            <w:shd w:val="clear" w:color="auto" w:fill="EAEFED"/>
          </w:tcPr>
          <w:p>
            <w:pPr>
              <w:spacing w:after="0"/>
              <w:rPr>
                <w:sz w:val="15"/>
                <w:szCs w:val="15"/>
                <w:color w:val="auto"/>
              </w:rPr>
            </w:pPr>
          </w:p>
        </w:tc>
        <w:tc>
          <w:tcPr>
            <w:tcW w:w="7120" w:type="dxa"/>
            <w:vAlign w:val="bottom"/>
            <w:tcBorders>
              <w:bottom w:val="single" w:sz="8" w:color="7F7F7F"/>
            </w:tcBorders>
            <w:shd w:val="clear" w:color="auto" w:fill="EAEFED"/>
          </w:tcPr>
          <w:p>
            <w:pPr>
              <w:ind w:left="360"/>
              <w:spacing w:after="0"/>
              <w:rPr>
                <w:sz w:val="20"/>
                <w:szCs w:val="20"/>
                <w:color w:val="auto"/>
              </w:rPr>
            </w:pPr>
            <w:r>
              <w:rPr>
                <w:rFonts w:ascii="Arial" w:cs="Arial" w:eastAsia="Arial" w:hAnsi="Arial"/>
                <w:sz w:val="14"/>
                <w:szCs w:val="14"/>
                <w:color w:val="auto"/>
              </w:rPr>
              <w:t>ahead of the 2026 Annual Meeting.</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 Exceeded our goal of reducing Total Recordable Injury Rate (“TRIR”) by 40% by 2025 (from a 2019</w:t>
            </w: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3" w:lineRule="exact"/>
              <w:rPr>
                <w:sz w:val="20"/>
                <w:szCs w:val="20"/>
                <w:color w:val="auto"/>
              </w:rPr>
            </w:pPr>
            <w:r>
              <w:rPr>
                <w:rFonts w:ascii="Arial" w:cs="Arial" w:eastAsia="Arial" w:hAnsi="Arial"/>
                <w:sz w:val="14"/>
                <w:szCs w:val="14"/>
                <w:color w:val="auto"/>
              </w:rPr>
              <w:t>baseline year), achieving a TRIR of 0.75 (a 41% reduction) as of the end of 2025</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2025</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57% / 26%</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disclose progress against GHG emissions goals</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140"/>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 Appointed new Lead Independent Director, empowered with significant authority and well-defined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responsibilities, demonstrating the Board’s thoughtful approach to Board leadership</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an additional performance metric (Tangible ROIC) for performance shares granted under the LTIP</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2024</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62% / 42%</w:t>
            </w: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 Completed our second set of human capital goals</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12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strong corporate governance practices by amending Dover’s Corporate Governance</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Guidelines to expressly define the authority and responsibilities of the Lead Independent Director</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thoughtfully refresh the board, appointing three new independent and highly qualified directors</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a cash severance policy</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54% / 27%</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 Completing our initial set of human capital goals</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2280" w:type="dxa"/>
            <w:vAlign w:val="bottom"/>
            <w:tcBorders>
              <w:bottom w:val="single" w:sz="8" w:color="7F7F7F"/>
            </w:tcBorders>
          </w:tcPr>
          <w:p>
            <w:pPr>
              <w:spacing w:after="0"/>
              <w:rPr>
                <w:sz w:val="17"/>
                <w:szCs w:val="17"/>
                <w:color w:val="auto"/>
              </w:rPr>
            </w:pPr>
          </w:p>
        </w:tc>
        <w:tc>
          <w:tcPr>
            <w:tcW w:w="7120" w:type="dxa"/>
            <w:vAlign w:val="bottom"/>
            <w:tcBorders>
              <w:bottom w:val="single" w:sz="8" w:color="7F7F7F"/>
            </w:tcBorders>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 Disclosing our EEO-1 workforce demographic data</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 Completing one human capital goal and staying on track to complete the other</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2022</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63% / 39%</w:t>
            </w: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 Continuing to disclose progress against GHG emissions goals and TRIR reduction goals</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140"/>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 Amended Governance and Nominating Committee’s charter to provide for oversight of Dover’s practices on</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political contributions and lobbying expenses</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a refreshed and qualified board by appointing an additional director</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 Announcing goals to reduce our GHG emissions by 2030</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2021</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59% / 31%</w:t>
            </w: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 Undertaking a climate risk assessment aligned with the TCFD reporting framework</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 Setting new human capital goals</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 Establishing a working group of operating companies with a goal of embedding sustainability</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Borders>
              <w:bottom w:val="single" w:sz="8" w:color="7F7F7F"/>
            </w:tcBorders>
          </w:tcPr>
          <w:p>
            <w:pPr>
              <w:spacing w:after="0"/>
              <w:rPr>
                <w:sz w:val="15"/>
                <w:szCs w:val="15"/>
                <w:color w:val="auto"/>
              </w:rPr>
            </w:pPr>
          </w:p>
        </w:tc>
        <w:tc>
          <w:tcPr>
            <w:tcW w:w="2280" w:type="dxa"/>
            <w:vAlign w:val="bottom"/>
            <w:tcBorders>
              <w:bottom w:val="single" w:sz="8" w:color="7F7F7F"/>
            </w:tcBorders>
          </w:tcPr>
          <w:p>
            <w:pPr>
              <w:spacing w:after="0"/>
              <w:rPr>
                <w:sz w:val="15"/>
                <w:szCs w:val="15"/>
                <w:color w:val="auto"/>
              </w:rPr>
            </w:pPr>
          </w:p>
        </w:tc>
        <w:tc>
          <w:tcPr>
            <w:tcW w:w="7120" w:type="dxa"/>
            <w:vAlign w:val="bottom"/>
            <w:tcBorders>
              <w:bottom w:val="single" w:sz="8" w:color="7F7F7F"/>
            </w:tcBorders>
          </w:tcPr>
          <w:p>
            <w:pPr>
              <w:ind w:left="560"/>
              <w:spacing w:after="0"/>
              <w:rPr>
                <w:sz w:val="20"/>
                <w:szCs w:val="20"/>
                <w:color w:val="auto"/>
              </w:rPr>
            </w:pPr>
            <w:r>
              <w:rPr>
                <w:rFonts w:ascii="Arial" w:cs="Arial" w:eastAsia="Arial" w:hAnsi="Arial"/>
                <w:sz w:val="14"/>
                <w:szCs w:val="14"/>
                <w:color w:val="auto"/>
              </w:rPr>
              <w:t>considerations into product development</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Implemented for 2020 executive compensation program:</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 Increased proportion of LTIP dedicated to performance shares and shifted from internal TSR to relative</w:t>
            </w: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560"/>
              <w:spacing w:after="0" w:line="143" w:lineRule="exact"/>
              <w:rPr>
                <w:sz w:val="20"/>
                <w:szCs w:val="20"/>
                <w:color w:val="auto"/>
              </w:rPr>
            </w:pPr>
            <w:r>
              <w:rPr>
                <w:rFonts w:ascii="Arial" w:cs="Arial" w:eastAsia="Arial" w:hAnsi="Arial"/>
                <w:sz w:val="14"/>
                <w:szCs w:val="14"/>
                <w:color w:val="auto"/>
              </w:rPr>
              <w:t>TSR as metric for performance shares</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Winter: 65% / 15%</w:t>
            </w: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 Reduced maximum payout ceiling from 400% to 300% in LTIP</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021496"/>
              </w:rPr>
              <w:t>Lead-up to 2020 AGM:</w:t>
            </w:r>
          </w:p>
        </w:tc>
        <w:tc>
          <w:tcPr>
            <w:tcW w:w="7120" w:type="dxa"/>
            <w:vAlign w:val="bottom"/>
          </w:tcPr>
          <w:p>
            <w:pPr>
              <w:ind w:left="140"/>
              <w:spacing w:after="0" w:line="13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 Reduced ownership threshold required to call a special meeting of shareholders to 15% from 25%</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51% / 12%</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Fall: 59% / 38%</w:t>
            </w:r>
          </w:p>
        </w:tc>
        <w:tc>
          <w:tcPr>
            <w:tcW w:w="7120" w:type="dxa"/>
            <w:vAlign w:val="bottom"/>
          </w:tcPr>
          <w:p>
            <w:pPr>
              <w:ind w:left="360"/>
              <w:spacing w:after="0" w:line="13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robust materiality assessment to help identify go-forward focus areas</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 The launch of the sustainability portion of our website</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 Publication of SASB and GRI indices</w:t>
            </w:r>
          </w:p>
        </w:tc>
        <w:tc>
          <w:tcPr>
            <w:tcW w:w="0" w:type="dxa"/>
            <w:vAlign w:val="bottom"/>
          </w:tcPr>
          <w:p>
            <w:pPr>
              <w:spacing w:after="0"/>
              <w:rPr>
                <w:sz w:val="1"/>
                <w:szCs w:val="1"/>
                <w:color w:val="auto"/>
              </w:rPr>
            </w:pPr>
          </w:p>
        </w:tc>
      </w:tr>
      <w:tr>
        <w:trPr>
          <w:trHeight w:val="160"/>
        </w:trPr>
        <w:tc>
          <w:tcPr>
            <w:tcW w:w="6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w:t>
            </w: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 Release of an “investor tear sheet” covering key ESG highlights</w:t>
            </w:r>
          </w:p>
        </w:tc>
        <w:tc>
          <w:tcPr>
            <w:tcW w:w="0" w:type="dxa"/>
            <w:vAlign w:val="bottom"/>
          </w:tcPr>
          <w:p>
            <w:pPr>
              <w:spacing w:after="0"/>
              <w:rPr>
                <w:sz w:val="1"/>
                <w:szCs w:val="1"/>
                <w:color w:val="auto"/>
              </w:rPr>
            </w:pPr>
          </w:p>
        </w:tc>
      </w:tr>
      <w:tr>
        <w:trPr>
          <w:trHeight w:val="201"/>
        </w:trPr>
        <w:tc>
          <w:tcPr>
            <w:tcW w:w="620" w:type="dxa"/>
            <w:vAlign w:val="bottom"/>
            <w:vMerge w:val="continue"/>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2280" w:type="dxa"/>
            <w:vAlign w:val="bottom"/>
            <w:tcBorders>
              <w:bottom w:val="single" w:sz="8" w:color="7F7F7F"/>
            </w:tcBorders>
          </w:tcPr>
          <w:p>
            <w:pPr>
              <w:spacing w:after="0"/>
              <w:rPr>
                <w:sz w:val="17"/>
                <w:szCs w:val="17"/>
                <w:color w:val="auto"/>
              </w:rPr>
            </w:pPr>
          </w:p>
        </w:tc>
        <w:tc>
          <w:tcPr>
            <w:tcW w:w="7120" w:type="dxa"/>
            <w:vAlign w:val="bottom"/>
            <w:tcBorders>
              <w:bottom w:val="single" w:sz="8" w:color="7F7F7F"/>
            </w:tcBorders>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 Increased transparency into workforce demographics</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Lead-up to 2019 AGM:</w:t>
            </w:r>
          </w:p>
        </w:tc>
        <w:tc>
          <w:tcPr>
            <w:tcW w:w="7120" w:type="dxa"/>
            <w:vAlign w:val="bottom"/>
          </w:tcPr>
          <w:p>
            <w:pPr>
              <w:ind w:left="140"/>
              <w:spacing w:after="0" w:line="15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Achieved removal of all supermajority provisions through submission of management proposal and</w:t>
            </w: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7120" w:type="dxa"/>
            <w:vAlign w:val="bottom"/>
            <w:vMerge w:val="restart"/>
          </w:tcPr>
          <w:p>
            <w:pPr>
              <w:ind w:left="360"/>
              <w:spacing w:after="0" w:line="143" w:lineRule="exact"/>
              <w:rPr>
                <w:sz w:val="20"/>
                <w:szCs w:val="20"/>
                <w:color w:val="auto"/>
              </w:rPr>
            </w:pPr>
            <w:r>
              <w:rPr>
                <w:rFonts w:ascii="Arial" w:cs="Arial" w:eastAsia="Arial" w:hAnsi="Arial"/>
                <w:sz w:val="14"/>
                <w:szCs w:val="14"/>
                <w:color w:val="auto"/>
              </w:rPr>
              <w:t>comprehensive retail investor campaign</w:t>
            </w:r>
          </w:p>
        </w:tc>
        <w:tc>
          <w:tcPr>
            <w:tcW w:w="0" w:type="dxa"/>
            <w:vAlign w:val="bottom"/>
          </w:tcPr>
          <w:p>
            <w:pPr>
              <w:spacing w:after="0"/>
              <w:rPr>
                <w:sz w:val="1"/>
                <w:szCs w:val="1"/>
                <w:color w:val="auto"/>
              </w:rPr>
            </w:pPr>
          </w:p>
        </w:tc>
      </w:tr>
      <w:tr>
        <w:trPr>
          <w:trHeight w:val="49"/>
        </w:trPr>
        <w:tc>
          <w:tcPr>
            <w:tcW w:w="620" w:type="dxa"/>
            <w:vAlign w:val="bottom"/>
          </w:tcPr>
          <w:p>
            <w:pPr>
              <w:spacing w:after="0"/>
              <w:rPr>
                <w:sz w:val="4"/>
                <w:szCs w:val="4"/>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2019</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63% / 37%</w:t>
            </w:r>
          </w:p>
        </w:tc>
        <w:tc>
          <w:tcPr>
            <w:tcW w:w="7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Enhanced disclosure regarding individual strategic objectives and financial metrics in AIP</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Fall: 63% / 41%</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comprehensive clawback policy</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900" w:type="dxa"/>
            <w:vAlign w:val="bottom"/>
            <w:tcBorders>
              <w:bottom w:val="single" w:sz="8" w:color="7F7F7F"/>
            </w:tcBorders>
          </w:tcPr>
          <w:p>
            <w:pPr>
              <w:spacing w:after="0"/>
              <w:rPr>
                <w:sz w:val="15"/>
                <w:szCs w:val="15"/>
                <w:color w:val="auto"/>
              </w:rPr>
            </w:pPr>
          </w:p>
        </w:tc>
        <w:tc>
          <w:tcPr>
            <w:tcW w:w="2280" w:type="dxa"/>
            <w:vAlign w:val="bottom"/>
            <w:tcBorders>
              <w:bottom w:val="single" w:sz="8" w:color="7F7F7F"/>
            </w:tcBorders>
          </w:tcPr>
          <w:p>
            <w:pPr>
              <w:spacing w:after="0"/>
              <w:rPr>
                <w:sz w:val="15"/>
                <w:szCs w:val="15"/>
                <w:color w:val="auto"/>
              </w:rPr>
            </w:pP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Incorporated ESG oversight into CEO’s individual strategic objectives in AIP</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2018</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51% / 32%</w:t>
            </w:r>
          </w:p>
        </w:tc>
        <w:tc>
          <w:tcPr>
            <w:tcW w:w="7120" w:type="dxa"/>
            <w:vAlign w:val="bottom"/>
          </w:tcPr>
          <w:p>
            <w:pPr>
              <w:ind w:left="140"/>
              <w:spacing w:after="0" w:line="15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alongside comprehensive</w:t>
            </w:r>
          </w:p>
        </w:tc>
        <w:tc>
          <w:tcPr>
            <w:tcW w:w="0" w:type="dxa"/>
            <w:vAlign w:val="bottom"/>
          </w:tcPr>
          <w:p>
            <w:pPr>
              <w:spacing w:after="0"/>
              <w:rPr>
                <w:sz w:val="1"/>
                <w:szCs w:val="1"/>
                <w:color w:val="auto"/>
              </w:rPr>
            </w:pPr>
          </w:p>
        </w:tc>
      </w:tr>
      <w:tr>
        <w:trPr>
          <w:trHeight w:val="101"/>
        </w:trPr>
        <w:tc>
          <w:tcPr>
            <w:tcW w:w="6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7120" w:type="dxa"/>
            <w:vAlign w:val="bottom"/>
            <w:vMerge w:val="restart"/>
          </w:tcPr>
          <w:p>
            <w:pPr>
              <w:ind w:left="360"/>
              <w:spacing w:after="0"/>
              <w:rPr>
                <w:sz w:val="20"/>
                <w:szCs w:val="20"/>
                <w:color w:val="auto"/>
              </w:rPr>
            </w:pPr>
            <w:r>
              <w:rPr>
                <w:rFonts w:ascii="Arial" w:cs="Arial" w:eastAsia="Arial" w:hAnsi="Arial"/>
                <w:sz w:val="14"/>
                <w:szCs w:val="14"/>
                <w:color w:val="auto"/>
              </w:rPr>
              <w:t>campaign with retail investors to build support – did not pass</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2280" w:type="dxa"/>
            <w:vAlign w:val="bottom"/>
            <w:tcBorders>
              <w:bottom w:val="single" w:sz="8" w:color="7F7F7F"/>
            </w:tcBorders>
          </w:tcPr>
          <w:p>
            <w:pPr>
              <w:spacing w:after="0"/>
              <w:rPr>
                <w:sz w:val="5"/>
                <w:szCs w:val="5"/>
                <w:color w:val="auto"/>
              </w:rPr>
            </w:pPr>
          </w:p>
        </w:tc>
        <w:tc>
          <w:tcPr>
            <w:tcW w:w="712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2017</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53% / 33%</w:t>
            </w: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Updated AIP to 60% financial metrics / 40% strategic objectives from 50% / 50%</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12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 did not pass</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280" w:type="dxa"/>
            <w:vAlign w:val="bottom"/>
            <w:tcBorders>
              <w:bottom w:val="single" w:sz="8" w:color="7F7F7F"/>
            </w:tcBorders>
          </w:tcPr>
          <w:p>
            <w:pPr>
              <w:spacing w:after="0"/>
              <w:rPr>
                <w:sz w:val="7"/>
                <w:szCs w:val="7"/>
                <w:color w:val="auto"/>
              </w:rPr>
            </w:pPr>
          </w:p>
        </w:tc>
        <w:tc>
          <w:tcPr>
            <w:tcW w:w="712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2016</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60% / 28%</w:t>
            </w: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proxy access</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12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provide shareholders with written consent right – did not pass</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280" w:type="dxa"/>
            <w:vAlign w:val="bottom"/>
            <w:tcBorders>
              <w:bottom w:val="single" w:sz="8" w:color="7F7F7F"/>
            </w:tcBorders>
          </w:tcPr>
          <w:p>
            <w:pPr>
              <w:spacing w:after="0"/>
              <w:rPr>
                <w:sz w:val="7"/>
                <w:szCs w:val="7"/>
                <w:color w:val="auto"/>
              </w:rPr>
            </w:pPr>
          </w:p>
        </w:tc>
        <w:tc>
          <w:tcPr>
            <w:tcW w:w="712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900" w:type="dxa"/>
            <w:vAlign w:val="bottom"/>
            <w:tcBorders>
              <w:bottom w:val="single" w:sz="8" w:color="7F7F7F"/>
            </w:tcBorders>
          </w:tcPr>
          <w:p>
            <w:pPr>
              <w:ind w:left="340"/>
              <w:spacing w:after="0"/>
              <w:rPr>
                <w:sz w:val="20"/>
                <w:szCs w:val="20"/>
                <w:color w:val="auto"/>
              </w:rPr>
            </w:pPr>
            <w:r>
              <w:rPr>
                <w:rFonts w:ascii="Arial" w:cs="Arial" w:eastAsia="Arial" w:hAnsi="Arial"/>
                <w:sz w:val="14"/>
                <w:szCs w:val="14"/>
                <w:b w:val="1"/>
                <w:bCs w:val="1"/>
                <w:color w:val="auto"/>
              </w:rPr>
              <w:t>2015</w:t>
            </w:r>
          </w:p>
        </w:tc>
        <w:tc>
          <w:tcPr>
            <w:tcW w:w="22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021496"/>
              </w:rPr>
              <w:t>39% / 24%</w:t>
            </w: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Launched of governance-focused shareholder engagement program</w:t>
            </w: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900" w:type="dxa"/>
            <w:vAlign w:val="bottom"/>
            <w:tcBorders>
              <w:bottom w:val="single" w:sz="8" w:color="7F7F7F"/>
            </w:tcBorders>
          </w:tcPr>
          <w:p>
            <w:pPr>
              <w:ind w:left="340"/>
              <w:spacing w:after="0"/>
              <w:rPr>
                <w:sz w:val="20"/>
                <w:szCs w:val="20"/>
                <w:color w:val="auto"/>
              </w:rPr>
            </w:pPr>
            <w:r>
              <w:rPr>
                <w:rFonts w:ascii="Arial" w:cs="Arial" w:eastAsia="Arial" w:hAnsi="Arial"/>
                <w:sz w:val="14"/>
                <w:szCs w:val="14"/>
                <w:b w:val="1"/>
                <w:bCs w:val="1"/>
                <w:color w:val="auto"/>
              </w:rPr>
              <w:t>2014</w:t>
            </w:r>
          </w:p>
        </w:tc>
        <w:tc>
          <w:tcPr>
            <w:tcW w:w="22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021496"/>
              </w:rPr>
              <w:t>- / -</w:t>
            </w: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special meeting right</w:t>
            </w: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30</w:t>
      </w:r>
    </w:p>
    <w:p>
      <w:pPr>
        <w:sectPr>
          <w:pgSz w:w="11900" w:h="16838" w:orient="portrait"/>
          <w:cols w:equalWidth="0" w:num="1">
            <w:col w:w="10920"/>
          </w:cols>
          <w:pgMar w:left="480" w:top="299" w:right="4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Environmental, Social, and Governance Oversight (ESG)</w:t>
      </w:r>
    </w:p>
    <w:p>
      <w:pPr>
        <w:spacing w:after="0" w:line="8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Throughout our history, our commitment to corporate responsibility and sustainability is approached in a way that supports business and has created significant value for our shareholders and stakeholders. Our vision for sustainability at Dover is “a sustainable innovation for every customer challenge.” This vision helps guide our efforts across our portfolio of operating companies and our team of approximately 24,000 employees. We remain focused on operating sustainably to help meet the goals of our customers, realize the full potential of our employees by fostering a culture that supports and values their efforts, and strengthen the communities in which we operate.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ESG Areas of Focus and Materiality Analysis</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pursue sustainability initiatives that support our employees, customers, and communities to ensure our businesses continue to create long-term value for our shareholders. Our areas of focus — identified and prioritized in our materiality analysis conducted in 2020 – represent the ESG issues most important to our business and stakeholders. For each of the identified areas of focus, we are applying our resources, expertise, and innovation to improve outcomes and drive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our initiatives, progress, and accomplishments, please visit https://www.dovercorporation.com/sustainability/overview.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Governance Oversight of ESG</w:t>
      </w:r>
    </w:p>
    <w:p>
      <w:pPr>
        <w:spacing w:after="0" w:line="175"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Our governance framework serves as a strong foundation to promote the long-term interests of our shareholders. Our Board oversees our long-term strategic development and enterprise risk, including ESG risks. The Board’s oversight spans a wide array of ESG issues, including those related to climate change, health and safety, human capital, ethics and compliance, and long-term environmental protection. As part of its continued focus on sustainability, our Board incorporates ESG oversight into the CEO’s annual performance and compensation evaluation as one of the CEO’s strategic objectives. The Board also has established a comprehensive enterprise risk management process to identify and manage risks, including any risks related to environmental and social issues.</w:t>
      </w:r>
    </w:p>
    <w:p>
      <w:pPr>
        <w:spacing w:after="0" w:line="14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Additionally, our cross-functional management-level Sustainability Steering Committee manages ESG issues, typically meets at least four times per year, and provides an update to the Board at least annually. The committee is responsible for guiding our sustainability strategy, initiatives, target-setting, performance, and reporting. We are focused on compliance with evolving regulatory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Progress Toward Goals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made progress on a number of fronts toward our sustainability goals. These goals include our 2030 science-based targets to reduce both our operational and value chain greenhouse gas emissions. We continue to disclose progress against our greenhouse gas emissions and goals. Also, as part of our efforts around increasing our focus on developing products that help our customers meet their sustainability goals, our operating companies have embedded sustainability considerations into new product development processes. In addition, as of the end of 2025, we exceeded our goal of reducing TRIR by 40% by 2025 (from a 2019 baseline year), achieving a TRIR of 0.75 (a 41% reduction). We remain committed to continuing to prioritize health and safety compliance, risk mitigation, and continuous process improvement across the organization.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highlight key initiatives and performance metrics about our sustainability activities under the “Sustainability” tab on our website.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31</w:t>
      </w:r>
    </w:p>
    <w:p>
      <w:pPr>
        <w:sectPr>
          <w:pgSz w:w="11900" w:h="16838" w:orient="portrait"/>
          <w:cols w:equalWidth="0" w:num="1">
            <w:col w:w="10920"/>
          </w:cols>
          <w:pgMar w:left="480" w:top="299" w:right="4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Directors’ Compensation</w:t>
      </w:r>
    </w:p>
    <w:p>
      <w:pPr>
        <w:spacing w:after="0" w:line="8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Our non-employee directors’ annual compensation is payable partly in cash and partly in common stock in an allocation our Board may adjust from time to time. If any director serves for less than a full calendar year, the compensation to be paid to that director for the year will be pro-rated as deemed appropriate by our Compensation Committee.</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FOR 2025, NON-EMPLOYEE DIRECTOR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6929755" cy="153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Annual retainer of $305,000, payable $175,000 in common stock and $130,000 in cash</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 Committee Chair — additional annual cash retainer of $30,000</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Compensation Committee Chair — additional annual cash retainer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929755" cy="144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Governance and Nominating Committee Chair — additional annual cash retainer of $20,000</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 Committee Chair — additional annual cash retainer of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929755" cy="14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Lead Independent Director — additional annual cash retainer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Under our 2021 LTIP, each non-employee director can elect to defer the receipt of 0%, 50%, or 100% of the equity compensation payable in a year until termination of services as a non-employee director. Shares deferred are converted into deferred stock units representing the right to receive one share of our common stock for each unit held at the end of the deferral period. Dividend equivalents are credited on deferred stock units and will be distributed in cash at the time that shares are distributed in settlement of deferred stock units. Messrs. Manley, and Spiegel and Mses. Graham and DeHaas elected to defer receipt of their 2025 equity compensation and received deferred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compensation paid to our non-employee directors for services in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Borders>
              <w:top w:val="single" w:sz="8" w:color="021496"/>
              <w:right w:val="single" w:sz="8" w:color="999999"/>
            </w:tcBorders>
          </w:tcPr>
          <w:p>
            <w:pPr>
              <w:spacing w:after="0"/>
              <w:rPr>
                <w:sz w:val="17"/>
                <w:szCs w:val="17"/>
                <w:color w:val="auto"/>
              </w:rPr>
            </w:pPr>
          </w:p>
        </w:tc>
        <w:tc>
          <w:tcPr>
            <w:tcW w:w="2320" w:type="dxa"/>
            <w:vAlign w:val="bottom"/>
            <w:tcBorders>
              <w:top w:val="single" w:sz="8" w:color="021496"/>
            </w:tcBorders>
          </w:tcPr>
          <w:p>
            <w:pPr>
              <w:jc w:val="right"/>
              <w:ind w:right="440"/>
              <w:spacing w:after="0"/>
              <w:rPr>
                <w:sz w:val="20"/>
                <w:szCs w:val="20"/>
                <w:color w:val="auto"/>
              </w:rPr>
            </w:pPr>
            <w:r>
              <w:rPr>
                <w:rFonts w:ascii="Arial" w:cs="Arial" w:eastAsia="Arial" w:hAnsi="Arial"/>
                <w:sz w:val="16"/>
                <w:szCs w:val="16"/>
                <w:b w:val="1"/>
                <w:bCs w:val="1"/>
                <w:color w:val="auto"/>
              </w:rPr>
              <w:t>FEES EARNED</w:t>
            </w:r>
          </w:p>
        </w:tc>
        <w:tc>
          <w:tcPr>
            <w:tcW w:w="2180" w:type="dxa"/>
            <w:vAlign w:val="bottom"/>
            <w:tcBorders>
              <w:top w:val="single" w:sz="8" w:color="021496"/>
            </w:tcBorders>
          </w:tcPr>
          <w:p>
            <w:pPr>
              <w:spacing w:after="0"/>
              <w:rPr>
                <w:sz w:val="17"/>
                <w:szCs w:val="17"/>
                <w:color w:val="auto"/>
              </w:rPr>
            </w:pPr>
          </w:p>
        </w:tc>
        <w:tc>
          <w:tcPr>
            <w:tcW w:w="1160" w:type="dxa"/>
            <w:vAlign w:val="bottom"/>
            <w:tcBorders>
              <w:top w:val="single" w:sz="8" w:color="021496"/>
            </w:tcBorders>
          </w:tcPr>
          <w:p>
            <w:pPr>
              <w:spacing w:after="0"/>
              <w:rPr>
                <w:sz w:val="17"/>
                <w:szCs w:val="17"/>
                <w:color w:val="auto"/>
              </w:rPr>
            </w:pPr>
          </w:p>
        </w:tc>
      </w:tr>
      <w:tr>
        <w:trPr>
          <w:trHeight w:val="187"/>
        </w:trPr>
        <w:tc>
          <w:tcPr>
            <w:tcW w:w="5260" w:type="dxa"/>
            <w:vAlign w:val="bottom"/>
            <w:tcBorders>
              <w:right w:val="single" w:sz="8" w:color="999999"/>
            </w:tcBorders>
          </w:tcPr>
          <w:p>
            <w:pPr>
              <w:spacing w:after="0"/>
              <w:rPr>
                <w:sz w:val="16"/>
                <w:szCs w:val="16"/>
                <w:color w:val="auto"/>
              </w:rPr>
            </w:pPr>
          </w:p>
        </w:tc>
        <w:tc>
          <w:tcPr>
            <w:tcW w:w="2320" w:type="dxa"/>
            <w:vAlign w:val="bottom"/>
          </w:tcPr>
          <w:p>
            <w:pPr>
              <w:jc w:val="right"/>
              <w:ind w:right="680"/>
              <w:spacing w:after="0"/>
              <w:rPr>
                <w:sz w:val="20"/>
                <w:szCs w:val="20"/>
                <w:color w:val="auto"/>
              </w:rPr>
            </w:pPr>
            <w:r>
              <w:rPr>
                <w:rFonts w:ascii="Arial" w:cs="Arial" w:eastAsia="Arial" w:hAnsi="Arial"/>
                <w:sz w:val="16"/>
                <w:szCs w:val="16"/>
                <w:b w:val="1"/>
                <w:bCs w:val="1"/>
                <w:color w:val="auto"/>
              </w:rPr>
              <w:t>OR PAID</w:t>
            </w:r>
          </w:p>
        </w:tc>
        <w:tc>
          <w:tcPr>
            <w:tcW w:w="2180" w:type="dxa"/>
            <w:vAlign w:val="bottom"/>
          </w:tcPr>
          <w:p>
            <w:pPr>
              <w:jc w:val="right"/>
              <w:ind w:right="760"/>
              <w:spacing w:after="0"/>
              <w:rPr>
                <w:sz w:val="20"/>
                <w:szCs w:val="20"/>
                <w:color w:val="auto"/>
              </w:rPr>
            </w:pPr>
            <w:r>
              <w:rPr>
                <w:rFonts w:ascii="Arial" w:cs="Arial" w:eastAsia="Arial" w:hAnsi="Arial"/>
                <w:sz w:val="16"/>
                <w:szCs w:val="16"/>
                <w:b w:val="1"/>
                <w:bCs w:val="1"/>
                <w:color w:val="auto"/>
              </w:rPr>
              <w:t>STOCK</w:t>
            </w:r>
          </w:p>
        </w:tc>
        <w:tc>
          <w:tcPr>
            <w:tcW w:w="1160" w:type="dxa"/>
            <w:vAlign w:val="bottom"/>
          </w:tcPr>
          <w:p>
            <w:pPr>
              <w:ind w:left="520"/>
              <w:spacing w:after="0"/>
              <w:rPr>
                <w:sz w:val="20"/>
                <w:szCs w:val="20"/>
                <w:color w:val="auto"/>
              </w:rPr>
            </w:pPr>
            <w:r>
              <w:rPr>
                <w:rFonts w:ascii="Arial" w:cs="Arial" w:eastAsia="Arial" w:hAnsi="Arial"/>
                <w:sz w:val="16"/>
                <w:szCs w:val="16"/>
                <w:b w:val="1"/>
                <w:bCs w:val="1"/>
                <w:color w:val="auto"/>
              </w:rPr>
              <w:t>TOTAL</w:t>
            </w:r>
          </w:p>
        </w:tc>
      </w:tr>
      <w:tr>
        <w:trPr>
          <w:trHeight w:val="238"/>
        </w:trPr>
        <w:tc>
          <w:tcPr>
            <w:tcW w:w="5260" w:type="dxa"/>
            <w:vAlign w:val="bottom"/>
            <w:tcBorders>
              <w:bottom w:val="single" w:sz="8" w:color="021496"/>
              <w:right w:val="single" w:sz="8" w:color="999999"/>
            </w:tcBorders>
          </w:tcPr>
          <w:p>
            <w:pPr>
              <w:ind w:left="100"/>
              <w:spacing w:after="0"/>
              <w:rPr>
                <w:sz w:val="20"/>
                <w:szCs w:val="20"/>
                <w:color w:val="auto"/>
              </w:rPr>
            </w:pPr>
            <w:r>
              <w:rPr>
                <w:rFonts w:ascii="Arial" w:cs="Arial" w:eastAsia="Arial" w:hAnsi="Arial"/>
                <w:sz w:val="16"/>
                <w:szCs w:val="16"/>
                <w:b w:val="1"/>
                <w:bCs w:val="1"/>
                <w:color w:val="auto"/>
              </w:rPr>
              <w:t>NAME</w:t>
            </w:r>
          </w:p>
        </w:tc>
        <w:tc>
          <w:tcPr>
            <w:tcW w:w="2320" w:type="dxa"/>
            <w:vAlign w:val="bottom"/>
            <w:tcBorders>
              <w:bottom w:val="single" w:sz="8" w:color="021496"/>
            </w:tcBorders>
          </w:tcPr>
          <w:p>
            <w:pPr>
              <w:jc w:val="right"/>
              <w:ind w:right="460"/>
              <w:spacing w:after="0"/>
              <w:rPr>
                <w:sz w:val="20"/>
                <w:szCs w:val="20"/>
                <w:color w:val="auto"/>
              </w:rPr>
            </w:pPr>
            <w:r>
              <w:rPr>
                <w:rFonts w:ascii="Arial" w:cs="Arial" w:eastAsia="Arial" w:hAnsi="Arial"/>
                <w:sz w:val="16"/>
                <w:szCs w:val="16"/>
                <w:b w:val="1"/>
                <w:bCs w:val="1"/>
                <w:color w:val="auto"/>
              </w:rPr>
              <w:t>IN CASH ($)(1)</w:t>
            </w:r>
          </w:p>
        </w:tc>
        <w:tc>
          <w:tcPr>
            <w:tcW w:w="2180" w:type="dxa"/>
            <w:vAlign w:val="bottom"/>
            <w:tcBorders>
              <w:bottom w:val="single" w:sz="8" w:color="021496"/>
            </w:tcBorders>
          </w:tcPr>
          <w:p>
            <w:pPr>
              <w:jc w:val="right"/>
              <w:ind w:right="460"/>
              <w:spacing w:after="0"/>
              <w:rPr>
                <w:sz w:val="20"/>
                <w:szCs w:val="20"/>
                <w:color w:val="auto"/>
              </w:rPr>
            </w:pPr>
            <w:r>
              <w:rPr>
                <w:rFonts w:ascii="Arial" w:cs="Arial" w:eastAsia="Arial" w:hAnsi="Arial"/>
                <w:sz w:val="16"/>
                <w:szCs w:val="16"/>
                <w:b w:val="1"/>
                <w:bCs w:val="1"/>
                <w:color w:val="auto"/>
              </w:rPr>
              <w:t>AWARDS ($)(2)</w:t>
            </w:r>
          </w:p>
        </w:tc>
        <w:tc>
          <w:tcPr>
            <w:tcW w:w="1160" w:type="dxa"/>
            <w:vAlign w:val="bottom"/>
            <w:tcBorders>
              <w:bottom w:val="single" w:sz="8" w:color="021496"/>
            </w:tcBorders>
          </w:tcPr>
          <w:p>
            <w:pPr>
              <w:ind w:left="680"/>
              <w:spacing w:after="0"/>
              <w:rPr>
                <w:sz w:val="20"/>
                <w:szCs w:val="20"/>
                <w:color w:val="auto"/>
              </w:rPr>
            </w:pPr>
            <w:r>
              <w:rPr>
                <w:rFonts w:ascii="Arial" w:cs="Arial" w:eastAsia="Arial" w:hAnsi="Arial"/>
                <w:sz w:val="16"/>
                <w:szCs w:val="16"/>
                <w:b w:val="1"/>
                <w:bCs w:val="1"/>
                <w:color w:val="auto"/>
              </w:rPr>
              <w:t>($)</w:t>
            </w:r>
          </w:p>
        </w:tc>
      </w:tr>
      <w:tr>
        <w:trPr>
          <w:trHeight w:val="244"/>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DEBORAH L. DEHAAS</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305,009</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H. JOHN GILBERTSON, JR</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143,329</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Pr>
          <w:p>
            <w:pPr>
              <w:ind w:left="520"/>
              <w:spacing w:after="0"/>
              <w:rPr>
                <w:sz w:val="20"/>
                <w:szCs w:val="20"/>
                <w:color w:val="auto"/>
              </w:rPr>
            </w:pPr>
            <w:r>
              <w:rPr>
                <w:rFonts w:ascii="Arial" w:cs="Arial" w:eastAsia="Arial" w:hAnsi="Arial"/>
                <w:sz w:val="16"/>
                <w:szCs w:val="16"/>
                <w:color w:val="auto"/>
              </w:rPr>
              <w:t>318,338</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KRISTIANE C. GRAHAM</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305,009</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MARC A. HOWZE</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Pr>
          <w:p>
            <w:pPr>
              <w:ind w:left="520"/>
              <w:spacing w:after="0"/>
              <w:rPr>
                <w:sz w:val="20"/>
                <w:szCs w:val="20"/>
                <w:color w:val="auto"/>
              </w:rPr>
            </w:pPr>
            <w:r>
              <w:rPr>
                <w:rFonts w:ascii="Arial" w:cs="Arial" w:eastAsia="Arial" w:hAnsi="Arial"/>
                <w:sz w:val="16"/>
                <w:szCs w:val="16"/>
                <w:color w:val="auto"/>
              </w:rPr>
              <w:t>305,009</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MICHAEL F. JOHNSTON(3)</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100,000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72,852</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172,852</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MICHAEL MANLEY</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Pr>
          <w:p>
            <w:pPr>
              <w:ind w:left="520"/>
              <w:spacing w:after="0"/>
              <w:rPr>
                <w:sz w:val="20"/>
                <w:szCs w:val="20"/>
                <w:color w:val="auto"/>
              </w:rPr>
            </w:pPr>
            <w:r>
              <w:rPr>
                <w:rFonts w:ascii="Arial" w:cs="Arial" w:eastAsia="Arial" w:hAnsi="Arial"/>
                <w:sz w:val="16"/>
                <w:szCs w:val="16"/>
                <w:color w:val="auto"/>
              </w:rPr>
              <w:t>305,009</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DANITA K. OSTLING</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160,000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335,009</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ERIC A. SPIEGEL</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145,000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Pr>
          <w:p>
            <w:pPr>
              <w:ind w:left="520"/>
              <w:spacing w:after="0"/>
              <w:rPr>
                <w:sz w:val="20"/>
                <w:szCs w:val="20"/>
                <w:color w:val="auto"/>
              </w:rPr>
            </w:pPr>
            <w:r>
              <w:rPr>
                <w:rFonts w:ascii="Arial" w:cs="Arial" w:eastAsia="Arial" w:hAnsi="Arial"/>
                <w:sz w:val="16"/>
                <w:szCs w:val="16"/>
                <w:color w:val="auto"/>
              </w:rPr>
              <w:t>320,009</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KEITH E. WANDELL</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188,321</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175,009</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363,330</w:t>
            </w:r>
          </w:p>
        </w:tc>
      </w:tr>
      <w:tr>
        <w:trPr>
          <w:trHeight w:val="20"/>
        </w:trPr>
        <w:tc>
          <w:tcPr>
            <w:tcW w:w="5260" w:type="dxa"/>
            <w:vAlign w:val="bottom"/>
            <w:tcBorders>
              <w:right w:val="single" w:sz="8" w:color="999999"/>
            </w:tcBorders>
            <w:shd w:val="clear" w:color="auto" w:fill="021496"/>
          </w:tcPr>
          <w:p>
            <w:pPr>
              <w:spacing w:after="0" w:line="20" w:lineRule="exact"/>
              <w:rPr>
                <w:sz w:val="1"/>
                <w:szCs w:val="1"/>
                <w:color w:val="auto"/>
              </w:rPr>
            </w:pPr>
          </w:p>
        </w:tc>
        <w:tc>
          <w:tcPr>
            <w:tcW w:w="2320" w:type="dxa"/>
            <w:vAlign w:val="bottom"/>
            <w:shd w:val="clear" w:color="auto" w:fill="021496"/>
          </w:tcPr>
          <w:p>
            <w:pPr>
              <w:spacing w:after="0" w:line="20" w:lineRule="exact"/>
              <w:rPr>
                <w:sz w:val="1"/>
                <w:szCs w:val="1"/>
                <w:color w:val="auto"/>
              </w:rPr>
            </w:pPr>
          </w:p>
        </w:tc>
        <w:tc>
          <w:tcPr>
            <w:tcW w:w="2180" w:type="dxa"/>
            <w:vAlign w:val="bottom"/>
            <w:shd w:val="clear" w:color="auto" w:fill="021496"/>
          </w:tcPr>
          <w:p>
            <w:pPr>
              <w:spacing w:after="0" w:line="20" w:lineRule="exact"/>
              <w:rPr>
                <w:sz w:val="1"/>
                <w:szCs w:val="1"/>
                <w:color w:val="auto"/>
              </w:rPr>
            </w:pPr>
          </w:p>
        </w:tc>
        <w:tc>
          <w:tcPr>
            <w:tcW w:w="1160" w:type="dxa"/>
            <w:vAlign w:val="bottom"/>
            <w:shd w:val="clear" w:color="auto" w:fill="021496"/>
          </w:tcPr>
          <w:p>
            <w:pPr>
              <w:spacing w:after="0" w:line="20" w:lineRule="exact"/>
              <w:rPr>
                <w:sz w:val="1"/>
                <w:szCs w:val="1"/>
                <w:color w:val="auto"/>
              </w:rPr>
            </w:pPr>
          </w:p>
        </w:tc>
      </w:tr>
    </w:tbl>
    <w:p>
      <w:pPr>
        <w:ind w:left="640" w:right="240" w:hanging="633"/>
        <w:spacing w:after="0" w:line="245" w:lineRule="auto"/>
        <w:tabs>
          <w:tab w:leader="none" w:pos="6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include the standard annual cash retainer, the Chair’s additional cash retainer, and the additional annual cash retainer for committee Chairs earned or paid in 2025.</w:t>
      </w:r>
    </w:p>
    <w:p>
      <w:pPr>
        <w:ind w:left="640" w:right="60" w:hanging="633"/>
        <w:spacing w:after="0" w:line="244" w:lineRule="auto"/>
        <w:tabs>
          <w:tab w:leader="none" w:pos="6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On November 17, 2025, each of Messrs. Gilbertson, Howze and Wandell and Ms. Ostling received 972 shares of common stock with an aggregate grant date fair market value of $175,009. Messrs. Manley, Spiegel and Mses. Graham and DeHaas each received 972 deferred stock units with an aggregate grant date fair market value of $175,009.</w:t>
      </w:r>
    </w:p>
    <w:p>
      <w:pPr>
        <w:ind w:left="640" w:right="300" w:hanging="633"/>
        <w:spacing w:after="0" w:line="258" w:lineRule="auto"/>
        <w:tabs>
          <w:tab w:leader="none" w:pos="6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Mr. Johnston retired from the Board effective as of the 2025 Annual Meeting. On May 2, 2025, Mr. Johnston received 419 shares of common stock with an aggregate grant date fair market value of $72,852.</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32</w:t>
      </w:r>
    </w:p>
    <w:p>
      <w:pPr>
        <w:sectPr>
          <w:pgSz w:w="11900" w:h="16838" w:orient="portrait"/>
          <w:cols w:equalWidth="0" w:num="1">
            <w:col w:w="10920"/>
          </w:cols>
          <w:pgMar w:left="480" w:top="299" w:right="49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1 — ELECTION OF DIRECTORS</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Compensation Committee reviews our non-employee director compensation policy biennially and proposes changes to the Board, as appropriate. In reviewing the non-employee director compensation policy in 2026, our Compensation Committee worked with its independent compensation consultant to assess the competitiveness of our non-employee director compensation policy based on benchmark information from peer companies and relevant compensation surveys. Based on its review, our Compensation Committee proposed and the Board adopted the following changes to our non-employee director compensation policy to be effective in 2026: an increase by $25,000 of the annual retainer for non-employee directors, payable in common stock.</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33</w:t>
      </w:r>
    </w:p>
    <w:p>
      <w:pPr>
        <w:sectPr>
          <w:pgSz w:w="11900" w:h="16838" w:orient="portrait"/>
          <w:cols w:equalWidth="0" w:num="1">
            <w:col w:w="10920"/>
          </w:cols>
          <w:pgMar w:left="480" w:top="299" w:right="499" w:bottom="1440" w:gutter="0" w:footer="0" w:header="0"/>
        </w:sectPr>
      </w:pPr>
    </w:p>
    <w:bookmarkStart w:id="38" w:name="page39"/>
    <w:bookmarkEnd w:id="38"/>
    <w:p>
      <w:pPr>
        <w:ind w:right="1200"/>
        <w:spacing w:after="0" w:line="284" w:lineRule="auto"/>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2 — Ratification of Appointment of Independent Registered Public Accounting Firm</w:t>
      </w:r>
    </w:p>
    <w:p>
      <w:pPr>
        <w:spacing w:after="0" w:line="8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Audit Committee has appointed the independent registered public accounting firm of PwC to audit the annual accounts of Dover and its subsidiaries for 2026. PwC has audited the financial statements for the Company since 1995. Representatives of PwC are not expected to be present at the Annual Meeting.</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Although shareholder ratification of PwC’s appointment is not required by Dover’s by-laws or otherwise, our Board is submitting the ratification of PwC’s appointment for the year 2026 to Dover’s shareholders. If the shareholders do not ratify the appointment of PwC, the Audit Committee will reconsider whether or not to retain PwC as Dover’s independent registered public accounting firm for the year 2026 but will not be obligated to terminate the appointment. Even if the shareholders ratify the appointment of PwC, the Audit Committee in its discretion may direct the appointment of a different independent registered public accounting firm at any time during the year if the Audit Committee determines that such a change would be in Dover’s interests.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THE BOARD RECOMMENDS A VOTE “FOR” RATIFICATION OF THE APPOINTMENT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OF PWC AS OUR INDEPENDENT REGISTERED PUBLIC ACCOUNTING FIRM FOR THE YEAR 2026.</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34</w:t>
      </w:r>
    </w:p>
    <w:p>
      <w:pPr>
        <w:sectPr>
          <w:pgSz w:w="11900" w:h="16838" w:orient="portrait"/>
          <w:cols w:equalWidth="0" w:num="1">
            <w:col w:w="10920"/>
          </w:cols>
          <w:pgMar w:left="480" w:top="276" w:right="49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2 — RATIFICATION OF APPOINTMENT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6938010" cy="56984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38010" cy="5698490"/>
                    </a:xfrm>
                    <a:prstGeom prst="rect">
                      <a:avLst/>
                    </a:prstGeom>
                    <a:noFill/>
                  </pic:spPr>
                </pic:pic>
              </a:graphicData>
            </a:graphic>
          </wp:anchor>
        </w:drawing>
      </w:r>
    </w:p>
    <w:p>
      <w:pPr>
        <w:spacing w:after="0" w:line="385" w:lineRule="exact"/>
        <w:rPr>
          <w:sz w:val="20"/>
          <w:szCs w:val="20"/>
          <w:color w:val="auto"/>
        </w:rPr>
      </w:pPr>
    </w:p>
    <w:p>
      <w:pPr>
        <w:jc w:val="both"/>
        <w:ind w:left="260" w:right="220"/>
        <w:spacing w:after="0" w:line="262" w:lineRule="auto"/>
        <w:rPr>
          <w:sz w:val="20"/>
          <w:szCs w:val="20"/>
          <w:color w:val="auto"/>
        </w:rPr>
      </w:pPr>
      <w:r>
        <w:rPr>
          <w:rFonts w:ascii="Arial" w:cs="Arial" w:eastAsia="Arial" w:hAnsi="Arial"/>
          <w:sz w:val="16"/>
          <w:szCs w:val="16"/>
          <w:color w:val="auto"/>
        </w:rPr>
        <w:t>The Audit Committee is composed of directors who, in the opinion of the Board, are independent and financially literate under NYSE rules and all of whom, with the exception of Mr. Howze, qualify as audit committee financial experts as defined by the SEC. Information concerning the credentials of the Audit Committee members can be found in the section of this proxy statement entitled “Proposal 1 — Election of Directors”.</w:t>
      </w:r>
    </w:p>
    <w:p>
      <w:pPr>
        <w:spacing w:after="0" w:line="80" w:lineRule="exact"/>
        <w:rPr>
          <w:sz w:val="20"/>
          <w:szCs w:val="20"/>
          <w:color w:val="auto"/>
        </w:rPr>
      </w:pPr>
    </w:p>
    <w:p>
      <w:pPr>
        <w:ind w:left="260" w:right="320"/>
        <w:spacing w:after="0" w:line="262" w:lineRule="auto"/>
        <w:rPr>
          <w:sz w:val="20"/>
          <w:szCs w:val="20"/>
          <w:color w:val="auto"/>
        </w:rPr>
      </w:pPr>
      <w:r>
        <w:rPr>
          <w:rFonts w:ascii="Arial" w:cs="Arial" w:eastAsia="Arial" w:hAnsi="Arial"/>
          <w:sz w:val="16"/>
          <w:szCs w:val="16"/>
          <w:color w:val="auto"/>
        </w:rPr>
        <w:t>The Audit Committee operates under a written charter adopted by the Board and available on Dover’s website. The Audit Committee assists the Board in overseeing the quality and integrity of Dover’s financial statements, compliance with legal and regulatory requirements, the qualifications, performance and independence of the independent auditors, and the performance of the internal audit function.</w:t>
      </w:r>
    </w:p>
    <w:p>
      <w:pPr>
        <w:spacing w:after="0" w:line="80" w:lineRule="exact"/>
        <w:rPr>
          <w:sz w:val="20"/>
          <w:szCs w:val="20"/>
          <w:color w:val="auto"/>
        </w:rPr>
      </w:pPr>
    </w:p>
    <w:p>
      <w:pPr>
        <w:ind w:left="260" w:right="340"/>
        <w:spacing w:after="0" w:line="253" w:lineRule="auto"/>
        <w:rPr>
          <w:sz w:val="20"/>
          <w:szCs w:val="20"/>
          <w:color w:val="auto"/>
        </w:rPr>
      </w:pPr>
      <w:r>
        <w:rPr>
          <w:rFonts w:ascii="Arial" w:cs="Arial" w:eastAsia="Arial" w:hAnsi="Arial"/>
          <w:sz w:val="16"/>
          <w:szCs w:val="16"/>
          <w:color w:val="auto"/>
        </w:rPr>
        <w:t>Among other things, the Audit Committee appoints the Company’s independent auditors and is directly involved in the selection of the lead audit engagement partner, discusses with the internal audit function and independent auditors the overall scope and plans for their respective audits, reviews the Company’s accounting policies and system of internal controls, reviews significant financial transactions, discusses with management and with the Board processes relating to risk management, pre-approves audit and permissible non-audit services provided by the independent auditors, and approves all fees paid to the independent auditors for such services.</w:t>
      </w:r>
    </w:p>
    <w:p>
      <w:pPr>
        <w:spacing w:after="0" w:line="87" w:lineRule="exact"/>
        <w:rPr>
          <w:sz w:val="20"/>
          <w:szCs w:val="20"/>
          <w:color w:val="auto"/>
        </w:rPr>
      </w:pPr>
    </w:p>
    <w:p>
      <w:pPr>
        <w:ind w:left="260" w:right="240"/>
        <w:spacing w:after="0" w:line="251" w:lineRule="auto"/>
        <w:rPr>
          <w:sz w:val="20"/>
          <w:szCs w:val="20"/>
          <w:color w:val="auto"/>
        </w:rPr>
      </w:pPr>
      <w:r>
        <w:rPr>
          <w:rFonts w:ascii="Arial" w:cs="Arial" w:eastAsia="Arial" w:hAnsi="Arial"/>
          <w:sz w:val="16"/>
          <w:szCs w:val="16"/>
          <w:color w:val="auto"/>
        </w:rPr>
        <w:t>For 2025, the Audit Committee engaged the independent registered public accounting firm PwC as Dover’s independent auditor. In selecting PwC, the Audit Committee considered, among other things: the experience and qualifications of the lead audit partner and other senior members of the PwC team; PwC’s historical performance on Dover’s audit and the quality of its communications with the Audit Committee; the results of the most recent internal quality control review or Public Company Accounting Oversight Board (“PCAOB”) inspection; PwC’s independence; its reputation for integrity and competence in the fields of accounting and auditing; the appropriateness of its fees; and its tenure as Dover’s independent auditors, including its understanding of the Company’s global businesses, accounting policies and practices, and internal control over financial reporting.</w:t>
      </w:r>
    </w:p>
    <w:p>
      <w:pPr>
        <w:spacing w:after="0" w:line="89" w:lineRule="exact"/>
        <w:rPr>
          <w:sz w:val="20"/>
          <w:szCs w:val="20"/>
          <w:color w:val="auto"/>
        </w:rPr>
      </w:pPr>
    </w:p>
    <w:p>
      <w:pPr>
        <w:jc w:val="both"/>
        <w:ind w:left="260" w:right="260"/>
        <w:spacing w:after="0" w:line="262" w:lineRule="auto"/>
        <w:rPr>
          <w:sz w:val="20"/>
          <w:szCs w:val="20"/>
          <w:color w:val="auto"/>
        </w:rPr>
      </w:pPr>
      <w:r>
        <w:rPr>
          <w:rFonts w:ascii="Arial" w:cs="Arial" w:eastAsia="Arial" w:hAnsi="Arial"/>
          <w:sz w:val="16"/>
          <w:szCs w:val="16"/>
          <w:color w:val="auto"/>
        </w:rPr>
        <w:t>The Audit Committee discussed with PwC the overall scope and plans for the audit of Dover’s 2025 financial statements. The Audit Committee met with PwC, with and without management present, to discuss the results of PwC’s examination, their assessment of internal controls and the overall quality of financial reporting.</w:t>
      </w:r>
    </w:p>
    <w:p>
      <w:pPr>
        <w:spacing w:after="0" w:line="80" w:lineRule="exact"/>
        <w:rPr>
          <w:sz w:val="20"/>
          <w:szCs w:val="20"/>
          <w:color w:val="auto"/>
        </w:rPr>
      </w:pPr>
    </w:p>
    <w:p>
      <w:pPr>
        <w:ind w:left="260" w:right="140"/>
        <w:spacing w:after="0" w:line="256" w:lineRule="auto"/>
        <w:rPr>
          <w:sz w:val="20"/>
          <w:szCs w:val="20"/>
          <w:color w:val="auto"/>
        </w:rPr>
      </w:pPr>
      <w:r>
        <w:rPr>
          <w:rFonts w:ascii="Arial" w:cs="Arial" w:eastAsia="Arial" w:hAnsi="Arial"/>
          <w:sz w:val="16"/>
          <w:szCs w:val="16"/>
          <w:color w:val="auto"/>
        </w:rPr>
        <w:t>The Audit Committee reviewed and discussed, with both the management of Dover and PwC, Dover’s 2025 audited financial statements, including a discussion of critical accounting policies, the quality, not just the acceptability, of the accounting principles followed, the reasonableness of significant judgments reflected in such financial statements and the clarity of disclosures in the financial statements. The Audit Committee met a total of eight times in 2025 and 2026 to discuss 2025 quarterly and full-year financial results and related disclosures.</w:t>
      </w:r>
    </w:p>
    <w:p>
      <w:pPr>
        <w:spacing w:after="0" w:line="84" w:lineRule="exact"/>
        <w:rPr>
          <w:sz w:val="20"/>
          <w:szCs w:val="20"/>
          <w:color w:val="auto"/>
        </w:rPr>
      </w:pPr>
    </w:p>
    <w:p>
      <w:pPr>
        <w:ind w:left="260" w:right="420"/>
        <w:spacing w:after="0" w:line="253" w:lineRule="auto"/>
        <w:rPr>
          <w:sz w:val="20"/>
          <w:szCs w:val="20"/>
          <w:color w:val="auto"/>
        </w:rPr>
      </w:pPr>
      <w:r>
        <w:rPr>
          <w:rFonts w:ascii="Arial" w:cs="Arial" w:eastAsia="Arial" w:hAnsi="Arial"/>
          <w:sz w:val="16"/>
          <w:szCs w:val="16"/>
          <w:color w:val="auto"/>
        </w:rPr>
        <w:t>The Audit Committee has received the written disclosures and the Rule 3526 letter from PwC required by the applicable requirements of PCAOB regarding the independent auditor’s communications with the Audit Committee concerning independence, and discussed with PwC its independence, including the impact of any relationships or permitted non-auditing services on PwC’s independence. The Audit Committee also discussed with PwC the matters required to be discussed under PCAOB Auditing Standard No. 1301. The Audit Committee has also received written materials addressing PwC’s internal control procedures and other matters required by NYSE listing standards.</w:t>
      </w:r>
    </w:p>
    <w:p>
      <w:pPr>
        <w:spacing w:after="0" w:line="87" w:lineRule="exact"/>
        <w:rPr>
          <w:sz w:val="20"/>
          <w:szCs w:val="20"/>
          <w:color w:val="auto"/>
        </w:rPr>
      </w:pPr>
    </w:p>
    <w:p>
      <w:pPr>
        <w:ind w:left="260" w:right="500"/>
        <w:spacing w:after="0" w:line="279" w:lineRule="auto"/>
        <w:rPr>
          <w:sz w:val="20"/>
          <w:szCs w:val="20"/>
          <w:color w:val="auto"/>
        </w:rPr>
      </w:pPr>
      <w:r>
        <w:rPr>
          <w:rFonts w:ascii="Arial" w:cs="Arial" w:eastAsia="Arial" w:hAnsi="Arial"/>
          <w:sz w:val="16"/>
          <w:szCs w:val="16"/>
          <w:color w:val="auto"/>
        </w:rPr>
        <w:t>Based upon the review and discussions referred to above, the Audit Committee recommended that the audited financial statements for the year ended December 31, 2025, be included in Dover’s Annual Report on Form 10-K.</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Committee: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Danita K. Ostling (Chair)</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Deborah L. DeHaas</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Marc A. Howze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Eric A. Spiegel</w:t>
      </w:r>
    </w:p>
    <w:p>
      <w:pPr>
        <w:spacing w:after="0" w:line="200" w:lineRule="exact"/>
        <w:rPr>
          <w:sz w:val="20"/>
          <w:szCs w:val="20"/>
          <w:color w:val="auto"/>
        </w:rPr>
      </w:pPr>
    </w:p>
    <w:p>
      <w:pPr>
        <w:spacing w:after="0" w:line="202" w:lineRule="exact"/>
        <w:rPr>
          <w:sz w:val="20"/>
          <w:szCs w:val="20"/>
          <w:color w:val="auto"/>
        </w:rPr>
      </w:pPr>
    </w:p>
    <w:p>
      <w:pPr>
        <w:ind w:left="260" w:right="200"/>
        <w:spacing w:after="0" w:line="262"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35</w:t>
      </w:r>
    </w:p>
    <w:p>
      <w:pPr>
        <w:sectPr>
          <w:pgSz w:w="11900" w:h="16838" w:orient="portrait"/>
          <w:cols w:equalWidth="0" w:num="1">
            <w:col w:w="10920"/>
          </w:cols>
          <w:pgMar w:left="480" w:top="299" w:right="49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2 — RATIFICATION OF APPOINTMENT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Fees Paid to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Fees paid to, or accrued for, PwC for services to us and our subsidiaries for 2025 and 2024 (including reimbursable expenses) were as follows:</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5060" w:type="dxa"/>
            <w:vAlign w:val="bottom"/>
            <w:tcBorders>
              <w:top w:val="single" w:sz="8" w:color="021496"/>
              <w:bottom w:val="single" w:sz="8" w:color="021496"/>
              <w:right w:val="single" w:sz="8" w:color="999999"/>
            </w:tcBorders>
          </w:tcPr>
          <w:p>
            <w:pPr>
              <w:spacing w:after="0"/>
              <w:rPr>
                <w:sz w:val="21"/>
                <w:szCs w:val="21"/>
                <w:color w:val="auto"/>
              </w:rPr>
            </w:pPr>
          </w:p>
        </w:tc>
        <w:tc>
          <w:tcPr>
            <w:tcW w:w="60" w:type="dxa"/>
            <w:vAlign w:val="bottom"/>
            <w:tcBorders>
              <w:top w:val="single" w:sz="8" w:color="021496"/>
              <w:bottom w:val="single" w:sz="8" w:color="021496"/>
            </w:tcBorders>
          </w:tcPr>
          <w:p>
            <w:pPr>
              <w:spacing w:after="0"/>
              <w:rPr>
                <w:sz w:val="21"/>
                <w:szCs w:val="21"/>
                <w:color w:val="auto"/>
              </w:rPr>
            </w:pPr>
          </w:p>
        </w:tc>
        <w:tc>
          <w:tcPr>
            <w:tcW w:w="220" w:type="dxa"/>
            <w:vAlign w:val="bottom"/>
            <w:tcBorders>
              <w:top w:val="single" w:sz="8" w:color="021496"/>
              <w:bottom w:val="single" w:sz="8" w:color="021496"/>
            </w:tcBorders>
          </w:tcPr>
          <w:p>
            <w:pPr>
              <w:spacing w:after="0"/>
              <w:rPr>
                <w:sz w:val="21"/>
                <w:szCs w:val="21"/>
                <w:color w:val="auto"/>
              </w:rPr>
            </w:pPr>
          </w:p>
        </w:tc>
        <w:tc>
          <w:tcPr>
            <w:tcW w:w="1560" w:type="dxa"/>
            <w:vAlign w:val="bottom"/>
            <w:tcBorders>
              <w:top w:val="single" w:sz="8" w:color="021496"/>
              <w:bottom w:val="single" w:sz="8" w:color="021496"/>
              <w:right w:val="single" w:sz="8" w:color="999999"/>
            </w:tcBorders>
          </w:tcPr>
          <w:p>
            <w:pPr>
              <w:jc w:val="right"/>
              <w:ind w:right="6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021496"/>
              <w:bottom w:val="single" w:sz="8" w:color="021496"/>
            </w:tcBorders>
          </w:tcPr>
          <w:p>
            <w:pPr>
              <w:spacing w:after="0"/>
              <w:rPr>
                <w:sz w:val="21"/>
                <w:szCs w:val="21"/>
                <w:color w:val="auto"/>
              </w:rPr>
            </w:pPr>
          </w:p>
        </w:tc>
        <w:tc>
          <w:tcPr>
            <w:tcW w:w="200" w:type="dxa"/>
            <w:vAlign w:val="bottom"/>
            <w:tcBorders>
              <w:top w:val="single" w:sz="8" w:color="021496"/>
              <w:bottom w:val="single" w:sz="8" w:color="021496"/>
            </w:tcBorders>
          </w:tcPr>
          <w:p>
            <w:pPr>
              <w:spacing w:after="0"/>
              <w:rPr>
                <w:sz w:val="21"/>
                <w:szCs w:val="21"/>
                <w:color w:val="auto"/>
              </w:rPr>
            </w:pPr>
          </w:p>
        </w:tc>
        <w:tc>
          <w:tcPr>
            <w:tcW w:w="1500" w:type="dxa"/>
            <w:vAlign w:val="bottom"/>
            <w:tcBorders>
              <w:top w:val="single" w:sz="8" w:color="021496"/>
              <w:bottom w:val="single" w:sz="8" w:color="021496"/>
            </w:tcBorders>
          </w:tcPr>
          <w:p>
            <w:pPr>
              <w:jc w:val="right"/>
              <w:ind w:right="600"/>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021496"/>
              <w:bottom w:val="single" w:sz="8" w:color="021496"/>
            </w:tcBorders>
          </w:tcPr>
          <w:p>
            <w:pPr>
              <w:spacing w:after="0"/>
              <w:rPr>
                <w:sz w:val="21"/>
                <w:szCs w:val="21"/>
                <w:color w:val="auto"/>
              </w:rPr>
            </w:pPr>
          </w:p>
        </w:tc>
      </w:tr>
      <w:tr>
        <w:trPr>
          <w:trHeight w:val="224"/>
        </w:trPr>
        <w:tc>
          <w:tcPr>
            <w:tcW w:w="50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AUDIT FEES</w:t>
            </w:r>
          </w:p>
        </w:tc>
        <w:tc>
          <w:tcPr>
            <w:tcW w:w="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7,206,000   </w:t>
            </w:r>
          </w:p>
        </w:tc>
        <w:tc>
          <w:tcPr>
            <w:tcW w:w="280" w:type="dxa"/>
            <w:vAlign w:val="bottom"/>
            <w:gridSpan w:val="2"/>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8D8D8"/>
          </w:tcPr>
          <w:p>
            <w:pPr>
              <w:jc w:val="right"/>
              <w:ind w:right="160"/>
              <w:spacing w:after="0"/>
              <w:rPr>
                <w:sz w:val="20"/>
                <w:szCs w:val="20"/>
                <w:color w:val="auto"/>
              </w:rPr>
            </w:pPr>
            <w:r>
              <w:rPr>
                <w:rFonts w:ascii="Arial" w:cs="Arial" w:eastAsia="Arial" w:hAnsi="Arial"/>
                <w:sz w:val="16"/>
                <w:szCs w:val="16"/>
                <w:color w:val="auto"/>
              </w:rPr>
              <w:t xml:space="preserve">8,668,000   </w:t>
            </w:r>
          </w:p>
        </w:tc>
      </w:tr>
      <w:tr>
        <w:trPr>
          <w:trHeight w:val="224"/>
        </w:trPr>
        <w:tc>
          <w:tcPr>
            <w:tcW w:w="50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AUDIT-RELATED FEES</w:t>
            </w:r>
          </w:p>
        </w:tc>
        <w:tc>
          <w:tcPr>
            <w:tcW w:w="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99999"/>
            </w:tcBorders>
          </w:tcPr>
          <w:p>
            <w:pPr>
              <w:jc w:val="right"/>
              <w:ind w:right="120"/>
              <w:spacing w:after="0"/>
              <w:rPr>
                <w:sz w:val="20"/>
                <w:szCs w:val="20"/>
                <w:color w:val="auto"/>
              </w:rPr>
            </w:pPr>
            <w:r>
              <w:rPr>
                <w:rFonts w:ascii="Arial" w:cs="Arial" w:eastAsia="Arial" w:hAnsi="Arial"/>
                <w:sz w:val="16"/>
                <w:szCs w:val="16"/>
                <w:color w:val="auto"/>
              </w:rPr>
              <w:t xml:space="preserve">11,000 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 xml:space="preserve">0   </w:t>
            </w:r>
          </w:p>
        </w:tc>
      </w:tr>
      <w:tr>
        <w:trPr>
          <w:trHeight w:val="230"/>
        </w:trPr>
        <w:tc>
          <w:tcPr>
            <w:tcW w:w="50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TAX FEES</w:t>
            </w:r>
          </w:p>
        </w:tc>
        <w:tc>
          <w:tcPr>
            <w:tcW w:w="6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149,000   </w:t>
            </w:r>
          </w:p>
        </w:tc>
        <w:tc>
          <w:tcPr>
            <w:tcW w:w="280" w:type="dxa"/>
            <w:vAlign w:val="bottom"/>
            <w:gridSpan w:val="2"/>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8D8D8"/>
          </w:tcPr>
          <w:p>
            <w:pPr>
              <w:jc w:val="right"/>
              <w:ind w:right="160"/>
              <w:spacing w:after="0"/>
              <w:rPr>
                <w:sz w:val="20"/>
                <w:szCs w:val="20"/>
                <w:color w:val="auto"/>
              </w:rPr>
            </w:pPr>
            <w:r>
              <w:rPr>
                <w:rFonts w:ascii="Arial" w:cs="Arial" w:eastAsia="Arial" w:hAnsi="Arial"/>
                <w:sz w:val="16"/>
                <w:szCs w:val="16"/>
                <w:color w:val="auto"/>
              </w:rPr>
              <w:t xml:space="preserve">206,000   </w:t>
            </w:r>
          </w:p>
        </w:tc>
      </w:tr>
      <w:tr>
        <w:trPr>
          <w:trHeight w:val="224"/>
        </w:trPr>
        <w:tc>
          <w:tcPr>
            <w:tcW w:w="50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ALL OTHER FEES</w:t>
            </w:r>
          </w:p>
        </w:tc>
        <w:tc>
          <w:tcPr>
            <w:tcW w:w="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99999"/>
            </w:tcBorders>
          </w:tcPr>
          <w:p>
            <w:pPr>
              <w:jc w:val="right"/>
              <w:ind w:right="120"/>
              <w:spacing w:after="0"/>
              <w:rPr>
                <w:sz w:val="20"/>
                <w:szCs w:val="20"/>
                <w:color w:val="auto"/>
              </w:rPr>
            </w:pPr>
            <w:r>
              <w:rPr>
                <w:rFonts w:ascii="Arial" w:cs="Arial" w:eastAsia="Arial" w:hAnsi="Arial"/>
                <w:sz w:val="16"/>
                <w:szCs w:val="16"/>
                <w:color w:val="auto"/>
              </w:rPr>
              <w:t xml:space="preserve">2,000   </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 xml:space="preserve">2,000   </w:t>
            </w:r>
          </w:p>
        </w:tc>
      </w:tr>
      <w:tr>
        <w:trPr>
          <w:trHeight w:val="20"/>
        </w:trPr>
        <w:tc>
          <w:tcPr>
            <w:tcW w:w="5060" w:type="dxa"/>
            <w:vAlign w:val="bottom"/>
            <w:tcBorders>
              <w:right w:val="single" w:sz="8" w:color="99999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1"/>
        </w:trPr>
        <w:tc>
          <w:tcPr>
            <w:tcW w:w="5060" w:type="dxa"/>
            <w:vAlign w:val="bottom"/>
            <w:tcBorders>
              <w:bottom w:val="single" w:sz="8" w:color="021496"/>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021496"/>
            </w:tcBorders>
            <w:shd w:val="clear" w:color="auto" w:fill="D8D8D8"/>
          </w:tcPr>
          <w:p>
            <w:pPr>
              <w:spacing w:after="0"/>
              <w:rPr>
                <w:sz w:val="19"/>
                <w:szCs w:val="19"/>
                <w:color w:val="auto"/>
              </w:rPr>
            </w:pPr>
          </w:p>
        </w:tc>
        <w:tc>
          <w:tcPr>
            <w:tcW w:w="22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color w:val="auto"/>
              </w:rPr>
              <w:t xml:space="preserve">$ </w:t>
            </w:r>
          </w:p>
        </w:tc>
        <w:tc>
          <w:tcPr>
            <w:tcW w:w="1560" w:type="dxa"/>
            <w:vAlign w:val="bottom"/>
            <w:tcBorders>
              <w:bottom w:val="single" w:sz="8" w:color="021496"/>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         7,368,000   </w:t>
            </w:r>
          </w:p>
        </w:tc>
        <w:tc>
          <w:tcPr>
            <w:tcW w:w="280" w:type="dxa"/>
            <w:vAlign w:val="bottom"/>
            <w:tcBorders>
              <w:bottom w:val="single" w:sz="8" w:color="021496"/>
            </w:tcBorders>
            <w:gridSpan w:val="2"/>
            <w:shd w:val="clear" w:color="auto" w:fill="D8D8D8"/>
          </w:tcPr>
          <w:p>
            <w:pPr>
              <w:ind w:left="80"/>
              <w:spacing w:after="0"/>
              <w:rPr>
                <w:sz w:val="20"/>
                <w:szCs w:val="20"/>
                <w:color w:val="auto"/>
              </w:rPr>
            </w:pPr>
            <w:r>
              <w:rPr>
                <w:rFonts w:ascii="Arial" w:cs="Arial" w:eastAsia="Arial" w:hAnsi="Arial"/>
                <w:sz w:val="16"/>
                <w:szCs w:val="16"/>
                <w:color w:val="auto"/>
              </w:rPr>
              <w:t xml:space="preserve">$ </w:t>
            </w:r>
          </w:p>
        </w:tc>
        <w:tc>
          <w:tcPr>
            <w:tcW w:w="1540" w:type="dxa"/>
            <w:vAlign w:val="bottom"/>
            <w:tcBorders>
              <w:bottom w:val="single" w:sz="8" w:color="021496"/>
            </w:tcBorders>
            <w:gridSpan w:val="2"/>
            <w:shd w:val="clear" w:color="auto" w:fill="D8D8D8"/>
          </w:tcPr>
          <w:p>
            <w:pPr>
              <w:jc w:val="right"/>
              <w:ind w:right="160"/>
              <w:spacing w:after="0"/>
              <w:rPr>
                <w:sz w:val="20"/>
                <w:szCs w:val="20"/>
                <w:color w:val="auto"/>
              </w:rPr>
            </w:pPr>
            <w:r>
              <w:rPr>
                <w:rFonts w:ascii="Arial" w:cs="Arial" w:eastAsia="Arial" w:hAnsi="Arial"/>
                <w:sz w:val="16"/>
                <w:szCs w:val="16"/>
                <w:color w:val="auto"/>
              </w:rPr>
              <w:t xml:space="preserve">         8,876,000   </w:t>
            </w:r>
          </w:p>
        </w:tc>
      </w:tr>
    </w:tbl>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include fees for audit or review services in accordance with generally accepted auditing standards of our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internal control over financial reporting), statutory and subsidiary audits and review of documents filed with the U.S. Securities and Exchange Commission (“SEC”).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include fees for assurance and related services that are reasonably related to the audit of our financial statements.</w:t>
      </w:r>
    </w:p>
    <w:p>
      <w:pPr>
        <w:spacing w:after="0" w:line="177"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services that are performed by professional tax staff other than in connection with the audit. These services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and transfer pricing services.</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Other fees include fees for non-audit services not listed above that do not impair the independence of the auditor and are not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SEC or PCAOB.</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Pre-Approval of Services Provided by Independent Registered Public Accounting Firm</w:t>
      </w:r>
    </w:p>
    <w:p>
      <w:pPr>
        <w:spacing w:after="0" w:line="8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Consistent with its charter and applicable SEC rules, our Audit Committee pre-approves all audit and permissible non-audit services provided by PwC to us and our subsidiaries. With respect to certain services which PwC has traditionally provided, the Audit Committee has adopted specific pre-approval policies and procedures. In developing these policies and procedures, the Audit Committee considered the need to ensure the independence of PwC while recognizing that, in certain situations, PwC may possess the expertise and be in the best position to advise us and our subsidiaries on issues and matters other than accounting and auditing.</w:t>
      </w:r>
    </w:p>
    <w:p>
      <w:pPr>
        <w:spacing w:after="0" w:line="15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policies and procedures adopted by the Audit Committee allow the pre-approval by the Audit Committee of permissible audit-related services, non-audit-related services and tax services. Under the policies and procedures, pre-approval is generally provided for up to one year and any general pre-approval is detailed as to the particular services or category of services and is subject to a specific budget for each of them. The policies and procedures require that any other services be expressly and separately approved by the Audit Committee prior to such services being performed by the independent auditors. In addition, pre-approved services which are expected to exceed the budgeted amount included in a general pre-approval require separate, specific pre-approval. For each proposed service, the independent auditors and management are required to provide detailed information to the Audit Committee at the time of approval. The Audit Committee considers whether each pre-approved service is consistent with the SEC’s rules and regulations on auditor independence.</w:t>
      </w:r>
    </w:p>
    <w:p>
      <w:pPr>
        <w:spacing w:after="0" w:line="145"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auto"/>
        </w:rPr>
        <w:t>All audit-related and non-audit-related services of PwC during 2025 listed above under “Fees Paid to Independent Registered Public Accounting Firm” were pre-approved specifically or pursuant to the procedures outlined above. With respect to any tax services provided by PwC, PwC provided to the Audit Committee the communications required under PCAOB Rule 3524.</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36</w:t>
      </w:r>
    </w:p>
    <w:p>
      <w:pPr>
        <w:sectPr>
          <w:pgSz w:w="11900" w:h="16838" w:orient="portrait"/>
          <w:cols w:equalWidth="0" w:num="1">
            <w:col w:w="10920"/>
          </w:cols>
          <w:pgMar w:left="480" w:top="299" w:right="499" w:bottom="1440" w:gutter="0" w:footer="0" w:header="0"/>
        </w:sectPr>
      </w:pPr>
    </w:p>
    <w:bookmarkStart w:id="41" w:name="page42"/>
    <w:bookmarkEnd w:id="41"/>
    <w:p>
      <w:pPr>
        <w:spacing w:after="0"/>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(“CD&amp;A”) describes our compensation program and how it operates for our NEOs. Our NEOs for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Borders>
              <w:bottom w:val="single" w:sz="8" w:color="021496"/>
            </w:tcBorders>
          </w:tcPr>
          <w:p>
            <w:pPr>
              <w:spacing w:after="0"/>
              <w:rPr>
                <w:sz w:val="19"/>
                <w:szCs w:val="19"/>
                <w:color w:val="auto"/>
              </w:rPr>
            </w:pPr>
          </w:p>
        </w:tc>
        <w:tc>
          <w:tcPr>
            <w:tcW w:w="8060" w:type="dxa"/>
            <w:vAlign w:val="bottom"/>
            <w:tcBorders>
              <w:bottom w:val="single" w:sz="8" w:color="021496"/>
            </w:tcBorders>
          </w:tcPr>
          <w:p>
            <w:pPr>
              <w:ind w:left="100"/>
              <w:spacing w:after="0"/>
              <w:rPr>
                <w:sz w:val="20"/>
                <w:szCs w:val="20"/>
                <w:color w:val="auto"/>
              </w:rPr>
            </w:pPr>
            <w:r>
              <w:rPr>
                <w:rFonts w:ascii="Arial" w:cs="Arial" w:eastAsia="Arial" w:hAnsi="Arial"/>
                <w:sz w:val="16"/>
                <w:szCs w:val="16"/>
                <w:b w:val="1"/>
                <w:bCs w:val="1"/>
                <w:color w:val="auto"/>
              </w:rPr>
              <w:t>NAMED EXECUTIVE OFFICERS</w:t>
            </w:r>
          </w:p>
        </w:tc>
      </w:tr>
      <w:tr>
        <w:trPr>
          <w:trHeight w:val="271"/>
        </w:trPr>
        <w:tc>
          <w:tcPr>
            <w:tcW w:w="28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RICHARD J. TOBIN</w:t>
            </w:r>
          </w:p>
        </w:tc>
        <w:tc>
          <w:tcPr>
            <w:tcW w:w="80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color w:val="auto"/>
              </w:rPr>
              <w:t>President &amp; CEO</w:t>
            </w:r>
          </w:p>
        </w:tc>
      </w:tr>
      <w:tr>
        <w:trPr>
          <w:trHeight w:val="308"/>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CHRIS B. WOENKER</w:t>
            </w:r>
          </w:p>
        </w:tc>
        <w:tc>
          <w:tcPr>
            <w:tcW w:w="8060" w:type="dxa"/>
            <w:vAlign w:val="bottom"/>
          </w:tcPr>
          <w:p>
            <w:pPr>
              <w:ind w:left="100"/>
              <w:spacing w:after="0"/>
              <w:rPr>
                <w:sz w:val="20"/>
                <w:szCs w:val="20"/>
                <w:color w:val="auto"/>
              </w:rPr>
            </w:pPr>
            <w:r>
              <w:rPr>
                <w:rFonts w:ascii="Arial" w:cs="Arial" w:eastAsia="Arial" w:hAnsi="Arial"/>
                <w:sz w:val="16"/>
                <w:szCs w:val="16"/>
                <w:color w:val="auto"/>
              </w:rPr>
              <w:t>Senior Vice President &amp; CFO</w:t>
            </w:r>
            <w:r>
              <w:rPr>
                <w:rFonts w:ascii="Arial" w:cs="Arial" w:eastAsia="Arial" w:hAnsi="Arial"/>
                <w:sz w:val="24"/>
                <w:szCs w:val="24"/>
                <w:color w:val="auto"/>
                <w:vertAlign w:val="superscript"/>
              </w:rPr>
              <w:t>(1)</w:t>
            </w:r>
          </w:p>
        </w:tc>
      </w:tr>
      <w:tr>
        <w:trPr>
          <w:trHeight w:val="308"/>
        </w:trPr>
        <w:tc>
          <w:tcPr>
            <w:tcW w:w="286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BRAD M. CEREPAK</w:t>
            </w:r>
          </w:p>
        </w:tc>
        <w:tc>
          <w:tcPr>
            <w:tcW w:w="80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Former Senior Vice President &amp; CFO</w:t>
            </w:r>
            <w:r>
              <w:rPr>
                <w:rFonts w:ascii="Arial" w:cs="Arial" w:eastAsia="Arial" w:hAnsi="Arial"/>
                <w:sz w:val="24"/>
                <w:szCs w:val="24"/>
                <w:color w:val="auto"/>
                <w:vertAlign w:val="superscript"/>
              </w:rPr>
              <w:t>(2)</w:t>
            </w:r>
          </w:p>
        </w:tc>
      </w:tr>
      <w:tr>
        <w:trPr>
          <w:trHeight w:val="261"/>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IVONNE M. CABRERA</w:t>
            </w:r>
          </w:p>
        </w:tc>
        <w:tc>
          <w:tcPr>
            <w:tcW w:w="8060" w:type="dxa"/>
            <w:vAlign w:val="bottom"/>
          </w:tcPr>
          <w:p>
            <w:pPr>
              <w:ind w:left="100"/>
              <w:spacing w:after="0"/>
              <w:rPr>
                <w:sz w:val="20"/>
                <w:szCs w:val="20"/>
                <w:color w:val="auto"/>
              </w:rPr>
            </w:pPr>
            <w:r>
              <w:rPr>
                <w:rFonts w:ascii="Arial" w:cs="Arial" w:eastAsia="Arial" w:hAnsi="Arial"/>
                <w:sz w:val="16"/>
                <w:szCs w:val="16"/>
                <w:color w:val="auto"/>
              </w:rPr>
              <w:t>Senior Vice President &amp; General Counsel</w:t>
            </w:r>
          </w:p>
        </w:tc>
      </w:tr>
      <w:tr>
        <w:trPr>
          <w:trHeight w:val="47"/>
        </w:trPr>
        <w:tc>
          <w:tcPr>
            <w:tcW w:w="2860" w:type="dxa"/>
            <w:vAlign w:val="bottom"/>
          </w:tcPr>
          <w:p>
            <w:pPr>
              <w:spacing w:after="0"/>
              <w:rPr>
                <w:sz w:val="4"/>
                <w:szCs w:val="4"/>
                <w:color w:val="auto"/>
              </w:rPr>
            </w:pPr>
          </w:p>
        </w:tc>
        <w:tc>
          <w:tcPr>
            <w:tcW w:w="8060" w:type="dxa"/>
            <w:vAlign w:val="bottom"/>
          </w:tcPr>
          <w:p>
            <w:pPr>
              <w:spacing w:after="0"/>
              <w:rPr>
                <w:sz w:val="4"/>
                <w:szCs w:val="4"/>
                <w:color w:val="auto"/>
              </w:rPr>
            </w:pPr>
          </w:p>
        </w:tc>
      </w:tr>
      <w:tr>
        <w:trPr>
          <w:trHeight w:val="288"/>
        </w:trPr>
        <w:tc>
          <w:tcPr>
            <w:tcW w:w="28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GIRISH JUNEJA</w:t>
            </w:r>
          </w:p>
        </w:tc>
        <w:tc>
          <w:tcPr>
            <w:tcW w:w="80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color w:val="auto"/>
              </w:rPr>
              <w:t>Senior Vice President &amp; Chief Digital Officer</w:t>
            </w:r>
          </w:p>
        </w:tc>
      </w:tr>
      <w:tr>
        <w:trPr>
          <w:trHeight w:val="261"/>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JEFFREY C. YEHLE</w:t>
            </w:r>
          </w:p>
        </w:tc>
        <w:tc>
          <w:tcPr>
            <w:tcW w:w="8060" w:type="dxa"/>
            <w:vAlign w:val="bottom"/>
          </w:tcPr>
          <w:p>
            <w:pPr>
              <w:ind w:left="100"/>
              <w:spacing w:after="0"/>
              <w:rPr>
                <w:sz w:val="20"/>
                <w:szCs w:val="20"/>
                <w:color w:val="auto"/>
              </w:rPr>
            </w:pPr>
            <w:r>
              <w:rPr>
                <w:rFonts w:ascii="Arial" w:cs="Arial" w:eastAsia="Arial" w:hAnsi="Arial"/>
                <w:sz w:val="16"/>
                <w:szCs w:val="16"/>
                <w:color w:val="auto"/>
              </w:rPr>
              <w:t>Senior Vice President &amp; Chief Human Resources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6929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1" w:lineRule="exact"/>
        <w:rPr>
          <w:sz w:val="20"/>
          <w:szCs w:val="20"/>
          <w:color w:val="auto"/>
        </w:rPr>
      </w:pPr>
    </w:p>
    <w:p>
      <w:pPr>
        <w:ind w:left="220" w:hanging="213"/>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Woenker was promoted as of January 31, 2025 to the position of Senior Vice President &amp; CFO.</w:t>
      </w:r>
    </w:p>
    <w:p>
      <w:pPr>
        <w:spacing w:after="0" w:line="13" w:lineRule="exact"/>
        <w:rPr>
          <w:rFonts w:ascii="Arial" w:cs="Arial" w:eastAsia="Arial" w:hAnsi="Arial"/>
          <w:sz w:val="14"/>
          <w:szCs w:val="14"/>
          <w:color w:val="auto"/>
        </w:rPr>
      </w:pPr>
    </w:p>
    <w:p>
      <w:pPr>
        <w:ind w:left="220" w:hanging="213"/>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Cerepak retired as of January 31, 2025.</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Executive Summary</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Our compensation program is based on a pay-for-performance philosophy and is designed to incentivize executives to achieve financial and strategic goals that are aligned with the Company’s long-term business strategy and the creation of sustained, long-term value for our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2025 Performance &amp;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2025, we:</w:t>
      </w:r>
    </w:p>
    <w:p>
      <w:pPr>
        <w:spacing w:after="0" w:line="244" w:lineRule="exact"/>
        <w:rPr>
          <w:sz w:val="20"/>
          <w:szCs w:val="20"/>
          <w:color w:val="auto"/>
        </w:rPr>
      </w:pPr>
    </w:p>
    <w:p>
      <w:pPr>
        <w:ind w:left="860" w:hanging="425"/>
        <w:spacing w:after="0"/>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Generated revenue of $8.1 billion, an increase of 4% compared to the prior year.</w:t>
      </w:r>
    </w:p>
    <w:p>
      <w:pPr>
        <w:spacing w:after="0" w:line="136" w:lineRule="exact"/>
        <w:rPr>
          <w:rFonts w:ascii="MS PGothic" w:cs="MS PGothic" w:eastAsia="MS PGothic" w:hAnsi="MS PGothic"/>
          <w:sz w:val="16"/>
          <w:szCs w:val="16"/>
          <w:color w:val="021496"/>
        </w:rPr>
      </w:pPr>
    </w:p>
    <w:p>
      <w:pPr>
        <w:ind w:left="860" w:right="160" w:hanging="425"/>
        <w:spacing w:after="0" w:line="279"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Expanded our Segment Earnings Margin by 140 basis points, to 23.1%, driven by the positive mix impact from our high margin, high growth platforms, as well as our rigorous cost containment and productivity actions.</w:t>
      </w:r>
    </w:p>
    <w:p>
      <w:pPr>
        <w:spacing w:after="0" w:line="67" w:lineRule="exact"/>
        <w:rPr>
          <w:rFonts w:ascii="MS PGothic" w:cs="MS PGothic" w:eastAsia="MS PGothic" w:hAnsi="MS PGothic"/>
          <w:sz w:val="16"/>
          <w:szCs w:val="16"/>
          <w:color w:val="021496"/>
        </w:rPr>
      </w:pPr>
    </w:p>
    <w:p>
      <w:pPr>
        <w:ind w:left="860" w:right="40" w:hanging="425"/>
        <w:spacing w:after="0" w:line="279"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Delivered GAAP diluted earnings per share from continuing operations of $7.97, down 21% compared to the prior year and adjusted earnings per share of $9.61, up 16% compared to the prior year.</w:t>
      </w:r>
    </w:p>
    <w:p>
      <w:pPr>
        <w:spacing w:after="0" w:line="67" w:lineRule="exact"/>
        <w:rPr>
          <w:rFonts w:ascii="MS PGothic" w:cs="MS PGothic" w:eastAsia="MS PGothic" w:hAnsi="MS PGothic"/>
          <w:sz w:val="16"/>
          <w:szCs w:val="16"/>
          <w:color w:val="021496"/>
        </w:rPr>
      </w:pPr>
    </w:p>
    <w:p>
      <w:pPr>
        <w:ind w:left="860" w:right="80" w:hanging="425"/>
        <w:spacing w:after="0" w:line="279"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Made $220.3 million in capital expenditures, representing 2.7% of revenue, in line with our plan to support growth initiatives, productivity, and new product launches.</w:t>
      </w:r>
    </w:p>
    <w:p>
      <w:pPr>
        <w:spacing w:after="0" w:line="67" w:lineRule="exact"/>
        <w:rPr>
          <w:rFonts w:ascii="MS PGothic" w:cs="MS PGothic" w:eastAsia="MS PGothic" w:hAnsi="MS PGothic"/>
          <w:sz w:val="16"/>
          <w:szCs w:val="16"/>
          <w:color w:val="021496"/>
        </w:rPr>
      </w:pPr>
    </w:p>
    <w:p>
      <w:pPr>
        <w:ind w:left="860" w:right="120" w:hanging="425"/>
        <w:spacing w:after="0" w:line="262"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Continued to evolve our operating model to include center-led value capture from digital opportunities, and continued to invest in growth and productivity initiatives, including automation, capacity expansion, and the implementation of common corporate systems and measurement tools.</w:t>
      </w:r>
    </w:p>
    <w:p>
      <w:pPr>
        <w:spacing w:after="0" w:line="79" w:lineRule="exact"/>
        <w:rPr>
          <w:rFonts w:ascii="MS PGothic" w:cs="MS PGothic" w:eastAsia="MS PGothic" w:hAnsi="MS PGothic"/>
          <w:sz w:val="16"/>
          <w:szCs w:val="16"/>
          <w:color w:val="021496"/>
        </w:rPr>
      </w:pPr>
    </w:p>
    <w:p>
      <w:pPr>
        <w:ind w:left="860" w:right="320" w:hanging="425"/>
        <w:spacing w:after="0" w:line="279"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Acquired four businesses for a total of $665 million, net of cash acquired and including contingent consideration and measurement period adjustments, which complement and expand upon our existing operations in high-growth, high priority end markets.</w:t>
      </w:r>
    </w:p>
    <w:p>
      <w:pPr>
        <w:spacing w:after="0" w:line="67" w:lineRule="exact"/>
        <w:rPr>
          <w:rFonts w:ascii="MS PGothic" w:cs="MS PGothic" w:eastAsia="MS PGothic" w:hAnsi="MS PGothic"/>
          <w:sz w:val="16"/>
          <w:szCs w:val="16"/>
          <w:color w:val="021496"/>
        </w:rPr>
      </w:pPr>
    </w:p>
    <w:p>
      <w:pPr>
        <w:ind w:left="860" w:right="220" w:hanging="425"/>
        <w:spacing w:after="0" w:line="279" w:lineRule="auto"/>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Initiated or completed $541 million of share repurchases, including a $500 million accelerated share repurchase program announced in the fourth quarter.</w:t>
      </w:r>
    </w:p>
    <w:p>
      <w:pPr>
        <w:spacing w:after="0" w:line="67" w:lineRule="exact"/>
        <w:rPr>
          <w:rFonts w:ascii="MS PGothic" w:cs="MS PGothic" w:eastAsia="MS PGothic" w:hAnsi="MS PGothic"/>
          <w:sz w:val="16"/>
          <w:szCs w:val="16"/>
          <w:color w:val="021496"/>
        </w:rPr>
      </w:pPr>
    </w:p>
    <w:p>
      <w:pPr>
        <w:ind w:left="860" w:hanging="425"/>
        <w:spacing w:after="0"/>
        <w:tabs>
          <w:tab w:leader="none" w:pos="86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Increased our quarterly dividend, marking our 70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consecutive year of dividend increases.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37</w:t>
      </w:r>
    </w:p>
    <w:p>
      <w:pPr>
        <w:sectPr>
          <w:pgSz w:w="11900" w:h="16838" w:orient="portrait"/>
          <w:cols w:equalWidth="0" w:num="1">
            <w:col w:w="10920"/>
          </w:cols>
          <w:pgMar w:left="480" w:top="276" w:right="49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Financial 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162560</wp:posOffset>
            </wp:positionV>
            <wp:extent cx="5434965" cy="3524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34965" cy="352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The items herein, unless otherwise noted, relate solely to our continuing operations.</w:t>
      </w:r>
    </w:p>
    <w:p>
      <w:pPr>
        <w:spacing w:after="0" w:line="13" w:lineRule="exact"/>
        <w:rPr>
          <w:sz w:val="20"/>
          <w:szCs w:val="20"/>
          <w:color w:val="auto"/>
        </w:rPr>
      </w:pPr>
    </w:p>
    <w:p>
      <w:pPr>
        <w:ind w:left="440" w:hanging="433"/>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Definitions and reconciliations of non-GAAP measures are included at the end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2025 Pay Decisions Align with Dover’s Performance</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Our compensation program structure is designed to align pay outcomes with our shareholders’ experience by emphasizing variable, at-risk pay for our management team, including the NEOs, through our AIP and long-term incentive program.</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2025, our pay decisions and outcomes were consistent with our pay-for-performance philosophy. Our NEOs made significant progress against their pre-defined individual strategic objectives as evaluated by our Compensation Committee under our AIP. As a result of strong operational achievements, the financial objective target applicable to NEO payout was 121.7% of target. Due to our TSR performance relative to the companies in the S&amp;P 500 Industrials index over the three-year performance period of 2023-2025, NEOs received long-term incentive payouts equal to 104.0% of their target PSUs.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38</w:t>
      </w:r>
    </w:p>
    <w:p>
      <w:pPr>
        <w:sectPr>
          <w:pgSz w:w="11900" w:h="16838" w:orient="portrait"/>
          <w:cols w:equalWidth="0" w:num="1">
            <w:col w:w="10920"/>
          </w:cols>
          <w:pgMar w:left="480" w:top="299" w:right="49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Say on Pay Vote Results and Shareholder Engagement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tcBorders>
              <w:right w:val="single" w:sz="8" w:color="auto"/>
            </w:tcBorders>
            <w:shd w:val="clear" w:color="auto" w:fill="D8D8D8"/>
          </w:tcPr>
          <w:p>
            <w:pPr>
              <w:ind w:left="1540"/>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color w:val="auto"/>
              </w:rPr>
              <w:t xml:space="preserve">Say on Pay support    </w:t>
            </w:r>
          </w:p>
        </w:tc>
        <w:tc>
          <w:tcPr>
            <w:tcW w:w="3820" w:type="dxa"/>
            <w:vAlign w:val="bottom"/>
            <w:tcBorders>
              <w:right w:val="single" w:sz="8" w:color="auto"/>
            </w:tcBorders>
            <w:shd w:val="clear" w:color="auto" w:fill="D8D8D8"/>
          </w:tcPr>
          <w:p>
            <w:pPr>
              <w:ind w:left="920"/>
              <w:spacing w:after="0"/>
              <w:rPr>
                <w:sz w:val="20"/>
                <w:szCs w:val="20"/>
                <w:color w:val="auto"/>
              </w:rPr>
            </w:pPr>
            <w:r>
              <w:rPr>
                <w:rFonts w:ascii="Arial" w:cs="Arial" w:eastAsia="Arial" w:hAnsi="Arial"/>
                <w:sz w:val="16"/>
                <w:szCs w:val="16"/>
                <w:color w:val="auto"/>
              </w:rPr>
              <w:t xml:space="preserve">57% Shares Outstanding Contacted    </w:t>
            </w:r>
          </w:p>
        </w:tc>
        <w:tc>
          <w:tcPr>
            <w:tcW w:w="34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26% Shares Engaged</w:t>
            </w:r>
          </w:p>
        </w:tc>
      </w:tr>
    </w:tbl>
    <w:p>
      <w:pPr>
        <w:spacing w:after="0" w:line="160" w:lineRule="exact"/>
        <w:rPr>
          <w:sz w:val="20"/>
          <w:szCs w:val="20"/>
          <w:color w:val="auto"/>
        </w:rPr>
      </w:pPr>
    </w:p>
    <w:p>
      <w:pPr>
        <w:ind w:right="660"/>
        <w:spacing w:after="0" w:line="262"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At our 2025 annual meeting, approximately 92% of the voting shareholders approved the compensation of the NEOs. In 2025, we continued our shareholder engagement program, reaching out to holders of approximately 57% of our outstanding shares and engaging with governance professionals and/or portfolio managers of investors holding approximately 26% of our outstanding shares. In addition to the governance topics detailed earlier in this proxy statement, we had thoughtful discussions with our shareholders regarding our compensation program. Shareholders indicated that they believe our pay aligns with performance, and expressed support for our program structure and approach, and did not share any significant concerns. The Compensation Committee will continue to consider feedback from shareholders, as well as the results from future shareholder advisory votes, in its ongoing evaluation of executive compensation programs and practices at Dover.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ectPr>
          <w:pgSz w:w="11900" w:h="16838" w:orient="portrait"/>
          <w:cols w:equalWidth="0" w:num="1">
            <w:col w:w="10920"/>
          </w:cols>
          <w:pgMar w:left="480" w:top="299" w:right="49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021496"/>
        </w:rPr>
        <w:t>Dover’s Alignment with Leading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6929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99" w:right="499" w:bottom="1440" w:gutter="0" w:footer="0" w:header="0"/>
        </w:sectPr>
      </w:pPr>
    </w:p>
    <w:p>
      <w:pPr>
        <w:spacing w:after="0" w:line="32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320415" cy="3982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20415" cy="3982720"/>
                    </a:xfrm>
                    <a:prstGeom prst="rect">
                      <a:avLst/>
                    </a:prstGeom>
                    <a:noFill/>
                  </pic:spPr>
                </pic:pic>
              </a:graphicData>
            </a:graphic>
          </wp:anchor>
        </w:drawing>
      </w:r>
    </w:p>
    <w:p>
      <w:pPr>
        <w:spacing w:after="0" w:line="108" w:lineRule="exact"/>
        <w:rPr>
          <w:sz w:val="20"/>
          <w:szCs w:val="20"/>
          <w:color w:val="auto"/>
        </w:rPr>
      </w:pPr>
    </w:p>
    <w:p>
      <w:pPr>
        <w:ind w:left="680" w:right="38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 The majority of target NEO pay opportunity is performance based (75% for the CEO; 61% for the other NEOs)</w:t>
      </w:r>
    </w:p>
    <w:p>
      <w:pPr>
        <w:spacing w:after="0" w:line="142" w:lineRule="exact"/>
        <w:rPr>
          <w:sz w:val="20"/>
          <w:szCs w:val="20"/>
          <w:color w:val="auto"/>
        </w:rPr>
      </w:pPr>
    </w:p>
    <w:p>
      <w:pPr>
        <w:ind w:left="680" w:right="100" w:hanging="410"/>
        <w:spacing w:after="0" w:line="21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significant portion of target NEO pay opportunity is tied to Dover stock performance (75% for the CEO; 51% for the other NEOs)</w:t>
      </w:r>
    </w:p>
    <w:p>
      <w:pPr>
        <w:spacing w:after="0" w:line="141" w:lineRule="exact"/>
        <w:rPr>
          <w:sz w:val="20"/>
          <w:szCs w:val="20"/>
          <w:color w:val="auto"/>
        </w:rPr>
      </w:pPr>
    </w:p>
    <w:p>
      <w:pPr>
        <w:ind w:left="680" w:right="30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engagement with shareholders to seek feedback on executive compensation programs</w:t>
      </w:r>
    </w:p>
    <w:p>
      <w:pPr>
        <w:spacing w:after="0" w:line="142"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 Compensation program includes ESG objectives</w:t>
      </w:r>
    </w:p>
    <w:p>
      <w:pPr>
        <w:spacing w:after="0" w:line="217"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 All long-term incentives are paid in stock, not cash</w:t>
      </w:r>
    </w:p>
    <w:p>
      <w:pPr>
        <w:spacing w:after="0" w:line="217" w:lineRule="exact"/>
        <w:rPr>
          <w:sz w:val="20"/>
          <w:szCs w:val="20"/>
          <w:color w:val="auto"/>
        </w:rPr>
      </w:pPr>
    </w:p>
    <w:p>
      <w:pPr>
        <w:ind w:left="680" w:right="12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 Executives must hold significant amounts of Dover stock: five-times salary for the CEO, three-times for other NEOs</w:t>
      </w:r>
    </w:p>
    <w:p>
      <w:pPr>
        <w:spacing w:after="0" w:line="142"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 All long-term incentives are earned or vest over three years</w:t>
      </w:r>
    </w:p>
    <w:p>
      <w:pPr>
        <w:spacing w:after="0" w:line="217"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 Change in control provisions require double trigger</w:t>
      </w:r>
    </w:p>
    <w:p>
      <w:pPr>
        <w:spacing w:after="0" w:line="217"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 Comprehensive clawback policy</w:t>
      </w:r>
    </w:p>
    <w:p>
      <w:pPr>
        <w:spacing w:after="0" w:line="217" w:lineRule="exact"/>
        <w:rPr>
          <w:sz w:val="20"/>
          <w:szCs w:val="20"/>
          <w:color w:val="auto"/>
        </w:rPr>
      </w:pPr>
    </w:p>
    <w:p>
      <w:pPr>
        <w:ind w:left="68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 Executives participate in benefit and employee programs on the same basis as other Dover employees</w:t>
      </w:r>
    </w:p>
    <w:p>
      <w:pPr>
        <w:spacing w:after="0" w:line="142" w:lineRule="exact"/>
        <w:rPr>
          <w:sz w:val="20"/>
          <w:szCs w:val="20"/>
          <w:color w:val="auto"/>
        </w:rPr>
      </w:pPr>
    </w:p>
    <w:p>
      <w:pPr>
        <w:ind w:left="680" w:right="36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Compensation Committee retains its own independent consultant</w:t>
      </w:r>
    </w:p>
    <w:p>
      <w:pPr>
        <w:spacing w:after="0" w:line="142"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33204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27940</wp:posOffset>
            </wp:positionV>
            <wp:extent cx="3388360" cy="40424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88360" cy="4042410"/>
                    </a:xfrm>
                    <a:prstGeom prst="rect">
                      <a:avLst/>
                    </a:prstGeom>
                    <a:noFill/>
                  </pic:spPr>
                </pic:pic>
              </a:graphicData>
            </a:graphic>
          </wp:anchor>
        </w:drawing>
      </w:r>
    </w:p>
    <w:p>
      <w:pPr>
        <w:spacing w:after="0" w:line="108"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tax gross ups</w:t>
      </w:r>
    </w:p>
    <w:p>
      <w:pPr>
        <w:spacing w:after="0" w:line="217" w:lineRule="exact"/>
        <w:rPr>
          <w:sz w:val="20"/>
          <w:szCs w:val="20"/>
          <w:color w:val="auto"/>
        </w:rPr>
      </w:pPr>
    </w:p>
    <w:p>
      <w:pPr>
        <w:ind w:left="420" w:right="60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repricing, reloads, or exchanges of stock-settled stock appreciation rights (“SSARs”)</w:t>
      </w:r>
    </w:p>
    <w:p>
      <w:pPr>
        <w:spacing w:after="0" w:line="142"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SSARs granted below fair market value</w:t>
      </w:r>
    </w:p>
    <w:p>
      <w:pPr>
        <w:spacing w:after="0" w:line="217" w:lineRule="exact"/>
        <w:rPr>
          <w:sz w:val="20"/>
          <w:szCs w:val="20"/>
          <w:color w:val="auto"/>
        </w:rPr>
      </w:pPr>
    </w:p>
    <w:p>
      <w:pPr>
        <w:ind w:left="420" w:right="58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hedging or pledging of Dover securities by executives, including margin loans</w:t>
      </w:r>
    </w:p>
    <w:p>
      <w:pPr>
        <w:spacing w:after="0" w:line="142" w:lineRule="exact"/>
        <w:rPr>
          <w:sz w:val="20"/>
          <w:szCs w:val="20"/>
          <w:color w:val="auto"/>
        </w:rPr>
      </w:pPr>
    </w:p>
    <w:p>
      <w:pPr>
        <w:ind w:left="420" w:right="120" w:hanging="410"/>
        <w:spacing w:after="0" w:line="20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dividends are paid on performance shares or restricted stock units (“RSUs”) during the earning or vesting period. Dividend equivalents are accrued on RSUs, but are only paid if the RSUs vest</w:t>
      </w:r>
    </w:p>
    <w:p>
      <w:pPr>
        <w:spacing w:after="0" w:line="141"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special executive retirement arrangements</w:t>
      </w:r>
    </w:p>
    <w:p>
      <w:pPr>
        <w:spacing w:after="0" w:line="217" w:lineRule="exact"/>
        <w:rPr>
          <w:sz w:val="20"/>
          <w:szCs w:val="20"/>
          <w:color w:val="auto"/>
        </w:rPr>
      </w:pPr>
    </w:p>
    <w:p>
      <w:pPr>
        <w:ind w:left="420" w:right="14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NEO cash severance over 2.99x the sum of base salary and target bonus without shareholder approval</w:t>
      </w:r>
    </w:p>
    <w:p>
      <w:pPr>
        <w:spacing w:after="0" w:line="142" w:lineRule="exact"/>
        <w:rPr>
          <w:sz w:val="20"/>
          <w:szCs w:val="20"/>
          <w:color w:val="auto"/>
        </w:rPr>
      </w:pPr>
    </w:p>
    <w:p>
      <w:pPr>
        <w:ind w:left="420" w:right="20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substantial executive perquisites, nor do we own or operate any corporate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1209040</wp:posOffset>
            </wp:positionV>
            <wp:extent cx="33883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729" w:lineRule="exact"/>
        <w:rPr>
          <w:sz w:val="20"/>
          <w:szCs w:val="20"/>
          <w:color w:val="auto"/>
        </w:rPr>
      </w:pPr>
    </w:p>
    <w:p>
      <w:pPr>
        <w:sectPr>
          <w:pgSz w:w="11900" w:h="16838" w:orient="portrait"/>
          <w:cols w:equalWidth="0" w:num="2">
            <w:col w:w="5220" w:space="620"/>
            <w:col w:w="5080"/>
          </w:cols>
          <w:pgMar w:left="480" w:top="299" w:right="49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40</w:t>
      </w:r>
    </w:p>
    <w:p>
      <w:pPr>
        <w:sectPr>
          <w:pgSz w:w="11900" w:h="16838" w:orient="portrait"/>
          <w:cols w:equalWidth="0" w:num="1">
            <w:col w:w="10920"/>
          </w:cols>
          <w:pgMar w:left="480" w:top="299" w:right="4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Compensation Principles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Guiding Principles for Dover’s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157480</wp:posOffset>
            </wp:positionV>
            <wp:extent cx="4993640" cy="1469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3640"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principles, these were the key elements of our executive compensation program in 2025:</w:t>
      </w:r>
    </w:p>
    <w:p>
      <w:pPr>
        <w:spacing w:after="0" w:line="124" w:lineRule="exact"/>
        <w:rPr>
          <w:sz w:val="20"/>
          <w:szCs w:val="20"/>
          <w:color w:val="auto"/>
        </w:rPr>
      </w:pPr>
    </w:p>
    <w:p>
      <w:pPr>
        <w:ind w:left="860" w:right="50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Financial metrics that are clearly linked to the creation of shareholder value: adjusted earnings, three-year relative TSR, and three-year average ROIC.</w:t>
      </w:r>
    </w:p>
    <w:p>
      <w:pPr>
        <w:spacing w:after="0" w:line="67" w:lineRule="exact"/>
        <w:rPr>
          <w:rFonts w:ascii="MS PGothic" w:cs="MS PGothic" w:eastAsia="MS PGothic" w:hAnsi="MS PGothic"/>
          <w:sz w:val="16"/>
          <w:szCs w:val="16"/>
          <w:color w:val="021496"/>
        </w:rPr>
      </w:pPr>
    </w:p>
    <w:p>
      <w:pPr>
        <w:ind w:left="860" w:right="46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 focus on our business strategy to ensure our long-term compensation program aligns the interests of our executives with those of our shareholders by placing an emphasis on performance-based stock compensation.</w:t>
      </w:r>
    </w:p>
    <w:p>
      <w:pPr>
        <w:spacing w:after="0" w:line="67" w:lineRule="exact"/>
        <w:rPr>
          <w:rFonts w:ascii="MS PGothic" w:cs="MS PGothic" w:eastAsia="MS PGothic" w:hAnsi="MS PGothic"/>
          <w:sz w:val="16"/>
          <w:szCs w:val="16"/>
          <w:color w:val="021496"/>
        </w:rPr>
      </w:pPr>
    </w:p>
    <w:p>
      <w:pPr>
        <w:ind w:left="860" w:hanging="425"/>
        <w:spacing w:after="0"/>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An annual review by our Compensation Committee of executive compensation levels and the components of our program.</w:t>
      </w:r>
    </w:p>
    <w:p>
      <w:pPr>
        <w:spacing w:after="0" w:line="136" w:lineRule="exact"/>
        <w:rPr>
          <w:rFonts w:ascii="MS PGothic" w:cs="MS PGothic" w:eastAsia="MS PGothic" w:hAnsi="MS PGothic"/>
          <w:sz w:val="16"/>
          <w:szCs w:val="16"/>
          <w:color w:val="021496"/>
        </w:rPr>
      </w:pPr>
    </w:p>
    <w:p>
      <w:pPr>
        <w:ind w:left="860" w:right="16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 reference to the median of our peer group for total direct compensation, with consideration for internal pay equity, sustained performance, specific responsibilities, and experience with comparable market talent.</w:t>
      </w:r>
    </w:p>
    <w:p>
      <w:pPr>
        <w:spacing w:after="0" w:line="67" w:lineRule="exact"/>
        <w:rPr>
          <w:rFonts w:ascii="MS PGothic" w:cs="MS PGothic" w:eastAsia="MS PGothic" w:hAnsi="MS PGothic"/>
          <w:sz w:val="16"/>
          <w:szCs w:val="16"/>
          <w:color w:val="021496"/>
        </w:rPr>
      </w:pPr>
    </w:p>
    <w:p>
      <w:pPr>
        <w:ind w:left="860" w:right="36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Total compensation opportunities designed so that the large majority of compensation is variable and at-risk based on financial, strategic, operational, and share price performance.</w:t>
      </w:r>
    </w:p>
    <w:p>
      <w:pPr>
        <w:spacing w:after="0" w:line="67" w:lineRule="exact"/>
        <w:rPr>
          <w:rFonts w:ascii="MS PGothic" w:cs="MS PGothic" w:eastAsia="MS PGothic" w:hAnsi="MS PGothic"/>
          <w:sz w:val="16"/>
          <w:szCs w:val="16"/>
          <w:color w:val="021496"/>
        </w:rPr>
      </w:pPr>
    </w:p>
    <w:p>
      <w:pPr>
        <w:ind w:left="860" w:right="46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AIP designed to reward annual financial performance and the attainment of well-defined strategic objectives that the Board believes will assure the long-term success of Dover.</w:t>
      </w:r>
    </w:p>
    <w:p>
      <w:pPr>
        <w:spacing w:after="0" w:line="67" w:lineRule="exact"/>
        <w:rPr>
          <w:rFonts w:ascii="MS PGothic" w:cs="MS PGothic" w:eastAsia="MS PGothic" w:hAnsi="MS PGothic"/>
          <w:sz w:val="16"/>
          <w:szCs w:val="16"/>
          <w:color w:val="021496"/>
        </w:rPr>
      </w:pPr>
    </w:p>
    <w:p>
      <w:pPr>
        <w:ind w:left="860" w:right="120" w:hanging="425"/>
        <w:spacing w:after="0" w:line="279" w:lineRule="auto"/>
        <w:tabs>
          <w:tab w:leader="none" w:pos="86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Executive benefits and programs that are consistent with those offered to other employees. We provide no substantial executive perquisites, nor do we own or operate any corporate aircraft.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41</w:t>
      </w:r>
    </w:p>
    <w:p>
      <w:pPr>
        <w:sectPr>
          <w:pgSz w:w="11900" w:h="16838" w:orient="portrait"/>
          <w:cols w:equalWidth="0" w:num="1">
            <w:col w:w="10920"/>
          </w:cols>
          <w:pgMar w:left="480" w:top="299" w:right="49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Compensation Process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Setting Executive Compensation — Roles</w:t>
      </w:r>
    </w:p>
    <w:p>
      <w:pPr>
        <w:spacing w:after="0" w:line="6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process for determining our executive compensation program structure and payouts involves the dedicated participation of our Compensation Committee, the independent directors of the Board, the CEO, and our Compensation Committee’s independent consultant. The roles of each in making compensation decisions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135890</wp:posOffset>
            </wp:positionV>
            <wp:extent cx="5146675" cy="5723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6675" cy="572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42</w:t>
      </w:r>
    </w:p>
    <w:p>
      <w:pPr>
        <w:sectPr>
          <w:pgSz w:w="11900" w:h="16838" w:orient="portrait"/>
          <w:cols w:equalWidth="0" w:num="1">
            <w:col w:w="10920"/>
          </w:cols>
          <w:pgMar w:left="480" w:top="299" w:right="4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Setting Executive Compensation – Timeline</w:t>
      </w:r>
    </w:p>
    <w:p>
      <w:pPr>
        <w:spacing w:after="0" w:line="60" w:lineRule="exact"/>
        <w:rPr>
          <w:sz w:val="20"/>
          <w:szCs w:val="20"/>
          <w:color w:val="auto"/>
        </w:rPr>
      </w:pPr>
    </w:p>
    <w:p>
      <w:pPr>
        <w:jc w:val="both"/>
        <w:ind w:right="260"/>
        <w:spacing w:after="0" w:line="262" w:lineRule="auto"/>
        <w:rPr>
          <w:sz w:val="20"/>
          <w:szCs w:val="20"/>
          <w:color w:val="auto"/>
        </w:rPr>
      </w:pPr>
      <w:r>
        <w:rPr>
          <w:rFonts w:ascii="Arial" w:cs="Arial" w:eastAsia="Arial" w:hAnsi="Arial"/>
          <w:sz w:val="16"/>
          <w:szCs w:val="16"/>
          <w:color w:val="auto"/>
        </w:rPr>
        <w:t>The process for making executive compensation decisions for 2025 began with goal setting at the beginning of the year and concluded with the actual compensation payout decisions in early 2026. As described below in a summary of the Compensation Committee’s process and timing for determining CEO pay, this year-long process integrates key factors, such as our business strategy, our annual budget, and market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6964045" cy="54184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64045" cy="541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43</w:t>
      </w:r>
    </w:p>
    <w:p>
      <w:pPr>
        <w:sectPr>
          <w:pgSz w:w="11900" w:h="16838" w:orient="portrait"/>
          <w:cols w:equalWidth="0" w:num="1">
            <w:col w:w="10920"/>
          </w:cols>
          <w:pgMar w:left="480" w:top="299" w:right="49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Executive Compensation Program Peer Group</w:t>
      </w:r>
    </w:p>
    <w:p>
      <w:pPr>
        <w:spacing w:after="0" w:line="100"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auto"/>
        </w:rPr>
        <w:t>Compensation levels for our named executive officers are compared to the compensation paid to comparable executives at the peer companies listed below. The Compensation Committee selected these peer companies based on their similarity to Dover in terms of end markets, complexity, revenues and market capitalization. The compensation peer group remains unchanged from the prior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top w:val="single" w:sz="8" w:color="021496"/>
              <w:right w:val="single" w:sz="8" w:color="8C8C8C"/>
            </w:tcBorders>
          </w:tcPr>
          <w:p>
            <w:pPr>
              <w:spacing w:after="0"/>
              <w:rPr>
                <w:sz w:val="17"/>
                <w:szCs w:val="17"/>
                <w:color w:val="auto"/>
              </w:rPr>
            </w:pPr>
          </w:p>
        </w:tc>
        <w:tc>
          <w:tcPr>
            <w:tcW w:w="580" w:type="dxa"/>
            <w:vAlign w:val="bottom"/>
            <w:tcBorders>
              <w:top w:val="single" w:sz="8" w:color="021496"/>
            </w:tcBorders>
          </w:tcPr>
          <w:p>
            <w:pPr>
              <w:spacing w:after="0"/>
              <w:rPr>
                <w:sz w:val="17"/>
                <w:szCs w:val="17"/>
                <w:color w:val="auto"/>
              </w:rPr>
            </w:pPr>
          </w:p>
        </w:tc>
        <w:tc>
          <w:tcPr>
            <w:tcW w:w="900" w:type="dxa"/>
            <w:vAlign w:val="bottom"/>
            <w:tcBorders>
              <w:top w:val="single" w:sz="8" w:color="021496"/>
            </w:tcBorders>
          </w:tcPr>
          <w:p>
            <w:pPr>
              <w:spacing w:after="0"/>
              <w:rPr>
                <w:sz w:val="17"/>
                <w:szCs w:val="17"/>
                <w:color w:val="auto"/>
              </w:rPr>
            </w:pPr>
          </w:p>
        </w:tc>
        <w:tc>
          <w:tcPr>
            <w:tcW w:w="340" w:type="dxa"/>
            <w:vAlign w:val="bottom"/>
            <w:tcBorders>
              <w:top w:val="single" w:sz="8" w:color="021496"/>
            </w:tcBorders>
          </w:tcPr>
          <w:p>
            <w:pPr>
              <w:spacing w:after="0"/>
              <w:rPr>
                <w:sz w:val="17"/>
                <w:szCs w:val="17"/>
                <w:color w:val="auto"/>
              </w:rPr>
            </w:pPr>
          </w:p>
        </w:tc>
        <w:tc>
          <w:tcPr>
            <w:tcW w:w="880" w:type="dxa"/>
            <w:vAlign w:val="bottom"/>
            <w:tcBorders>
              <w:top w:val="single" w:sz="8" w:color="021496"/>
            </w:tcBorders>
          </w:tcPr>
          <w:p>
            <w:pPr>
              <w:jc w:val="right"/>
              <w:ind w:right="348"/>
              <w:spacing w:after="0"/>
              <w:rPr>
                <w:sz w:val="20"/>
                <w:szCs w:val="20"/>
                <w:color w:val="auto"/>
              </w:rPr>
            </w:pPr>
            <w:r>
              <w:rPr>
                <w:rFonts w:ascii="Arial" w:cs="Arial" w:eastAsia="Arial" w:hAnsi="Arial"/>
                <w:sz w:val="16"/>
                <w:szCs w:val="16"/>
                <w:b w:val="1"/>
                <w:bCs w:val="1"/>
                <w:color w:val="auto"/>
              </w:rPr>
              <w:t>2025</w:t>
            </w:r>
          </w:p>
        </w:tc>
        <w:tc>
          <w:tcPr>
            <w:tcW w:w="1400" w:type="dxa"/>
            <w:vAlign w:val="bottom"/>
            <w:tcBorders>
              <w:top w:val="single" w:sz="8" w:color="021496"/>
            </w:tcBorders>
          </w:tcPr>
          <w:p>
            <w:pPr>
              <w:spacing w:after="0"/>
              <w:rPr>
                <w:sz w:val="17"/>
                <w:szCs w:val="17"/>
                <w:color w:val="auto"/>
              </w:rPr>
            </w:pPr>
          </w:p>
        </w:tc>
        <w:tc>
          <w:tcPr>
            <w:tcW w:w="1460" w:type="dxa"/>
            <w:vAlign w:val="bottom"/>
            <w:tcBorders>
              <w:top w:val="single" w:sz="8" w:color="021496"/>
            </w:tcBorders>
          </w:tcPr>
          <w:p>
            <w:pPr>
              <w:spacing w:after="0"/>
              <w:rPr>
                <w:sz w:val="17"/>
                <w:szCs w:val="17"/>
                <w:color w:val="auto"/>
              </w:rPr>
            </w:pPr>
          </w:p>
        </w:tc>
        <w:tc>
          <w:tcPr>
            <w:tcW w:w="1480" w:type="dxa"/>
            <w:vAlign w:val="bottom"/>
            <w:tcBorders>
              <w:top w:val="single" w:sz="8" w:color="021496"/>
            </w:tcBorders>
            <w:vMerge w:val="restart"/>
          </w:tcPr>
          <w:p>
            <w:pPr>
              <w:ind w:left="220"/>
              <w:spacing w:after="0"/>
              <w:rPr>
                <w:sz w:val="20"/>
                <w:szCs w:val="20"/>
                <w:color w:val="auto"/>
              </w:rPr>
            </w:pPr>
            <w:r>
              <w:rPr>
                <w:rFonts w:ascii="Arial" w:cs="Arial" w:eastAsia="Arial" w:hAnsi="Arial"/>
                <w:sz w:val="16"/>
                <w:szCs w:val="16"/>
                <w:b w:val="1"/>
                <w:bCs w:val="1"/>
                <w:color w:val="auto"/>
                <w:w w:val="98"/>
              </w:rPr>
              <w:t>SAME ANALYST</w:t>
            </w:r>
          </w:p>
        </w:tc>
        <w:tc>
          <w:tcPr>
            <w:tcW w:w="0" w:type="dxa"/>
            <w:vAlign w:val="bottom"/>
          </w:tcPr>
          <w:p>
            <w:pPr>
              <w:spacing w:after="0"/>
              <w:rPr>
                <w:sz w:val="1"/>
                <w:szCs w:val="1"/>
                <w:color w:val="auto"/>
              </w:rPr>
            </w:pPr>
          </w:p>
        </w:tc>
      </w:tr>
      <w:tr>
        <w:trPr>
          <w:trHeight w:val="174"/>
        </w:trPr>
        <w:tc>
          <w:tcPr>
            <w:tcW w:w="3880" w:type="dxa"/>
            <w:vAlign w:val="bottom"/>
            <w:tcBorders>
              <w:right w:val="single" w:sz="8" w:color="8C8C8C"/>
            </w:tcBorders>
          </w:tcPr>
          <w:p>
            <w:pPr>
              <w:ind w:left="240"/>
              <w:spacing w:after="0" w:line="174" w:lineRule="exact"/>
              <w:rPr>
                <w:sz w:val="20"/>
                <w:szCs w:val="20"/>
                <w:color w:val="auto"/>
              </w:rPr>
            </w:pPr>
            <w:r>
              <w:rPr>
                <w:rFonts w:ascii="Arial" w:cs="Arial" w:eastAsia="Arial" w:hAnsi="Arial"/>
                <w:sz w:val="16"/>
                <w:szCs w:val="16"/>
                <w:b w:val="1"/>
                <w:bCs w:val="1"/>
                <w:color w:val="auto"/>
              </w:rPr>
              <w:t>COMPANY</w:t>
            </w:r>
          </w:p>
        </w:tc>
        <w:tc>
          <w:tcPr>
            <w:tcW w:w="580" w:type="dxa"/>
            <w:vAlign w:val="bottom"/>
          </w:tcPr>
          <w:p>
            <w:pPr>
              <w:spacing w:after="0"/>
              <w:rPr>
                <w:sz w:val="15"/>
                <w:szCs w:val="15"/>
                <w:color w:val="auto"/>
              </w:rPr>
            </w:pPr>
          </w:p>
        </w:tc>
        <w:tc>
          <w:tcPr>
            <w:tcW w:w="900" w:type="dxa"/>
            <w:vAlign w:val="bottom"/>
          </w:tcPr>
          <w:p>
            <w:pPr>
              <w:jc w:val="right"/>
              <w:ind w:right="408"/>
              <w:spacing w:after="0" w:line="174" w:lineRule="exact"/>
              <w:rPr>
                <w:sz w:val="20"/>
                <w:szCs w:val="20"/>
                <w:color w:val="auto"/>
              </w:rPr>
            </w:pPr>
            <w:r>
              <w:rPr>
                <w:rFonts w:ascii="Arial" w:cs="Arial" w:eastAsia="Arial" w:hAnsi="Arial"/>
                <w:sz w:val="16"/>
                <w:szCs w:val="16"/>
                <w:b w:val="1"/>
                <w:bCs w:val="1"/>
                <w:color w:val="auto"/>
              </w:rPr>
              <w:t>2025</w:t>
            </w:r>
          </w:p>
        </w:tc>
        <w:tc>
          <w:tcPr>
            <w:tcW w:w="1220" w:type="dxa"/>
            <w:vAlign w:val="bottom"/>
            <w:gridSpan w:val="2"/>
          </w:tcPr>
          <w:p>
            <w:pPr>
              <w:ind w:left="260"/>
              <w:spacing w:after="0" w:line="174" w:lineRule="exact"/>
              <w:rPr>
                <w:sz w:val="20"/>
                <w:szCs w:val="20"/>
                <w:color w:val="auto"/>
              </w:rPr>
            </w:pPr>
            <w:r>
              <w:rPr>
                <w:rFonts w:ascii="Arial" w:cs="Arial" w:eastAsia="Arial" w:hAnsi="Arial"/>
                <w:sz w:val="16"/>
                <w:szCs w:val="16"/>
                <w:b w:val="1"/>
                <w:bCs w:val="1"/>
                <w:color w:val="auto"/>
              </w:rPr>
              <w:t>MARKET</w:t>
            </w:r>
          </w:p>
        </w:tc>
        <w:tc>
          <w:tcPr>
            <w:tcW w:w="140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INDUSTRY</w:t>
            </w:r>
          </w:p>
        </w:tc>
        <w:tc>
          <w:tcPr>
            <w:tcW w:w="146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DOVER-LIKE</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80" w:type="dxa"/>
            <w:vAlign w:val="bottom"/>
            <w:tcBorders>
              <w:bottom w:val="single" w:sz="8" w:color="021496"/>
              <w:right w:val="single" w:sz="8" w:color="8C8C8C"/>
            </w:tcBorders>
          </w:tcPr>
          <w:p>
            <w:pPr>
              <w:spacing w:after="0"/>
              <w:rPr>
                <w:sz w:val="20"/>
                <w:szCs w:val="20"/>
                <w:color w:val="auto"/>
              </w:rPr>
            </w:pPr>
            <w:r>
              <w:rPr>
                <w:rFonts w:ascii="Arial" w:cs="Arial" w:eastAsia="Arial" w:hAnsi="Arial"/>
                <w:sz w:val="16"/>
                <w:szCs w:val="16"/>
                <w:b w:val="1"/>
                <w:bCs w:val="1"/>
                <w:color w:val="auto"/>
              </w:rPr>
              <w:t> </w:t>
            </w:r>
          </w:p>
        </w:tc>
        <w:tc>
          <w:tcPr>
            <w:tcW w:w="1480" w:type="dxa"/>
            <w:vAlign w:val="bottom"/>
            <w:tcBorders>
              <w:bottom w:val="single" w:sz="8" w:color="021496"/>
            </w:tcBorders>
            <w:gridSpan w:val="2"/>
          </w:tcPr>
          <w:p>
            <w:pPr>
              <w:ind w:left="440"/>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021496"/>
            </w:tcBorders>
          </w:tcPr>
          <w:p>
            <w:pPr>
              <w:spacing w:after="0"/>
              <w:rPr>
                <w:sz w:val="18"/>
                <w:szCs w:val="18"/>
                <w:color w:val="auto"/>
              </w:rPr>
            </w:pPr>
          </w:p>
        </w:tc>
        <w:tc>
          <w:tcPr>
            <w:tcW w:w="880" w:type="dxa"/>
            <w:vAlign w:val="bottom"/>
            <w:tcBorders>
              <w:bottom w:val="single" w:sz="8" w:color="021496"/>
            </w:tcBorders>
          </w:tcPr>
          <w:p>
            <w:pPr>
              <w:jc w:val="center"/>
              <w:ind w:right="268"/>
              <w:spacing w:after="0"/>
              <w:rPr>
                <w:sz w:val="20"/>
                <w:szCs w:val="20"/>
                <w:color w:val="auto"/>
              </w:rPr>
            </w:pPr>
            <w:r>
              <w:rPr>
                <w:rFonts w:ascii="Arial" w:cs="Arial" w:eastAsia="Arial" w:hAnsi="Arial"/>
                <w:sz w:val="16"/>
                <w:szCs w:val="16"/>
                <w:b w:val="1"/>
                <w:bCs w:val="1"/>
                <w:color w:val="auto"/>
              </w:rPr>
              <w:t>CAP(1)</w:t>
            </w:r>
          </w:p>
        </w:tc>
        <w:tc>
          <w:tcPr>
            <w:tcW w:w="1400" w:type="dxa"/>
            <w:vAlign w:val="bottom"/>
            <w:tcBorders>
              <w:bottom w:val="single" w:sz="8" w:color="021496"/>
            </w:tcBorders>
          </w:tcPr>
          <w:p>
            <w:pPr>
              <w:ind w:left="620"/>
              <w:spacing w:after="0"/>
              <w:rPr>
                <w:sz w:val="20"/>
                <w:szCs w:val="20"/>
                <w:color w:val="auto"/>
              </w:rPr>
            </w:pPr>
            <w:r>
              <w:rPr>
                <w:rFonts w:ascii="Arial" w:cs="Arial" w:eastAsia="Arial" w:hAnsi="Arial"/>
                <w:sz w:val="16"/>
                <w:szCs w:val="16"/>
                <w:b w:val="1"/>
                <w:bCs w:val="1"/>
                <w:color w:val="auto"/>
              </w:rPr>
              <w:t> </w:t>
            </w:r>
          </w:p>
        </w:tc>
        <w:tc>
          <w:tcPr>
            <w:tcW w:w="146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STRUCTURE</w:t>
            </w:r>
          </w:p>
        </w:tc>
        <w:tc>
          <w:tcPr>
            <w:tcW w:w="1480" w:type="dxa"/>
            <w:vAlign w:val="bottom"/>
            <w:tcBorders>
              <w:bottom w:val="single" w:sz="8" w:color="021496"/>
            </w:tcBorders>
          </w:tcPr>
          <w:p>
            <w:pPr>
              <w:jc w:val="center"/>
              <w:ind w:left="148"/>
              <w:spacing w:after="0"/>
              <w:rPr>
                <w:sz w:val="20"/>
                <w:szCs w:val="20"/>
                <w:color w:val="auto"/>
              </w:rPr>
            </w:pPr>
            <w:r>
              <w:rPr>
                <w:rFonts w:ascii="Arial" w:cs="Arial" w:eastAsia="Arial" w:hAnsi="Arial"/>
                <w:sz w:val="16"/>
                <w:szCs w:val="16"/>
                <w:b w:val="1"/>
                <w:bCs w:val="1"/>
                <w:color w:val="auto"/>
                <w:w w:val="98"/>
              </w:rPr>
              <w:t>COVERAGE(2)</w:t>
            </w:r>
          </w:p>
        </w:tc>
        <w:tc>
          <w:tcPr>
            <w:tcW w:w="0" w:type="dxa"/>
            <w:vAlign w:val="bottom"/>
          </w:tcPr>
          <w:p>
            <w:pPr>
              <w:spacing w:after="0"/>
              <w:rPr>
                <w:sz w:val="1"/>
                <w:szCs w:val="1"/>
                <w:color w:val="auto"/>
              </w:rPr>
            </w:pPr>
          </w:p>
        </w:tc>
      </w:tr>
      <w:tr>
        <w:trPr>
          <w:trHeight w:val="15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AMETEK, INC.</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7,401</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47,263</w:t>
            </w:r>
          </w:p>
        </w:tc>
        <w:tc>
          <w:tcPr>
            <w:tcW w:w="1400" w:type="dxa"/>
            <w:vAlign w:val="bottom"/>
            <w:shd w:val="clear" w:color="auto" w:fill="D8D8D8"/>
          </w:tcPr>
          <w:p>
            <w:pPr>
              <w:jc w:val="center"/>
              <w:spacing w:after="0" w:line="158" w:lineRule="exact"/>
              <w:rPr>
                <w:sz w:val="20"/>
                <w:szCs w:val="20"/>
                <w:color w:val="auto"/>
              </w:rPr>
            </w:pPr>
            <w:r>
              <w:rPr>
                <w:rFonts w:ascii="Arial" w:cs="Arial" w:eastAsia="Arial" w:hAnsi="Arial"/>
                <w:sz w:val="14"/>
                <w:szCs w:val="14"/>
                <w:color w:val="auto"/>
              </w:rPr>
              <w:t>Electrical</w:t>
            </w:r>
          </w:p>
        </w:tc>
        <w:tc>
          <w:tcPr>
            <w:tcW w:w="14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880" w:type="dxa"/>
            <w:vAlign w:val="bottom"/>
            <w:tcBorders>
              <w:bottom w:val="single" w:sz="8" w:color="D8D8D8"/>
              <w:right w:val="single" w:sz="8" w:color="8C8C8C"/>
            </w:tcBorders>
            <w:vMerge w:val="continue"/>
            <w:shd w:val="clear" w:color="auto" w:fill="D8D8D8"/>
          </w:tcPr>
          <w:p>
            <w:pPr>
              <w:spacing w:after="0"/>
              <w:rPr>
                <w:sz w:val="14"/>
                <w:szCs w:val="14"/>
                <w:color w:val="auto"/>
              </w:rPr>
            </w:pPr>
          </w:p>
        </w:tc>
        <w:tc>
          <w:tcPr>
            <w:tcW w:w="580" w:type="dxa"/>
            <w:vAlign w:val="bottom"/>
            <w:tcBorders>
              <w:bottom w:val="single" w:sz="8" w:color="D8D8D8"/>
            </w:tcBorders>
            <w:vMerge w:val="continue"/>
            <w:shd w:val="clear" w:color="auto" w:fill="D8D8D8"/>
          </w:tcPr>
          <w:p>
            <w:pPr>
              <w:spacing w:after="0"/>
              <w:rPr>
                <w:sz w:val="14"/>
                <w:szCs w:val="14"/>
                <w:color w:val="auto"/>
              </w:rPr>
            </w:pPr>
          </w:p>
        </w:tc>
        <w:tc>
          <w:tcPr>
            <w:tcW w:w="900" w:type="dxa"/>
            <w:vAlign w:val="bottom"/>
            <w:tcBorders>
              <w:bottom w:val="single" w:sz="8" w:color="D8D8D8"/>
            </w:tcBorders>
            <w:vMerge w:val="continue"/>
            <w:shd w:val="clear" w:color="auto" w:fill="D8D8D8"/>
          </w:tcPr>
          <w:p>
            <w:pPr>
              <w:spacing w:after="0"/>
              <w:rPr>
                <w:sz w:val="14"/>
                <w:szCs w:val="14"/>
                <w:color w:val="auto"/>
              </w:rPr>
            </w:pPr>
          </w:p>
        </w:tc>
        <w:tc>
          <w:tcPr>
            <w:tcW w:w="340" w:type="dxa"/>
            <w:vAlign w:val="bottom"/>
            <w:tcBorders>
              <w:bottom w:val="single" w:sz="8" w:color="D8D8D8"/>
            </w:tcBorders>
            <w:vMerge w:val="continue"/>
            <w:shd w:val="clear" w:color="auto" w:fill="D8D8D8"/>
          </w:tcPr>
          <w:p>
            <w:pPr>
              <w:spacing w:after="0"/>
              <w:rPr>
                <w:sz w:val="14"/>
                <w:szCs w:val="14"/>
                <w:color w:val="auto"/>
              </w:rPr>
            </w:pPr>
          </w:p>
        </w:tc>
        <w:tc>
          <w:tcPr>
            <w:tcW w:w="880" w:type="dxa"/>
            <w:vAlign w:val="bottom"/>
            <w:tcBorders>
              <w:bottom w:val="single" w:sz="8" w:color="D8D8D8"/>
            </w:tcBorders>
            <w:vMerge w:val="continue"/>
            <w:shd w:val="clear" w:color="auto" w:fill="D8D8D8"/>
          </w:tcPr>
          <w:p>
            <w:pPr>
              <w:spacing w:after="0"/>
              <w:rPr>
                <w:sz w:val="14"/>
                <w:szCs w:val="14"/>
                <w:color w:val="auto"/>
              </w:rPr>
            </w:pP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Equipment</w:t>
            </w:r>
          </w:p>
        </w:tc>
        <w:tc>
          <w:tcPr>
            <w:tcW w:w="1460" w:type="dxa"/>
            <w:vAlign w:val="bottom"/>
            <w:tcBorders>
              <w:bottom w:val="single" w:sz="8" w:color="D8D8D8"/>
            </w:tcBorders>
            <w:vMerge w:val="continue"/>
            <w:shd w:val="clear" w:color="auto" w:fill="D8D8D8"/>
          </w:tcPr>
          <w:p>
            <w:pPr>
              <w:spacing w:after="0"/>
              <w:rPr>
                <w:sz w:val="14"/>
                <w:szCs w:val="14"/>
                <w:color w:val="auto"/>
              </w:rPr>
            </w:pPr>
          </w:p>
        </w:tc>
        <w:tc>
          <w:tcPr>
            <w:tcW w:w="148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CARLISLE COMPANIES INC.</w:t>
            </w: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5,020</w:t>
            </w:r>
          </w:p>
        </w:tc>
        <w:tc>
          <w:tcPr>
            <w:tcW w:w="340" w:type="dxa"/>
            <w:vAlign w:val="bottom"/>
            <w:vMerge w:val="restart"/>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13,334</w:t>
            </w:r>
          </w:p>
        </w:tc>
        <w:tc>
          <w:tcPr>
            <w:tcW w:w="14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80" w:type="dxa"/>
            <w:vAlign w:val="bottom"/>
            <w:tcBorders>
              <w:right w:val="single" w:sz="8" w:color="8C8C8C"/>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Conglomerate</w:t>
            </w:r>
          </w:p>
        </w:tc>
        <w:tc>
          <w:tcPr>
            <w:tcW w:w="146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80" w:type="dxa"/>
            <w:vAlign w:val="bottom"/>
            <w:tcBorders>
              <w:right w:val="single" w:sz="8" w:color="8C8C8C"/>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CORNING INCORPORATED</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15,629</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75,070</w:t>
            </w:r>
          </w:p>
        </w:tc>
        <w:tc>
          <w:tcPr>
            <w:tcW w:w="14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Electrical</w:t>
            </w:r>
          </w:p>
        </w:tc>
        <w:tc>
          <w:tcPr>
            <w:tcW w:w="1460" w:type="dxa"/>
            <w:vAlign w:val="bottom"/>
            <w:shd w:val="clear" w:color="auto" w:fill="D8D8D8"/>
          </w:tcPr>
          <w:p>
            <w:pPr>
              <w:spacing w:after="0"/>
              <w:rPr>
                <w:sz w:val="15"/>
                <w:szCs w:val="15"/>
                <w:color w:val="auto"/>
              </w:rPr>
            </w:pPr>
          </w:p>
        </w:tc>
        <w:tc>
          <w:tcPr>
            <w:tcW w:w="14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880" w:type="dxa"/>
            <w:vAlign w:val="bottom"/>
            <w:tcBorders>
              <w:right w:val="single" w:sz="8" w:color="8C8C8C"/>
            </w:tcBorders>
            <w:vMerge w:val="continue"/>
            <w:shd w:val="clear" w:color="auto" w:fill="D8D8D8"/>
          </w:tcPr>
          <w:p>
            <w:pPr>
              <w:spacing w:after="0"/>
              <w:rPr>
                <w:sz w:val="9"/>
                <w:szCs w:val="9"/>
                <w:color w:val="auto"/>
              </w:rPr>
            </w:pPr>
          </w:p>
        </w:tc>
        <w:tc>
          <w:tcPr>
            <w:tcW w:w="58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3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Equipment</w:t>
            </w:r>
          </w:p>
        </w:tc>
        <w:tc>
          <w:tcPr>
            <w:tcW w:w="1460" w:type="dxa"/>
            <w:vAlign w:val="bottom"/>
            <w:shd w:val="clear" w:color="auto" w:fill="D8D8D8"/>
          </w:tcPr>
          <w:p>
            <w:pPr>
              <w:spacing w:after="0"/>
              <w:rPr>
                <w:sz w:val="9"/>
                <w:szCs w:val="9"/>
                <w:color w:val="auto"/>
              </w:rPr>
            </w:pPr>
          </w:p>
        </w:tc>
        <w:tc>
          <w:tcPr>
            <w:tcW w:w="148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880" w:type="dxa"/>
            <w:vAlign w:val="bottom"/>
            <w:tcBorders>
              <w:right w:val="single" w:sz="8" w:color="8C8C8C"/>
            </w:tcBorders>
            <w:shd w:val="clear" w:color="auto" w:fill="D8D8D8"/>
          </w:tcPr>
          <w:p>
            <w:pPr>
              <w:spacing w:after="0"/>
              <w:rPr>
                <w:sz w:val="5"/>
                <w:szCs w:val="5"/>
                <w:color w:val="auto"/>
              </w:rPr>
            </w:pPr>
          </w:p>
        </w:tc>
        <w:tc>
          <w:tcPr>
            <w:tcW w:w="58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34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1400" w:type="dxa"/>
            <w:vAlign w:val="bottom"/>
            <w:vMerge w:val="continue"/>
            <w:shd w:val="clear" w:color="auto" w:fill="D8D8D8"/>
          </w:tcPr>
          <w:p>
            <w:pPr>
              <w:spacing w:after="0"/>
              <w:rPr>
                <w:sz w:val="5"/>
                <w:szCs w:val="5"/>
                <w:color w:val="auto"/>
              </w:rPr>
            </w:pPr>
          </w:p>
        </w:tc>
        <w:tc>
          <w:tcPr>
            <w:tcW w:w="1460" w:type="dxa"/>
            <w:vAlign w:val="bottom"/>
            <w:shd w:val="clear" w:color="auto" w:fill="D8D8D8"/>
          </w:tcPr>
          <w:p>
            <w:pPr>
              <w:spacing w:after="0"/>
              <w:rPr>
                <w:sz w:val="5"/>
                <w:szCs w:val="5"/>
                <w:color w:val="auto"/>
              </w:rPr>
            </w:pPr>
          </w:p>
        </w:tc>
        <w:tc>
          <w:tcPr>
            <w:tcW w:w="14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EATON CORPORATION</w:t>
            </w: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27,448</w:t>
            </w:r>
          </w:p>
        </w:tc>
        <w:tc>
          <w:tcPr>
            <w:tcW w:w="340" w:type="dxa"/>
            <w:vAlign w:val="bottom"/>
            <w:vMerge w:val="restart"/>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123,709</w:t>
            </w:r>
          </w:p>
        </w:tc>
        <w:tc>
          <w:tcPr>
            <w:tcW w:w="140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880" w:type="dxa"/>
            <w:vAlign w:val="bottom"/>
            <w:tcBorders>
              <w:right w:val="single" w:sz="8" w:color="8C8C8C"/>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Equipment</w:t>
            </w:r>
          </w:p>
        </w:tc>
        <w:tc>
          <w:tcPr>
            <w:tcW w:w="14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80" w:type="dxa"/>
            <w:vAlign w:val="bottom"/>
            <w:tcBorders>
              <w:right w:val="single" w:sz="8" w:color="8C8C8C"/>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EMERSON ELECTRIC CO</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18,187</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74,629</w:t>
            </w:r>
          </w:p>
        </w:tc>
        <w:tc>
          <w:tcPr>
            <w:tcW w:w="14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Electrical</w:t>
            </w:r>
          </w:p>
        </w:tc>
        <w:tc>
          <w:tcPr>
            <w:tcW w:w="14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880" w:type="dxa"/>
            <w:vAlign w:val="bottom"/>
            <w:tcBorders>
              <w:bottom w:val="single" w:sz="8" w:color="D8D8D8"/>
              <w:right w:val="single" w:sz="8" w:color="8C8C8C"/>
            </w:tcBorders>
            <w:vMerge w:val="continue"/>
            <w:shd w:val="clear" w:color="auto" w:fill="D8D8D8"/>
          </w:tcPr>
          <w:p>
            <w:pPr>
              <w:spacing w:after="0"/>
              <w:rPr>
                <w:sz w:val="14"/>
                <w:szCs w:val="14"/>
                <w:color w:val="auto"/>
              </w:rPr>
            </w:pPr>
          </w:p>
        </w:tc>
        <w:tc>
          <w:tcPr>
            <w:tcW w:w="580" w:type="dxa"/>
            <w:vAlign w:val="bottom"/>
            <w:tcBorders>
              <w:bottom w:val="single" w:sz="8" w:color="D8D8D8"/>
            </w:tcBorders>
            <w:vMerge w:val="continue"/>
            <w:shd w:val="clear" w:color="auto" w:fill="D8D8D8"/>
          </w:tcPr>
          <w:p>
            <w:pPr>
              <w:spacing w:after="0"/>
              <w:rPr>
                <w:sz w:val="14"/>
                <w:szCs w:val="14"/>
                <w:color w:val="auto"/>
              </w:rPr>
            </w:pPr>
          </w:p>
        </w:tc>
        <w:tc>
          <w:tcPr>
            <w:tcW w:w="900" w:type="dxa"/>
            <w:vAlign w:val="bottom"/>
            <w:tcBorders>
              <w:bottom w:val="single" w:sz="8" w:color="D8D8D8"/>
            </w:tcBorders>
            <w:vMerge w:val="continue"/>
            <w:shd w:val="clear" w:color="auto" w:fill="D8D8D8"/>
          </w:tcPr>
          <w:p>
            <w:pPr>
              <w:spacing w:after="0"/>
              <w:rPr>
                <w:sz w:val="14"/>
                <w:szCs w:val="14"/>
                <w:color w:val="auto"/>
              </w:rPr>
            </w:pPr>
          </w:p>
        </w:tc>
        <w:tc>
          <w:tcPr>
            <w:tcW w:w="340" w:type="dxa"/>
            <w:vAlign w:val="bottom"/>
            <w:tcBorders>
              <w:bottom w:val="single" w:sz="8" w:color="D8D8D8"/>
            </w:tcBorders>
            <w:vMerge w:val="continue"/>
            <w:shd w:val="clear" w:color="auto" w:fill="D8D8D8"/>
          </w:tcPr>
          <w:p>
            <w:pPr>
              <w:spacing w:after="0"/>
              <w:rPr>
                <w:sz w:val="14"/>
                <w:szCs w:val="14"/>
                <w:color w:val="auto"/>
              </w:rPr>
            </w:pPr>
          </w:p>
        </w:tc>
        <w:tc>
          <w:tcPr>
            <w:tcW w:w="880" w:type="dxa"/>
            <w:vAlign w:val="bottom"/>
            <w:tcBorders>
              <w:bottom w:val="single" w:sz="8" w:color="D8D8D8"/>
            </w:tcBorders>
            <w:vMerge w:val="continue"/>
            <w:shd w:val="clear" w:color="auto" w:fill="D8D8D8"/>
          </w:tcPr>
          <w:p>
            <w:pPr>
              <w:spacing w:after="0"/>
              <w:rPr>
                <w:sz w:val="14"/>
                <w:szCs w:val="14"/>
                <w:color w:val="auto"/>
              </w:rPr>
            </w:pP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Equipment</w:t>
            </w:r>
          </w:p>
        </w:tc>
        <w:tc>
          <w:tcPr>
            <w:tcW w:w="1460" w:type="dxa"/>
            <w:vAlign w:val="bottom"/>
            <w:tcBorders>
              <w:bottom w:val="single" w:sz="8" w:color="D8D8D8"/>
            </w:tcBorders>
            <w:vMerge w:val="continue"/>
            <w:shd w:val="clear" w:color="auto" w:fill="D8D8D8"/>
          </w:tcPr>
          <w:p>
            <w:pPr>
              <w:spacing w:after="0"/>
              <w:rPr>
                <w:sz w:val="14"/>
                <w:szCs w:val="14"/>
                <w:color w:val="auto"/>
              </w:rPr>
            </w:pPr>
          </w:p>
        </w:tc>
        <w:tc>
          <w:tcPr>
            <w:tcW w:w="148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388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FLOWSERVE CORPORATION</w:t>
            </w:r>
          </w:p>
        </w:tc>
        <w:tc>
          <w:tcPr>
            <w:tcW w:w="580" w:type="dxa"/>
            <w:vAlign w:val="bottom"/>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4,729</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8,819</w:t>
            </w:r>
          </w:p>
        </w:tc>
        <w:tc>
          <w:tcPr>
            <w:tcW w:w="1400" w:type="dxa"/>
            <w:vAlign w:val="bottom"/>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Pr>
          <w:p>
            <w:pPr>
              <w:spacing w:after="0"/>
              <w:rPr>
                <w:sz w:val="24"/>
                <w:szCs w:val="24"/>
                <w:color w:val="auto"/>
              </w:rPr>
            </w:pPr>
          </w:p>
        </w:tc>
        <w:tc>
          <w:tcPr>
            <w:tcW w:w="148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
        </w:trPr>
        <w:tc>
          <w:tcPr>
            <w:tcW w:w="3880" w:type="dxa"/>
            <w:vAlign w:val="bottom"/>
            <w:tcBorders>
              <w:right w:val="single" w:sz="8" w:color="8C8C8C"/>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FORTIVE CORPORATION</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4,159</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17,535</w:t>
            </w:r>
          </w:p>
        </w:tc>
        <w:tc>
          <w:tcPr>
            <w:tcW w:w="14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880" w:type="dxa"/>
            <w:vAlign w:val="bottom"/>
            <w:tcBorders>
              <w:bottom w:val="single" w:sz="8" w:color="D8D8D8"/>
              <w:right w:val="single" w:sz="8" w:color="8C8C8C"/>
            </w:tcBorders>
            <w:vMerge w:val="continue"/>
            <w:shd w:val="clear" w:color="auto" w:fill="D8D8D8"/>
          </w:tcPr>
          <w:p>
            <w:pPr>
              <w:spacing w:after="0"/>
              <w:rPr>
                <w:sz w:val="14"/>
                <w:szCs w:val="14"/>
                <w:color w:val="auto"/>
              </w:rPr>
            </w:pPr>
          </w:p>
        </w:tc>
        <w:tc>
          <w:tcPr>
            <w:tcW w:w="580" w:type="dxa"/>
            <w:vAlign w:val="bottom"/>
            <w:tcBorders>
              <w:bottom w:val="single" w:sz="8" w:color="D8D8D8"/>
            </w:tcBorders>
            <w:vMerge w:val="continue"/>
            <w:shd w:val="clear" w:color="auto" w:fill="D8D8D8"/>
          </w:tcPr>
          <w:p>
            <w:pPr>
              <w:spacing w:after="0"/>
              <w:rPr>
                <w:sz w:val="14"/>
                <w:szCs w:val="14"/>
                <w:color w:val="auto"/>
              </w:rPr>
            </w:pPr>
          </w:p>
        </w:tc>
        <w:tc>
          <w:tcPr>
            <w:tcW w:w="900" w:type="dxa"/>
            <w:vAlign w:val="bottom"/>
            <w:tcBorders>
              <w:bottom w:val="single" w:sz="8" w:color="D8D8D8"/>
            </w:tcBorders>
            <w:vMerge w:val="continue"/>
            <w:shd w:val="clear" w:color="auto" w:fill="D8D8D8"/>
          </w:tcPr>
          <w:p>
            <w:pPr>
              <w:spacing w:after="0"/>
              <w:rPr>
                <w:sz w:val="14"/>
                <w:szCs w:val="14"/>
                <w:color w:val="auto"/>
              </w:rPr>
            </w:pPr>
          </w:p>
        </w:tc>
        <w:tc>
          <w:tcPr>
            <w:tcW w:w="340" w:type="dxa"/>
            <w:vAlign w:val="bottom"/>
            <w:tcBorders>
              <w:bottom w:val="single" w:sz="8" w:color="D8D8D8"/>
            </w:tcBorders>
            <w:vMerge w:val="continue"/>
            <w:shd w:val="clear" w:color="auto" w:fill="D8D8D8"/>
          </w:tcPr>
          <w:p>
            <w:pPr>
              <w:spacing w:after="0"/>
              <w:rPr>
                <w:sz w:val="14"/>
                <w:szCs w:val="14"/>
                <w:color w:val="auto"/>
              </w:rPr>
            </w:pPr>
          </w:p>
        </w:tc>
        <w:tc>
          <w:tcPr>
            <w:tcW w:w="880" w:type="dxa"/>
            <w:vAlign w:val="bottom"/>
            <w:tcBorders>
              <w:bottom w:val="single" w:sz="8" w:color="D8D8D8"/>
            </w:tcBorders>
            <w:vMerge w:val="continue"/>
            <w:shd w:val="clear" w:color="auto" w:fill="D8D8D8"/>
          </w:tcPr>
          <w:p>
            <w:pPr>
              <w:spacing w:after="0"/>
              <w:rPr>
                <w:sz w:val="14"/>
                <w:szCs w:val="14"/>
                <w:color w:val="auto"/>
              </w:rPr>
            </w:pP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Borders>
              <w:bottom w:val="single" w:sz="8" w:color="D8D8D8"/>
            </w:tcBorders>
            <w:vMerge w:val="continue"/>
            <w:shd w:val="clear" w:color="auto" w:fill="D8D8D8"/>
          </w:tcPr>
          <w:p>
            <w:pPr>
              <w:spacing w:after="0"/>
              <w:rPr>
                <w:sz w:val="14"/>
                <w:szCs w:val="14"/>
                <w:color w:val="auto"/>
              </w:rPr>
            </w:pPr>
          </w:p>
        </w:tc>
        <w:tc>
          <w:tcPr>
            <w:tcW w:w="148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388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ILLINOIS TOOL WORKS INC.</w:t>
            </w:r>
          </w:p>
        </w:tc>
        <w:tc>
          <w:tcPr>
            <w:tcW w:w="580" w:type="dxa"/>
            <w:vAlign w:val="bottom"/>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16,044</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71,452</w:t>
            </w:r>
          </w:p>
        </w:tc>
        <w:tc>
          <w:tcPr>
            <w:tcW w:w="1400" w:type="dxa"/>
            <w:vAlign w:val="bottom"/>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
        </w:trPr>
        <w:tc>
          <w:tcPr>
            <w:tcW w:w="3880" w:type="dxa"/>
            <w:vAlign w:val="bottom"/>
            <w:tcBorders>
              <w:right w:val="single" w:sz="8" w:color="8C8C8C"/>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880" w:type="dxa"/>
            <w:vAlign w:val="bottom"/>
            <w:tcBorders>
              <w:bottom w:val="single" w:sz="8" w:color="D8D8D8"/>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INGERSOLL RAND INC.</w:t>
            </w:r>
          </w:p>
        </w:tc>
        <w:tc>
          <w:tcPr>
            <w:tcW w:w="580" w:type="dxa"/>
            <w:vAlign w:val="bottom"/>
            <w:tcBorders>
              <w:bottom w:val="single" w:sz="8" w:color="D8D8D8"/>
            </w:tcBorders>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7,651</w:t>
            </w:r>
          </w:p>
        </w:tc>
        <w:tc>
          <w:tcPr>
            <w:tcW w:w="34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31,301</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Borders>
              <w:bottom w:val="single" w:sz="8" w:color="D8D8D8"/>
            </w:tcBorders>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5"/>
        </w:trPr>
        <w:tc>
          <w:tcPr>
            <w:tcW w:w="388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PARKER-HANNIFIN CORPORATION</w:t>
            </w:r>
          </w:p>
        </w:tc>
        <w:tc>
          <w:tcPr>
            <w:tcW w:w="580" w:type="dxa"/>
            <w:vAlign w:val="bottom"/>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20,461</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110,913</w:t>
            </w:r>
          </w:p>
        </w:tc>
        <w:tc>
          <w:tcPr>
            <w:tcW w:w="1400" w:type="dxa"/>
            <w:vAlign w:val="bottom"/>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Pr>
          <w:p>
            <w:pPr>
              <w:spacing w:after="0"/>
              <w:rPr>
                <w:sz w:val="24"/>
                <w:szCs w:val="24"/>
                <w:color w:val="auto"/>
              </w:rPr>
            </w:pPr>
          </w:p>
        </w:tc>
        <w:tc>
          <w:tcPr>
            <w:tcW w:w="148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
        </w:trPr>
        <w:tc>
          <w:tcPr>
            <w:tcW w:w="3880" w:type="dxa"/>
            <w:vAlign w:val="bottom"/>
            <w:tcBorders>
              <w:right w:val="single" w:sz="8" w:color="8C8C8C"/>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880" w:type="dxa"/>
            <w:vAlign w:val="bottom"/>
            <w:tcBorders>
              <w:bottom w:val="single" w:sz="8" w:color="D8D8D8"/>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ROCKWELL AUTOMATION INC.</w:t>
            </w:r>
          </w:p>
        </w:tc>
        <w:tc>
          <w:tcPr>
            <w:tcW w:w="580" w:type="dxa"/>
            <w:vAlign w:val="bottom"/>
            <w:tcBorders>
              <w:bottom w:val="single" w:sz="8" w:color="D8D8D8"/>
            </w:tcBorders>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8,566</w:t>
            </w:r>
          </w:p>
        </w:tc>
        <w:tc>
          <w:tcPr>
            <w:tcW w:w="34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43,744</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Electrical</w:t>
            </w:r>
          </w:p>
        </w:tc>
        <w:tc>
          <w:tcPr>
            <w:tcW w:w="1460" w:type="dxa"/>
            <w:vAlign w:val="bottom"/>
            <w:tcBorders>
              <w:bottom w:val="single" w:sz="8" w:color="D8D8D8"/>
            </w:tcBorders>
            <w:shd w:val="clear" w:color="auto" w:fill="D8D8D8"/>
          </w:tcPr>
          <w:p>
            <w:pPr>
              <w:spacing w:after="0"/>
              <w:rPr>
                <w:sz w:val="24"/>
                <w:szCs w:val="24"/>
                <w:color w:val="auto"/>
              </w:rPr>
            </w:pPr>
          </w:p>
        </w:tc>
        <w:tc>
          <w:tcPr>
            <w:tcW w:w="1480" w:type="dxa"/>
            <w:vAlign w:val="bottom"/>
            <w:tcBorders>
              <w:bottom w:val="single" w:sz="8" w:color="D8D8D8"/>
            </w:tcBorders>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ROPER TECHNOLOGIES, INC.</w:t>
            </w: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7,903</w:t>
            </w:r>
          </w:p>
        </w:tc>
        <w:tc>
          <w:tcPr>
            <w:tcW w:w="340" w:type="dxa"/>
            <w:vAlign w:val="bottom"/>
            <w:vMerge w:val="restart"/>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47,913</w:t>
            </w:r>
          </w:p>
        </w:tc>
        <w:tc>
          <w:tcPr>
            <w:tcW w:w="14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880" w:type="dxa"/>
            <w:vAlign w:val="bottom"/>
            <w:tcBorders>
              <w:right w:val="single" w:sz="8" w:color="8C8C8C"/>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Conglomerate</w:t>
            </w:r>
          </w:p>
        </w:tc>
        <w:tc>
          <w:tcPr>
            <w:tcW w:w="14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80" w:type="dxa"/>
            <w:vAlign w:val="bottom"/>
            <w:tcBorders>
              <w:right w:val="single" w:sz="8" w:color="8C8C8C"/>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SNAP-ON INCORPORATED</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4,743</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17,922</w:t>
            </w:r>
          </w:p>
        </w:tc>
        <w:tc>
          <w:tcPr>
            <w:tcW w:w="14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shd w:val="clear" w:color="auto" w:fill="D8D8D8"/>
          </w:tcPr>
          <w:p>
            <w:pPr>
              <w:spacing w:after="0"/>
              <w:rPr>
                <w:sz w:val="15"/>
                <w:szCs w:val="15"/>
                <w:color w:val="auto"/>
              </w:rPr>
            </w:pPr>
          </w:p>
        </w:tc>
        <w:tc>
          <w:tcPr>
            <w:tcW w:w="14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880" w:type="dxa"/>
            <w:vAlign w:val="bottom"/>
            <w:tcBorders>
              <w:right w:val="single" w:sz="8" w:color="8C8C8C"/>
            </w:tcBorders>
            <w:vMerge w:val="continue"/>
            <w:shd w:val="clear" w:color="auto" w:fill="D8D8D8"/>
          </w:tcPr>
          <w:p>
            <w:pPr>
              <w:spacing w:after="0"/>
              <w:rPr>
                <w:sz w:val="9"/>
                <w:szCs w:val="9"/>
                <w:color w:val="auto"/>
              </w:rPr>
            </w:pPr>
          </w:p>
        </w:tc>
        <w:tc>
          <w:tcPr>
            <w:tcW w:w="58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340" w:type="dxa"/>
            <w:vAlign w:val="bottom"/>
            <w:vMerge w:val="continue"/>
            <w:shd w:val="clear" w:color="auto" w:fill="D8D8D8"/>
          </w:tcPr>
          <w:p>
            <w:pPr>
              <w:spacing w:after="0"/>
              <w:rPr>
                <w:sz w:val="9"/>
                <w:szCs w:val="9"/>
                <w:color w:val="auto"/>
              </w:rPr>
            </w:pPr>
          </w:p>
        </w:tc>
        <w:tc>
          <w:tcPr>
            <w:tcW w:w="880" w:type="dxa"/>
            <w:vAlign w:val="bottom"/>
            <w:vMerge w:val="continue"/>
            <w:shd w:val="clear" w:color="auto" w:fill="D8D8D8"/>
          </w:tcPr>
          <w:p>
            <w:pPr>
              <w:spacing w:after="0"/>
              <w:rPr>
                <w:sz w:val="9"/>
                <w:szCs w:val="9"/>
                <w:color w:val="auto"/>
              </w:rPr>
            </w:pP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shd w:val="clear" w:color="auto" w:fill="D8D8D8"/>
          </w:tcPr>
          <w:p>
            <w:pPr>
              <w:spacing w:after="0"/>
              <w:rPr>
                <w:sz w:val="9"/>
                <w:szCs w:val="9"/>
                <w:color w:val="auto"/>
              </w:rPr>
            </w:pPr>
          </w:p>
        </w:tc>
        <w:tc>
          <w:tcPr>
            <w:tcW w:w="148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880" w:type="dxa"/>
            <w:vAlign w:val="bottom"/>
            <w:tcBorders>
              <w:right w:val="single" w:sz="8" w:color="8C8C8C"/>
            </w:tcBorders>
            <w:shd w:val="clear" w:color="auto" w:fill="D8D8D8"/>
          </w:tcPr>
          <w:p>
            <w:pPr>
              <w:spacing w:after="0"/>
              <w:rPr>
                <w:sz w:val="5"/>
                <w:szCs w:val="5"/>
                <w:color w:val="auto"/>
              </w:rPr>
            </w:pPr>
          </w:p>
        </w:tc>
        <w:tc>
          <w:tcPr>
            <w:tcW w:w="58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34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1400" w:type="dxa"/>
            <w:vAlign w:val="bottom"/>
            <w:vMerge w:val="continue"/>
            <w:shd w:val="clear" w:color="auto" w:fill="D8D8D8"/>
          </w:tcPr>
          <w:p>
            <w:pPr>
              <w:spacing w:after="0"/>
              <w:rPr>
                <w:sz w:val="5"/>
                <w:szCs w:val="5"/>
                <w:color w:val="auto"/>
              </w:rPr>
            </w:pPr>
          </w:p>
        </w:tc>
        <w:tc>
          <w:tcPr>
            <w:tcW w:w="1460" w:type="dxa"/>
            <w:vAlign w:val="bottom"/>
            <w:shd w:val="clear" w:color="auto" w:fill="D8D8D8"/>
          </w:tcPr>
          <w:p>
            <w:pPr>
              <w:spacing w:after="0"/>
              <w:rPr>
                <w:sz w:val="5"/>
                <w:szCs w:val="5"/>
                <w:color w:val="auto"/>
              </w:rPr>
            </w:pPr>
          </w:p>
        </w:tc>
        <w:tc>
          <w:tcPr>
            <w:tcW w:w="14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STANLEY BLACK &amp; DECKER, INC.</w:t>
            </w: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15,130</w:t>
            </w:r>
          </w:p>
        </w:tc>
        <w:tc>
          <w:tcPr>
            <w:tcW w:w="340" w:type="dxa"/>
            <w:vAlign w:val="bottom"/>
            <w:vMerge w:val="restart"/>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11,505</w:t>
            </w:r>
          </w:p>
        </w:tc>
        <w:tc>
          <w:tcPr>
            <w:tcW w:w="14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tcPr>
          <w:p>
            <w:pPr>
              <w:spacing w:after="0"/>
              <w:rPr>
                <w:sz w:val="15"/>
                <w:szCs w:val="15"/>
                <w:color w:val="auto"/>
              </w:rPr>
            </w:pPr>
          </w:p>
        </w:tc>
        <w:tc>
          <w:tcPr>
            <w:tcW w:w="1480" w:type="dxa"/>
            <w:vAlign w:val="bottom"/>
            <w:vMerge w:val="restart"/>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880" w:type="dxa"/>
            <w:vAlign w:val="bottom"/>
            <w:tcBorders>
              <w:right w:val="single" w:sz="8" w:color="8C8C8C"/>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80" w:type="dxa"/>
            <w:vAlign w:val="bottom"/>
            <w:tcBorders>
              <w:right w:val="single" w:sz="8" w:color="8C8C8C"/>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TEXTRON INC.</w:t>
            </w:r>
          </w:p>
        </w:tc>
        <w:tc>
          <w:tcPr>
            <w:tcW w:w="580" w:type="dxa"/>
            <w:vAlign w:val="bottom"/>
            <w:vMerge w:val="restart"/>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14,724</w:t>
            </w:r>
          </w:p>
        </w:tc>
        <w:tc>
          <w:tcPr>
            <w:tcW w:w="340" w:type="dxa"/>
            <w:vAlign w:val="bottom"/>
            <w:vMerge w:val="restart"/>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D8D8D8"/>
          </w:tcPr>
          <w:p>
            <w:pPr>
              <w:jc w:val="right"/>
              <w:ind w:right="188"/>
              <w:spacing w:after="0"/>
              <w:rPr>
                <w:sz w:val="20"/>
                <w:szCs w:val="20"/>
                <w:color w:val="auto"/>
              </w:rPr>
            </w:pPr>
            <w:r>
              <w:rPr>
                <w:rFonts w:ascii="Arial" w:cs="Arial" w:eastAsia="Arial" w:hAnsi="Arial"/>
                <w:sz w:val="14"/>
                <w:szCs w:val="14"/>
                <w:color w:val="auto"/>
              </w:rPr>
              <w:t>15,361</w:t>
            </w:r>
          </w:p>
        </w:tc>
        <w:tc>
          <w:tcPr>
            <w:tcW w:w="14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Aerospace &amp;</w:t>
            </w:r>
          </w:p>
        </w:tc>
        <w:tc>
          <w:tcPr>
            <w:tcW w:w="14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8D8D8"/>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880" w:type="dxa"/>
            <w:vAlign w:val="bottom"/>
            <w:tcBorders>
              <w:bottom w:val="single" w:sz="8" w:color="D8D8D8"/>
              <w:right w:val="single" w:sz="8" w:color="8C8C8C"/>
            </w:tcBorders>
            <w:vMerge w:val="continue"/>
            <w:shd w:val="clear" w:color="auto" w:fill="D8D8D8"/>
          </w:tcPr>
          <w:p>
            <w:pPr>
              <w:spacing w:after="0"/>
              <w:rPr>
                <w:sz w:val="14"/>
                <w:szCs w:val="14"/>
                <w:color w:val="auto"/>
              </w:rPr>
            </w:pPr>
          </w:p>
        </w:tc>
        <w:tc>
          <w:tcPr>
            <w:tcW w:w="580" w:type="dxa"/>
            <w:vAlign w:val="bottom"/>
            <w:tcBorders>
              <w:bottom w:val="single" w:sz="8" w:color="D8D8D8"/>
            </w:tcBorders>
            <w:vMerge w:val="continue"/>
            <w:shd w:val="clear" w:color="auto" w:fill="D8D8D8"/>
          </w:tcPr>
          <w:p>
            <w:pPr>
              <w:spacing w:after="0"/>
              <w:rPr>
                <w:sz w:val="14"/>
                <w:szCs w:val="14"/>
                <w:color w:val="auto"/>
              </w:rPr>
            </w:pPr>
          </w:p>
        </w:tc>
        <w:tc>
          <w:tcPr>
            <w:tcW w:w="900" w:type="dxa"/>
            <w:vAlign w:val="bottom"/>
            <w:tcBorders>
              <w:bottom w:val="single" w:sz="8" w:color="D8D8D8"/>
            </w:tcBorders>
            <w:vMerge w:val="continue"/>
            <w:shd w:val="clear" w:color="auto" w:fill="D8D8D8"/>
          </w:tcPr>
          <w:p>
            <w:pPr>
              <w:spacing w:after="0"/>
              <w:rPr>
                <w:sz w:val="14"/>
                <w:szCs w:val="14"/>
                <w:color w:val="auto"/>
              </w:rPr>
            </w:pPr>
          </w:p>
        </w:tc>
        <w:tc>
          <w:tcPr>
            <w:tcW w:w="340" w:type="dxa"/>
            <w:vAlign w:val="bottom"/>
            <w:tcBorders>
              <w:bottom w:val="single" w:sz="8" w:color="D8D8D8"/>
            </w:tcBorders>
            <w:vMerge w:val="continue"/>
            <w:shd w:val="clear" w:color="auto" w:fill="D8D8D8"/>
          </w:tcPr>
          <w:p>
            <w:pPr>
              <w:spacing w:after="0"/>
              <w:rPr>
                <w:sz w:val="14"/>
                <w:szCs w:val="14"/>
                <w:color w:val="auto"/>
              </w:rPr>
            </w:pPr>
          </w:p>
        </w:tc>
        <w:tc>
          <w:tcPr>
            <w:tcW w:w="880" w:type="dxa"/>
            <w:vAlign w:val="bottom"/>
            <w:tcBorders>
              <w:bottom w:val="single" w:sz="8" w:color="D8D8D8"/>
            </w:tcBorders>
            <w:vMerge w:val="continue"/>
            <w:shd w:val="clear" w:color="auto" w:fill="D8D8D8"/>
          </w:tcPr>
          <w:p>
            <w:pPr>
              <w:spacing w:after="0"/>
              <w:rPr>
                <w:sz w:val="14"/>
                <w:szCs w:val="14"/>
                <w:color w:val="auto"/>
              </w:rPr>
            </w:pP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Defense</w:t>
            </w:r>
          </w:p>
        </w:tc>
        <w:tc>
          <w:tcPr>
            <w:tcW w:w="1460" w:type="dxa"/>
            <w:vAlign w:val="bottom"/>
            <w:tcBorders>
              <w:bottom w:val="single" w:sz="8" w:color="D8D8D8"/>
            </w:tcBorders>
            <w:vMerge w:val="continue"/>
            <w:shd w:val="clear" w:color="auto" w:fill="D8D8D8"/>
          </w:tcPr>
          <w:p>
            <w:pPr>
              <w:spacing w:after="0"/>
              <w:rPr>
                <w:sz w:val="14"/>
                <w:szCs w:val="14"/>
                <w:color w:val="auto"/>
              </w:rPr>
            </w:pPr>
          </w:p>
        </w:tc>
        <w:tc>
          <w:tcPr>
            <w:tcW w:w="148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XYLEM, INC.</w:t>
            </w:r>
          </w:p>
        </w:tc>
        <w:tc>
          <w:tcPr>
            <w:tcW w:w="58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9,035</w:t>
            </w:r>
          </w:p>
        </w:tc>
        <w:tc>
          <w:tcPr>
            <w:tcW w:w="340" w:type="dxa"/>
            <w:vAlign w:val="bottom"/>
            <w:vMerge w:val="restart"/>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33,156</w:t>
            </w:r>
          </w:p>
        </w:tc>
        <w:tc>
          <w:tcPr>
            <w:tcW w:w="14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460" w:type="dxa"/>
            <w:vAlign w:val="bottom"/>
          </w:tcPr>
          <w:p>
            <w:pPr>
              <w:spacing w:after="0"/>
              <w:rPr>
                <w:sz w:val="15"/>
                <w:szCs w:val="15"/>
                <w:color w:val="auto"/>
              </w:rPr>
            </w:pPr>
          </w:p>
        </w:tc>
        <w:tc>
          <w:tcPr>
            <w:tcW w:w="1480" w:type="dxa"/>
            <w:vAlign w:val="bottom"/>
            <w:vMerge w:val="restart"/>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880" w:type="dxa"/>
            <w:vAlign w:val="bottom"/>
            <w:tcBorders>
              <w:right w:val="single" w:sz="8" w:color="8C8C8C"/>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Machinery</w:t>
            </w:r>
          </w:p>
        </w:tc>
        <w:tc>
          <w:tcPr>
            <w:tcW w:w="14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80" w:type="dxa"/>
            <w:vAlign w:val="bottom"/>
            <w:tcBorders>
              <w:right w:val="single" w:sz="8" w:color="8C8C8C"/>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3880" w:type="dxa"/>
            <w:vAlign w:val="bottom"/>
            <w:tcBorders>
              <w:bottom w:val="single" w:sz="8" w:color="D8D8D8"/>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75TH PERCENTILE</w:t>
            </w:r>
          </w:p>
        </w:tc>
        <w:tc>
          <w:tcPr>
            <w:tcW w:w="580" w:type="dxa"/>
            <w:vAlign w:val="bottom"/>
            <w:tcBorders>
              <w:bottom w:val="single" w:sz="8" w:color="D8D8D8"/>
            </w:tcBorders>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15,733</w:t>
            </w:r>
          </w:p>
        </w:tc>
        <w:tc>
          <w:tcPr>
            <w:tcW w:w="34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72,246</w:t>
            </w:r>
          </w:p>
        </w:tc>
        <w:tc>
          <w:tcPr>
            <w:tcW w:w="1400" w:type="dxa"/>
            <w:vAlign w:val="bottom"/>
            <w:tcBorders>
              <w:bottom w:val="single" w:sz="8" w:color="D8D8D8"/>
            </w:tcBorders>
            <w:shd w:val="clear" w:color="auto" w:fill="D8D8D8"/>
          </w:tcPr>
          <w:p>
            <w:pPr>
              <w:spacing w:after="0"/>
              <w:rPr>
                <w:sz w:val="24"/>
                <w:szCs w:val="24"/>
                <w:color w:val="auto"/>
              </w:rPr>
            </w:pPr>
          </w:p>
        </w:tc>
        <w:tc>
          <w:tcPr>
            <w:tcW w:w="1460" w:type="dxa"/>
            <w:vAlign w:val="bottom"/>
            <w:tcBorders>
              <w:bottom w:val="single" w:sz="8" w:color="D8D8D8"/>
            </w:tcBorders>
            <w:shd w:val="clear" w:color="auto" w:fill="D8D8D8"/>
          </w:tcPr>
          <w:p>
            <w:pPr>
              <w:spacing w:after="0"/>
              <w:rPr>
                <w:sz w:val="24"/>
                <w:szCs w:val="24"/>
                <w:color w:val="auto"/>
              </w:rPr>
            </w:pPr>
          </w:p>
        </w:tc>
        <w:tc>
          <w:tcPr>
            <w:tcW w:w="148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MEDIAN</w:t>
            </w:r>
          </w:p>
        </w:tc>
        <w:tc>
          <w:tcPr>
            <w:tcW w:w="580" w:type="dxa"/>
            <w:vAlign w:val="bottom"/>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8,801</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38,450</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880" w:type="dxa"/>
            <w:vAlign w:val="bottom"/>
            <w:tcBorders>
              <w:right w:val="single" w:sz="8" w:color="8C8C8C"/>
            </w:tcBorders>
            <w:vMerge w:val="continue"/>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3880" w:type="dxa"/>
            <w:vAlign w:val="bottom"/>
            <w:tcBorders>
              <w:bottom w:val="single" w:sz="8" w:color="D8D8D8"/>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25TH PERCENTILE</w:t>
            </w:r>
          </w:p>
        </w:tc>
        <w:tc>
          <w:tcPr>
            <w:tcW w:w="580" w:type="dxa"/>
            <w:vAlign w:val="bottom"/>
            <w:tcBorders>
              <w:bottom w:val="single" w:sz="8" w:color="D8D8D8"/>
            </w:tcBorders>
            <w:shd w:val="clear" w:color="auto" w:fill="D8D8D8"/>
          </w:tcPr>
          <w:p>
            <w:pPr>
              <w:ind w:left="4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6,806</w:t>
            </w:r>
          </w:p>
        </w:tc>
        <w:tc>
          <w:tcPr>
            <w:tcW w:w="34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16,992</w:t>
            </w:r>
          </w:p>
        </w:tc>
        <w:tc>
          <w:tcPr>
            <w:tcW w:w="1400" w:type="dxa"/>
            <w:vAlign w:val="bottom"/>
            <w:tcBorders>
              <w:bottom w:val="single" w:sz="8" w:color="D8D8D8"/>
            </w:tcBorders>
            <w:shd w:val="clear" w:color="auto" w:fill="D8D8D8"/>
          </w:tcPr>
          <w:p>
            <w:pPr>
              <w:spacing w:after="0"/>
              <w:rPr>
                <w:sz w:val="24"/>
                <w:szCs w:val="24"/>
                <w:color w:val="auto"/>
              </w:rPr>
            </w:pPr>
          </w:p>
        </w:tc>
        <w:tc>
          <w:tcPr>
            <w:tcW w:w="1460" w:type="dxa"/>
            <w:vAlign w:val="bottom"/>
            <w:tcBorders>
              <w:bottom w:val="single" w:sz="8" w:color="D8D8D8"/>
            </w:tcBorders>
            <w:shd w:val="clear" w:color="auto" w:fill="D8D8D8"/>
          </w:tcPr>
          <w:p>
            <w:pPr>
              <w:spacing w:after="0"/>
              <w:rPr>
                <w:sz w:val="24"/>
                <w:szCs w:val="24"/>
                <w:color w:val="auto"/>
              </w:rPr>
            </w:pPr>
          </w:p>
        </w:tc>
        <w:tc>
          <w:tcPr>
            <w:tcW w:w="148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88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DOVER</w:t>
            </w:r>
          </w:p>
        </w:tc>
        <w:tc>
          <w:tcPr>
            <w:tcW w:w="580" w:type="dxa"/>
            <w:vAlign w:val="bottom"/>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8,093</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26,778</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880" w:type="dxa"/>
            <w:vAlign w:val="bottom"/>
            <w:tcBorders>
              <w:bottom w:val="single" w:sz="8" w:color="021496"/>
              <w:right w:val="single" w:sz="8" w:color="8C8C8C"/>
            </w:tcBorders>
            <w:vMerge w:val="continue"/>
          </w:tcPr>
          <w:p>
            <w:pPr>
              <w:spacing w:after="0"/>
              <w:rPr>
                <w:sz w:val="4"/>
                <w:szCs w:val="4"/>
                <w:color w:val="auto"/>
              </w:rPr>
            </w:pPr>
          </w:p>
        </w:tc>
        <w:tc>
          <w:tcPr>
            <w:tcW w:w="580" w:type="dxa"/>
            <w:vAlign w:val="bottom"/>
            <w:tcBorders>
              <w:bottom w:val="single" w:sz="8" w:color="021496"/>
            </w:tcBorders>
          </w:tcPr>
          <w:p>
            <w:pPr>
              <w:spacing w:after="0"/>
              <w:rPr>
                <w:sz w:val="4"/>
                <w:szCs w:val="4"/>
                <w:color w:val="auto"/>
              </w:rPr>
            </w:pPr>
          </w:p>
        </w:tc>
        <w:tc>
          <w:tcPr>
            <w:tcW w:w="900" w:type="dxa"/>
            <w:vAlign w:val="bottom"/>
            <w:tcBorders>
              <w:bottom w:val="single" w:sz="8" w:color="021496"/>
            </w:tcBorders>
          </w:tcPr>
          <w:p>
            <w:pPr>
              <w:spacing w:after="0"/>
              <w:rPr>
                <w:sz w:val="4"/>
                <w:szCs w:val="4"/>
                <w:color w:val="auto"/>
              </w:rPr>
            </w:pPr>
          </w:p>
        </w:tc>
        <w:tc>
          <w:tcPr>
            <w:tcW w:w="340" w:type="dxa"/>
            <w:vAlign w:val="bottom"/>
            <w:tcBorders>
              <w:bottom w:val="single" w:sz="8" w:color="021496"/>
            </w:tcBorders>
          </w:tcPr>
          <w:p>
            <w:pPr>
              <w:spacing w:after="0"/>
              <w:rPr>
                <w:sz w:val="4"/>
                <w:szCs w:val="4"/>
                <w:color w:val="auto"/>
              </w:rPr>
            </w:pPr>
          </w:p>
        </w:tc>
        <w:tc>
          <w:tcPr>
            <w:tcW w:w="880" w:type="dxa"/>
            <w:vAlign w:val="bottom"/>
            <w:tcBorders>
              <w:bottom w:val="single" w:sz="8" w:color="021496"/>
            </w:tcBorders>
          </w:tcPr>
          <w:p>
            <w:pPr>
              <w:spacing w:after="0"/>
              <w:rPr>
                <w:sz w:val="4"/>
                <w:szCs w:val="4"/>
                <w:color w:val="auto"/>
              </w:rPr>
            </w:pPr>
          </w:p>
        </w:tc>
        <w:tc>
          <w:tcPr>
            <w:tcW w:w="1400" w:type="dxa"/>
            <w:vAlign w:val="bottom"/>
            <w:tcBorders>
              <w:bottom w:val="single" w:sz="8" w:color="021496"/>
            </w:tcBorders>
          </w:tcPr>
          <w:p>
            <w:pPr>
              <w:spacing w:after="0"/>
              <w:rPr>
                <w:sz w:val="4"/>
                <w:szCs w:val="4"/>
                <w:color w:val="auto"/>
              </w:rPr>
            </w:pPr>
          </w:p>
        </w:tc>
        <w:tc>
          <w:tcPr>
            <w:tcW w:w="1460" w:type="dxa"/>
            <w:vAlign w:val="bottom"/>
            <w:tcBorders>
              <w:bottom w:val="single" w:sz="8" w:color="021496"/>
            </w:tcBorders>
          </w:tcPr>
          <w:p>
            <w:pPr>
              <w:spacing w:after="0"/>
              <w:rPr>
                <w:sz w:val="4"/>
                <w:szCs w:val="4"/>
                <w:color w:val="auto"/>
              </w:rPr>
            </w:pPr>
          </w:p>
        </w:tc>
        <w:tc>
          <w:tcPr>
            <w:tcW w:w="148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0" w:hanging="426"/>
        <w:spacing w:after="0"/>
        <w:tabs>
          <w:tab w:leader="none" w:pos="5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As of 12/31/2025.</w:t>
      </w:r>
    </w:p>
    <w:p>
      <w:pPr>
        <w:spacing w:after="0" w:line="11" w:lineRule="exact"/>
        <w:rPr>
          <w:rFonts w:ascii="Arial" w:cs="Arial" w:eastAsia="Arial" w:hAnsi="Arial"/>
          <w:sz w:val="14"/>
          <w:szCs w:val="14"/>
          <w:i w:val="1"/>
          <w:iCs w:val="1"/>
          <w:color w:val="auto"/>
        </w:rPr>
      </w:pPr>
    </w:p>
    <w:p>
      <w:pPr>
        <w:ind w:left="540" w:hanging="426"/>
        <w:spacing w:after="0"/>
        <w:tabs>
          <w:tab w:leader="none" w:pos="5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“Same analyst coverage” means company is covered by at least five of the analysts that cover Dover.</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44</w:t>
      </w:r>
    </w:p>
    <w:p>
      <w:pPr>
        <w:sectPr>
          <w:pgSz w:w="11900" w:h="16838" w:orient="portrait"/>
          <w:cols w:equalWidth="0" w:num="1">
            <w:col w:w="10920"/>
          </w:cols>
          <w:pgMar w:left="480" w:top="299" w:right="49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Role of Internal Equity in Setting Executive Compensation</w:t>
      </w:r>
    </w:p>
    <w:p>
      <w:pPr>
        <w:spacing w:after="0" w:line="6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Management and our Compensation Committee consider both market benchmarks (i.e., external competitiveness), as well as the impact each executive role has relative to internal peers (i.e., internal equity), in establishing the executive pay structures used to govern pay.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Retention and Independence of Compensation Consultant</w:t>
      </w:r>
    </w:p>
    <w:p>
      <w:pPr>
        <w:spacing w:after="0" w:line="7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Compensation Committee has the authority and discretion to retain external compensation consultants as it deems appropriate. Our Compensation Committee has adopted a policy to ensure the continuing independence and accountability to the committee of any advisor hired to assist the committee in the discharge of its duties. The policy formalizes the independent relationship between the Compensation Committee’s advisor and Dover, while permitting management limited ability to access the advisor’s knowledge of Dover for compensation matters. Under the policy, our Compensation Committee annually reviews and pre-approves the services that may be provided to management by the independent advisor without further Compensation Committee approval. Compensation Committee approval is required prior to Dover retaining the independent advisor for any executive compensation services or other consulting services or products above an aggregate annual limit of $50,000.</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September 2020, our Compensation Committee has retained Meridian Compensation Partners, LLC (“Meridian”) to serve as its independent compensation consultant. Meridian does no other work for and has no other relationships with Dover. Meridian is focused on executive compensation and does not have departments, groups, or affiliates that provide services other than those related to executive compensation and benefits.</w:t>
      </w:r>
    </w:p>
    <w:p>
      <w:pPr>
        <w:spacing w:after="0" w:line="13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Our Compensation Committee looks to its consultant to periodically review and advise on the adequacy and appropriateness of our overall executive compensation plans, programs, and practices and, from time to time, to answer specific questions raised by our Compensation Committee or management. Compensation decisions are made by, and are the responsibility of, our Compensation Committee and our Board, and may reflect factors and considerations other than the information and recommendations provided by our Compensation Committee’s consultant.</w:t>
      </w:r>
    </w:p>
    <w:p>
      <w:pPr>
        <w:spacing w:after="0" w:line="151"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auto"/>
        </w:rPr>
        <w:t>To ensure independence of the compensation consultant, the consultant reports directly to the Chair of our Compensation Committee and works specifically for the Compensation Committee solely on compensation and benefits.</w:t>
      </w:r>
    </w:p>
    <w:p>
      <w:pPr>
        <w:spacing w:after="0" w:line="121"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auto"/>
        </w:rPr>
        <w:t>Meridian did not engage in any projects for management in 2025. Our Compensation Committee has assessed the independence of Meridian and concluded that its work for the Compensation Committee does not raise any conflict of interest.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45</w:t>
      </w:r>
    </w:p>
    <w:p>
      <w:pPr>
        <w:sectPr>
          <w:pgSz w:w="11900" w:h="16838" w:orient="portrait"/>
          <w:cols w:equalWidth="0" w:num="1">
            <w:col w:w="10920"/>
          </w:cols>
          <w:pgMar w:left="480" w:top="299" w:right="49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Elements of 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Variable, Performance-Based Compensation Program Structure Drives Pay-For-Performance Alignment</w:t>
      </w:r>
    </w:p>
    <w:p>
      <w:pPr>
        <w:spacing w:after="0" w:line="6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pay packages of Dover executives consist predominantly of incentive-based pay, both annual and long-term. Each of the compensation components has a specific role in the overall design of our executive pay program. While the components are designed to be mutually reinforcing, care is taken to minimize overlap between them. The following table provides an overview of the 2025 compensation program structure.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Component</w:t>
            </w:r>
          </w:p>
        </w:tc>
        <w:tc>
          <w:tcPr>
            <w:tcW w:w="1660" w:type="dxa"/>
            <w:vAlign w:val="bottom"/>
            <w:tcBorders>
              <w:right w:val="single" w:sz="8" w:color="050F70"/>
            </w:tcBorders>
            <w:shd w:val="clear" w:color="auto" w:fill="050F70"/>
          </w:tcPr>
          <w:p>
            <w:pPr>
              <w:ind w:left="120"/>
              <w:spacing w:after="0"/>
              <w:rPr>
                <w:sz w:val="20"/>
                <w:szCs w:val="20"/>
                <w:color w:val="auto"/>
              </w:rPr>
            </w:pPr>
            <w:r>
              <w:rPr>
                <w:rFonts w:ascii="Arial" w:cs="Arial" w:eastAsia="Arial" w:hAnsi="Arial"/>
                <w:sz w:val="14"/>
                <w:szCs w:val="14"/>
                <w:b w:val="1"/>
                <w:bCs w:val="1"/>
                <w:color w:val="FFFFFF"/>
              </w:rPr>
              <w:t>Pay Element</w:t>
            </w:r>
          </w:p>
        </w:tc>
        <w:tc>
          <w:tcPr>
            <w:tcW w:w="3920" w:type="dxa"/>
            <w:vAlign w:val="bottom"/>
            <w:tcBorders>
              <w:right w:val="single" w:sz="8" w:color="050F70"/>
            </w:tcBorders>
            <w:gridSpan w:val="2"/>
            <w:shd w:val="clear" w:color="auto" w:fill="050F70"/>
          </w:tcPr>
          <w:p>
            <w:pPr>
              <w:ind w:left="100"/>
              <w:spacing w:after="0"/>
              <w:rPr>
                <w:sz w:val="20"/>
                <w:szCs w:val="20"/>
                <w:color w:val="auto"/>
              </w:rPr>
            </w:pPr>
            <w:r>
              <w:rPr>
                <w:rFonts w:ascii="Arial" w:cs="Arial" w:eastAsia="Arial" w:hAnsi="Arial"/>
                <w:sz w:val="14"/>
                <w:szCs w:val="14"/>
                <w:b w:val="1"/>
                <w:bCs w:val="1"/>
                <w:color w:val="FFFFFF"/>
              </w:rPr>
              <w:t>    2025 Metrics &amp; Weighting</w:t>
            </w:r>
          </w:p>
        </w:tc>
        <w:tc>
          <w:tcPr>
            <w:tcW w:w="39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    Objectives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420" w:type="dxa"/>
            <w:vAlign w:val="bottom"/>
          </w:tcPr>
          <w:p>
            <w:pPr>
              <w:spacing w:after="0"/>
              <w:rPr>
                <w:sz w:val="24"/>
                <w:szCs w:val="24"/>
                <w:color w:val="auto"/>
              </w:rPr>
            </w:pPr>
          </w:p>
        </w:tc>
        <w:tc>
          <w:tcPr>
            <w:tcW w:w="1660" w:type="dxa"/>
            <w:vAlign w:val="bottom"/>
            <w:tcBorders>
              <w:right w:val="single" w:sz="8" w:color="7F7F7F"/>
            </w:tcBorders>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tcBorders>
              <w:right w:val="single" w:sz="8" w:color="7F7F7F"/>
            </w:tcBorders>
          </w:tcPr>
          <w:p>
            <w:pPr>
              <w:spacing w:after="0"/>
              <w:rPr>
                <w:sz w:val="24"/>
                <w:szCs w:val="24"/>
                <w:color w:val="auto"/>
              </w:rPr>
            </w:pPr>
          </w:p>
        </w:tc>
        <w:tc>
          <w:tcPr>
            <w:tcW w:w="3940" w:type="dxa"/>
            <w:vAlign w:val="bottom"/>
            <w:gridSpan w:val="2"/>
          </w:tcPr>
          <w:p>
            <w:pPr>
              <w:ind w:left="280"/>
              <w:spacing w:after="0"/>
              <w:rPr>
                <w:sz w:val="20"/>
                <w:szCs w:val="20"/>
                <w:color w:val="auto"/>
              </w:rPr>
            </w:pPr>
            <w:r>
              <w:rPr>
                <w:rFonts w:ascii="Arial" w:cs="Arial" w:eastAsia="Arial" w:hAnsi="Arial"/>
                <w:sz w:val="14"/>
                <w:szCs w:val="14"/>
                <w:color w:val="auto"/>
              </w:rPr>
              <w:t>Attract and retain qualified executives</w:t>
            </w:r>
          </w:p>
        </w:tc>
        <w:tc>
          <w:tcPr>
            <w:tcW w:w="0" w:type="dxa"/>
            <w:vAlign w:val="bottom"/>
          </w:tcPr>
          <w:p>
            <w:pPr>
              <w:spacing w:after="0"/>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Base Salary</w:t>
            </w: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Cash</w:t>
            </w:r>
          </w:p>
        </w:tc>
        <w:tc>
          <w:tcPr>
            <w:tcW w:w="400" w:type="dxa"/>
            <w:vAlign w:val="bottom"/>
          </w:tcPr>
          <w:p>
            <w:pPr>
              <w:spacing w:after="0"/>
              <w:rPr>
                <w:sz w:val="20"/>
                <w:szCs w:val="20"/>
                <w:color w:val="auto"/>
              </w:rPr>
            </w:pPr>
          </w:p>
        </w:tc>
        <w:tc>
          <w:tcPr>
            <w:tcW w:w="352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n/a</w:t>
            </w:r>
          </w:p>
        </w:tc>
        <w:tc>
          <w:tcPr>
            <w:tcW w:w="3940" w:type="dxa"/>
            <w:vAlign w:val="bottom"/>
            <w:gridSpan w:val="2"/>
          </w:tcPr>
          <w:p>
            <w:pPr>
              <w:ind w:left="280"/>
              <w:spacing w:after="0"/>
              <w:rPr>
                <w:sz w:val="20"/>
                <w:szCs w:val="20"/>
                <w:color w:val="auto"/>
              </w:rPr>
            </w:pPr>
            <w:r>
              <w:rPr>
                <w:rFonts w:ascii="Arial" w:cs="Arial" w:eastAsia="Arial" w:hAnsi="Arial"/>
                <w:sz w:val="14"/>
                <w:szCs w:val="14"/>
                <w:color w:val="auto"/>
              </w:rPr>
              <w:t>Benchmarked to peer group median while also</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spacing w:after="0"/>
              <w:rPr>
                <w:sz w:val="13"/>
                <w:szCs w:val="13"/>
                <w:color w:val="auto"/>
              </w:rPr>
            </w:pPr>
          </w:p>
        </w:tc>
        <w:tc>
          <w:tcPr>
            <w:tcW w:w="400" w:type="dxa"/>
            <w:vAlign w:val="bottom"/>
          </w:tcPr>
          <w:p>
            <w:pPr>
              <w:spacing w:after="0"/>
              <w:rPr>
                <w:sz w:val="13"/>
                <w:szCs w:val="13"/>
                <w:color w:val="auto"/>
              </w:rPr>
            </w:pPr>
          </w:p>
        </w:tc>
        <w:tc>
          <w:tcPr>
            <w:tcW w:w="3520" w:type="dxa"/>
            <w:vAlign w:val="bottom"/>
            <w:tcBorders>
              <w:right w:val="single" w:sz="8" w:color="7F7F7F"/>
            </w:tcBorders>
          </w:tcPr>
          <w:p>
            <w:pPr>
              <w:spacing w:after="0"/>
              <w:rPr>
                <w:sz w:val="13"/>
                <w:szCs w:val="13"/>
                <w:color w:val="auto"/>
              </w:rPr>
            </w:pPr>
          </w:p>
        </w:tc>
        <w:tc>
          <w:tcPr>
            <w:tcW w:w="3940" w:type="dxa"/>
            <w:vAlign w:val="bottom"/>
            <w:gridSpan w:val="2"/>
          </w:tcPr>
          <w:p>
            <w:pPr>
              <w:ind w:left="480"/>
              <w:spacing w:after="0"/>
              <w:rPr>
                <w:sz w:val="20"/>
                <w:szCs w:val="20"/>
                <w:color w:val="auto"/>
              </w:rPr>
            </w:pPr>
            <w:r>
              <w:rPr>
                <w:rFonts w:ascii="Arial" w:cs="Arial" w:eastAsia="Arial" w:hAnsi="Arial"/>
                <w:sz w:val="14"/>
                <w:szCs w:val="14"/>
                <w:color w:val="auto"/>
              </w:rPr>
              <w:t>considering additional factors such as experience and</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660" w:type="dxa"/>
            <w:vAlign w:val="bottom"/>
            <w:tcBorders>
              <w:right w:val="single" w:sz="8" w:color="7F7F7F"/>
            </w:tcBorders>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tcBorders>
              <w:right w:val="single" w:sz="8" w:color="7F7F7F"/>
            </w:tcBorders>
          </w:tcPr>
          <w:p>
            <w:pPr>
              <w:spacing w:after="0"/>
              <w:rPr>
                <w:sz w:val="16"/>
                <w:szCs w:val="16"/>
                <w:color w:val="auto"/>
              </w:rPr>
            </w:pPr>
          </w:p>
        </w:tc>
        <w:tc>
          <w:tcPr>
            <w:tcW w:w="3940" w:type="dxa"/>
            <w:vAlign w:val="bottom"/>
            <w:gridSpan w:val="2"/>
          </w:tcPr>
          <w:p>
            <w:pPr>
              <w:ind w:left="480"/>
              <w:spacing w:after="0"/>
              <w:rPr>
                <w:sz w:val="20"/>
                <w:szCs w:val="20"/>
                <w:color w:val="auto"/>
              </w:rPr>
            </w:pPr>
            <w:r>
              <w:rPr>
                <w:rFonts w:ascii="Arial" w:cs="Arial" w:eastAsia="Arial" w:hAnsi="Arial"/>
                <w:sz w:val="14"/>
                <w:szCs w:val="14"/>
                <w:color w:val="auto"/>
              </w:rPr>
              <w:t>performance in role</w:t>
            </w: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400" w:type="dxa"/>
            <w:vAlign w:val="bottom"/>
            <w:tcBorders>
              <w:bottom w:val="single" w:sz="8" w:color="7F7F7F"/>
            </w:tcBorders>
          </w:tcPr>
          <w:p>
            <w:pPr>
              <w:spacing w:after="0"/>
              <w:rPr>
                <w:sz w:val="9"/>
                <w:szCs w:val="9"/>
                <w:color w:val="auto"/>
              </w:rPr>
            </w:pPr>
          </w:p>
        </w:tc>
        <w:tc>
          <w:tcPr>
            <w:tcW w:w="35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EAEFED"/>
          </w:tcPr>
          <w:p>
            <w:pPr>
              <w:spacing w:after="0"/>
              <w:rPr>
                <w:sz w:val="20"/>
                <w:szCs w:val="20"/>
                <w:color w:val="auto"/>
              </w:rPr>
            </w:pPr>
          </w:p>
        </w:tc>
        <w:tc>
          <w:tcPr>
            <w:tcW w:w="1660" w:type="dxa"/>
            <w:vAlign w:val="bottom"/>
            <w:tcBorders>
              <w:right w:val="single" w:sz="8" w:color="7F7F7F"/>
            </w:tcBorders>
            <w:shd w:val="clear" w:color="auto" w:fill="EAEFED"/>
          </w:tcPr>
          <w:p>
            <w:pPr>
              <w:spacing w:after="0"/>
              <w:rPr>
                <w:sz w:val="20"/>
                <w:szCs w:val="20"/>
                <w:color w:val="auto"/>
              </w:rPr>
            </w:pPr>
          </w:p>
        </w:tc>
        <w:tc>
          <w:tcPr>
            <w:tcW w:w="400" w:type="dxa"/>
            <w:vAlign w:val="bottom"/>
            <w:shd w:val="clear" w:color="auto" w:fill="EAEFED"/>
          </w:tcPr>
          <w:p>
            <w:pPr>
              <w:spacing w:after="0"/>
              <w:rPr>
                <w:sz w:val="20"/>
                <w:szCs w:val="20"/>
                <w:color w:val="auto"/>
              </w:rPr>
            </w:pPr>
          </w:p>
        </w:tc>
        <w:tc>
          <w:tcPr>
            <w:tcW w:w="3520" w:type="dxa"/>
            <w:vAlign w:val="bottom"/>
            <w:tcBorders>
              <w:right w:val="single" w:sz="8" w:color="7F7F7F"/>
            </w:tcBorders>
            <w:shd w:val="clear" w:color="auto" w:fill="EAEFED"/>
          </w:tcPr>
          <w:p>
            <w:pPr>
              <w:ind w:left="60"/>
              <w:spacing w:after="0"/>
              <w:rPr>
                <w:sz w:val="20"/>
                <w:szCs w:val="20"/>
                <w:color w:val="auto"/>
              </w:rPr>
            </w:pPr>
            <w:r>
              <w:rPr>
                <w:rFonts w:ascii="Arial" w:cs="Arial" w:eastAsia="Arial" w:hAnsi="Arial"/>
                <w:sz w:val="14"/>
                <w:szCs w:val="14"/>
                <w:color w:val="auto"/>
              </w:rPr>
              <w:t>60% Financial Results:</w:t>
            </w:r>
          </w:p>
        </w:tc>
        <w:tc>
          <w:tcPr>
            <w:tcW w:w="3920" w:type="dxa"/>
            <w:vAlign w:val="bottom"/>
            <w:vMerge w:val="restart"/>
            <w:shd w:val="clear" w:color="auto" w:fill="EAEFED"/>
          </w:tcPr>
          <w:p>
            <w:pPr>
              <w:ind w:left="280"/>
              <w:spacing w:after="0"/>
              <w:rPr>
                <w:sz w:val="20"/>
                <w:szCs w:val="20"/>
                <w:color w:val="auto"/>
              </w:rPr>
            </w:pPr>
            <w:r>
              <w:rPr>
                <w:rFonts w:ascii="Arial" w:cs="Arial" w:eastAsia="Arial" w:hAnsi="Arial"/>
                <w:sz w:val="14"/>
                <w:szCs w:val="14"/>
                <w:color w:val="auto"/>
              </w:rPr>
              <w:t>Intended to drive profitability, growth, and progress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1420" w:type="dxa"/>
            <w:vAlign w:val="bottom"/>
            <w:shd w:val="clear" w:color="auto" w:fill="EAEFED"/>
          </w:tcPr>
          <w:p>
            <w:pPr>
              <w:spacing w:after="0"/>
              <w:rPr>
                <w:sz w:val="3"/>
                <w:szCs w:val="3"/>
                <w:color w:val="auto"/>
              </w:rPr>
            </w:pPr>
          </w:p>
        </w:tc>
        <w:tc>
          <w:tcPr>
            <w:tcW w:w="1660" w:type="dxa"/>
            <w:vAlign w:val="bottom"/>
            <w:tcBorders>
              <w:right w:val="single" w:sz="8" w:color="7F7F7F"/>
            </w:tcBorders>
            <w:shd w:val="clear" w:color="auto" w:fill="EAEFED"/>
          </w:tcPr>
          <w:p>
            <w:pPr>
              <w:spacing w:after="0"/>
              <w:rPr>
                <w:sz w:val="3"/>
                <w:szCs w:val="3"/>
                <w:color w:val="auto"/>
              </w:rPr>
            </w:pPr>
          </w:p>
        </w:tc>
        <w:tc>
          <w:tcPr>
            <w:tcW w:w="400" w:type="dxa"/>
            <w:vAlign w:val="bottom"/>
            <w:shd w:val="clear" w:color="auto" w:fill="EAEFED"/>
          </w:tcPr>
          <w:p>
            <w:pPr>
              <w:spacing w:after="0"/>
              <w:rPr>
                <w:sz w:val="3"/>
                <w:szCs w:val="3"/>
                <w:color w:val="auto"/>
              </w:rPr>
            </w:pPr>
          </w:p>
        </w:tc>
        <w:tc>
          <w:tcPr>
            <w:tcW w:w="3520" w:type="dxa"/>
            <w:vAlign w:val="bottom"/>
            <w:tcBorders>
              <w:right w:val="single" w:sz="8" w:color="7F7F7F"/>
            </w:tcBorders>
            <w:shd w:val="clear" w:color="auto" w:fill="EAEFED"/>
          </w:tcPr>
          <w:p>
            <w:pPr>
              <w:spacing w:after="0"/>
              <w:rPr>
                <w:sz w:val="3"/>
                <w:szCs w:val="3"/>
                <w:color w:val="auto"/>
              </w:rPr>
            </w:pPr>
          </w:p>
        </w:tc>
        <w:tc>
          <w:tcPr>
            <w:tcW w:w="3920" w:type="dxa"/>
            <w:vAlign w:val="bottom"/>
            <w:vMerge w:val="continue"/>
            <w:shd w:val="clear" w:color="auto" w:fill="EAEFED"/>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EAEFED"/>
          </w:tcPr>
          <w:p>
            <w:pPr>
              <w:spacing w:after="0"/>
              <w:rPr>
                <w:sz w:val="17"/>
                <w:szCs w:val="17"/>
                <w:color w:val="auto"/>
              </w:rPr>
            </w:pPr>
          </w:p>
        </w:tc>
        <w:tc>
          <w:tcPr>
            <w:tcW w:w="1660" w:type="dxa"/>
            <w:vAlign w:val="bottom"/>
            <w:tcBorders>
              <w:right w:val="single" w:sz="8" w:color="7F7F7F"/>
            </w:tcBorders>
            <w:shd w:val="clear" w:color="auto" w:fill="EAEFED"/>
          </w:tcPr>
          <w:p>
            <w:pPr>
              <w:spacing w:after="0"/>
              <w:rPr>
                <w:sz w:val="17"/>
                <w:szCs w:val="17"/>
                <w:color w:val="auto"/>
              </w:rPr>
            </w:pPr>
          </w:p>
        </w:tc>
        <w:tc>
          <w:tcPr>
            <w:tcW w:w="400" w:type="dxa"/>
            <w:vAlign w:val="bottom"/>
            <w:shd w:val="clear" w:color="auto" w:fill="EAEFED"/>
          </w:tcPr>
          <w:p>
            <w:pPr>
              <w:spacing w:after="0"/>
              <w:rPr>
                <w:sz w:val="17"/>
                <w:szCs w:val="17"/>
                <w:color w:val="auto"/>
              </w:rPr>
            </w:pPr>
          </w:p>
        </w:tc>
        <w:tc>
          <w:tcPr>
            <w:tcW w:w="3520" w:type="dxa"/>
            <w:vAlign w:val="bottom"/>
            <w:tcBorders>
              <w:right w:val="single" w:sz="8" w:color="7F7F7F"/>
            </w:tcBorders>
            <w:shd w:val="clear" w:color="auto" w:fill="EAEFED"/>
          </w:tcPr>
          <w:p>
            <w:pPr>
              <w:ind w:left="1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Adj. Earnings</w:t>
            </w:r>
          </w:p>
        </w:tc>
        <w:tc>
          <w:tcPr>
            <w:tcW w:w="3920" w:type="dxa"/>
            <w:vAlign w:val="bottom"/>
            <w:shd w:val="clear" w:color="auto" w:fill="EAEFED"/>
          </w:tcPr>
          <w:p>
            <w:pPr>
              <w:ind w:left="480"/>
              <w:spacing w:after="0"/>
              <w:rPr>
                <w:sz w:val="20"/>
                <w:szCs w:val="20"/>
                <w:color w:val="auto"/>
              </w:rPr>
            </w:pPr>
            <w:r>
              <w:rPr>
                <w:rFonts w:ascii="Arial" w:cs="Arial" w:eastAsia="Arial" w:hAnsi="Arial"/>
                <w:sz w:val="14"/>
                <w:szCs w:val="14"/>
                <w:color w:val="auto"/>
              </w:rPr>
              <w:t>against strategy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Annual</w:t>
            </w:r>
          </w:p>
        </w:tc>
        <w:tc>
          <w:tcPr>
            <w:tcW w:w="1660" w:type="dxa"/>
            <w:vAlign w:val="bottom"/>
            <w:tcBorders>
              <w:right w:val="single" w:sz="8" w:color="7F7F7F"/>
            </w:tcBorders>
            <w:shd w:val="clear" w:color="auto" w:fill="EAEFED"/>
          </w:tcPr>
          <w:p>
            <w:pPr>
              <w:spacing w:after="0"/>
              <w:rPr>
                <w:sz w:val="18"/>
                <w:szCs w:val="18"/>
                <w:color w:val="auto"/>
              </w:rPr>
            </w:pPr>
          </w:p>
        </w:tc>
        <w:tc>
          <w:tcPr>
            <w:tcW w:w="400" w:type="dxa"/>
            <w:vAlign w:val="bottom"/>
            <w:shd w:val="clear" w:color="auto" w:fill="EAEFED"/>
          </w:tcPr>
          <w:p>
            <w:pPr>
              <w:spacing w:after="0"/>
              <w:rPr>
                <w:sz w:val="18"/>
                <w:szCs w:val="18"/>
                <w:color w:val="auto"/>
              </w:rPr>
            </w:pPr>
          </w:p>
        </w:tc>
        <w:tc>
          <w:tcPr>
            <w:tcW w:w="3520" w:type="dxa"/>
            <w:vAlign w:val="bottom"/>
            <w:tcBorders>
              <w:right w:val="single" w:sz="8" w:color="7F7F7F"/>
            </w:tcBorders>
            <w:shd w:val="clear" w:color="auto" w:fill="EAEFED"/>
          </w:tcPr>
          <w:p>
            <w:pPr>
              <w:ind w:left="60"/>
              <w:spacing w:after="0"/>
              <w:rPr>
                <w:sz w:val="20"/>
                <w:szCs w:val="20"/>
                <w:color w:val="auto"/>
              </w:rPr>
            </w:pPr>
            <w:r>
              <w:rPr>
                <w:rFonts w:ascii="Arial" w:cs="Arial" w:eastAsia="Arial" w:hAnsi="Arial"/>
                <w:sz w:val="14"/>
                <w:szCs w:val="14"/>
                <w:color w:val="auto"/>
              </w:rPr>
              <w:t>40% Individual Strategic</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Individual objectives are focused on a limited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shd w:val="clear" w:color="auto" w:fill="EAEFED"/>
          </w:tcPr>
          <w:p>
            <w:pPr>
              <w:ind w:left="100"/>
              <w:spacing w:after="0"/>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vMerge w:val="restart"/>
            <w:shd w:val="clear" w:color="auto" w:fill="EAEFED"/>
          </w:tcPr>
          <w:p>
            <w:pPr>
              <w:ind w:left="120"/>
              <w:spacing w:after="0"/>
              <w:rPr>
                <w:sz w:val="20"/>
                <w:szCs w:val="20"/>
                <w:color w:val="auto"/>
              </w:rPr>
            </w:pPr>
            <w:r>
              <w:rPr>
                <w:rFonts w:ascii="Arial" w:cs="Arial" w:eastAsia="Arial" w:hAnsi="Arial"/>
                <w:sz w:val="14"/>
                <w:szCs w:val="14"/>
                <w:b w:val="1"/>
                <w:bCs w:val="1"/>
                <w:color w:val="auto"/>
              </w:rPr>
              <w:t>Cash</w:t>
            </w:r>
          </w:p>
        </w:tc>
        <w:tc>
          <w:tcPr>
            <w:tcW w:w="400" w:type="dxa"/>
            <w:vAlign w:val="bottom"/>
            <w:shd w:val="clear" w:color="auto" w:fill="EAEFED"/>
          </w:tcPr>
          <w:p>
            <w:pPr>
              <w:spacing w:after="0"/>
              <w:rPr>
                <w:sz w:val="12"/>
                <w:szCs w:val="12"/>
                <w:color w:val="auto"/>
              </w:rPr>
            </w:pPr>
          </w:p>
        </w:tc>
        <w:tc>
          <w:tcPr>
            <w:tcW w:w="3520" w:type="dxa"/>
            <w:vAlign w:val="bottom"/>
            <w:tcBorders>
              <w:right w:val="single" w:sz="8" w:color="7F7F7F"/>
            </w:tcBorders>
            <w:vMerge w:val="restart"/>
            <w:shd w:val="clear" w:color="auto" w:fill="EAEFED"/>
          </w:tcPr>
          <w:p>
            <w:pPr>
              <w:ind w:left="1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Specific strategic initiatives deemed to be</w:t>
            </w:r>
          </w:p>
        </w:tc>
        <w:tc>
          <w:tcPr>
            <w:tcW w:w="3920" w:type="dxa"/>
            <w:vAlign w:val="bottom"/>
            <w:shd w:val="clear" w:color="auto" w:fill="EAEFED"/>
          </w:tcPr>
          <w:p>
            <w:pPr>
              <w:ind w:left="480"/>
              <w:spacing w:after="0" w:line="147" w:lineRule="exact"/>
              <w:rPr>
                <w:sz w:val="20"/>
                <w:szCs w:val="20"/>
                <w:color w:val="auto"/>
              </w:rPr>
            </w:pPr>
            <w:r>
              <w:rPr>
                <w:rFonts w:ascii="Arial" w:cs="Arial" w:eastAsia="Arial" w:hAnsi="Arial"/>
                <w:sz w:val="14"/>
                <w:szCs w:val="14"/>
                <w:color w:val="auto"/>
              </w:rPr>
              <w:t>measurable set of goals to benefit shareholders over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20" w:type="dxa"/>
            <w:vAlign w:val="bottom"/>
            <w:vMerge w:val="continue"/>
            <w:shd w:val="clear" w:color="auto" w:fill="EAEFED"/>
          </w:tcPr>
          <w:p>
            <w:pPr>
              <w:spacing w:after="0"/>
              <w:rPr>
                <w:sz w:val="4"/>
                <w:szCs w:val="4"/>
                <w:color w:val="auto"/>
              </w:rPr>
            </w:pPr>
          </w:p>
        </w:tc>
        <w:tc>
          <w:tcPr>
            <w:tcW w:w="1660" w:type="dxa"/>
            <w:vAlign w:val="bottom"/>
            <w:tcBorders>
              <w:right w:val="single" w:sz="8" w:color="7F7F7F"/>
            </w:tcBorders>
            <w:vMerge w:val="continue"/>
            <w:shd w:val="clear" w:color="auto" w:fill="EAEFED"/>
          </w:tcPr>
          <w:p>
            <w:pPr>
              <w:spacing w:after="0"/>
              <w:rPr>
                <w:sz w:val="4"/>
                <w:szCs w:val="4"/>
                <w:color w:val="auto"/>
              </w:rPr>
            </w:pPr>
          </w:p>
        </w:tc>
        <w:tc>
          <w:tcPr>
            <w:tcW w:w="400" w:type="dxa"/>
            <w:vAlign w:val="bottom"/>
            <w:shd w:val="clear" w:color="auto" w:fill="EAEFED"/>
          </w:tcPr>
          <w:p>
            <w:pPr>
              <w:spacing w:after="0"/>
              <w:rPr>
                <w:sz w:val="4"/>
                <w:szCs w:val="4"/>
                <w:color w:val="auto"/>
              </w:rPr>
            </w:pPr>
          </w:p>
        </w:tc>
        <w:tc>
          <w:tcPr>
            <w:tcW w:w="3520" w:type="dxa"/>
            <w:vAlign w:val="bottom"/>
            <w:tcBorders>
              <w:right w:val="single" w:sz="8" w:color="7F7F7F"/>
            </w:tcBorders>
            <w:vMerge w:val="continue"/>
            <w:shd w:val="clear" w:color="auto" w:fill="EAEFED"/>
          </w:tcPr>
          <w:p>
            <w:pPr>
              <w:spacing w:after="0"/>
              <w:rPr>
                <w:sz w:val="4"/>
                <w:szCs w:val="4"/>
                <w:color w:val="auto"/>
              </w:rPr>
            </w:pPr>
          </w:p>
        </w:tc>
        <w:tc>
          <w:tcPr>
            <w:tcW w:w="3920" w:type="dxa"/>
            <w:vAlign w:val="bottom"/>
            <w:vMerge w:val="restart"/>
            <w:shd w:val="clear" w:color="auto" w:fill="EAEFED"/>
          </w:tcPr>
          <w:p>
            <w:pPr>
              <w:ind w:left="480"/>
              <w:spacing w:after="0" w:line="147" w:lineRule="exact"/>
              <w:rPr>
                <w:sz w:val="20"/>
                <w:szCs w:val="20"/>
                <w:color w:val="auto"/>
              </w:rPr>
            </w:pPr>
            <w:r>
              <w:rPr>
                <w:rFonts w:ascii="Arial" w:cs="Arial" w:eastAsia="Arial" w:hAnsi="Arial"/>
                <w:sz w:val="14"/>
                <w:szCs w:val="14"/>
                <w:color w:val="auto"/>
              </w:rPr>
              <w:t>the long-term</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420" w:type="dxa"/>
            <w:vAlign w:val="bottom"/>
            <w:vMerge w:val="restart"/>
            <w:shd w:val="clear" w:color="auto" w:fill="EAEFED"/>
          </w:tcPr>
          <w:p>
            <w:pPr>
              <w:ind w:left="100"/>
              <w:spacing w:after="0"/>
              <w:rPr>
                <w:sz w:val="20"/>
                <w:szCs w:val="20"/>
                <w:color w:val="auto"/>
              </w:rPr>
            </w:pPr>
            <w:r>
              <w:rPr>
                <w:rFonts w:ascii="Arial" w:cs="Arial" w:eastAsia="Arial" w:hAnsi="Arial"/>
                <w:sz w:val="14"/>
                <w:szCs w:val="14"/>
                <w:b w:val="1"/>
                <w:bCs w:val="1"/>
                <w:color w:val="auto"/>
              </w:rPr>
              <w:t>Plan (AIP)</w:t>
            </w:r>
          </w:p>
        </w:tc>
        <w:tc>
          <w:tcPr>
            <w:tcW w:w="1660" w:type="dxa"/>
            <w:vAlign w:val="bottom"/>
            <w:tcBorders>
              <w:right w:val="single" w:sz="8" w:color="7F7F7F"/>
            </w:tcBorders>
            <w:shd w:val="clear" w:color="auto" w:fill="EAEFED"/>
          </w:tcPr>
          <w:p>
            <w:pPr>
              <w:spacing w:after="0"/>
              <w:rPr>
                <w:sz w:val="8"/>
                <w:szCs w:val="8"/>
                <w:color w:val="auto"/>
              </w:rPr>
            </w:pPr>
          </w:p>
        </w:tc>
        <w:tc>
          <w:tcPr>
            <w:tcW w:w="400" w:type="dxa"/>
            <w:vAlign w:val="bottom"/>
            <w:shd w:val="clear" w:color="auto" w:fill="EAEFED"/>
          </w:tcPr>
          <w:p>
            <w:pPr>
              <w:spacing w:after="0"/>
              <w:rPr>
                <w:sz w:val="8"/>
                <w:szCs w:val="8"/>
                <w:color w:val="auto"/>
              </w:rPr>
            </w:pPr>
          </w:p>
        </w:tc>
        <w:tc>
          <w:tcPr>
            <w:tcW w:w="3520" w:type="dxa"/>
            <w:vAlign w:val="bottom"/>
            <w:tcBorders>
              <w:right w:val="single" w:sz="8" w:color="7F7F7F"/>
            </w:tcBorders>
            <w:vMerge w:val="continue"/>
            <w:shd w:val="clear" w:color="auto" w:fill="EAEFED"/>
          </w:tcPr>
          <w:p>
            <w:pPr>
              <w:spacing w:after="0"/>
              <w:rPr>
                <w:sz w:val="8"/>
                <w:szCs w:val="8"/>
                <w:color w:val="auto"/>
              </w:rPr>
            </w:pPr>
          </w:p>
        </w:tc>
        <w:tc>
          <w:tcPr>
            <w:tcW w:w="3920" w:type="dxa"/>
            <w:vAlign w:val="bottom"/>
            <w:vMerge w:val="continue"/>
            <w:shd w:val="clear" w:color="auto" w:fill="EAEFE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420" w:type="dxa"/>
            <w:vAlign w:val="bottom"/>
            <w:vMerge w:val="continue"/>
            <w:shd w:val="clear" w:color="auto" w:fill="EAEFED"/>
          </w:tcPr>
          <w:p>
            <w:pPr>
              <w:spacing w:after="0"/>
              <w:rPr>
                <w:sz w:val="8"/>
                <w:szCs w:val="8"/>
                <w:color w:val="auto"/>
              </w:rPr>
            </w:pPr>
          </w:p>
        </w:tc>
        <w:tc>
          <w:tcPr>
            <w:tcW w:w="1660" w:type="dxa"/>
            <w:vAlign w:val="bottom"/>
            <w:tcBorders>
              <w:right w:val="single" w:sz="8" w:color="7F7F7F"/>
            </w:tcBorders>
            <w:shd w:val="clear" w:color="auto" w:fill="EAEFED"/>
          </w:tcPr>
          <w:p>
            <w:pPr>
              <w:spacing w:after="0"/>
              <w:rPr>
                <w:sz w:val="8"/>
                <w:szCs w:val="8"/>
                <w:color w:val="auto"/>
              </w:rPr>
            </w:pPr>
          </w:p>
        </w:tc>
        <w:tc>
          <w:tcPr>
            <w:tcW w:w="400" w:type="dxa"/>
            <w:vAlign w:val="bottom"/>
            <w:shd w:val="clear" w:color="auto" w:fill="EAEFED"/>
          </w:tcPr>
          <w:p>
            <w:pPr>
              <w:spacing w:after="0"/>
              <w:rPr>
                <w:sz w:val="8"/>
                <w:szCs w:val="8"/>
                <w:color w:val="auto"/>
              </w:rPr>
            </w:pPr>
          </w:p>
        </w:tc>
        <w:tc>
          <w:tcPr>
            <w:tcW w:w="3520" w:type="dxa"/>
            <w:vAlign w:val="bottom"/>
            <w:tcBorders>
              <w:right w:val="single" w:sz="8" w:color="7F7F7F"/>
            </w:tcBorders>
            <w:vMerge w:val="restart"/>
            <w:shd w:val="clear" w:color="auto" w:fill="EAEFED"/>
          </w:tcPr>
          <w:p>
            <w:pPr>
              <w:ind w:left="300"/>
              <w:spacing w:after="0"/>
              <w:rPr>
                <w:sz w:val="20"/>
                <w:szCs w:val="20"/>
                <w:color w:val="auto"/>
              </w:rPr>
            </w:pPr>
            <w:r>
              <w:rPr>
                <w:rFonts w:ascii="Arial" w:cs="Arial" w:eastAsia="Arial" w:hAnsi="Arial"/>
                <w:sz w:val="14"/>
                <w:szCs w:val="14"/>
                <w:color w:val="auto"/>
              </w:rPr>
              <w:t>important to achieve in 2025</w:t>
            </w:r>
          </w:p>
        </w:tc>
        <w:tc>
          <w:tcPr>
            <w:tcW w:w="3920" w:type="dxa"/>
            <w:vAlign w:val="bottom"/>
            <w:vMerge w:val="restart"/>
            <w:shd w:val="clear" w:color="auto" w:fill="EAEFED"/>
          </w:tcPr>
          <w:p>
            <w:pPr>
              <w:ind w:left="280"/>
              <w:spacing w:after="0"/>
              <w:rPr>
                <w:sz w:val="20"/>
                <w:szCs w:val="20"/>
                <w:color w:val="auto"/>
              </w:rPr>
            </w:pPr>
            <w:r>
              <w:rPr>
                <w:rFonts w:ascii="Arial" w:cs="Arial" w:eastAsia="Arial" w:hAnsi="Arial"/>
                <w:sz w:val="14"/>
                <w:szCs w:val="14"/>
                <w:color w:val="auto"/>
              </w:rPr>
              <w:t>Including ESG oversight in objectives establishes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20" w:type="dxa"/>
            <w:vAlign w:val="bottom"/>
            <w:shd w:val="clear" w:color="auto" w:fill="EAEFED"/>
          </w:tcPr>
          <w:p>
            <w:pPr>
              <w:spacing w:after="0"/>
              <w:rPr>
                <w:sz w:val="7"/>
                <w:szCs w:val="7"/>
                <w:color w:val="auto"/>
              </w:rPr>
            </w:pPr>
          </w:p>
        </w:tc>
        <w:tc>
          <w:tcPr>
            <w:tcW w:w="1660" w:type="dxa"/>
            <w:vAlign w:val="bottom"/>
            <w:tcBorders>
              <w:right w:val="single" w:sz="8" w:color="7F7F7F"/>
            </w:tcBorders>
            <w:shd w:val="clear" w:color="auto" w:fill="EAEFED"/>
          </w:tcPr>
          <w:p>
            <w:pPr>
              <w:spacing w:after="0"/>
              <w:rPr>
                <w:sz w:val="7"/>
                <w:szCs w:val="7"/>
                <w:color w:val="auto"/>
              </w:rPr>
            </w:pPr>
          </w:p>
        </w:tc>
        <w:tc>
          <w:tcPr>
            <w:tcW w:w="400" w:type="dxa"/>
            <w:vAlign w:val="bottom"/>
            <w:shd w:val="clear" w:color="auto" w:fill="EAEFED"/>
          </w:tcPr>
          <w:p>
            <w:pPr>
              <w:spacing w:after="0"/>
              <w:rPr>
                <w:sz w:val="7"/>
                <w:szCs w:val="7"/>
                <w:color w:val="auto"/>
              </w:rPr>
            </w:pPr>
          </w:p>
        </w:tc>
        <w:tc>
          <w:tcPr>
            <w:tcW w:w="3520" w:type="dxa"/>
            <w:vAlign w:val="bottom"/>
            <w:tcBorders>
              <w:right w:val="single" w:sz="8" w:color="7F7F7F"/>
            </w:tcBorders>
            <w:vMerge w:val="continue"/>
            <w:shd w:val="clear" w:color="auto" w:fill="EAEFED"/>
          </w:tcPr>
          <w:p>
            <w:pPr>
              <w:spacing w:after="0"/>
              <w:rPr>
                <w:sz w:val="7"/>
                <w:szCs w:val="7"/>
                <w:color w:val="auto"/>
              </w:rPr>
            </w:pPr>
          </w:p>
        </w:tc>
        <w:tc>
          <w:tcPr>
            <w:tcW w:w="3920" w:type="dxa"/>
            <w:vAlign w:val="bottom"/>
            <w:vMerge w:val="continue"/>
            <w:shd w:val="clear" w:color="auto" w:fill="EAEFE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420" w:type="dxa"/>
            <w:vAlign w:val="bottom"/>
            <w:shd w:val="clear" w:color="auto" w:fill="EAEFED"/>
          </w:tcPr>
          <w:p>
            <w:pPr>
              <w:spacing w:after="0"/>
              <w:rPr>
                <w:sz w:val="5"/>
                <w:szCs w:val="5"/>
                <w:color w:val="auto"/>
              </w:rPr>
            </w:pPr>
          </w:p>
        </w:tc>
        <w:tc>
          <w:tcPr>
            <w:tcW w:w="1660" w:type="dxa"/>
            <w:vAlign w:val="bottom"/>
            <w:tcBorders>
              <w:right w:val="single" w:sz="8" w:color="7F7F7F"/>
            </w:tcBorders>
            <w:shd w:val="clear" w:color="auto" w:fill="EAEFED"/>
          </w:tcPr>
          <w:p>
            <w:pPr>
              <w:spacing w:after="0"/>
              <w:rPr>
                <w:sz w:val="5"/>
                <w:szCs w:val="5"/>
                <w:color w:val="auto"/>
              </w:rPr>
            </w:pPr>
          </w:p>
        </w:tc>
        <w:tc>
          <w:tcPr>
            <w:tcW w:w="400" w:type="dxa"/>
            <w:vAlign w:val="bottom"/>
            <w:shd w:val="clear" w:color="auto" w:fill="EAEFED"/>
          </w:tcPr>
          <w:p>
            <w:pPr>
              <w:spacing w:after="0"/>
              <w:rPr>
                <w:sz w:val="5"/>
                <w:szCs w:val="5"/>
                <w:color w:val="auto"/>
              </w:rPr>
            </w:pPr>
          </w:p>
        </w:tc>
        <w:tc>
          <w:tcPr>
            <w:tcW w:w="3520" w:type="dxa"/>
            <w:vAlign w:val="bottom"/>
            <w:tcBorders>
              <w:right w:val="single" w:sz="8" w:color="7F7F7F"/>
            </w:tcBorders>
            <w:vMerge w:val="restart"/>
            <w:shd w:val="clear" w:color="auto" w:fill="EAEFED"/>
          </w:tcPr>
          <w:p>
            <w:pPr>
              <w:ind w:left="1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ESG oversight included in CEO and select NEO</w:t>
            </w:r>
          </w:p>
        </w:tc>
        <w:tc>
          <w:tcPr>
            <w:tcW w:w="3920" w:type="dxa"/>
            <w:vAlign w:val="bottom"/>
            <w:vMerge w:val="continue"/>
            <w:shd w:val="clear" w:color="auto" w:fill="EAEFED"/>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EAEFED"/>
          </w:tcPr>
          <w:p>
            <w:pPr>
              <w:spacing w:after="0"/>
              <w:rPr>
                <w:sz w:val="12"/>
                <w:szCs w:val="12"/>
                <w:color w:val="auto"/>
              </w:rPr>
            </w:pPr>
          </w:p>
        </w:tc>
        <w:tc>
          <w:tcPr>
            <w:tcW w:w="1660" w:type="dxa"/>
            <w:vAlign w:val="bottom"/>
            <w:tcBorders>
              <w:right w:val="single" w:sz="8" w:color="7F7F7F"/>
            </w:tcBorders>
            <w:shd w:val="clear" w:color="auto" w:fill="EAEFED"/>
          </w:tcPr>
          <w:p>
            <w:pPr>
              <w:spacing w:after="0"/>
              <w:rPr>
                <w:sz w:val="12"/>
                <w:szCs w:val="12"/>
                <w:color w:val="auto"/>
              </w:rPr>
            </w:pPr>
          </w:p>
        </w:tc>
        <w:tc>
          <w:tcPr>
            <w:tcW w:w="400" w:type="dxa"/>
            <w:vAlign w:val="bottom"/>
            <w:shd w:val="clear" w:color="auto" w:fill="EAEFED"/>
          </w:tcPr>
          <w:p>
            <w:pPr>
              <w:spacing w:after="0"/>
              <w:rPr>
                <w:sz w:val="12"/>
                <w:szCs w:val="12"/>
                <w:color w:val="auto"/>
              </w:rPr>
            </w:pPr>
          </w:p>
        </w:tc>
        <w:tc>
          <w:tcPr>
            <w:tcW w:w="3520" w:type="dxa"/>
            <w:vAlign w:val="bottom"/>
            <w:tcBorders>
              <w:right w:val="single" w:sz="8" w:color="7F7F7F"/>
            </w:tcBorders>
            <w:vMerge w:val="continue"/>
            <w:shd w:val="clear" w:color="auto" w:fill="EAEFED"/>
          </w:tcPr>
          <w:p>
            <w:pPr>
              <w:spacing w:after="0"/>
              <w:rPr>
                <w:sz w:val="12"/>
                <w:szCs w:val="12"/>
                <w:color w:val="auto"/>
              </w:rPr>
            </w:pPr>
          </w:p>
        </w:tc>
        <w:tc>
          <w:tcPr>
            <w:tcW w:w="3920" w:type="dxa"/>
            <w:vAlign w:val="bottom"/>
            <w:shd w:val="clear" w:color="auto" w:fill="EAEFED"/>
          </w:tcPr>
          <w:p>
            <w:pPr>
              <w:ind w:left="480"/>
              <w:spacing w:after="0" w:line="143" w:lineRule="exact"/>
              <w:rPr>
                <w:sz w:val="20"/>
                <w:szCs w:val="20"/>
                <w:color w:val="auto"/>
              </w:rPr>
            </w:pPr>
            <w:r>
              <w:rPr>
                <w:rFonts w:ascii="Arial" w:cs="Arial" w:eastAsia="Arial" w:hAnsi="Arial"/>
                <w:sz w:val="14"/>
                <w:szCs w:val="14"/>
                <w:color w:val="auto"/>
              </w:rPr>
              <w:t>clear tone at the top regarding the importance of ESG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EAEFED"/>
          </w:tcPr>
          <w:p>
            <w:pPr>
              <w:spacing w:after="0"/>
              <w:rPr>
                <w:sz w:val="16"/>
                <w:szCs w:val="16"/>
                <w:color w:val="auto"/>
              </w:rPr>
            </w:pPr>
          </w:p>
        </w:tc>
        <w:tc>
          <w:tcPr>
            <w:tcW w:w="1660" w:type="dxa"/>
            <w:vAlign w:val="bottom"/>
            <w:tcBorders>
              <w:right w:val="single" w:sz="8" w:color="7F7F7F"/>
            </w:tcBorders>
            <w:shd w:val="clear" w:color="auto" w:fill="EAEFED"/>
          </w:tcPr>
          <w:p>
            <w:pPr>
              <w:spacing w:after="0"/>
              <w:rPr>
                <w:sz w:val="16"/>
                <w:szCs w:val="16"/>
                <w:color w:val="auto"/>
              </w:rPr>
            </w:pPr>
          </w:p>
        </w:tc>
        <w:tc>
          <w:tcPr>
            <w:tcW w:w="400" w:type="dxa"/>
            <w:vAlign w:val="bottom"/>
            <w:shd w:val="clear" w:color="auto" w:fill="EAEFED"/>
          </w:tcPr>
          <w:p>
            <w:pPr>
              <w:spacing w:after="0"/>
              <w:rPr>
                <w:sz w:val="16"/>
                <w:szCs w:val="16"/>
                <w:color w:val="auto"/>
              </w:rPr>
            </w:pPr>
          </w:p>
        </w:tc>
        <w:tc>
          <w:tcPr>
            <w:tcW w:w="3520" w:type="dxa"/>
            <w:vAlign w:val="bottom"/>
            <w:tcBorders>
              <w:right w:val="single" w:sz="8" w:color="7F7F7F"/>
            </w:tcBorders>
            <w:shd w:val="clear" w:color="auto" w:fill="EAEFED"/>
          </w:tcPr>
          <w:p>
            <w:pPr>
              <w:ind w:left="300"/>
              <w:spacing w:after="0"/>
              <w:rPr>
                <w:sz w:val="20"/>
                <w:szCs w:val="20"/>
                <w:color w:val="auto"/>
              </w:rPr>
            </w:pPr>
            <w:r>
              <w:rPr>
                <w:rFonts w:ascii="Arial" w:cs="Arial" w:eastAsia="Arial" w:hAnsi="Arial"/>
                <w:sz w:val="14"/>
                <w:szCs w:val="14"/>
                <w:color w:val="auto"/>
              </w:rPr>
              <w:t>individual strategic objectives</w:t>
            </w:r>
          </w:p>
        </w:tc>
        <w:tc>
          <w:tcPr>
            <w:tcW w:w="3920" w:type="dxa"/>
            <w:vAlign w:val="bottom"/>
            <w:shd w:val="clear" w:color="auto" w:fill="EAEFE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420" w:type="dxa"/>
            <w:vAlign w:val="bottom"/>
            <w:tcBorders>
              <w:bottom w:val="single" w:sz="8" w:color="7F7F7F"/>
            </w:tcBorders>
            <w:shd w:val="clear" w:color="auto" w:fill="EAEFED"/>
          </w:tcPr>
          <w:p>
            <w:pPr>
              <w:spacing w:after="0"/>
              <w:rPr>
                <w:sz w:val="9"/>
                <w:szCs w:val="9"/>
                <w:color w:val="auto"/>
              </w:rPr>
            </w:pPr>
          </w:p>
        </w:tc>
        <w:tc>
          <w:tcPr>
            <w:tcW w:w="1660" w:type="dxa"/>
            <w:vAlign w:val="bottom"/>
            <w:tcBorders>
              <w:bottom w:val="single" w:sz="8" w:color="7F7F7F"/>
              <w:right w:val="single" w:sz="8" w:color="7F7F7F"/>
            </w:tcBorders>
            <w:shd w:val="clear" w:color="auto" w:fill="EAEFED"/>
          </w:tcPr>
          <w:p>
            <w:pPr>
              <w:spacing w:after="0"/>
              <w:rPr>
                <w:sz w:val="9"/>
                <w:szCs w:val="9"/>
                <w:color w:val="auto"/>
              </w:rPr>
            </w:pPr>
          </w:p>
        </w:tc>
        <w:tc>
          <w:tcPr>
            <w:tcW w:w="400" w:type="dxa"/>
            <w:vAlign w:val="bottom"/>
            <w:tcBorders>
              <w:bottom w:val="single" w:sz="8" w:color="7F7F7F"/>
            </w:tcBorders>
            <w:shd w:val="clear" w:color="auto" w:fill="EAEFED"/>
          </w:tcPr>
          <w:p>
            <w:pPr>
              <w:spacing w:after="0"/>
              <w:rPr>
                <w:sz w:val="9"/>
                <w:szCs w:val="9"/>
                <w:color w:val="auto"/>
              </w:rPr>
            </w:pPr>
          </w:p>
        </w:tc>
        <w:tc>
          <w:tcPr>
            <w:tcW w:w="3520" w:type="dxa"/>
            <w:vAlign w:val="bottom"/>
            <w:tcBorders>
              <w:bottom w:val="single" w:sz="8" w:color="7F7F7F"/>
              <w:right w:val="single" w:sz="8" w:color="7F7F7F"/>
            </w:tcBorders>
            <w:shd w:val="clear" w:color="auto" w:fill="EAEFED"/>
          </w:tcPr>
          <w:p>
            <w:pPr>
              <w:spacing w:after="0"/>
              <w:rPr>
                <w:sz w:val="9"/>
                <w:szCs w:val="9"/>
                <w:color w:val="auto"/>
              </w:rPr>
            </w:pPr>
          </w:p>
        </w:tc>
        <w:tc>
          <w:tcPr>
            <w:tcW w:w="3920" w:type="dxa"/>
            <w:vAlign w:val="bottom"/>
            <w:tcBorders>
              <w:bottom w:val="single" w:sz="8" w:color="7F7F7F"/>
            </w:tcBorders>
            <w:shd w:val="clear" w:color="auto" w:fill="EAEFED"/>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1420" w:type="dxa"/>
            <w:vAlign w:val="bottom"/>
          </w:tcPr>
          <w:p>
            <w:pPr>
              <w:spacing w:after="0"/>
              <w:rPr>
                <w:sz w:val="24"/>
                <w:szCs w:val="24"/>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Performance</w:t>
            </w:r>
          </w:p>
        </w:tc>
        <w:tc>
          <w:tcPr>
            <w:tcW w:w="400" w:type="dxa"/>
            <w:vAlign w:val="bottom"/>
          </w:tcPr>
          <w:p>
            <w:pPr>
              <w:spacing w:after="0"/>
              <w:rPr>
                <w:sz w:val="24"/>
                <w:szCs w:val="24"/>
                <w:color w:val="auto"/>
              </w:rPr>
            </w:pPr>
          </w:p>
        </w:tc>
        <w:tc>
          <w:tcPr>
            <w:tcW w:w="352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Performance Criteria:</w:t>
            </w:r>
          </w:p>
        </w:tc>
        <w:tc>
          <w:tcPr>
            <w:tcW w:w="3940" w:type="dxa"/>
            <w:vAlign w:val="bottom"/>
            <w:gridSpan w:val="2"/>
          </w:tcPr>
          <w:p>
            <w:pPr>
              <w:ind w:left="280"/>
              <w:spacing w:after="0"/>
              <w:rPr>
                <w:sz w:val="20"/>
                <w:szCs w:val="20"/>
                <w:color w:val="auto"/>
              </w:rPr>
            </w:pPr>
            <w:r>
              <w:rPr>
                <w:rFonts w:ascii="Arial" w:cs="Arial" w:eastAsia="Arial" w:hAnsi="Arial"/>
                <w:sz w:val="14"/>
                <w:szCs w:val="14"/>
                <w:color w:val="auto"/>
              </w:rPr>
              <w:t>Focus executives on shareholder value creation</w:t>
            </w: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660" w:type="dxa"/>
            <w:vAlign w:val="bottom"/>
            <w:tcBorders>
              <w:right w:val="single" w:sz="8" w:color="7F7F7F"/>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tcBorders>
              <w:right w:val="single" w:sz="8" w:color="7F7F7F"/>
            </w:tcBorders>
          </w:tcPr>
          <w:p>
            <w:pPr>
              <w:ind w:left="1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50% - 3-Year relative TSR with the S&amp;P 500</w:t>
            </w:r>
          </w:p>
        </w:tc>
        <w:tc>
          <w:tcPr>
            <w:tcW w:w="3940" w:type="dxa"/>
            <w:vAlign w:val="bottom"/>
            <w:gridSpan w:val="2"/>
            <w:vMerge w:val="restart"/>
          </w:tcPr>
          <w:p>
            <w:pPr>
              <w:ind w:left="280"/>
              <w:spacing w:after="0"/>
              <w:rPr>
                <w:sz w:val="20"/>
                <w:szCs w:val="20"/>
                <w:color w:val="auto"/>
              </w:rPr>
            </w:pPr>
            <w:r>
              <w:rPr>
                <w:rFonts w:ascii="Arial" w:cs="Arial" w:eastAsia="Arial" w:hAnsi="Arial"/>
                <w:sz w:val="14"/>
                <w:szCs w:val="14"/>
                <w:color w:val="auto"/>
              </w:rPr>
              <w:t>Relative TSR closely aligns our executive-level</w:t>
            </w:r>
          </w:p>
        </w:tc>
        <w:tc>
          <w:tcPr>
            <w:tcW w:w="0" w:type="dxa"/>
            <w:vAlign w:val="bottom"/>
          </w:tcPr>
          <w:p>
            <w:pPr>
              <w:spacing w:after="0"/>
              <w:rPr>
                <w:sz w:val="1"/>
                <w:szCs w:val="1"/>
                <w:color w:val="auto"/>
              </w:rPr>
            </w:pPr>
          </w:p>
        </w:tc>
      </w:tr>
      <w:tr>
        <w:trPr>
          <w:trHeight w:val="71"/>
        </w:trPr>
        <w:tc>
          <w:tcPr>
            <w:tcW w:w="1420" w:type="dxa"/>
            <w:vAlign w:val="bottom"/>
          </w:tcPr>
          <w:p>
            <w:pPr>
              <w:spacing w:after="0"/>
              <w:rPr>
                <w:sz w:val="6"/>
                <w:szCs w:val="6"/>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6"/>
                <w:szCs w:val="6"/>
                <w:color w:val="auto"/>
              </w:rPr>
            </w:pPr>
          </w:p>
        </w:tc>
        <w:tc>
          <w:tcPr>
            <w:tcW w:w="352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4"/>
                <w:szCs w:val="14"/>
                <w:color w:val="auto"/>
              </w:rPr>
              <w:t>Industrials index companies as the comparator</w:t>
            </w:r>
          </w:p>
        </w:tc>
        <w:tc>
          <w:tcPr>
            <w:tcW w:w="3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1660" w:type="dxa"/>
            <w:vAlign w:val="bottom"/>
            <w:tcBorders>
              <w:right w:val="single" w:sz="8" w:color="7F7F7F"/>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3520" w:type="dxa"/>
            <w:vAlign w:val="bottom"/>
            <w:tcBorders>
              <w:right w:val="single" w:sz="8" w:color="7F7F7F"/>
            </w:tcBorders>
            <w:vMerge w:val="continue"/>
          </w:tcPr>
          <w:p>
            <w:pPr>
              <w:spacing w:after="0"/>
              <w:rPr>
                <w:sz w:val="7"/>
                <w:szCs w:val="7"/>
                <w:color w:val="auto"/>
              </w:rPr>
            </w:pPr>
          </w:p>
        </w:tc>
        <w:tc>
          <w:tcPr>
            <w:tcW w:w="3940" w:type="dxa"/>
            <w:vAlign w:val="bottom"/>
            <w:gridSpan w:val="2"/>
            <w:vMerge w:val="restart"/>
          </w:tcPr>
          <w:p>
            <w:pPr>
              <w:ind w:left="480"/>
              <w:spacing w:after="0"/>
              <w:rPr>
                <w:sz w:val="20"/>
                <w:szCs w:val="20"/>
                <w:color w:val="auto"/>
              </w:rPr>
            </w:pPr>
            <w:r>
              <w:rPr>
                <w:rFonts w:ascii="Arial" w:cs="Arial" w:eastAsia="Arial" w:hAnsi="Arial"/>
                <w:sz w:val="14"/>
                <w:szCs w:val="14"/>
                <w:color w:val="auto"/>
              </w:rPr>
              <w:t>measurement system with the experience of</w:t>
            </w:r>
          </w:p>
        </w:tc>
        <w:tc>
          <w:tcPr>
            <w:tcW w:w="0" w:type="dxa"/>
            <w:vAlign w:val="bottom"/>
          </w:tcPr>
          <w:p>
            <w:pPr>
              <w:spacing w:after="0"/>
              <w:rPr>
                <w:sz w:val="1"/>
                <w:szCs w:val="1"/>
                <w:color w:val="auto"/>
              </w:rPr>
            </w:pPr>
          </w:p>
        </w:tc>
      </w:tr>
      <w:tr>
        <w:trPr>
          <w:trHeight w:val="71"/>
        </w:trPr>
        <w:tc>
          <w:tcPr>
            <w:tcW w:w="1420" w:type="dxa"/>
            <w:vAlign w:val="bottom"/>
          </w:tcPr>
          <w:p>
            <w:pPr>
              <w:spacing w:after="0"/>
              <w:rPr>
                <w:sz w:val="6"/>
                <w:szCs w:val="6"/>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(40% LTIP weighting)</w:t>
            </w:r>
          </w:p>
        </w:tc>
        <w:tc>
          <w:tcPr>
            <w:tcW w:w="400" w:type="dxa"/>
            <w:vAlign w:val="bottom"/>
          </w:tcPr>
          <w:p>
            <w:pPr>
              <w:spacing w:after="0"/>
              <w:rPr>
                <w:sz w:val="6"/>
                <w:szCs w:val="6"/>
                <w:color w:val="auto"/>
              </w:rPr>
            </w:pPr>
          </w:p>
        </w:tc>
        <w:tc>
          <w:tcPr>
            <w:tcW w:w="3520" w:type="dxa"/>
            <w:vAlign w:val="bottom"/>
            <w:tcBorders>
              <w:right w:val="single" w:sz="8" w:color="7F7F7F"/>
            </w:tcBorders>
            <w:vMerge w:val="restart"/>
          </w:tcPr>
          <w:p>
            <w:pPr>
              <w:ind w:left="300"/>
              <w:spacing w:after="0"/>
              <w:rPr>
                <w:sz w:val="20"/>
                <w:szCs w:val="20"/>
                <w:color w:val="auto"/>
              </w:rPr>
            </w:pPr>
            <w:r>
              <w:rPr>
                <w:rFonts w:ascii="Arial" w:cs="Arial" w:eastAsia="Arial" w:hAnsi="Arial"/>
                <w:sz w:val="14"/>
                <w:szCs w:val="14"/>
                <w:color w:val="auto"/>
              </w:rPr>
              <w:t>group</w:t>
            </w:r>
          </w:p>
        </w:tc>
        <w:tc>
          <w:tcPr>
            <w:tcW w:w="3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1660" w:type="dxa"/>
            <w:vAlign w:val="bottom"/>
            <w:tcBorders>
              <w:right w:val="single" w:sz="8" w:color="7F7F7F"/>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3520" w:type="dxa"/>
            <w:vAlign w:val="bottom"/>
            <w:tcBorders>
              <w:right w:val="single" w:sz="8" w:color="7F7F7F"/>
            </w:tcBorders>
            <w:vMerge w:val="continue"/>
          </w:tcPr>
          <w:p>
            <w:pPr>
              <w:spacing w:after="0"/>
              <w:rPr>
                <w:sz w:val="11"/>
                <w:szCs w:val="11"/>
                <w:color w:val="auto"/>
              </w:rPr>
            </w:pPr>
          </w:p>
        </w:tc>
        <w:tc>
          <w:tcPr>
            <w:tcW w:w="3940" w:type="dxa"/>
            <w:vAlign w:val="bottom"/>
            <w:gridSpan w:val="2"/>
            <w:vMerge w:val="restart"/>
          </w:tcPr>
          <w:p>
            <w:pPr>
              <w:ind w:left="48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53"/>
        </w:trPr>
        <w:tc>
          <w:tcPr>
            <w:tcW w:w="1420" w:type="dxa"/>
            <w:vAlign w:val="bottom"/>
          </w:tcPr>
          <w:p>
            <w:pPr>
              <w:spacing w:after="0"/>
              <w:rPr>
                <w:sz w:val="4"/>
                <w:szCs w:val="4"/>
                <w:color w:val="auto"/>
              </w:rPr>
            </w:pPr>
          </w:p>
        </w:tc>
        <w:tc>
          <w:tcPr>
            <w:tcW w:w="1660" w:type="dxa"/>
            <w:vAlign w:val="bottom"/>
            <w:tcBorders>
              <w:right w:val="single" w:sz="8" w:color="7F7F7F"/>
            </w:tcBorders>
          </w:tcPr>
          <w:p>
            <w:pPr>
              <w:spacing w:after="0"/>
              <w:rPr>
                <w:sz w:val="4"/>
                <w:szCs w:val="4"/>
                <w:color w:val="auto"/>
              </w:rPr>
            </w:pPr>
          </w:p>
        </w:tc>
        <w:tc>
          <w:tcPr>
            <w:tcW w:w="400" w:type="dxa"/>
            <w:vAlign w:val="bottom"/>
          </w:tcPr>
          <w:p>
            <w:pPr>
              <w:spacing w:after="0"/>
              <w:rPr>
                <w:sz w:val="4"/>
                <w:szCs w:val="4"/>
                <w:color w:val="auto"/>
              </w:rPr>
            </w:pPr>
          </w:p>
        </w:tc>
        <w:tc>
          <w:tcPr>
            <w:tcW w:w="352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50% 3-Year average Tangible ROIC</w:t>
            </w:r>
          </w:p>
        </w:tc>
        <w:tc>
          <w:tcPr>
            <w:tcW w:w="3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1660" w:type="dxa"/>
            <w:vAlign w:val="bottom"/>
            <w:tcBorders>
              <w:right w:val="single" w:sz="8" w:color="7F7F7F"/>
            </w:tcBorders>
          </w:tcPr>
          <w:p>
            <w:pPr>
              <w:spacing w:after="0"/>
              <w:rPr>
                <w:sz w:val="15"/>
                <w:szCs w:val="15"/>
                <w:color w:val="auto"/>
              </w:rPr>
            </w:pPr>
          </w:p>
        </w:tc>
        <w:tc>
          <w:tcPr>
            <w:tcW w:w="400" w:type="dxa"/>
            <w:vAlign w:val="bottom"/>
          </w:tcPr>
          <w:p>
            <w:pPr>
              <w:spacing w:after="0"/>
              <w:rPr>
                <w:sz w:val="15"/>
                <w:szCs w:val="15"/>
                <w:color w:val="auto"/>
              </w:rPr>
            </w:pPr>
          </w:p>
        </w:tc>
        <w:tc>
          <w:tcPr>
            <w:tcW w:w="3520" w:type="dxa"/>
            <w:vAlign w:val="bottom"/>
            <w:tcBorders>
              <w:right w:val="single" w:sz="8" w:color="7F7F7F"/>
            </w:tcBorders>
            <w:vMerge w:val="continue"/>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Long-Term</w:t>
            </w:r>
          </w:p>
        </w:tc>
        <w:tc>
          <w:tcPr>
            <w:tcW w:w="1660" w:type="dxa"/>
            <w:vAlign w:val="bottom"/>
            <w:tcBorders>
              <w:right w:val="single" w:sz="8" w:color="7F7F7F"/>
            </w:tcBorders>
          </w:tcPr>
          <w:p>
            <w:pPr>
              <w:spacing w:after="0"/>
              <w:rPr>
                <w:sz w:val="9"/>
                <w:szCs w:val="9"/>
                <w:color w:val="auto"/>
              </w:rPr>
            </w:pPr>
          </w:p>
        </w:tc>
        <w:tc>
          <w:tcPr>
            <w:tcW w:w="400" w:type="dxa"/>
            <w:vAlign w:val="bottom"/>
          </w:tcPr>
          <w:p>
            <w:pPr>
              <w:spacing w:after="0"/>
              <w:rPr>
                <w:sz w:val="9"/>
                <w:szCs w:val="9"/>
                <w:color w:val="auto"/>
              </w:rPr>
            </w:pPr>
          </w:p>
        </w:tc>
        <w:tc>
          <w:tcPr>
            <w:tcW w:w="3520" w:type="dxa"/>
            <w:vAlign w:val="bottom"/>
            <w:tcBorders>
              <w:right w:val="single" w:sz="8" w:color="7F7F7F"/>
            </w:tcBorders>
          </w:tcPr>
          <w:p>
            <w:pPr>
              <w:spacing w:after="0"/>
              <w:rPr>
                <w:sz w:val="9"/>
                <w:szCs w:val="9"/>
                <w:color w:val="auto"/>
              </w:rPr>
            </w:pPr>
          </w:p>
        </w:tc>
        <w:tc>
          <w:tcPr>
            <w:tcW w:w="3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420" w:type="dxa"/>
            <w:vAlign w:val="bottom"/>
            <w:vMerge w:val="continue"/>
          </w:tcPr>
          <w:p>
            <w:pPr>
              <w:spacing w:after="0"/>
              <w:rPr>
                <w:sz w:val="12"/>
                <w:szCs w:val="12"/>
                <w:color w:val="auto"/>
              </w:rPr>
            </w:pPr>
          </w:p>
        </w:tc>
        <w:tc>
          <w:tcPr>
            <w:tcW w:w="1660" w:type="dxa"/>
            <w:vAlign w:val="bottom"/>
            <w:tcBorders>
              <w:top w:val="single" w:sz="8" w:color="7F7F7F"/>
              <w:right w:val="single" w:sz="8" w:color="7F7F7F"/>
            </w:tcBorders>
          </w:tcPr>
          <w:p>
            <w:pPr>
              <w:spacing w:after="0"/>
              <w:rPr>
                <w:sz w:val="12"/>
                <w:szCs w:val="12"/>
                <w:color w:val="auto"/>
              </w:rPr>
            </w:pPr>
          </w:p>
        </w:tc>
        <w:tc>
          <w:tcPr>
            <w:tcW w:w="400" w:type="dxa"/>
            <w:vAlign w:val="bottom"/>
            <w:tcBorders>
              <w:top w:val="single" w:sz="8" w:color="7F7F7F"/>
            </w:tcBorders>
          </w:tcPr>
          <w:p>
            <w:pPr>
              <w:spacing w:after="0"/>
              <w:rPr>
                <w:sz w:val="12"/>
                <w:szCs w:val="12"/>
                <w:color w:val="auto"/>
              </w:rPr>
            </w:pPr>
          </w:p>
        </w:tc>
        <w:tc>
          <w:tcPr>
            <w:tcW w:w="3520" w:type="dxa"/>
            <w:vAlign w:val="bottom"/>
            <w:tcBorders>
              <w:top w:val="single" w:sz="8" w:color="7F7F7F"/>
              <w:right w:val="single" w:sz="8" w:color="7F7F7F"/>
            </w:tcBorders>
          </w:tcPr>
          <w:p>
            <w:pPr>
              <w:spacing w:after="0"/>
              <w:rPr>
                <w:sz w:val="12"/>
                <w:szCs w:val="12"/>
                <w:color w:val="auto"/>
              </w:rPr>
            </w:pPr>
          </w:p>
        </w:tc>
        <w:tc>
          <w:tcPr>
            <w:tcW w:w="3920" w:type="dxa"/>
            <w:vAlign w:val="bottom"/>
            <w:tcBorders>
              <w:top w:val="single" w:sz="8" w:color="7F7F7F"/>
            </w:tcBorders>
          </w:tcPr>
          <w:p>
            <w:pPr>
              <w:ind w:left="280"/>
              <w:spacing w:after="0" w:line="141" w:lineRule="exact"/>
              <w:rPr>
                <w:sz w:val="20"/>
                <w:szCs w:val="20"/>
                <w:color w:val="auto"/>
              </w:rPr>
            </w:pPr>
            <w:r>
              <w:rPr>
                <w:rFonts w:ascii="Arial" w:cs="Arial" w:eastAsia="Arial" w:hAnsi="Arial"/>
                <w:sz w:val="14"/>
                <w:szCs w:val="14"/>
                <w:color w:val="auto"/>
              </w:rPr>
              <w:t>Focus executives on share price appreciation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2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tcPr>
          <w:p>
            <w:pPr>
              <w:spacing w:after="0"/>
              <w:rPr>
                <w:sz w:val="10"/>
                <w:szCs w:val="10"/>
                <w:color w:val="auto"/>
              </w:rPr>
            </w:pPr>
          </w:p>
        </w:tc>
        <w:tc>
          <w:tcPr>
            <w:tcW w:w="400" w:type="dxa"/>
            <w:vAlign w:val="bottom"/>
            <w:vMerge w:val="restart"/>
          </w:tcPr>
          <w:p>
            <w:pPr>
              <w:spacing w:after="0"/>
              <w:rPr>
                <w:sz w:val="10"/>
                <w:szCs w:val="10"/>
                <w:color w:val="auto"/>
              </w:rPr>
            </w:pPr>
          </w:p>
        </w:tc>
        <w:tc>
          <w:tcPr>
            <w:tcW w:w="35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Performance Criteria: Dover stock price, exercisable</w:t>
            </w:r>
          </w:p>
        </w:tc>
        <w:tc>
          <w:tcPr>
            <w:tcW w:w="3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20" w:type="dxa"/>
            <w:vAlign w:val="bottom"/>
          </w:tcPr>
          <w:p>
            <w:pPr>
              <w:ind w:left="100"/>
              <w:spacing w:after="0" w:line="107" w:lineRule="exact"/>
              <w:rPr>
                <w:sz w:val="20"/>
                <w:szCs w:val="20"/>
                <w:color w:val="auto"/>
              </w:rPr>
            </w:pPr>
            <w:r>
              <w:rPr>
                <w:rFonts w:ascii="Arial" w:cs="Arial" w:eastAsia="Arial" w:hAnsi="Arial"/>
                <w:sz w:val="12"/>
                <w:szCs w:val="12"/>
                <w:b w:val="1"/>
                <w:bCs w:val="1"/>
                <w:color w:val="auto"/>
              </w:rPr>
              <w:t>Plan</w:t>
            </w: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SSARs</w:t>
            </w:r>
          </w:p>
        </w:tc>
        <w:tc>
          <w:tcPr>
            <w:tcW w:w="400" w:type="dxa"/>
            <w:vAlign w:val="bottom"/>
            <w:vMerge w:val="continue"/>
          </w:tcPr>
          <w:p>
            <w:pPr>
              <w:spacing w:after="0"/>
              <w:rPr>
                <w:sz w:val="9"/>
                <w:szCs w:val="9"/>
                <w:color w:val="auto"/>
              </w:rPr>
            </w:pPr>
          </w:p>
        </w:tc>
        <w:tc>
          <w:tcPr>
            <w:tcW w:w="3520" w:type="dxa"/>
            <w:vAlign w:val="bottom"/>
            <w:tcBorders>
              <w:right w:val="single" w:sz="8" w:color="7F7F7F"/>
            </w:tcBorders>
            <w:vMerge w:val="continue"/>
          </w:tcPr>
          <w:p>
            <w:pPr>
              <w:spacing w:after="0"/>
              <w:rPr>
                <w:sz w:val="9"/>
                <w:szCs w:val="9"/>
                <w:color w:val="auto"/>
              </w:rPr>
            </w:pPr>
          </w:p>
        </w:tc>
        <w:tc>
          <w:tcPr>
            <w:tcW w:w="3940" w:type="dxa"/>
            <w:vAlign w:val="bottom"/>
            <w:gridSpan w:val="2"/>
            <w:vMerge w:val="restart"/>
          </w:tcPr>
          <w:p>
            <w:pPr>
              <w:ind w:left="280"/>
              <w:spacing w:after="0"/>
              <w:rPr>
                <w:sz w:val="20"/>
                <w:szCs w:val="20"/>
                <w:color w:val="auto"/>
              </w:rPr>
            </w:pPr>
            <w:r>
              <w:rPr>
                <w:rFonts w:ascii="Arial" w:cs="Arial" w:eastAsia="Arial" w:hAnsi="Arial"/>
                <w:sz w:val="14"/>
                <w:szCs w:val="14"/>
                <w:color w:val="auto"/>
              </w:rPr>
              <w:t>SSARs are an important component of our program,</w:t>
            </w: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1660" w:type="dxa"/>
            <w:vAlign w:val="bottom"/>
            <w:tcBorders>
              <w:right w:val="single" w:sz="8" w:color="7F7F7F"/>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Borders>
              <w:right w:val="single" w:sz="8" w:color="7F7F7F"/>
            </w:tcBorders>
          </w:tcPr>
          <w:p>
            <w:pPr>
              <w:ind w:left="60"/>
              <w:spacing w:after="0" w:line="143" w:lineRule="exact"/>
              <w:rPr>
                <w:sz w:val="20"/>
                <w:szCs w:val="20"/>
                <w:color w:val="auto"/>
              </w:rPr>
            </w:pPr>
            <w:r>
              <w:rPr>
                <w:rFonts w:ascii="Arial" w:cs="Arial" w:eastAsia="Arial" w:hAnsi="Arial"/>
                <w:sz w:val="14"/>
                <w:szCs w:val="14"/>
                <w:color w:val="auto"/>
              </w:rPr>
              <w:t>three years after grant date and remain exercisable for</w:t>
            </w:r>
          </w:p>
        </w:tc>
        <w:tc>
          <w:tcPr>
            <w:tcW w:w="3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420" w:type="dxa"/>
            <w:vAlign w:val="bottom"/>
          </w:tcPr>
          <w:p>
            <w:pPr>
              <w:spacing w:after="0"/>
              <w:rPr>
                <w:sz w:val="9"/>
                <w:szCs w:val="9"/>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(40% LTIP weighting)</w:t>
            </w:r>
          </w:p>
        </w:tc>
        <w:tc>
          <w:tcPr>
            <w:tcW w:w="400" w:type="dxa"/>
            <w:vAlign w:val="bottom"/>
          </w:tcPr>
          <w:p>
            <w:pPr>
              <w:spacing w:after="0"/>
              <w:rPr>
                <w:sz w:val="9"/>
                <w:szCs w:val="9"/>
                <w:color w:val="auto"/>
              </w:rPr>
            </w:pPr>
          </w:p>
        </w:tc>
        <w:tc>
          <w:tcPr>
            <w:tcW w:w="35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another seven years (subject to 10-year stock price</w:t>
            </w:r>
          </w:p>
        </w:tc>
        <w:tc>
          <w:tcPr>
            <w:tcW w:w="3940" w:type="dxa"/>
            <w:vAlign w:val="bottom"/>
            <w:gridSpan w:val="2"/>
          </w:tcPr>
          <w:p>
            <w:pPr>
              <w:ind w:left="480"/>
              <w:spacing w:after="0" w:line="111" w:lineRule="exact"/>
              <w:rPr>
                <w:sz w:val="20"/>
                <w:szCs w:val="20"/>
                <w:color w:val="auto"/>
              </w:rPr>
            </w:pPr>
            <w:r>
              <w:rPr>
                <w:rFonts w:ascii="Arial" w:cs="Arial" w:eastAsia="Arial" w:hAnsi="Arial"/>
                <w:sz w:val="12"/>
                <w:szCs w:val="12"/>
                <w:color w:val="auto"/>
              </w:rPr>
              <w:t>reflecting input from investors, many of whom</w:t>
            </w: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3520" w:type="dxa"/>
            <w:vAlign w:val="bottom"/>
            <w:tcBorders>
              <w:right w:val="single" w:sz="8" w:color="7F7F7F"/>
            </w:tcBorders>
            <w:vMerge w:val="continue"/>
          </w:tcPr>
          <w:p>
            <w:pPr>
              <w:spacing w:after="0"/>
              <w:rPr>
                <w:sz w:val="5"/>
                <w:szCs w:val="5"/>
                <w:color w:val="auto"/>
              </w:rPr>
            </w:pPr>
          </w:p>
        </w:tc>
        <w:tc>
          <w:tcPr>
            <w:tcW w:w="3940" w:type="dxa"/>
            <w:vAlign w:val="bottom"/>
            <w:gridSpan w:val="2"/>
            <w:vMerge w:val="restart"/>
          </w:tcPr>
          <w:p>
            <w:pPr>
              <w:ind w:left="480"/>
              <w:spacing w:after="0"/>
              <w:rPr>
                <w:sz w:val="20"/>
                <w:szCs w:val="20"/>
                <w:color w:val="auto"/>
              </w:rPr>
            </w:pPr>
            <w:r>
              <w:rPr>
                <w:rFonts w:ascii="Arial" w:cs="Arial" w:eastAsia="Arial" w:hAnsi="Arial"/>
                <w:sz w:val="14"/>
                <w:szCs w:val="14"/>
                <w:color w:val="auto"/>
              </w:rPr>
              <w:t>acknowledge the role SSARs play in emphasizing</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660" w:type="dxa"/>
            <w:vAlign w:val="bottom"/>
            <w:tcBorders>
              <w:right w:val="single" w:sz="8" w:color="7F7F7F"/>
            </w:tcBorders>
          </w:tcPr>
          <w:p>
            <w:pPr>
              <w:spacing w:after="0"/>
              <w:rPr>
                <w:sz w:val="8"/>
                <w:szCs w:val="8"/>
                <w:color w:val="auto"/>
              </w:rPr>
            </w:pPr>
          </w:p>
        </w:tc>
        <w:tc>
          <w:tcPr>
            <w:tcW w:w="400" w:type="dxa"/>
            <w:vAlign w:val="bottom"/>
          </w:tcPr>
          <w:p>
            <w:pPr>
              <w:spacing w:after="0"/>
              <w:rPr>
                <w:sz w:val="8"/>
                <w:szCs w:val="8"/>
                <w:color w:val="auto"/>
              </w:rPr>
            </w:pPr>
          </w:p>
        </w:tc>
        <w:tc>
          <w:tcPr>
            <w:tcW w:w="35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movement)</w:t>
            </w:r>
          </w:p>
        </w:tc>
        <w:tc>
          <w:tcPr>
            <w:tcW w:w="3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660" w:type="dxa"/>
            <w:vAlign w:val="bottom"/>
            <w:tcBorders>
              <w:right w:val="single" w:sz="8" w:color="7F7F7F"/>
            </w:tcBorders>
          </w:tcPr>
          <w:p>
            <w:pPr>
              <w:spacing w:after="0"/>
              <w:rPr>
                <w:sz w:val="8"/>
                <w:szCs w:val="8"/>
                <w:color w:val="auto"/>
              </w:rPr>
            </w:pPr>
          </w:p>
        </w:tc>
        <w:tc>
          <w:tcPr>
            <w:tcW w:w="400" w:type="dxa"/>
            <w:vAlign w:val="bottom"/>
          </w:tcPr>
          <w:p>
            <w:pPr>
              <w:spacing w:after="0"/>
              <w:rPr>
                <w:sz w:val="8"/>
                <w:szCs w:val="8"/>
                <w:color w:val="auto"/>
              </w:rPr>
            </w:pPr>
          </w:p>
        </w:tc>
        <w:tc>
          <w:tcPr>
            <w:tcW w:w="3520" w:type="dxa"/>
            <w:vAlign w:val="bottom"/>
            <w:tcBorders>
              <w:right w:val="single" w:sz="8" w:color="7F7F7F"/>
            </w:tcBorders>
            <w:vMerge w:val="continue"/>
          </w:tcPr>
          <w:p>
            <w:pPr>
              <w:spacing w:after="0"/>
              <w:rPr>
                <w:sz w:val="8"/>
                <w:szCs w:val="8"/>
                <w:color w:val="auto"/>
              </w:rPr>
            </w:pPr>
          </w:p>
        </w:tc>
        <w:tc>
          <w:tcPr>
            <w:tcW w:w="3940" w:type="dxa"/>
            <w:vAlign w:val="bottom"/>
            <w:gridSpan w:val="2"/>
            <w:vMerge w:val="restart"/>
          </w:tcPr>
          <w:p>
            <w:pPr>
              <w:ind w:left="480"/>
              <w:spacing w:after="0"/>
              <w:rPr>
                <w:sz w:val="20"/>
                <w:szCs w:val="20"/>
                <w:color w:val="auto"/>
              </w:rPr>
            </w:pPr>
            <w:r>
              <w:rPr>
                <w:rFonts w:ascii="Arial" w:cs="Arial" w:eastAsia="Arial" w:hAnsi="Arial"/>
                <w:sz w:val="14"/>
                <w:szCs w:val="14"/>
                <w:color w:val="auto"/>
              </w:rPr>
              <w:t>growth and go-forward value creation</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660" w:type="dxa"/>
            <w:vAlign w:val="bottom"/>
            <w:tcBorders>
              <w:right w:val="single" w:sz="8" w:color="7F7F7F"/>
            </w:tcBorders>
          </w:tcPr>
          <w:p>
            <w:pPr>
              <w:spacing w:after="0"/>
              <w:rPr>
                <w:sz w:val="8"/>
                <w:szCs w:val="8"/>
                <w:color w:val="auto"/>
              </w:rPr>
            </w:pPr>
          </w:p>
        </w:tc>
        <w:tc>
          <w:tcPr>
            <w:tcW w:w="400" w:type="dxa"/>
            <w:vAlign w:val="bottom"/>
          </w:tcPr>
          <w:p>
            <w:pPr>
              <w:spacing w:after="0"/>
              <w:rPr>
                <w:sz w:val="8"/>
                <w:szCs w:val="8"/>
                <w:color w:val="auto"/>
              </w:rPr>
            </w:pPr>
          </w:p>
        </w:tc>
        <w:tc>
          <w:tcPr>
            <w:tcW w:w="3520" w:type="dxa"/>
            <w:vAlign w:val="bottom"/>
            <w:tcBorders>
              <w:right w:val="single" w:sz="8" w:color="7F7F7F"/>
            </w:tcBorders>
          </w:tcPr>
          <w:p>
            <w:pPr>
              <w:spacing w:after="0"/>
              <w:rPr>
                <w:sz w:val="8"/>
                <w:szCs w:val="8"/>
                <w:color w:val="auto"/>
              </w:rPr>
            </w:pPr>
          </w:p>
        </w:tc>
        <w:tc>
          <w:tcPr>
            <w:tcW w:w="3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400" w:type="dxa"/>
            <w:vAlign w:val="bottom"/>
            <w:tcBorders>
              <w:bottom w:val="single" w:sz="8" w:color="7F7F7F"/>
            </w:tcBorders>
          </w:tcPr>
          <w:p>
            <w:pPr>
              <w:spacing w:after="0"/>
              <w:rPr>
                <w:sz w:val="9"/>
                <w:szCs w:val="9"/>
                <w:color w:val="auto"/>
              </w:rPr>
            </w:pPr>
          </w:p>
        </w:tc>
        <w:tc>
          <w:tcPr>
            <w:tcW w:w="35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RSUs</w:t>
            </w:r>
          </w:p>
        </w:tc>
        <w:tc>
          <w:tcPr>
            <w:tcW w:w="400" w:type="dxa"/>
            <w:vAlign w:val="bottom"/>
            <w:vMerge w:val="restart"/>
          </w:tcPr>
          <w:p>
            <w:pPr>
              <w:spacing w:after="0"/>
              <w:rPr>
                <w:sz w:val="18"/>
                <w:szCs w:val="18"/>
                <w:color w:val="auto"/>
              </w:rPr>
            </w:pPr>
          </w:p>
        </w:tc>
        <w:tc>
          <w:tcPr>
            <w:tcW w:w="35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Performance Criteria: Dover stock price; awards vest</w:t>
            </w:r>
          </w:p>
        </w:tc>
        <w:tc>
          <w:tcPr>
            <w:tcW w:w="3940" w:type="dxa"/>
            <w:vAlign w:val="bottom"/>
            <w:gridSpan w:val="2"/>
            <w:vMerge w:val="restart"/>
          </w:tcPr>
          <w:p>
            <w:pPr>
              <w:ind w:left="280"/>
              <w:spacing w:after="0"/>
              <w:rPr>
                <w:sz w:val="20"/>
                <w:szCs w:val="20"/>
                <w:color w:val="auto"/>
              </w:rPr>
            </w:pPr>
            <w:r>
              <w:rPr>
                <w:rFonts w:ascii="Arial" w:cs="Arial" w:eastAsia="Arial" w:hAnsi="Arial"/>
                <w:sz w:val="14"/>
                <w:szCs w:val="14"/>
                <w:color w:val="auto"/>
              </w:rPr>
              <w:t>Retention, ownership, and full alignment with the</w:t>
            </w: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(20% LTIP weighting)</w:t>
            </w:r>
          </w:p>
        </w:tc>
        <w:tc>
          <w:tcPr>
            <w:tcW w:w="400" w:type="dxa"/>
            <w:vAlign w:val="bottom"/>
            <w:vMerge w:val="continue"/>
          </w:tcPr>
          <w:p>
            <w:pPr>
              <w:spacing w:after="0"/>
              <w:rPr>
                <w:sz w:val="5"/>
                <w:szCs w:val="5"/>
                <w:color w:val="auto"/>
              </w:rPr>
            </w:pPr>
          </w:p>
        </w:tc>
        <w:tc>
          <w:tcPr>
            <w:tcW w:w="3520" w:type="dxa"/>
            <w:vAlign w:val="bottom"/>
            <w:tcBorders>
              <w:right w:val="single" w:sz="8" w:color="7F7F7F"/>
            </w:tcBorders>
            <w:vMerge w:val="continue"/>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660" w:type="dxa"/>
            <w:vAlign w:val="bottom"/>
            <w:tcBorders>
              <w:right w:val="single" w:sz="8" w:color="7F7F7F"/>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35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ratably over three years</w:t>
            </w:r>
          </w:p>
        </w:tc>
        <w:tc>
          <w:tcPr>
            <w:tcW w:w="3940" w:type="dxa"/>
            <w:vAlign w:val="bottom"/>
            <w:gridSpan w:val="2"/>
            <w:vMerge w:val="restart"/>
          </w:tcPr>
          <w:p>
            <w:pPr>
              <w:ind w:left="48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400" w:type="dxa"/>
            <w:vAlign w:val="bottom"/>
          </w:tcPr>
          <w:p>
            <w:pPr>
              <w:spacing w:after="0"/>
              <w:rPr>
                <w:sz w:val="5"/>
                <w:szCs w:val="5"/>
                <w:color w:val="auto"/>
              </w:rPr>
            </w:pPr>
          </w:p>
        </w:tc>
        <w:tc>
          <w:tcPr>
            <w:tcW w:w="3520" w:type="dxa"/>
            <w:vAlign w:val="bottom"/>
            <w:tcBorders>
              <w:right w:val="single" w:sz="8" w:color="7F7F7F"/>
            </w:tcBorders>
            <w:vMerge w:val="continue"/>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gridSpan w:val="2"/>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Benefits</w:t>
            </w:r>
          </w:p>
        </w:tc>
        <w:tc>
          <w:tcPr>
            <w:tcW w:w="5580" w:type="dxa"/>
            <w:vAlign w:val="bottom"/>
            <w:tcBorders>
              <w:right w:val="single" w:sz="8" w:color="EAEFED"/>
            </w:tcBorders>
            <w:gridSpan w:val="3"/>
            <w:shd w:val="clear" w:color="auto" w:fill="EAEFED"/>
          </w:tcPr>
          <w:p>
            <w:pPr>
              <w:ind w:left="200"/>
              <w:spacing w:after="0"/>
              <w:rPr>
                <w:sz w:val="20"/>
                <w:szCs w:val="20"/>
                <w:color w:val="auto"/>
              </w:rPr>
            </w:pPr>
            <w:r>
              <w:rPr>
                <w:rFonts w:ascii="Arial" w:cs="Arial" w:eastAsia="Arial" w:hAnsi="Arial"/>
                <w:sz w:val="14"/>
                <w:szCs w:val="14"/>
                <w:b w:val="1"/>
                <w:bCs w:val="1"/>
                <w:color w:val="auto"/>
              </w:rPr>
              <w:t>Consistent with other similarly situated employees</w:t>
            </w:r>
          </w:p>
        </w:tc>
        <w:tc>
          <w:tcPr>
            <w:tcW w:w="3920" w:type="dxa"/>
            <w:vAlign w:val="bottom"/>
            <w:shd w:val="clear" w:color="auto" w:fill="EAEF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050F70"/>
            </w:tcBorders>
            <w:shd w:val="clear" w:color="auto" w:fill="EAEFED"/>
          </w:tcPr>
          <w:p>
            <w:pPr>
              <w:spacing w:after="0"/>
              <w:rPr>
                <w:sz w:val="9"/>
                <w:szCs w:val="9"/>
                <w:color w:val="auto"/>
              </w:rPr>
            </w:pPr>
          </w:p>
        </w:tc>
        <w:tc>
          <w:tcPr>
            <w:tcW w:w="1660" w:type="dxa"/>
            <w:vAlign w:val="bottom"/>
            <w:tcBorders>
              <w:bottom w:val="single" w:sz="8" w:color="050F70"/>
              <w:right w:val="single" w:sz="8" w:color="EAEFED"/>
            </w:tcBorders>
            <w:shd w:val="clear" w:color="auto" w:fill="EAEFED"/>
          </w:tcPr>
          <w:p>
            <w:pPr>
              <w:spacing w:after="0"/>
              <w:rPr>
                <w:sz w:val="9"/>
                <w:szCs w:val="9"/>
                <w:color w:val="auto"/>
              </w:rPr>
            </w:pPr>
          </w:p>
        </w:tc>
        <w:tc>
          <w:tcPr>
            <w:tcW w:w="400" w:type="dxa"/>
            <w:vAlign w:val="bottom"/>
            <w:tcBorders>
              <w:bottom w:val="single" w:sz="8" w:color="050F70"/>
            </w:tcBorders>
            <w:shd w:val="clear" w:color="auto" w:fill="EAEFED"/>
          </w:tcPr>
          <w:p>
            <w:pPr>
              <w:spacing w:after="0"/>
              <w:rPr>
                <w:sz w:val="9"/>
                <w:szCs w:val="9"/>
                <w:color w:val="auto"/>
              </w:rPr>
            </w:pPr>
          </w:p>
        </w:tc>
        <w:tc>
          <w:tcPr>
            <w:tcW w:w="3520" w:type="dxa"/>
            <w:vAlign w:val="bottom"/>
            <w:tcBorders>
              <w:bottom w:val="single" w:sz="8" w:color="050F70"/>
              <w:right w:val="single" w:sz="8" w:color="EAEFED"/>
            </w:tcBorders>
            <w:shd w:val="clear" w:color="auto" w:fill="EAEFED"/>
          </w:tcPr>
          <w:p>
            <w:pPr>
              <w:spacing w:after="0"/>
              <w:rPr>
                <w:sz w:val="9"/>
                <w:szCs w:val="9"/>
                <w:color w:val="auto"/>
              </w:rPr>
            </w:pPr>
          </w:p>
        </w:tc>
        <w:tc>
          <w:tcPr>
            <w:tcW w:w="3920" w:type="dxa"/>
            <w:vAlign w:val="bottom"/>
            <w:tcBorders>
              <w:bottom w:val="single" w:sz="8" w:color="050F70"/>
            </w:tcBorders>
            <w:shd w:val="clear" w:color="auto" w:fill="EAEFED"/>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94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46</w:t>
            </w:r>
          </w:p>
        </w:tc>
        <w:tc>
          <w:tcPr>
            <w:tcW w:w="0" w:type="dxa"/>
            <w:vAlign w:val="bottom"/>
          </w:tcPr>
          <w:p>
            <w:pPr>
              <w:spacing w:after="0"/>
              <w:rPr>
                <w:sz w:val="1"/>
                <w:szCs w:val="1"/>
                <w:color w:val="auto"/>
              </w:rPr>
            </w:pPr>
          </w:p>
        </w:tc>
      </w:tr>
    </w:tbl>
    <w:p>
      <w:pPr>
        <w:sectPr>
          <w:pgSz w:w="11900" w:h="16838" w:orient="portrait"/>
          <w:cols w:equalWidth="0" w:num="1">
            <w:col w:w="10920"/>
          </w:cols>
          <w:pgMar w:left="480" w:top="299"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2025 Target Pay Mix</w:t>
      </w:r>
    </w:p>
    <w:p>
      <w:pPr>
        <w:spacing w:after="0" w:line="100" w:lineRule="exact"/>
        <w:rPr>
          <w:sz w:val="20"/>
          <w:szCs w:val="20"/>
          <w:color w:val="auto"/>
        </w:rPr>
      </w:pPr>
    </w:p>
    <w:p>
      <w:pPr>
        <w:jc w:val="both"/>
        <w:ind w:right="380"/>
        <w:spacing w:after="0" w:line="262" w:lineRule="auto"/>
        <w:rPr>
          <w:sz w:val="20"/>
          <w:szCs w:val="20"/>
          <w:color w:val="auto"/>
        </w:rPr>
      </w:pPr>
      <w:r>
        <w:rPr>
          <w:rFonts w:ascii="Arial" w:cs="Arial" w:eastAsia="Arial" w:hAnsi="Arial"/>
          <w:sz w:val="16"/>
          <w:szCs w:val="16"/>
          <w:color w:val="auto"/>
        </w:rPr>
        <w:t>For 2025, the substantial majority of the CEO’s and other NEOs’ target pay mix was composed of “at risk” incentive-based pay as shown in the chart below. Additionally, the target pay mix was heavily weighted toward long-term performance and tied to share performance, with the annual incentives focused on key short-term drivers and progress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135890</wp:posOffset>
            </wp:positionV>
            <wp:extent cx="5146675" cy="2089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6675"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Note:Numbers may not add due to rounding.</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Annual Incentive Plan Compensation</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 annual bonus may be earned each year based on an NEO’s performance against objectives tied to our financial performance and individual strategic goals. Each NEO’s bonus target amount is determined in reference to market benchmarking and according to the scope and complexity of the NEO’s functional responsibilities, overall impact on our results, strategic leadership, and managerial responsibility. We believe that balancing the measurement of performance for the annual bonus between financial and strategic objectives is important in mitigating risk and executing on our long-term strategy for value creation.</w:t>
      </w:r>
    </w:p>
    <w:p>
      <w:pPr>
        <w:spacing w:after="0" w:line="14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Each NEO is eligible for a bonus equal to his or her base salary multiplied by his or her target award percentage multiplied by the Overall Payout Factor (which is the sum of the Financial Objective Factor (weighted 60%) and the Strategic Objectives Factor (weighted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111125</wp:posOffset>
            </wp:positionV>
            <wp:extent cx="4008120" cy="1172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0812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2025 AIP Financial Objective Factor – Target</w:t>
      </w:r>
    </w:p>
    <w:p>
      <w:pPr>
        <w:spacing w:after="0" w:line="175"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The Financial Objective Factor in the 2025 AIP was calculated based on Adjusted Earnings. In setting the financial objective, our Compensation Committee considered our annual budget, operational priorities, plans for capital allocation, historical performance, and external factors, among other items. This thorough process is designed to ensure that targets are rigorous and to establish challenging but attainable goals in the context of expectations for the year on the basis of these factors. The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47</w:t>
      </w:r>
    </w:p>
    <w:p>
      <w:pPr>
        <w:sectPr>
          <w:pgSz w:w="11900" w:h="16838" w:orient="portrait"/>
          <w:cols w:equalWidth="0" w:num="1">
            <w:col w:w="10920"/>
          </w:cols>
          <w:pgMar w:left="480" w:top="299" w:right="49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0"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target performance level for the financial objective was established at the beginning of the fiscal year and provided for appropriate adjustments for acquisitions and dispositions occurring during the year. For this measure, our Compensation Committee established threshold, target, and maximum levels of performance, as well as a payout percentage curve that relates each level of performance to a payout percentage.</w:t>
      </w:r>
    </w:p>
    <w:p>
      <w:pPr>
        <w:spacing w:after="0" w:line="17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Threshold and maximum performance levels are set at 85% and 107%, respectively, of target. There is no payout on the Financial Objective Factor if performance is below the threshold. At threshold, the payout percentage curve begins at 50%. If performance is at the target level, the payout percentage is 100%. For performance at or above the maximum level of achievement, the payout percentage is capped at 200%.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2025 AIP Financial Objective Factor – Results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2025, we calculated the Financial Objective Factor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2025 AIP FINANCIAL OBJECTIVE RESULTS (in millions)</w:t>
            </w:r>
          </w:p>
        </w:tc>
        <w:tc>
          <w:tcPr>
            <w:tcW w:w="1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3280" w:type="dxa"/>
            <w:vAlign w:val="bottom"/>
          </w:tcPr>
          <w:p>
            <w:pPr>
              <w:spacing w:after="0"/>
              <w:rPr>
                <w:sz w:val="15"/>
                <w:szCs w:val="15"/>
                <w:color w:val="auto"/>
              </w:rPr>
            </w:pPr>
          </w:p>
        </w:tc>
        <w:tc>
          <w:tcPr>
            <w:tcW w:w="1800" w:type="dxa"/>
            <w:vAlign w:val="bottom"/>
          </w:tcPr>
          <w:p>
            <w:pPr>
              <w:jc w:val="center"/>
              <w:ind w:left="260"/>
              <w:spacing w:after="0" w:line="180" w:lineRule="exact"/>
              <w:rPr>
                <w:sz w:val="20"/>
                <w:szCs w:val="20"/>
                <w:color w:val="auto"/>
              </w:rPr>
            </w:pPr>
            <w:r>
              <w:rPr>
                <w:rFonts w:ascii="Arial" w:cs="Arial" w:eastAsia="Arial" w:hAnsi="Arial"/>
                <w:sz w:val="16"/>
                <w:szCs w:val="16"/>
                <w:b w:val="1"/>
                <w:bCs w:val="1"/>
                <w:color w:val="auto"/>
              </w:rPr>
              <w:t>TARGET</w:t>
            </w:r>
          </w:p>
        </w:tc>
        <w:tc>
          <w:tcPr>
            <w:tcW w:w="1660" w:type="dxa"/>
            <w:vAlign w:val="bottom"/>
          </w:tcPr>
          <w:p>
            <w:pPr>
              <w:jc w:val="center"/>
              <w:ind w:left="200"/>
              <w:spacing w:after="0" w:line="180" w:lineRule="exact"/>
              <w:rPr>
                <w:sz w:val="20"/>
                <w:szCs w:val="20"/>
                <w:color w:val="auto"/>
              </w:rPr>
            </w:pPr>
            <w:r>
              <w:rPr>
                <w:rFonts w:ascii="Arial" w:cs="Arial" w:eastAsia="Arial" w:hAnsi="Arial"/>
                <w:sz w:val="16"/>
                <w:szCs w:val="16"/>
                <w:b w:val="1"/>
                <w:bCs w:val="1"/>
                <w:color w:val="auto"/>
              </w:rPr>
              <w:t>ACTUAL</w:t>
            </w:r>
          </w:p>
        </w:tc>
        <w:tc>
          <w:tcPr>
            <w:tcW w:w="1580" w:type="dxa"/>
            <w:vAlign w:val="bottom"/>
          </w:tcPr>
          <w:p>
            <w:pPr>
              <w:jc w:val="center"/>
              <w:ind w:left="80"/>
              <w:spacing w:after="0" w:line="180" w:lineRule="exact"/>
              <w:rPr>
                <w:sz w:val="20"/>
                <w:szCs w:val="20"/>
                <w:color w:val="auto"/>
              </w:rPr>
            </w:pPr>
            <w:r>
              <w:rPr>
                <w:rFonts w:ascii="Arial" w:cs="Arial" w:eastAsia="Arial" w:hAnsi="Arial"/>
                <w:sz w:val="16"/>
                <w:szCs w:val="16"/>
                <w:b w:val="1"/>
                <w:bCs w:val="1"/>
                <w:color w:val="auto"/>
                <w:w w:val="96"/>
              </w:rPr>
              <w:t>PAYOUT%</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WEIGHTING</w:t>
            </w:r>
          </w:p>
        </w:tc>
        <w:tc>
          <w:tcPr>
            <w:tcW w:w="1100" w:type="dxa"/>
            <w:vAlign w:val="bottom"/>
          </w:tcPr>
          <w:p>
            <w:pPr>
              <w:jc w:val="center"/>
              <w:ind w:left="160"/>
              <w:spacing w:after="0" w:line="180" w:lineRule="exact"/>
              <w:rPr>
                <w:sz w:val="20"/>
                <w:szCs w:val="20"/>
                <w:color w:val="auto"/>
              </w:rPr>
            </w:pPr>
            <w:r>
              <w:rPr>
                <w:rFonts w:ascii="Arial" w:cs="Arial" w:eastAsia="Arial" w:hAnsi="Arial"/>
                <w:sz w:val="16"/>
                <w:szCs w:val="16"/>
                <w:b w:val="1"/>
                <w:bCs w:val="1"/>
                <w:color w:val="auto"/>
                <w:w w:val="99"/>
              </w:rPr>
              <w:t>WEIGHTED</w:t>
            </w:r>
          </w:p>
        </w:tc>
      </w:tr>
      <w:tr>
        <w:trPr>
          <w:trHeight w:val="187"/>
        </w:trPr>
        <w:tc>
          <w:tcPr>
            <w:tcW w:w="3280" w:type="dxa"/>
            <w:vAlign w:val="bottom"/>
          </w:tcPr>
          <w:p>
            <w:pPr>
              <w:spacing w:after="0"/>
              <w:rPr>
                <w:sz w:val="16"/>
                <w:szCs w:val="16"/>
                <w:color w:val="auto"/>
              </w:rPr>
            </w:pPr>
          </w:p>
        </w:tc>
        <w:tc>
          <w:tcPr>
            <w:tcW w:w="1800" w:type="dxa"/>
            <w:vAlign w:val="bottom"/>
          </w:tcPr>
          <w:p>
            <w:pPr>
              <w:jc w:val="center"/>
              <w:ind w:left="260"/>
              <w:spacing w:after="0"/>
              <w:rPr>
                <w:sz w:val="20"/>
                <w:szCs w:val="20"/>
                <w:color w:val="auto"/>
              </w:rPr>
            </w:pPr>
            <w:r>
              <w:rPr>
                <w:rFonts w:ascii="Arial" w:cs="Arial" w:eastAsia="Arial" w:hAnsi="Arial"/>
                <w:sz w:val="16"/>
                <w:szCs w:val="16"/>
                <w:b w:val="1"/>
                <w:bCs w:val="1"/>
                <w:color w:val="auto"/>
              </w:rPr>
              <w:t>PERFORMANCE</w:t>
            </w:r>
          </w:p>
        </w:tc>
        <w:tc>
          <w:tcPr>
            <w:tcW w:w="1660" w:type="dxa"/>
            <w:vAlign w:val="bottom"/>
          </w:tcPr>
          <w:p>
            <w:pPr>
              <w:jc w:val="center"/>
              <w:ind w:left="200"/>
              <w:spacing w:after="0"/>
              <w:rPr>
                <w:sz w:val="20"/>
                <w:szCs w:val="20"/>
                <w:color w:val="auto"/>
              </w:rPr>
            </w:pPr>
            <w:r>
              <w:rPr>
                <w:rFonts w:ascii="Arial" w:cs="Arial" w:eastAsia="Arial" w:hAnsi="Arial"/>
                <w:sz w:val="16"/>
                <w:szCs w:val="16"/>
                <w:b w:val="1"/>
                <w:bCs w:val="1"/>
                <w:color w:val="auto"/>
              </w:rPr>
              <w:t>PERFORMANCE</w:t>
            </w:r>
          </w:p>
        </w:tc>
        <w:tc>
          <w:tcPr>
            <w:tcW w:w="158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(BEFORE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OF MEASURE</w:t>
            </w:r>
          </w:p>
        </w:tc>
        <w:tc>
          <w:tcPr>
            <w:tcW w:w="1100" w:type="dxa"/>
            <w:vAlign w:val="bottom"/>
          </w:tcPr>
          <w:p>
            <w:pPr>
              <w:jc w:val="center"/>
              <w:ind w:left="160"/>
              <w:spacing w:after="0"/>
              <w:rPr>
                <w:sz w:val="20"/>
                <w:szCs w:val="20"/>
                <w:color w:val="auto"/>
              </w:rPr>
            </w:pPr>
            <w:r>
              <w:rPr>
                <w:rFonts w:ascii="Arial" w:cs="Arial" w:eastAsia="Arial" w:hAnsi="Arial"/>
                <w:sz w:val="16"/>
                <w:szCs w:val="16"/>
                <w:b w:val="1"/>
                <w:bCs w:val="1"/>
                <w:color w:val="auto"/>
                <w:w w:val="96"/>
              </w:rPr>
              <w:t>PAYOUT%</w:t>
            </w:r>
          </w:p>
        </w:tc>
      </w:tr>
      <w:tr>
        <w:trPr>
          <w:trHeight w:val="225"/>
        </w:trPr>
        <w:tc>
          <w:tcPr>
            <w:tcW w:w="3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b w:val="1"/>
                <w:bCs w:val="1"/>
                <w:color w:val="auto"/>
              </w:rPr>
              <w:t>LEVEL</w:t>
            </w:r>
          </w:p>
        </w:tc>
        <w:tc>
          <w:tcPr>
            <w:tcW w:w="166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b w:val="1"/>
                <w:bCs w:val="1"/>
                <w:color w:val="auto"/>
              </w:rPr>
              <w:t>LEVEL</w:t>
            </w:r>
          </w:p>
        </w:tc>
        <w:tc>
          <w:tcPr>
            <w:tcW w:w="158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rPr>
              <w:t>WEIGHTING)</w:t>
            </w:r>
          </w:p>
        </w:tc>
        <w:tc>
          <w:tcPr>
            <w:tcW w:w="1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21"/>
        </w:trPr>
        <w:tc>
          <w:tcPr>
            <w:tcW w:w="3280" w:type="dxa"/>
            <w:vAlign w:val="bottom"/>
          </w:tcPr>
          <w:p>
            <w:pPr>
              <w:ind w:left="100"/>
              <w:spacing w:after="0"/>
              <w:rPr>
                <w:sz w:val="20"/>
                <w:szCs w:val="20"/>
                <w:color w:val="auto"/>
              </w:rPr>
            </w:pPr>
            <w:r>
              <w:rPr>
                <w:rFonts w:ascii="Arial" w:cs="Arial" w:eastAsia="Arial" w:hAnsi="Arial"/>
                <w:sz w:val="16"/>
                <w:szCs w:val="16"/>
                <w:color w:val="auto"/>
              </w:rPr>
              <w:t>Adjusted Earnings</w:t>
            </w:r>
          </w:p>
        </w:tc>
        <w:tc>
          <w:tcPr>
            <w:tcW w:w="1800" w:type="dxa"/>
            <w:vAlign w:val="bottom"/>
          </w:tcPr>
          <w:p>
            <w:pPr>
              <w:jc w:val="center"/>
              <w:ind w:left="260"/>
              <w:spacing w:after="0"/>
              <w:rPr>
                <w:sz w:val="20"/>
                <w:szCs w:val="20"/>
                <w:color w:val="auto"/>
              </w:rPr>
            </w:pPr>
            <w:r>
              <w:rPr>
                <w:rFonts w:ascii="Arial" w:cs="Arial" w:eastAsia="Arial" w:hAnsi="Arial"/>
                <w:sz w:val="16"/>
                <w:szCs w:val="16"/>
                <w:color w:val="auto"/>
                <w:w w:val="99"/>
              </w:rPr>
              <w:t>$1,301.8</w:t>
            </w:r>
          </w:p>
        </w:tc>
        <w:tc>
          <w:tcPr>
            <w:tcW w:w="1660" w:type="dxa"/>
            <w:vAlign w:val="bottom"/>
          </w:tcPr>
          <w:p>
            <w:pPr>
              <w:jc w:val="center"/>
              <w:ind w:left="200"/>
              <w:spacing w:after="0"/>
              <w:rPr>
                <w:sz w:val="20"/>
                <w:szCs w:val="20"/>
                <w:color w:val="auto"/>
              </w:rPr>
            </w:pPr>
            <w:r>
              <w:rPr>
                <w:rFonts w:ascii="Arial" w:cs="Arial" w:eastAsia="Arial" w:hAnsi="Arial"/>
                <w:sz w:val="16"/>
                <w:szCs w:val="16"/>
                <w:color w:val="auto"/>
                <w:w w:val="99"/>
              </w:rPr>
              <w:t>$1,324.4</w:t>
            </w:r>
          </w:p>
        </w:tc>
        <w:tc>
          <w:tcPr>
            <w:tcW w:w="1580" w:type="dxa"/>
            <w:vAlign w:val="bottom"/>
          </w:tcPr>
          <w:p>
            <w:pPr>
              <w:jc w:val="center"/>
              <w:ind w:left="60"/>
              <w:spacing w:after="0"/>
              <w:rPr>
                <w:sz w:val="20"/>
                <w:szCs w:val="20"/>
                <w:color w:val="auto"/>
              </w:rPr>
            </w:pPr>
            <w:r>
              <w:rPr>
                <w:rFonts w:ascii="Arial" w:cs="Arial" w:eastAsia="Arial" w:hAnsi="Arial"/>
                <w:sz w:val="16"/>
                <w:szCs w:val="16"/>
                <w:color w:val="auto"/>
                <w:w w:val="99"/>
              </w:rPr>
              <w:t>121.725%</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100" w:type="dxa"/>
            <w:vAlign w:val="bottom"/>
          </w:tcPr>
          <w:p>
            <w:pPr>
              <w:jc w:val="center"/>
              <w:ind w:left="160"/>
              <w:spacing w:after="0"/>
              <w:rPr>
                <w:sz w:val="20"/>
                <w:szCs w:val="20"/>
                <w:color w:val="auto"/>
              </w:rPr>
            </w:pPr>
            <w:r>
              <w:rPr>
                <w:rFonts w:ascii="Arial" w:cs="Arial" w:eastAsia="Arial" w:hAnsi="Arial"/>
                <w:sz w:val="16"/>
                <w:szCs w:val="16"/>
                <w:color w:val="auto"/>
                <w:w w:val="99"/>
              </w:rPr>
              <w:t>73.04%</w:t>
            </w:r>
          </w:p>
        </w:tc>
      </w:tr>
      <w:tr>
        <w:trPr>
          <w:trHeight w:val="30"/>
        </w:trPr>
        <w:tc>
          <w:tcPr>
            <w:tcW w:w="3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 xml:space="preserve">Financial Objective Factor         </w:t>
            </w:r>
          </w:p>
        </w:tc>
        <w:tc>
          <w:tcPr>
            <w:tcW w:w="1100" w:type="dxa"/>
            <w:vAlign w:val="bottom"/>
          </w:tcPr>
          <w:p>
            <w:pPr>
              <w:jc w:val="center"/>
              <w:ind w:left="160"/>
              <w:spacing w:after="0"/>
              <w:rPr>
                <w:sz w:val="20"/>
                <w:szCs w:val="20"/>
                <w:color w:val="auto"/>
              </w:rPr>
            </w:pPr>
            <w:r>
              <w:rPr>
                <w:rFonts w:ascii="Arial" w:cs="Arial" w:eastAsia="Arial" w:hAnsi="Arial"/>
                <w:sz w:val="16"/>
                <w:szCs w:val="16"/>
                <w:color w:val="021496"/>
                <w:w w:val="99"/>
              </w:rPr>
              <w:t>73.04%</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2025 AIP Individual Strategic Objectives Factor</w:t>
      </w:r>
    </w:p>
    <w:p>
      <w:pPr>
        <w:spacing w:after="0" w:line="175"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Strategic Objectives Factor is based on the achievement of individual strategic objectives designed to create long-term value for our shareholders. The strategic objectives for the CEO were developed by our Compensation Committee at the beginning of the year, approved by our independent directors, and communicated to the CEO in February. The individual strategic objectives were based on specific strategic initiatives that the Board and management agreed were important to achieve in 2025. These objectives were cascaded to the CEO’s direct reports, as appropriate, based on their responsibilities or business portfolio. The Board monitored progress on the CEO’s strategic objectives and, following the end of the year, reviewed the CEO’s performance against these objectives when determining his annual bonus.</w:t>
      </w:r>
    </w:p>
    <w:p>
      <w:pPr>
        <w:spacing w:after="0" w:line="18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Following the end of 2025, our Compensation Committee determined for each NEO a Strategic Objectives Factor between 0% and 200%. Our Compensation Committee believes such judgment is an important risk-mitigating element to our compensation program and provides an opportunity to further align executive compensation with long-term value creation. To make this determination, our Compensation Committee considered each executive’s execution against his or her personal strategic objectives for the year and the executive’s overall performance for the year.</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48</w:t>
      </w:r>
    </w:p>
    <w:p>
      <w:pPr>
        <w:sectPr>
          <w:pgSz w:w="11900" w:h="16838" w:orient="portrait"/>
          <w:cols w:equalWidth="0" w:num="1">
            <w:col w:w="10920"/>
          </w:cols>
          <w:pgMar w:left="480" w:top="299" w:right="49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Strategic Objectives Factor — CEO</w:t>
      </w:r>
    </w:p>
    <w:p>
      <w:pPr>
        <w:spacing w:after="0" w:line="175"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auto"/>
        </w:rPr>
        <w:t>The table below summarizes the individual strategic objectives, weightings, and results the Compensation Committee considered for our CEO in determining his Strategic Objectives Factor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6938010" cy="50190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8010" cy="5019040"/>
                    </a:xfrm>
                    <a:prstGeom prst="rect">
                      <a:avLst/>
                    </a:prstGeom>
                    <a:noFill/>
                  </pic:spPr>
                </pic:pic>
              </a:graphicData>
            </a:graphic>
          </wp:anchor>
        </w:drawing>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17"/>
          <w:szCs w:val="17"/>
          <w:b w:val="1"/>
          <w:bCs w:val="1"/>
          <w:i w:val="1"/>
          <w:iCs w:val="1"/>
          <w:color w:val="FFFFFF"/>
        </w:rPr>
        <w:t>Strategic Objectives &amp; Accomplishments – Richard J. Tobin (Chairman, President &amp; CEO)</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 Three Pillars Progression (16.67%)</w:t>
      </w:r>
    </w:p>
    <w:p>
      <w:pPr>
        <w:spacing w:after="0" w:line="218" w:lineRule="exact"/>
        <w:rPr>
          <w:sz w:val="20"/>
          <w:szCs w:val="20"/>
          <w:color w:val="auto"/>
        </w:rPr>
      </w:pPr>
    </w:p>
    <w:p>
      <w:pPr>
        <w:ind w:left="500" w:right="320" w:hanging="339"/>
        <w:spacing w:after="0" w:line="21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progress productivity and margin expansion initiatives to maximize efficiency and achieve strong operational results, including strengthening our core enterprise capabilities, driving digitization and automation, and assessing opportunities focused on our four core enterprise capabilities.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 Capital Markets and Shareholder Engagement (16.67%)</w:t>
      </w:r>
    </w:p>
    <w:p>
      <w:pPr>
        <w:spacing w:after="0" w:line="256" w:lineRule="exact"/>
        <w:rPr>
          <w:sz w:val="20"/>
          <w:szCs w:val="20"/>
          <w:color w:val="auto"/>
        </w:rPr>
      </w:pPr>
    </w:p>
    <w:p>
      <w:pPr>
        <w:ind w:left="320" w:hanging="157"/>
        <w:spacing w:after="0"/>
        <w:tabs>
          <w:tab w:leader="none" w:pos="320" w:val="left"/>
        </w:tabs>
        <w:numPr>
          <w:ilvl w:val="0"/>
          <w:numId w:val="54"/>
        </w:numPr>
        <w:rPr>
          <w:rFonts w:ascii="MS PGothic" w:cs="MS PGothic" w:eastAsia="MS PGothic" w:hAnsi="MS PGothic"/>
          <w:sz w:val="15"/>
          <w:szCs w:val="15"/>
          <w:color w:val="auto"/>
        </w:rPr>
      </w:pPr>
      <w:r>
        <w:rPr>
          <w:rFonts w:ascii="Arial" w:cs="Arial" w:eastAsia="Arial" w:hAnsi="Arial"/>
          <w:sz w:val="15"/>
          <w:szCs w:val="15"/>
          <w:color w:val="auto"/>
        </w:rPr>
        <w:t>    Oversaw capital structure plan, including the review of Dover’s debt management and funding plan.</w:t>
      </w:r>
    </w:p>
    <w:p>
      <w:pPr>
        <w:spacing w:after="0" w:line="57" w:lineRule="exact"/>
        <w:rPr>
          <w:rFonts w:ascii="MS PGothic" w:cs="MS PGothic" w:eastAsia="MS PGothic" w:hAnsi="MS PGothic"/>
          <w:sz w:val="15"/>
          <w:szCs w:val="15"/>
          <w:color w:val="auto"/>
        </w:rPr>
      </w:pPr>
    </w:p>
    <w:p>
      <w:pPr>
        <w:ind w:left="500" w:right="16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play a leading role in investor engagement activities, including presenting at multiple industry conferences and meeting with investors on a variety of topics, ranging from company strategy and financial performance to corporate governance.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 Portfolio Management (16.67%)</w:t>
      </w:r>
    </w:p>
    <w:p>
      <w:pPr>
        <w:spacing w:after="0" w:line="256" w:lineRule="exact"/>
        <w:rPr>
          <w:sz w:val="20"/>
          <w:szCs w:val="20"/>
          <w:color w:val="auto"/>
        </w:rPr>
      </w:pPr>
    </w:p>
    <w:p>
      <w:pPr>
        <w:ind w:left="320" w:hanging="157"/>
        <w:spacing w:after="0"/>
        <w:tabs>
          <w:tab w:leader="none" w:pos="320" w:val="left"/>
        </w:tabs>
        <w:numPr>
          <w:ilvl w:val="0"/>
          <w:numId w:val="55"/>
        </w:numPr>
        <w:rPr>
          <w:rFonts w:ascii="MS PGothic" w:cs="MS PGothic" w:eastAsia="MS PGothic" w:hAnsi="MS PGothic"/>
          <w:sz w:val="15"/>
          <w:szCs w:val="15"/>
          <w:color w:val="auto"/>
        </w:rPr>
      </w:pPr>
      <w:r>
        <w:rPr>
          <w:rFonts w:ascii="Arial" w:cs="Arial" w:eastAsia="Arial" w:hAnsi="Arial"/>
          <w:sz w:val="15"/>
          <w:szCs w:val="15"/>
          <w:color w:val="auto"/>
        </w:rPr>
        <w:t>    Oversaw ongoing portfolio actions to focus on higher margin and higher growth platforms.</w:t>
      </w:r>
    </w:p>
    <w:p>
      <w:pPr>
        <w:spacing w:after="0" w:line="57" w:lineRule="exact"/>
        <w:rPr>
          <w:rFonts w:ascii="MS PGothic" w:cs="MS PGothic" w:eastAsia="MS PGothic" w:hAnsi="MS PGothic"/>
          <w:sz w:val="15"/>
          <w:szCs w:val="15"/>
          <w:color w:val="auto"/>
        </w:rPr>
      </w:pPr>
    </w:p>
    <w:p>
      <w:pPr>
        <w:ind w:left="500" w:right="1000" w:hanging="339"/>
        <w:spacing w:after="0" w:line="201"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Demonstrated strong leadership in effectively deploying capital to increase the value of our portfolio, including through organic investments and strategic acquisitions.</w:t>
      </w:r>
    </w:p>
    <w:p>
      <w:pPr>
        <w:ind w:left="320" w:hanging="157"/>
        <w:spacing w:after="0"/>
        <w:tabs>
          <w:tab w:leader="none" w:pos="320" w:val="left"/>
        </w:tabs>
        <w:numPr>
          <w:ilvl w:val="0"/>
          <w:numId w:val="55"/>
        </w:numPr>
        <w:rPr>
          <w:rFonts w:ascii="MS PGothic" w:cs="MS PGothic" w:eastAsia="MS PGothic" w:hAnsi="MS PGothic"/>
          <w:sz w:val="15"/>
          <w:szCs w:val="15"/>
          <w:color w:val="auto"/>
        </w:rPr>
      </w:pPr>
      <w:r>
        <w:rPr>
          <w:rFonts w:ascii="Arial" w:cs="Arial" w:eastAsia="Arial" w:hAnsi="Arial"/>
          <w:sz w:val="15"/>
          <w:szCs w:val="15"/>
          <w:color w:val="auto"/>
        </w:rPr>
        <w:t>    Completed the integration of several recent acquisitions in high-end growth markets.</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Talent, Succession Planning &amp; Workforce Development (16.67%)</w:t>
      </w:r>
    </w:p>
    <w:p>
      <w:pPr>
        <w:spacing w:after="0" w:line="218" w:lineRule="exact"/>
        <w:rPr>
          <w:sz w:val="20"/>
          <w:szCs w:val="20"/>
          <w:color w:val="auto"/>
        </w:rPr>
      </w:pPr>
    </w:p>
    <w:p>
      <w:pPr>
        <w:ind w:left="500" w:right="660" w:hanging="339"/>
        <w:spacing w:after="0" w:line="22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Completed annual talent and succession planning review, providing regular updates to the Compensation Committee on executive development and succession planning for key positions.</w:t>
      </w:r>
    </w:p>
    <w:p>
      <w:pPr>
        <w:ind w:left="320" w:hanging="157"/>
        <w:spacing w:after="0"/>
        <w:tabs>
          <w:tab w:leader="none" w:pos="320" w:val="left"/>
        </w:tabs>
        <w:numPr>
          <w:ilvl w:val="0"/>
          <w:numId w:val="56"/>
        </w:numPr>
        <w:rPr>
          <w:rFonts w:ascii="MS PGothic" w:cs="MS PGothic" w:eastAsia="MS PGothic" w:hAnsi="MS PGothic"/>
          <w:sz w:val="15"/>
          <w:szCs w:val="15"/>
          <w:color w:val="auto"/>
        </w:rPr>
      </w:pPr>
      <w:r>
        <w:rPr>
          <w:rFonts w:ascii="Arial" w:cs="Arial" w:eastAsia="Arial" w:hAnsi="Arial"/>
          <w:sz w:val="15"/>
          <w:szCs w:val="15"/>
          <w:color w:val="auto"/>
        </w:rPr>
        <w:t>    Led successful CFO transition and transformation of finance and corporate development organizations.</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ESG (16.67%)</w:t>
      </w:r>
    </w:p>
    <w:p>
      <w:pPr>
        <w:spacing w:after="0" w:line="218" w:lineRule="exact"/>
        <w:rPr>
          <w:sz w:val="20"/>
          <w:szCs w:val="20"/>
          <w:color w:val="auto"/>
        </w:rPr>
      </w:pPr>
    </w:p>
    <w:p>
      <w:pPr>
        <w:ind w:left="500" w:right="480" w:hanging="339"/>
        <w:spacing w:after="0" w:line="22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Completed our second three-year ESG strategic plan, reviewed progress against plan with the Board, and developed new three-year plan</w:t>
      </w:r>
    </w:p>
    <w:p>
      <w:pPr>
        <w:ind w:left="320" w:hanging="157"/>
        <w:spacing w:after="0"/>
        <w:tabs>
          <w:tab w:leader="none" w:pos="320" w:val="left"/>
        </w:tabs>
        <w:numPr>
          <w:ilvl w:val="0"/>
          <w:numId w:val="57"/>
        </w:numPr>
        <w:rPr>
          <w:rFonts w:ascii="MS PGothic" w:cs="MS PGothic" w:eastAsia="MS PGothic" w:hAnsi="MS PGothic"/>
          <w:sz w:val="15"/>
          <w:szCs w:val="15"/>
          <w:color w:val="auto"/>
        </w:rPr>
      </w:pPr>
      <w:r>
        <w:rPr>
          <w:rFonts w:ascii="Arial" w:cs="Arial" w:eastAsia="Arial" w:hAnsi="Arial"/>
          <w:sz w:val="15"/>
          <w:szCs w:val="15"/>
          <w:color w:val="auto"/>
        </w:rPr>
        <w:t>    Initiated sustainability reporting actions to align with mandated reporting standards.</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Major Projects (16.67%)</w:t>
      </w:r>
    </w:p>
    <w:p>
      <w:pPr>
        <w:spacing w:after="0" w:line="256" w:lineRule="exact"/>
        <w:rPr>
          <w:sz w:val="20"/>
          <w:szCs w:val="20"/>
          <w:color w:val="auto"/>
        </w:rPr>
      </w:pPr>
    </w:p>
    <w:p>
      <w:pPr>
        <w:ind w:left="320" w:hanging="157"/>
        <w:spacing w:after="0"/>
        <w:tabs>
          <w:tab w:leader="none" w:pos="320" w:val="left"/>
        </w:tabs>
        <w:numPr>
          <w:ilvl w:val="0"/>
          <w:numId w:val="58"/>
        </w:numPr>
        <w:rPr>
          <w:rFonts w:ascii="MS PGothic" w:cs="MS PGothic" w:eastAsia="MS PGothic" w:hAnsi="MS PGothic"/>
          <w:sz w:val="15"/>
          <w:szCs w:val="15"/>
          <w:color w:val="auto"/>
        </w:rPr>
      </w:pPr>
      <w:r>
        <w:rPr>
          <w:rFonts w:ascii="Arial" w:cs="Arial" w:eastAsia="Arial" w:hAnsi="Arial"/>
          <w:sz w:val="15"/>
          <w:szCs w:val="15"/>
          <w:color w:val="auto"/>
        </w:rPr>
        <w:t>    Continued to successfully deliver on significant capital expenditures, restructuring activities, and footprint utilization.</w:t>
      </w:r>
    </w:p>
    <w:p>
      <w:pPr>
        <w:spacing w:after="0" w:line="200" w:lineRule="exact"/>
        <w:rPr>
          <w:sz w:val="20"/>
          <w:szCs w:val="20"/>
          <w:color w:val="auto"/>
        </w:rPr>
      </w:pPr>
    </w:p>
    <w:p>
      <w:pPr>
        <w:spacing w:after="0" w:line="318"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Our Compensation Committee evaluated Mr. Tobin’s achievements against his strategic objectives and assigned him a Strategic Objectives Factor of 100%.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49</w:t>
      </w:r>
    </w:p>
    <w:p>
      <w:pPr>
        <w:sectPr>
          <w:pgSz w:w="11900" w:h="16838" w:orient="portrait"/>
          <w:cols w:equalWidth="0" w:num="1">
            <w:col w:w="10920"/>
          </w:cols>
          <w:pgMar w:left="480" w:top="299" w:right="49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Strategic Objectives Factor — Other NEOs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following table summarizes the individual strategic objectives and results the Compensation Committee considered for our other NEOs in determining their respective Strategic Objectives Factors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38010" cy="38982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8010" cy="3898265"/>
                    </a:xfrm>
                    <a:prstGeom prst="rect">
                      <a:avLst/>
                    </a:prstGeom>
                    <a:noFill/>
                  </pic:spPr>
                </pic:pic>
              </a:graphicData>
            </a:graphic>
          </wp:anchor>
        </w:drawing>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Chris B. Woenker (Senior Vice President &amp; CFO)</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Management (25%)</w:t>
      </w:r>
    </w:p>
    <w:p>
      <w:pPr>
        <w:spacing w:after="0" w:line="16" w:lineRule="exact"/>
        <w:rPr>
          <w:sz w:val="20"/>
          <w:szCs w:val="20"/>
          <w:color w:val="auto"/>
        </w:rPr>
      </w:pPr>
    </w:p>
    <w:p>
      <w:pPr>
        <w:ind w:left="500" w:right="460" w:hanging="339"/>
        <w:spacing w:after="0" w:line="19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Reviewed capital structure based on projected capital and liquidity needs and evaluated options for capital deployment, including this year through organic investment, M&amp;A, and return of capital to shareholders, such as through cash dividends (increased annually for each of the past 70 years).</w:t>
      </w:r>
    </w:p>
    <w:p>
      <w:pPr>
        <w:spacing w:after="0" w:line="1" w:lineRule="exact"/>
        <w:rPr>
          <w:sz w:val="20"/>
          <w:szCs w:val="20"/>
          <w:color w:val="auto"/>
        </w:rPr>
      </w:pPr>
    </w:p>
    <w:p>
      <w:pPr>
        <w:ind w:left="320" w:hanging="157"/>
        <w:spacing w:after="0"/>
        <w:tabs>
          <w:tab w:leader="none" w:pos="320" w:val="left"/>
        </w:tabs>
        <w:numPr>
          <w:ilvl w:val="0"/>
          <w:numId w:val="59"/>
        </w:numPr>
        <w:rPr>
          <w:rFonts w:ascii="MS PGothic" w:cs="MS PGothic" w:eastAsia="MS PGothic" w:hAnsi="MS PGothic"/>
          <w:sz w:val="15"/>
          <w:szCs w:val="15"/>
          <w:color w:val="auto"/>
        </w:rPr>
      </w:pPr>
      <w:r>
        <w:rPr>
          <w:rFonts w:ascii="Arial" w:cs="Arial" w:eastAsia="Arial" w:hAnsi="Arial"/>
          <w:sz w:val="15"/>
          <w:szCs w:val="15"/>
          <w:color w:val="auto"/>
        </w:rPr>
        <w:t>    Initiated a $500 million accelerated share repurchase program.</w:t>
      </w:r>
    </w:p>
    <w:p>
      <w:pPr>
        <w:spacing w:after="0" w:line="41" w:lineRule="exact"/>
        <w:rPr>
          <w:rFonts w:ascii="MS PGothic" w:cs="MS PGothic" w:eastAsia="MS PGothic" w:hAnsi="MS PGothic"/>
          <w:sz w:val="15"/>
          <w:szCs w:val="15"/>
          <w:color w:val="auto"/>
        </w:rPr>
      </w:pPr>
    </w:p>
    <w:p>
      <w:pPr>
        <w:ind w:left="320" w:hanging="157"/>
        <w:spacing w:after="0"/>
        <w:tabs>
          <w:tab w:leader="none" w:pos="320" w:val="left"/>
        </w:tabs>
        <w:numPr>
          <w:ilvl w:val="0"/>
          <w:numId w:val="59"/>
        </w:numPr>
        <w:rPr>
          <w:rFonts w:ascii="MS PGothic" w:cs="MS PGothic" w:eastAsia="MS PGothic" w:hAnsi="MS PGothic"/>
          <w:sz w:val="15"/>
          <w:szCs w:val="15"/>
          <w:color w:val="auto"/>
        </w:rPr>
      </w:pPr>
      <w:r>
        <w:rPr>
          <w:rFonts w:ascii="Arial" w:cs="Arial" w:eastAsia="Arial" w:hAnsi="Arial"/>
          <w:sz w:val="15"/>
          <w:szCs w:val="15"/>
          <w:color w:val="auto"/>
        </w:rPr>
        <w:t>    Refinanced our $500 million 364-day unsecured revolving credit facility with a syndicate of banks.</w:t>
      </w:r>
    </w:p>
    <w:p>
      <w:pPr>
        <w:spacing w:after="0" w:line="41" w:lineRule="exact"/>
        <w:rPr>
          <w:rFonts w:ascii="MS PGothic" w:cs="MS PGothic" w:eastAsia="MS PGothic" w:hAnsi="MS PGothic"/>
          <w:sz w:val="15"/>
          <w:szCs w:val="15"/>
          <w:color w:val="auto"/>
        </w:rPr>
      </w:pPr>
    </w:p>
    <w:p>
      <w:pPr>
        <w:ind w:left="320" w:hanging="157"/>
        <w:spacing w:after="0"/>
        <w:tabs>
          <w:tab w:leader="none" w:pos="320" w:val="left"/>
        </w:tabs>
        <w:numPr>
          <w:ilvl w:val="0"/>
          <w:numId w:val="59"/>
        </w:numPr>
        <w:rPr>
          <w:rFonts w:ascii="MS PGothic" w:cs="MS PGothic" w:eastAsia="MS PGothic" w:hAnsi="MS PGothic"/>
          <w:sz w:val="15"/>
          <w:szCs w:val="15"/>
          <w:color w:val="auto"/>
        </w:rPr>
      </w:pPr>
      <w:r>
        <w:rPr>
          <w:rFonts w:ascii="Arial" w:cs="Arial" w:eastAsia="Arial" w:hAnsi="Arial"/>
          <w:sz w:val="15"/>
          <w:szCs w:val="15"/>
          <w:color w:val="auto"/>
        </w:rPr>
        <w:t xml:space="preserve">    Led execution of a </w:t>
      </w:r>
      <w:r>
        <w:rPr>
          <w:rFonts w:ascii="Times New Roman" w:cs="Times New Roman" w:eastAsia="Times New Roman" w:hAnsi="Times New Roman"/>
          <w:sz w:val="15"/>
          <w:szCs w:val="15"/>
          <w:color w:val="auto"/>
        </w:rPr>
        <w:t>€</w:t>
      </w:r>
      <w:r>
        <w:rPr>
          <w:rFonts w:ascii="Arial" w:cs="Arial" w:eastAsia="Arial" w:hAnsi="Arial"/>
          <w:sz w:val="15"/>
          <w:szCs w:val="15"/>
          <w:color w:val="auto"/>
        </w:rPr>
        <w:t>550 million bond issuance.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Planning Processes &amp; Control Environment (25%)</w:t>
      </w:r>
    </w:p>
    <w:p>
      <w:pPr>
        <w:spacing w:after="0" w:line="16" w:lineRule="exact"/>
        <w:rPr>
          <w:sz w:val="20"/>
          <w:szCs w:val="20"/>
          <w:color w:val="auto"/>
        </w:rPr>
      </w:pPr>
    </w:p>
    <w:p>
      <w:pPr>
        <w:ind w:left="500" w:right="64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Effectively maintained balance sheet flexibility, which enabled Dover to respond to dynamic market conditions and opportunistically deploy capital.</w:t>
      </w:r>
    </w:p>
    <w:p>
      <w:pPr>
        <w:spacing w:after="0" w:line="1" w:lineRule="exact"/>
        <w:rPr>
          <w:sz w:val="20"/>
          <w:szCs w:val="20"/>
          <w:color w:val="auto"/>
        </w:rPr>
      </w:pPr>
    </w:p>
    <w:p>
      <w:pPr>
        <w:ind w:left="500" w:right="200" w:hanging="339"/>
        <w:spacing w:after="0" w:line="204"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Drove improvements to business unit strategic and operational planning processes, including implementing changes to internal reporting structures and streamlining planning and forecasting processes across the enterprise.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Finance Transformation &amp; Financial Shared Services (25%)</w:t>
      </w:r>
    </w:p>
    <w:p>
      <w:pPr>
        <w:spacing w:after="0" w:line="16" w:lineRule="exact"/>
        <w:rPr>
          <w:sz w:val="20"/>
          <w:szCs w:val="20"/>
          <w:color w:val="auto"/>
        </w:rPr>
      </w:pPr>
    </w:p>
    <w:p>
      <w:pPr>
        <w:ind w:left="500" w:right="38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Oversaw global deployment of financial consolidation tool to further standardize processes, increase automation and minimize manual efforts, and improve overall business insights.</w:t>
      </w:r>
    </w:p>
    <w:p>
      <w:pPr>
        <w:spacing w:after="0" w:line="1" w:lineRule="exact"/>
        <w:rPr>
          <w:sz w:val="20"/>
          <w:szCs w:val="20"/>
          <w:color w:val="auto"/>
        </w:rPr>
      </w:pPr>
    </w:p>
    <w:p>
      <w:pPr>
        <w:ind w:left="320" w:hanging="157"/>
        <w:spacing w:after="0"/>
        <w:tabs>
          <w:tab w:leader="none" w:pos="320" w:val="left"/>
        </w:tabs>
        <w:numPr>
          <w:ilvl w:val="0"/>
          <w:numId w:val="61"/>
        </w:numPr>
        <w:rPr>
          <w:rFonts w:ascii="MS PGothic" w:cs="MS PGothic" w:eastAsia="MS PGothic" w:hAnsi="MS PGothic"/>
          <w:sz w:val="15"/>
          <w:szCs w:val="15"/>
          <w:color w:val="auto"/>
        </w:rPr>
      </w:pPr>
      <w:r>
        <w:rPr>
          <w:rFonts w:ascii="Arial" w:cs="Arial" w:eastAsia="Arial" w:hAnsi="Arial"/>
          <w:sz w:val="15"/>
          <w:szCs w:val="15"/>
          <w:color w:val="auto"/>
        </w:rPr>
        <w:t>    Championed investment into financial shared services, leading to reduced execution costs and increased service delivery.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Finance Operating Model (25%)</w:t>
      </w:r>
    </w:p>
    <w:p>
      <w:pPr>
        <w:spacing w:after="0" w:line="16" w:lineRule="exact"/>
        <w:rPr>
          <w:sz w:val="20"/>
          <w:szCs w:val="20"/>
          <w:color w:val="auto"/>
        </w:rPr>
      </w:pPr>
    </w:p>
    <w:p>
      <w:pPr>
        <w:ind w:left="320" w:hanging="157"/>
        <w:spacing w:after="0"/>
        <w:tabs>
          <w:tab w:leader="none" w:pos="320" w:val="left"/>
        </w:tabs>
        <w:numPr>
          <w:ilvl w:val="0"/>
          <w:numId w:val="62"/>
        </w:numPr>
        <w:rPr>
          <w:rFonts w:ascii="MS PGothic" w:cs="MS PGothic" w:eastAsia="MS PGothic" w:hAnsi="MS PGothic"/>
          <w:sz w:val="15"/>
          <w:szCs w:val="15"/>
          <w:color w:val="auto"/>
        </w:rPr>
      </w:pPr>
      <w:r>
        <w:rPr>
          <w:rFonts w:ascii="Arial" w:cs="Arial" w:eastAsia="Arial" w:hAnsi="Arial"/>
          <w:sz w:val="15"/>
          <w:szCs w:val="15"/>
          <w:color w:val="auto"/>
        </w:rPr>
        <w:t>    Led comprehensive review of Dover’s global finance organization and business processes.</w:t>
      </w:r>
    </w:p>
    <w:p>
      <w:pPr>
        <w:spacing w:after="0" w:line="45" w:lineRule="exact"/>
        <w:rPr>
          <w:rFonts w:ascii="MS PGothic" w:cs="MS PGothic" w:eastAsia="MS PGothic" w:hAnsi="MS PGothic"/>
          <w:sz w:val="15"/>
          <w:szCs w:val="15"/>
          <w:color w:val="auto"/>
        </w:rPr>
      </w:pPr>
    </w:p>
    <w:p>
      <w:pPr>
        <w:ind w:left="320" w:hanging="157"/>
        <w:spacing w:after="0"/>
        <w:tabs>
          <w:tab w:leader="none" w:pos="320" w:val="left"/>
        </w:tabs>
        <w:numPr>
          <w:ilvl w:val="0"/>
          <w:numId w:val="62"/>
        </w:numPr>
        <w:rPr>
          <w:rFonts w:ascii="MS PGothic" w:cs="MS PGothic" w:eastAsia="MS PGothic" w:hAnsi="MS PGothic"/>
          <w:sz w:val="15"/>
          <w:szCs w:val="15"/>
          <w:color w:val="auto"/>
        </w:rPr>
      </w:pPr>
      <w:r>
        <w:rPr>
          <w:rFonts w:ascii="Arial" w:cs="Arial" w:eastAsia="Arial" w:hAnsi="Arial"/>
          <w:sz w:val="15"/>
          <w:szCs w:val="15"/>
          <w:color w:val="auto"/>
        </w:rPr>
        <w:t>    Effectively executed against action plan to automate, simplify, and align global finance organization.</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50</w:t>
      </w:r>
    </w:p>
    <w:p>
      <w:pPr>
        <w:sectPr>
          <w:pgSz w:w="11900" w:h="16838" w:orient="portrait"/>
          <w:cols w:equalWidth="0" w:num="1">
            <w:col w:w="10920"/>
          </w:cols>
          <w:pgMar w:left="480" w:top="299" w:right="49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938010" cy="3745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8010" cy="3745230"/>
                    </a:xfrm>
                    <a:prstGeom prst="rect">
                      <a:avLst/>
                    </a:prstGeom>
                    <a:noFill/>
                  </pic:spPr>
                </pic:pic>
              </a:graphicData>
            </a:graphic>
          </wp:anchor>
        </w:drawing>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Ivonne M. Cabrera (Senior Vice President, General Counsel &amp; Secretary)</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Governance (25%)</w:t>
      </w:r>
    </w:p>
    <w:p>
      <w:pPr>
        <w:spacing w:after="0" w:line="16" w:lineRule="exact"/>
        <w:rPr>
          <w:sz w:val="20"/>
          <w:szCs w:val="20"/>
          <w:color w:val="auto"/>
        </w:rPr>
      </w:pPr>
    </w:p>
    <w:p>
      <w:pPr>
        <w:ind w:left="500" w:right="30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Advised our Board and management on key legal and governance matters, including on Board leadership and composition, succession planning, and evolving governance best practices.</w:t>
      </w:r>
    </w:p>
    <w:p>
      <w:pPr>
        <w:spacing w:after="0" w:line="1" w:lineRule="exact"/>
        <w:rPr>
          <w:sz w:val="20"/>
          <w:szCs w:val="20"/>
          <w:color w:val="auto"/>
        </w:rPr>
      </w:pPr>
    </w:p>
    <w:p>
      <w:pPr>
        <w:ind w:left="320" w:hanging="157"/>
        <w:spacing w:after="0"/>
        <w:tabs>
          <w:tab w:leader="none" w:pos="320" w:val="left"/>
        </w:tabs>
        <w:numPr>
          <w:ilvl w:val="0"/>
          <w:numId w:val="63"/>
        </w:numPr>
        <w:rPr>
          <w:rFonts w:ascii="MS PGothic" w:cs="MS PGothic" w:eastAsia="MS PGothic" w:hAnsi="MS PGothic"/>
          <w:sz w:val="15"/>
          <w:szCs w:val="15"/>
          <w:color w:val="auto"/>
        </w:rPr>
      </w:pPr>
      <w:r>
        <w:rPr>
          <w:rFonts w:ascii="Arial" w:cs="Arial" w:eastAsia="Arial" w:hAnsi="Arial"/>
          <w:sz w:val="15"/>
          <w:szCs w:val="15"/>
          <w:color w:val="auto"/>
        </w:rPr>
        <w:t>    Continued to effectively lead Dover’s shareholder engagement efforts.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M&amp;A/Portfolio Management (25%)</w:t>
      </w:r>
    </w:p>
    <w:p>
      <w:pPr>
        <w:spacing w:after="0" w:line="16" w:lineRule="exact"/>
        <w:rPr>
          <w:sz w:val="20"/>
          <w:szCs w:val="20"/>
          <w:color w:val="auto"/>
        </w:rPr>
      </w:pPr>
    </w:p>
    <w:p>
      <w:pPr>
        <w:ind w:left="500" w:right="56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Provided strategic advice on inorganic investment and growth opportunities in furtherance of Dover’s ongoing portfolio management efforts.</w:t>
      </w:r>
    </w:p>
    <w:p>
      <w:pPr>
        <w:spacing w:after="0" w:line="1" w:lineRule="exact"/>
        <w:rPr>
          <w:sz w:val="20"/>
          <w:szCs w:val="20"/>
          <w:color w:val="auto"/>
        </w:rPr>
      </w:pPr>
    </w:p>
    <w:p>
      <w:pPr>
        <w:ind w:left="500" w:right="160" w:hanging="339"/>
        <w:spacing w:after="0" w:line="204"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Advised on capital structure and allocation decisions, counseling Dover in the establishment of an accelerated share repurchase program and a successful long-term debt issuance.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Commercial Contracts and Growth (25%)</w:t>
      </w:r>
    </w:p>
    <w:p>
      <w:pPr>
        <w:spacing w:after="0" w:line="16" w:lineRule="exact"/>
        <w:rPr>
          <w:sz w:val="20"/>
          <w:szCs w:val="20"/>
          <w:color w:val="auto"/>
        </w:rPr>
      </w:pPr>
    </w:p>
    <w:p>
      <w:pPr>
        <w:ind w:left="500" w:right="540" w:hanging="339"/>
        <w:spacing w:after="0" w:line="20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Successfully managed key legal matters through an evolving regulatory landscape, advancing efforts to protect and enforce Dover’s intellectual property rights, driving commercial excellence initiatives, and positioning Dover to support and capture organic growth.</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ESG/Sustainability (25%)</w:t>
      </w:r>
    </w:p>
    <w:p>
      <w:pPr>
        <w:spacing w:after="0" w:line="16" w:lineRule="exact"/>
        <w:rPr>
          <w:sz w:val="20"/>
          <w:szCs w:val="20"/>
          <w:color w:val="auto"/>
        </w:rPr>
      </w:pPr>
    </w:p>
    <w:p>
      <w:pPr>
        <w:ind w:left="500" w:right="72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Provided leadership in delivering Dover’s sustainability strategy as the Chair of our Sustainability Steering Committee, guiding the development of our new three-year ESG plan following the completion of the previous plan.</w:t>
      </w:r>
    </w:p>
    <w:p>
      <w:pPr>
        <w:spacing w:after="0" w:line="1" w:lineRule="exact"/>
        <w:rPr>
          <w:sz w:val="20"/>
          <w:szCs w:val="20"/>
          <w:color w:val="auto"/>
        </w:rPr>
      </w:pPr>
    </w:p>
    <w:p>
      <w:pPr>
        <w:ind w:left="320" w:hanging="157"/>
        <w:spacing w:after="0"/>
        <w:tabs>
          <w:tab w:leader="none" w:pos="320" w:val="left"/>
        </w:tabs>
        <w:numPr>
          <w:ilvl w:val="0"/>
          <w:numId w:val="66"/>
        </w:numPr>
        <w:rPr>
          <w:rFonts w:ascii="MS PGothic" w:cs="MS PGothic" w:eastAsia="MS PGothic" w:hAnsi="MS PGothic"/>
          <w:sz w:val="15"/>
          <w:szCs w:val="15"/>
          <w:color w:val="auto"/>
        </w:rPr>
      </w:pPr>
      <w:r>
        <w:rPr>
          <w:rFonts w:ascii="Arial" w:cs="Arial" w:eastAsia="Arial" w:hAnsi="Arial"/>
          <w:sz w:val="15"/>
          <w:szCs w:val="15"/>
          <w:color w:val="auto"/>
        </w:rPr>
        <w:t>    Championed enterprise-wide efforts to deliver progress on ESG goals and initiatives.</w:t>
      </w:r>
    </w:p>
    <w:p>
      <w:pPr>
        <w:spacing w:after="0" w:line="41" w:lineRule="exact"/>
        <w:rPr>
          <w:rFonts w:ascii="MS PGothic" w:cs="MS PGothic" w:eastAsia="MS PGothic" w:hAnsi="MS PGothic"/>
          <w:sz w:val="15"/>
          <w:szCs w:val="15"/>
          <w:color w:val="auto"/>
        </w:rPr>
      </w:pPr>
    </w:p>
    <w:p>
      <w:pPr>
        <w:ind w:left="500" w:right="20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review and enhance Dover’s public disclosures and compliance controls and procedures, including leading cross functional teams to prepare for compliance with evolving global sustainability regulations.</w:t>
      </w: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ectPr>
          <w:pgSz w:w="11900" w:h="16838" w:orient="portrait"/>
          <w:cols w:equalWidth="0" w:num="1">
            <w:col w:w="10920"/>
          </w:cols>
          <w:pgMar w:left="480" w:top="299" w:right="49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938010" cy="3881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38010" cy="3881120"/>
                    </a:xfrm>
                    <a:prstGeom prst="rect">
                      <a:avLst/>
                    </a:prstGeom>
                    <a:noFill/>
                  </pic:spPr>
                </pic:pic>
              </a:graphicData>
            </a:graphic>
          </wp:anchor>
        </w:drawing>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Girish Juneja (Senior Vice President &amp; Chief Digital Officer)</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Digital Strategy (25%)</w:t>
      </w:r>
    </w:p>
    <w:p>
      <w:pPr>
        <w:spacing w:after="0" w:line="16" w:lineRule="exact"/>
        <w:rPr>
          <w:sz w:val="20"/>
          <w:szCs w:val="20"/>
          <w:color w:val="auto"/>
        </w:rPr>
      </w:pPr>
    </w:p>
    <w:p>
      <w:pPr>
        <w:ind w:left="500" w:right="58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Led digital transformation efforts that supported business growth across our enterprise, capturing value through the centralization of digital activities and increased adoption of shared services and common practices.</w:t>
      </w:r>
    </w:p>
    <w:p>
      <w:pPr>
        <w:spacing w:after="0" w:line="1" w:lineRule="exact"/>
        <w:rPr>
          <w:sz w:val="20"/>
          <w:szCs w:val="20"/>
          <w:color w:val="auto"/>
        </w:rPr>
      </w:pPr>
    </w:p>
    <w:p>
      <w:pPr>
        <w:ind w:left="320" w:hanging="157"/>
        <w:spacing w:after="0"/>
        <w:tabs>
          <w:tab w:leader="none" w:pos="320" w:val="left"/>
        </w:tabs>
        <w:numPr>
          <w:ilvl w:val="0"/>
          <w:numId w:val="67"/>
        </w:numPr>
        <w:rPr>
          <w:rFonts w:ascii="MS PGothic" w:cs="MS PGothic" w:eastAsia="MS PGothic" w:hAnsi="MS PGothic"/>
          <w:sz w:val="15"/>
          <w:szCs w:val="15"/>
          <w:color w:val="auto"/>
        </w:rPr>
      </w:pPr>
      <w:r>
        <w:rPr>
          <w:rFonts w:ascii="Arial" w:cs="Arial" w:eastAsia="Arial" w:hAnsi="Arial"/>
          <w:sz w:val="15"/>
          <w:szCs w:val="15"/>
          <w:color w:val="auto"/>
        </w:rPr>
        <w:t>    Continued to expand Dover’s AI capabilities to advance digital offerings and drive enterprise-wide productivity initiatives.</w:t>
      </w:r>
    </w:p>
    <w:p>
      <w:pPr>
        <w:spacing w:after="0" w:line="41" w:lineRule="exact"/>
        <w:rPr>
          <w:rFonts w:ascii="MS PGothic" w:cs="MS PGothic" w:eastAsia="MS PGothic" w:hAnsi="MS PGothic"/>
          <w:sz w:val="15"/>
          <w:szCs w:val="15"/>
          <w:color w:val="auto"/>
        </w:rPr>
      </w:pPr>
    </w:p>
    <w:p>
      <w:pPr>
        <w:ind w:left="320" w:hanging="157"/>
        <w:spacing w:after="0"/>
        <w:tabs>
          <w:tab w:leader="none" w:pos="320" w:val="left"/>
        </w:tabs>
        <w:numPr>
          <w:ilvl w:val="0"/>
          <w:numId w:val="67"/>
        </w:numPr>
        <w:rPr>
          <w:rFonts w:ascii="MS PGothic" w:cs="MS PGothic" w:eastAsia="MS PGothic" w:hAnsi="MS PGothic"/>
          <w:sz w:val="15"/>
          <w:szCs w:val="15"/>
          <w:color w:val="auto"/>
        </w:rPr>
      </w:pPr>
      <w:r>
        <w:rPr>
          <w:rFonts w:ascii="Arial" w:cs="Arial" w:eastAsia="Arial" w:hAnsi="Arial"/>
          <w:sz w:val="15"/>
          <w:szCs w:val="15"/>
          <w:color w:val="auto"/>
        </w:rPr>
        <w:t>    Assessed the digital capabilities of acquisition targets, including their strategic fit with key growth areas across our operating segments.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 Management/Data Security (25%)</w:t>
      </w:r>
    </w:p>
    <w:p>
      <w:pPr>
        <w:spacing w:after="0" w:line="16" w:lineRule="exact"/>
        <w:rPr>
          <w:sz w:val="20"/>
          <w:szCs w:val="20"/>
          <w:color w:val="auto"/>
        </w:rPr>
      </w:pPr>
    </w:p>
    <w:p>
      <w:pPr>
        <w:ind w:left="500" w:right="34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manage enterprise-wide cybersecurity risk and advance our multi-year data security strategy, driving security initiatives in 2025 focused on our factories, cloud-based systems, and products.</w:t>
      </w:r>
    </w:p>
    <w:p>
      <w:pPr>
        <w:spacing w:after="0" w:line="1" w:lineRule="exact"/>
        <w:rPr>
          <w:sz w:val="20"/>
          <w:szCs w:val="20"/>
          <w:color w:val="auto"/>
        </w:rPr>
      </w:pPr>
    </w:p>
    <w:p>
      <w:pPr>
        <w:ind w:left="500" w:right="300" w:hanging="339"/>
        <w:spacing w:after="0" w:line="204"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Controlled information technology (“IT”) costs in line with the annual operating plan, while deploying IT services across the enterprise in support of major factory expansions and consolidations, ERP upgrades, and engineering and automation projects.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 Experience &amp; Commercial Excellence (25%)</w:t>
      </w:r>
    </w:p>
    <w:p>
      <w:pPr>
        <w:spacing w:after="0" w:line="16" w:lineRule="exact"/>
        <w:rPr>
          <w:sz w:val="20"/>
          <w:szCs w:val="20"/>
          <w:color w:val="auto"/>
        </w:rPr>
      </w:pPr>
    </w:p>
    <w:p>
      <w:pPr>
        <w:ind w:left="500" w:right="42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Led the adoption of Commercial Excellence across our operating segments, delivering cost-to-serve customer efficiencies and driving customer demand for cost-competitive digital products.</w:t>
      </w:r>
    </w:p>
    <w:p>
      <w:pPr>
        <w:spacing w:after="0" w:line="1" w:lineRule="exact"/>
        <w:rPr>
          <w:sz w:val="20"/>
          <w:szCs w:val="20"/>
          <w:color w:val="auto"/>
        </w:rPr>
      </w:pPr>
    </w:p>
    <w:p>
      <w:pPr>
        <w:ind w:left="320" w:hanging="157"/>
        <w:spacing w:after="0"/>
        <w:tabs>
          <w:tab w:leader="none" w:pos="320" w:val="left"/>
        </w:tabs>
        <w:numPr>
          <w:ilvl w:val="0"/>
          <w:numId w:val="69"/>
        </w:numPr>
        <w:rPr>
          <w:rFonts w:ascii="MS PGothic" w:cs="MS PGothic" w:eastAsia="MS PGothic" w:hAnsi="MS PGothic"/>
          <w:sz w:val="15"/>
          <w:szCs w:val="15"/>
          <w:color w:val="auto"/>
        </w:rPr>
      </w:pPr>
      <w:r>
        <w:rPr>
          <w:rFonts w:ascii="Arial" w:cs="Arial" w:eastAsia="Arial" w:hAnsi="Arial"/>
          <w:sz w:val="15"/>
          <w:szCs w:val="15"/>
          <w:color w:val="auto"/>
        </w:rPr>
        <w:t>    Drove working capital benefits by enabling teams with advanced analytical tools.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 (25%)</w:t>
      </w:r>
    </w:p>
    <w:p>
      <w:pPr>
        <w:spacing w:after="0" w:line="16" w:lineRule="exact"/>
        <w:rPr>
          <w:sz w:val="20"/>
          <w:szCs w:val="20"/>
          <w:color w:val="auto"/>
        </w:rPr>
      </w:pPr>
    </w:p>
    <w:p>
      <w:pPr>
        <w:ind w:left="500" w:right="84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drive productivity by optimizing manufacturing and supply chain operations and support services across connected products.</w:t>
      </w:r>
    </w:p>
    <w:p>
      <w:pPr>
        <w:spacing w:after="0" w:line="1" w:lineRule="exact"/>
        <w:rPr>
          <w:sz w:val="20"/>
          <w:szCs w:val="20"/>
          <w:color w:val="auto"/>
        </w:rPr>
      </w:pPr>
    </w:p>
    <w:p>
      <w:pPr>
        <w:ind w:left="500" w:right="540" w:hanging="339"/>
        <w:spacing w:after="0" w:line="204"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Helped drive the digitization of our manufacturing operations by expanding our “connected factory” and “data quality” programs, with marked progress in supplier recovery, safety, standard time accuracy, and overall equipment effectiveness.</w:t>
      </w: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ectPr>
          <w:pgSz w:w="11900" w:h="16838" w:orient="portrait"/>
          <w:cols w:equalWidth="0" w:num="1">
            <w:col w:w="10920"/>
          </w:cols>
          <w:pgMar w:left="480" w:top="299" w:right="49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938010" cy="35242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38010" cy="3524250"/>
                    </a:xfrm>
                    <a:prstGeom prst="rect">
                      <a:avLst/>
                    </a:prstGeom>
                    <a:noFill/>
                  </pic:spPr>
                </pic:pic>
              </a:graphicData>
            </a:graphic>
          </wp:anchor>
        </w:drawing>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Jeffrey C. Yehle (Senior Vice President &amp; Chief Human Resources Officer)</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Enterprise Talent Management and Development (25%)</w:t>
      </w:r>
    </w:p>
    <w:p>
      <w:pPr>
        <w:spacing w:after="0" w:line="16" w:lineRule="exact"/>
        <w:rPr>
          <w:sz w:val="20"/>
          <w:szCs w:val="20"/>
          <w:color w:val="auto"/>
        </w:rPr>
      </w:pPr>
    </w:p>
    <w:p>
      <w:pPr>
        <w:ind w:left="500" w:right="30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Worked with the Board to review and enhance Dover’s well-designed approach to management succession planning, with a continuous focus on succession depth across our corporate center and operating companies.</w:t>
      </w:r>
    </w:p>
    <w:p>
      <w:pPr>
        <w:spacing w:after="0" w:line="1" w:lineRule="exact"/>
        <w:rPr>
          <w:sz w:val="20"/>
          <w:szCs w:val="20"/>
          <w:color w:val="auto"/>
        </w:rPr>
      </w:pPr>
    </w:p>
    <w:p>
      <w:pPr>
        <w:ind w:left="320" w:hanging="157"/>
        <w:spacing w:after="0"/>
        <w:tabs>
          <w:tab w:leader="none" w:pos="320" w:val="left"/>
        </w:tabs>
        <w:numPr>
          <w:ilvl w:val="0"/>
          <w:numId w:val="71"/>
        </w:numPr>
        <w:rPr>
          <w:rFonts w:ascii="MS PGothic" w:cs="MS PGothic" w:eastAsia="MS PGothic" w:hAnsi="MS PGothic"/>
          <w:sz w:val="15"/>
          <w:szCs w:val="15"/>
          <w:color w:val="auto"/>
        </w:rPr>
      </w:pPr>
      <w:r>
        <w:rPr>
          <w:rFonts w:ascii="Arial" w:cs="Arial" w:eastAsia="Arial" w:hAnsi="Arial"/>
          <w:sz w:val="15"/>
          <w:szCs w:val="15"/>
          <w:color w:val="auto"/>
        </w:rPr>
        <w:t>    Continued to enhance our talent management processes, including through the buildout of internal leadership development programs.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HR Enterprise Initiatives (25%)</w:t>
      </w:r>
    </w:p>
    <w:p>
      <w:pPr>
        <w:spacing w:after="0" w:line="16" w:lineRule="exact"/>
        <w:rPr>
          <w:sz w:val="20"/>
          <w:szCs w:val="20"/>
          <w:color w:val="auto"/>
        </w:rPr>
      </w:pPr>
    </w:p>
    <w:p>
      <w:pPr>
        <w:ind w:left="320" w:hanging="157"/>
        <w:spacing w:after="0"/>
        <w:tabs>
          <w:tab w:leader="none" w:pos="320" w:val="left"/>
        </w:tabs>
        <w:numPr>
          <w:ilvl w:val="0"/>
          <w:numId w:val="72"/>
        </w:numPr>
        <w:rPr>
          <w:rFonts w:ascii="MS PGothic" w:cs="MS PGothic" w:eastAsia="MS PGothic" w:hAnsi="MS PGothic"/>
          <w:sz w:val="15"/>
          <w:szCs w:val="15"/>
          <w:color w:val="auto"/>
        </w:rPr>
      </w:pPr>
      <w:r>
        <w:rPr>
          <w:rFonts w:ascii="Arial" w:cs="Arial" w:eastAsia="Arial" w:hAnsi="Arial"/>
          <w:sz w:val="15"/>
          <w:szCs w:val="15"/>
          <w:color w:val="auto"/>
        </w:rPr>
        <w:t>    Continued to review and enhance our global benefits programs, expanding offered benefits to better support the needs of employees.</w:t>
      </w:r>
    </w:p>
    <w:p>
      <w:pPr>
        <w:spacing w:after="0" w:line="45" w:lineRule="exact"/>
        <w:rPr>
          <w:rFonts w:ascii="MS PGothic" w:cs="MS PGothic" w:eastAsia="MS PGothic" w:hAnsi="MS PGothic"/>
          <w:sz w:val="15"/>
          <w:szCs w:val="15"/>
          <w:color w:val="auto"/>
        </w:rPr>
      </w:pPr>
    </w:p>
    <w:p>
      <w:pPr>
        <w:ind w:left="320" w:hanging="157"/>
        <w:spacing w:after="0"/>
        <w:tabs>
          <w:tab w:leader="none" w:pos="320" w:val="left"/>
        </w:tabs>
        <w:numPr>
          <w:ilvl w:val="0"/>
          <w:numId w:val="72"/>
        </w:numPr>
        <w:rPr>
          <w:rFonts w:ascii="MS PGothic" w:cs="MS PGothic" w:eastAsia="MS PGothic" w:hAnsi="MS PGothic"/>
          <w:sz w:val="15"/>
          <w:szCs w:val="15"/>
          <w:color w:val="auto"/>
        </w:rPr>
      </w:pPr>
      <w:r>
        <w:rPr>
          <w:rFonts w:ascii="Arial" w:cs="Arial" w:eastAsia="Arial" w:hAnsi="Arial"/>
          <w:sz w:val="15"/>
          <w:szCs w:val="15"/>
          <w:color w:val="auto"/>
        </w:rPr>
        <w:t>    Rolled out global career architecture and compensation structure and job levelling framework.</w:t>
      </w:r>
    </w:p>
    <w:p>
      <w:pPr>
        <w:spacing w:after="0" w:line="41" w:lineRule="exact"/>
        <w:rPr>
          <w:rFonts w:ascii="MS PGothic" w:cs="MS PGothic" w:eastAsia="MS PGothic" w:hAnsi="MS PGothic"/>
          <w:sz w:val="15"/>
          <w:szCs w:val="15"/>
          <w:color w:val="auto"/>
        </w:rPr>
      </w:pPr>
    </w:p>
    <w:p>
      <w:pPr>
        <w:ind w:left="320" w:hanging="157"/>
        <w:spacing w:after="0"/>
        <w:tabs>
          <w:tab w:leader="none" w:pos="320" w:val="left"/>
        </w:tabs>
        <w:numPr>
          <w:ilvl w:val="0"/>
          <w:numId w:val="72"/>
        </w:numPr>
        <w:rPr>
          <w:rFonts w:ascii="MS PGothic" w:cs="MS PGothic" w:eastAsia="MS PGothic" w:hAnsi="MS PGothic"/>
          <w:sz w:val="15"/>
          <w:szCs w:val="15"/>
          <w:color w:val="auto"/>
        </w:rPr>
      </w:pPr>
      <w:r>
        <w:rPr>
          <w:rFonts w:ascii="Arial" w:cs="Arial" w:eastAsia="Arial" w:hAnsi="Arial"/>
          <w:sz w:val="15"/>
          <w:szCs w:val="15"/>
          <w:color w:val="auto"/>
        </w:rPr>
        <w:t>    Enhanced our internal and external global employee value proposition, both in our corporate center and operating companies.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Workforce Development (25%)</w:t>
      </w:r>
    </w:p>
    <w:p>
      <w:pPr>
        <w:spacing w:after="0" w:line="16" w:lineRule="exact"/>
        <w:rPr>
          <w:sz w:val="20"/>
          <w:szCs w:val="20"/>
          <w:color w:val="auto"/>
        </w:rPr>
      </w:pPr>
    </w:p>
    <w:p>
      <w:pPr>
        <w:ind w:left="500" w:right="90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Drove action plans designed to communicate and address feedback from our second employee engagement survey across our enterprise to improve employee experience and support culture.</w:t>
      </w:r>
    </w:p>
    <w:p>
      <w:pPr>
        <w:spacing w:after="0" w:line="1" w:lineRule="exact"/>
        <w:rPr>
          <w:sz w:val="20"/>
          <w:szCs w:val="20"/>
          <w:color w:val="auto"/>
        </w:rPr>
      </w:pPr>
    </w:p>
    <w:p>
      <w:pPr>
        <w:ind w:left="320" w:hanging="157"/>
        <w:spacing w:after="0"/>
        <w:tabs>
          <w:tab w:leader="none" w:pos="320" w:val="left"/>
        </w:tabs>
        <w:numPr>
          <w:ilvl w:val="0"/>
          <w:numId w:val="73"/>
        </w:numPr>
        <w:rPr>
          <w:rFonts w:ascii="MS PGothic" w:cs="MS PGothic" w:eastAsia="MS PGothic" w:hAnsi="MS PGothic"/>
          <w:sz w:val="15"/>
          <w:szCs w:val="15"/>
          <w:color w:val="auto"/>
        </w:rPr>
      </w:pPr>
      <w:r>
        <w:rPr>
          <w:rFonts w:ascii="Arial" w:cs="Arial" w:eastAsia="Arial" w:hAnsi="Arial"/>
          <w:sz w:val="15"/>
          <w:szCs w:val="15"/>
          <w:color w:val="auto"/>
        </w:rPr>
        <w:t>    Developed and launched Dover University, our internal learning platform for employees globally.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HR Transformation and Shared Services (25%)</w:t>
      </w:r>
    </w:p>
    <w:p>
      <w:pPr>
        <w:spacing w:after="0" w:line="16" w:lineRule="exact"/>
        <w:rPr>
          <w:sz w:val="20"/>
          <w:szCs w:val="20"/>
          <w:color w:val="auto"/>
        </w:rPr>
      </w:pPr>
    </w:p>
    <w:p>
      <w:pPr>
        <w:ind w:left="500" w:right="50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maximize operational effectiveness of the HR function by leveraging global operating model to further centralize shared services and expand our centers of expertise.</w:t>
      </w:r>
    </w:p>
    <w:p>
      <w:pPr>
        <w:spacing w:after="0" w:line="1" w:lineRule="exact"/>
        <w:rPr>
          <w:sz w:val="20"/>
          <w:szCs w:val="20"/>
          <w:color w:val="auto"/>
        </w:rPr>
      </w:pPr>
    </w:p>
    <w:p>
      <w:pPr>
        <w:ind w:left="320" w:hanging="157"/>
        <w:spacing w:after="0"/>
        <w:tabs>
          <w:tab w:leader="none" w:pos="320" w:val="left"/>
        </w:tabs>
        <w:numPr>
          <w:ilvl w:val="0"/>
          <w:numId w:val="74"/>
        </w:numPr>
        <w:rPr>
          <w:rFonts w:ascii="MS PGothic" w:cs="MS PGothic" w:eastAsia="MS PGothic" w:hAnsi="MS PGothic"/>
          <w:sz w:val="15"/>
          <w:szCs w:val="15"/>
          <w:color w:val="auto"/>
        </w:rPr>
      </w:pPr>
      <w:r>
        <w:rPr>
          <w:rFonts w:ascii="Arial" w:cs="Arial" w:eastAsia="Arial" w:hAnsi="Arial"/>
          <w:sz w:val="15"/>
          <w:szCs w:val="15"/>
          <w:color w:val="auto"/>
        </w:rPr>
        <w:t>    Led the deployment of our HR Information System.</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30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Overall Payout Factors resulting from the above Financial Objective Factors and Strategic Objectives Factors resulted in the payouts set forth in the 2025 Summary Compensation Table.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Brad M. Cerepak (former Senior Vice President &amp; Chief Financial Officer)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Mr. Cerepak departed Dover as of January 31, 2025 and accordingly, was not included in the AIP for the year 2025.</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Long-Term Incentive Compensation</w:t>
      </w:r>
    </w:p>
    <w:p>
      <w:pPr>
        <w:spacing w:after="0" w:line="74"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following table summarizes the components of awards under our LTIP and the related performance criteria for awards granted in 2025. Note that all components are paid in stock rather than cash to encourage shareholder alignment through stock ownership.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640" w:type="dxa"/>
            <w:vAlign w:val="bottom"/>
            <w:tcBorders>
              <w:top w:val="single" w:sz="8" w:color="021496"/>
              <w:bottom w:val="single" w:sz="8" w:color="021496"/>
              <w:right w:val="single" w:sz="8" w:color="8C8C8C"/>
            </w:tcBorders>
            <w:shd w:val="clear" w:color="auto" w:fill="021496"/>
          </w:tcPr>
          <w:p>
            <w:pPr>
              <w:ind w:left="900"/>
              <w:spacing w:after="0"/>
              <w:rPr>
                <w:sz w:val="20"/>
                <w:szCs w:val="20"/>
                <w:color w:val="auto"/>
              </w:rPr>
            </w:pPr>
            <w:r>
              <w:rPr>
                <w:rFonts w:ascii="Arial" w:cs="Arial" w:eastAsia="Arial" w:hAnsi="Arial"/>
                <w:sz w:val="14"/>
                <w:szCs w:val="14"/>
                <w:b w:val="1"/>
                <w:bCs w:val="1"/>
                <w:color w:val="FFFFFF"/>
              </w:rPr>
              <w:t>Pay Element</w:t>
            </w:r>
          </w:p>
        </w:tc>
        <w:tc>
          <w:tcPr>
            <w:tcW w:w="240" w:type="dxa"/>
            <w:vAlign w:val="bottom"/>
            <w:tcBorders>
              <w:top w:val="single" w:sz="8" w:color="021496"/>
              <w:bottom w:val="single" w:sz="8" w:color="021496"/>
            </w:tcBorders>
            <w:shd w:val="clear" w:color="auto" w:fill="021496"/>
          </w:tcPr>
          <w:p>
            <w:pPr>
              <w:spacing w:after="0"/>
              <w:rPr>
                <w:sz w:val="24"/>
                <w:szCs w:val="24"/>
                <w:color w:val="auto"/>
              </w:rPr>
            </w:pPr>
          </w:p>
        </w:tc>
        <w:tc>
          <w:tcPr>
            <w:tcW w:w="4800" w:type="dxa"/>
            <w:vAlign w:val="bottom"/>
            <w:tcBorders>
              <w:top w:val="single" w:sz="8" w:color="021496"/>
              <w:bottom w:val="single" w:sz="8" w:color="021496"/>
              <w:right w:val="single" w:sz="8" w:color="8C8C8C"/>
            </w:tcBorders>
            <w:shd w:val="clear" w:color="auto" w:fill="021496"/>
          </w:tcPr>
          <w:p>
            <w:pPr>
              <w:ind w:left="1000"/>
              <w:spacing w:after="0"/>
              <w:rPr>
                <w:sz w:val="20"/>
                <w:szCs w:val="20"/>
                <w:color w:val="auto"/>
              </w:rPr>
            </w:pPr>
            <w:r>
              <w:rPr>
                <w:rFonts w:ascii="Arial" w:cs="Arial" w:eastAsia="Arial" w:hAnsi="Arial"/>
                <w:sz w:val="14"/>
                <w:szCs w:val="14"/>
                <w:b w:val="1"/>
                <w:bCs w:val="1"/>
                <w:color w:val="FFFFFF"/>
              </w:rPr>
              <w:t>2025 Weighting &amp; Performance Criteria</w:t>
            </w:r>
          </w:p>
        </w:tc>
        <w:tc>
          <w:tcPr>
            <w:tcW w:w="3240" w:type="dxa"/>
            <w:vAlign w:val="bottom"/>
            <w:tcBorders>
              <w:top w:val="single" w:sz="8" w:color="021496"/>
              <w:bottom w:val="single" w:sz="8" w:color="021496"/>
            </w:tcBorders>
            <w:shd w:val="clear" w:color="auto" w:fill="021496"/>
          </w:tcPr>
          <w:p>
            <w:pPr>
              <w:ind w:left="130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362"/>
        </w:trPr>
        <w:tc>
          <w:tcPr>
            <w:tcW w:w="2640" w:type="dxa"/>
            <w:vAlign w:val="bottom"/>
            <w:tcBorders>
              <w:top w:val="single" w:sz="8" w:color="8C8C8C"/>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Performance Shares</w:t>
            </w:r>
          </w:p>
        </w:tc>
        <w:tc>
          <w:tcPr>
            <w:tcW w:w="240" w:type="dxa"/>
            <w:vAlign w:val="bottom"/>
            <w:tcBorders>
              <w:top w:val="single" w:sz="8" w:color="8C8C8C"/>
            </w:tcBorders>
            <w:shd w:val="clear" w:color="auto" w:fill="D8D8D8"/>
          </w:tcPr>
          <w:p>
            <w:pPr>
              <w:spacing w:after="0"/>
              <w:rPr>
                <w:sz w:val="24"/>
                <w:szCs w:val="24"/>
                <w:color w:val="auto"/>
              </w:rPr>
            </w:pPr>
          </w:p>
        </w:tc>
        <w:tc>
          <w:tcPr>
            <w:tcW w:w="4800" w:type="dxa"/>
            <w:vAlign w:val="bottom"/>
            <w:tcBorders>
              <w:top w:val="single" w:sz="8" w:color="8C8C8C"/>
              <w:right w:val="single" w:sz="8" w:color="8C8C8C"/>
            </w:tcBorders>
            <w:shd w:val="clear" w:color="auto" w:fill="D8D8D8"/>
          </w:tcPr>
          <w:p>
            <w:pPr>
              <w:ind w:left="360"/>
              <w:spacing w:after="0"/>
              <w:rPr>
                <w:sz w:val="20"/>
                <w:szCs w:val="20"/>
                <w:color w:val="auto"/>
              </w:rPr>
            </w:pPr>
            <w:r>
              <w:rPr>
                <w:rFonts w:ascii="Arial" w:cs="Arial" w:eastAsia="Arial" w:hAnsi="Arial"/>
                <w:sz w:val="14"/>
                <w:szCs w:val="14"/>
                <w:color w:val="auto"/>
              </w:rPr>
              <w:t>Performance Criteria:</w:t>
            </w:r>
          </w:p>
        </w:tc>
        <w:tc>
          <w:tcPr>
            <w:tcW w:w="3240" w:type="dxa"/>
            <w:vAlign w:val="bottom"/>
            <w:tcBorders>
              <w:top w:val="single" w:sz="8" w:color="8C8C8C"/>
            </w:tcBorders>
            <w:vMerge w:val="restart"/>
            <w:shd w:val="clear" w:color="auto" w:fill="D8D8D8"/>
          </w:tcPr>
          <w:p>
            <w:pPr>
              <w:ind w:left="80"/>
              <w:spacing w:after="0"/>
              <w:rPr>
                <w:sz w:val="20"/>
                <w:szCs w:val="20"/>
                <w:color w:val="auto"/>
              </w:rPr>
            </w:pPr>
            <w:r>
              <w:rPr>
                <w:rFonts w:ascii="Arial" w:cs="Arial" w:eastAsia="Arial" w:hAnsi="Arial"/>
                <w:sz w:val="14"/>
                <w:szCs w:val="14"/>
                <w:color w:val="auto"/>
              </w:rPr>
              <w:t>Focus executives on shareholder value</w:t>
            </w:r>
          </w:p>
        </w:tc>
        <w:tc>
          <w:tcPr>
            <w:tcW w:w="0" w:type="dxa"/>
            <w:vAlign w:val="bottom"/>
          </w:tcPr>
          <w:p>
            <w:pPr>
              <w:spacing w:after="0"/>
              <w:rPr>
                <w:sz w:val="1"/>
                <w:szCs w:val="1"/>
                <w:color w:val="auto"/>
              </w:rPr>
            </w:pPr>
          </w:p>
        </w:tc>
      </w:tr>
      <w:tr>
        <w:trPr>
          <w:trHeight w:val="153"/>
        </w:trPr>
        <w:tc>
          <w:tcPr>
            <w:tcW w:w="2640" w:type="dxa"/>
            <w:vAlign w:val="bottom"/>
            <w:tcBorders>
              <w:right w:val="single" w:sz="8" w:color="8C8C8C"/>
            </w:tcBorders>
            <w:vMerge w:val="continue"/>
            <w:shd w:val="clear" w:color="auto" w:fill="D8D8D8"/>
          </w:tcPr>
          <w:p>
            <w:pPr>
              <w:spacing w:after="0"/>
              <w:rPr>
                <w:sz w:val="13"/>
                <w:szCs w:val="13"/>
                <w:color w:val="auto"/>
              </w:rPr>
            </w:pPr>
          </w:p>
        </w:tc>
        <w:tc>
          <w:tcPr>
            <w:tcW w:w="240" w:type="dxa"/>
            <w:vAlign w:val="bottom"/>
            <w:shd w:val="clear" w:color="auto" w:fill="D8D8D8"/>
          </w:tcPr>
          <w:p>
            <w:pPr>
              <w:spacing w:after="0"/>
              <w:rPr>
                <w:sz w:val="13"/>
                <w:szCs w:val="13"/>
                <w:color w:val="auto"/>
              </w:rPr>
            </w:pPr>
          </w:p>
        </w:tc>
        <w:tc>
          <w:tcPr>
            <w:tcW w:w="4800" w:type="dxa"/>
            <w:vAlign w:val="bottom"/>
            <w:tcBorders>
              <w:right w:val="single" w:sz="8" w:color="8C8C8C"/>
            </w:tcBorders>
            <w:shd w:val="clear" w:color="auto" w:fill="D8D8D8"/>
          </w:tcPr>
          <w:p>
            <w:pPr>
              <w:ind w:left="160"/>
              <w:spacing w:after="0" w:line="153" w:lineRule="exact"/>
              <w:rPr>
                <w:sz w:val="20"/>
                <w:szCs w:val="20"/>
                <w:color w:val="auto"/>
              </w:rPr>
            </w:pPr>
            <w:r>
              <w:rPr>
                <w:rFonts w:ascii="Arial" w:cs="Arial" w:eastAsia="Arial" w:hAnsi="Arial"/>
                <w:sz w:val="14"/>
                <w:szCs w:val="14"/>
                <w:color w:val="auto"/>
              </w:rPr>
              <w:t>50% 3-Year relative TSR with the S&amp;P 500 Industrials index</w:t>
            </w:r>
          </w:p>
        </w:tc>
        <w:tc>
          <w:tcPr>
            <w:tcW w:w="324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40" w:type="dxa"/>
            <w:vAlign w:val="bottom"/>
            <w:tcBorders>
              <w:right w:val="single" w:sz="8" w:color="8C8C8C"/>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(40% LTIP weighting)</w:t>
            </w:r>
          </w:p>
        </w:tc>
        <w:tc>
          <w:tcPr>
            <w:tcW w:w="240" w:type="dxa"/>
            <w:vAlign w:val="bottom"/>
            <w:shd w:val="clear" w:color="auto" w:fill="D8D8D8"/>
          </w:tcPr>
          <w:p>
            <w:pPr>
              <w:spacing w:after="0"/>
              <w:rPr>
                <w:sz w:val="15"/>
                <w:szCs w:val="15"/>
                <w:color w:val="auto"/>
              </w:rPr>
            </w:pPr>
          </w:p>
        </w:tc>
        <w:tc>
          <w:tcPr>
            <w:tcW w:w="4800" w:type="dxa"/>
            <w:vAlign w:val="bottom"/>
            <w:tcBorders>
              <w:right w:val="single" w:sz="8" w:color="8C8C8C"/>
            </w:tcBorders>
            <w:shd w:val="clear" w:color="auto" w:fill="D8D8D8"/>
          </w:tcPr>
          <w:p>
            <w:pPr>
              <w:ind w:left="360"/>
              <w:spacing w:after="0"/>
              <w:rPr>
                <w:sz w:val="20"/>
                <w:szCs w:val="20"/>
                <w:color w:val="auto"/>
              </w:rPr>
            </w:pPr>
            <w:r>
              <w:rPr>
                <w:rFonts w:ascii="Arial" w:cs="Arial" w:eastAsia="Arial" w:hAnsi="Arial"/>
                <w:sz w:val="14"/>
                <w:szCs w:val="14"/>
                <w:color w:val="auto"/>
              </w:rPr>
              <w:t>companies as the comparator group</w:t>
            </w:r>
          </w:p>
        </w:tc>
        <w:tc>
          <w:tcPr>
            <w:tcW w:w="32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creation</w:t>
            </w:r>
          </w:p>
        </w:tc>
        <w:tc>
          <w:tcPr>
            <w:tcW w:w="0" w:type="dxa"/>
            <w:vAlign w:val="bottom"/>
          </w:tcPr>
          <w:p>
            <w:pPr>
              <w:spacing w:after="0"/>
              <w:rPr>
                <w:sz w:val="1"/>
                <w:szCs w:val="1"/>
                <w:color w:val="auto"/>
              </w:rPr>
            </w:pPr>
          </w:p>
        </w:tc>
      </w:tr>
      <w:tr>
        <w:trPr>
          <w:trHeight w:val="278"/>
        </w:trPr>
        <w:tc>
          <w:tcPr>
            <w:tcW w:w="2640" w:type="dxa"/>
            <w:vAlign w:val="bottom"/>
            <w:tcBorders>
              <w:bottom w:val="single" w:sz="8" w:color="D8D8D8"/>
              <w:right w:val="single" w:sz="8" w:color="8C8C8C"/>
            </w:tcBorders>
            <w:shd w:val="clear" w:color="auto" w:fill="D8D8D8"/>
          </w:tcPr>
          <w:p>
            <w:pPr>
              <w:spacing w:after="0"/>
              <w:rPr>
                <w:sz w:val="23"/>
                <w:szCs w:val="23"/>
                <w:color w:val="auto"/>
              </w:rPr>
            </w:pPr>
          </w:p>
        </w:tc>
        <w:tc>
          <w:tcPr>
            <w:tcW w:w="240" w:type="dxa"/>
            <w:vAlign w:val="bottom"/>
            <w:tcBorders>
              <w:bottom w:val="single" w:sz="8" w:color="D8D8D8"/>
            </w:tcBorders>
            <w:shd w:val="clear" w:color="auto" w:fill="D8D8D8"/>
          </w:tcPr>
          <w:p>
            <w:pPr>
              <w:spacing w:after="0"/>
              <w:rPr>
                <w:sz w:val="23"/>
                <w:szCs w:val="23"/>
                <w:color w:val="auto"/>
              </w:rPr>
            </w:pPr>
          </w:p>
        </w:tc>
        <w:tc>
          <w:tcPr>
            <w:tcW w:w="4800" w:type="dxa"/>
            <w:vAlign w:val="bottom"/>
            <w:tcBorders>
              <w:bottom w:val="single" w:sz="8" w:color="D8D8D8"/>
              <w:right w:val="single" w:sz="8" w:color="8C8C8C"/>
            </w:tcBorders>
            <w:shd w:val="clear" w:color="auto" w:fill="D8D8D8"/>
          </w:tcPr>
          <w:p>
            <w:pPr>
              <w:ind w:left="160"/>
              <w:spacing w:after="0"/>
              <w:rPr>
                <w:sz w:val="20"/>
                <w:szCs w:val="20"/>
                <w:color w:val="auto"/>
              </w:rPr>
            </w:pPr>
            <w:r>
              <w:rPr>
                <w:rFonts w:ascii="Arial" w:cs="Arial" w:eastAsia="Arial" w:hAnsi="Arial"/>
                <w:sz w:val="14"/>
                <w:szCs w:val="14"/>
                <w:color w:val="auto"/>
              </w:rPr>
              <w:t>50% 3-Year average Tangible ROIC</w:t>
            </w:r>
          </w:p>
        </w:tc>
        <w:tc>
          <w:tcPr>
            <w:tcW w:w="324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640" w:type="dxa"/>
            <w:vAlign w:val="bottom"/>
            <w:tcBorders>
              <w:top w:val="single" w:sz="8" w:color="8C8C8C"/>
              <w:right w:val="single" w:sz="8" w:color="8C8C8C"/>
            </w:tcBorders>
          </w:tcPr>
          <w:p>
            <w:pPr>
              <w:ind w:left="180"/>
              <w:spacing w:after="0"/>
              <w:rPr>
                <w:sz w:val="20"/>
                <w:szCs w:val="20"/>
                <w:color w:val="auto"/>
              </w:rPr>
            </w:pPr>
            <w:r>
              <w:rPr>
                <w:rFonts w:ascii="Arial" w:cs="Arial" w:eastAsia="Arial" w:hAnsi="Arial"/>
                <w:sz w:val="14"/>
                <w:szCs w:val="14"/>
                <w:b w:val="1"/>
                <w:bCs w:val="1"/>
                <w:color w:val="auto"/>
              </w:rPr>
              <w:t>Stock Settled Stock</w:t>
            </w:r>
          </w:p>
        </w:tc>
        <w:tc>
          <w:tcPr>
            <w:tcW w:w="240" w:type="dxa"/>
            <w:vAlign w:val="bottom"/>
            <w:tcBorders>
              <w:top w:val="single" w:sz="8" w:color="8C8C8C"/>
            </w:tcBorders>
          </w:tcPr>
          <w:p>
            <w:pPr>
              <w:spacing w:after="0"/>
              <w:rPr>
                <w:sz w:val="20"/>
                <w:szCs w:val="20"/>
                <w:color w:val="auto"/>
              </w:rPr>
            </w:pPr>
          </w:p>
        </w:tc>
        <w:tc>
          <w:tcPr>
            <w:tcW w:w="4800" w:type="dxa"/>
            <w:vAlign w:val="bottom"/>
            <w:tcBorders>
              <w:top w:val="single" w:sz="8" w:color="8C8C8C"/>
              <w:right w:val="single" w:sz="8" w:color="8C8C8C"/>
            </w:tcBorders>
          </w:tcPr>
          <w:p>
            <w:pPr>
              <w:ind w:left="80"/>
              <w:spacing w:after="0"/>
              <w:rPr>
                <w:sz w:val="20"/>
                <w:szCs w:val="20"/>
                <w:color w:val="auto"/>
              </w:rPr>
            </w:pPr>
            <w:r>
              <w:rPr>
                <w:rFonts w:ascii="Arial" w:cs="Arial" w:eastAsia="Arial" w:hAnsi="Arial"/>
                <w:sz w:val="14"/>
                <w:szCs w:val="14"/>
                <w:color w:val="auto"/>
              </w:rPr>
              <w:t>Performance Criteria: Dover stock price, exercisable three years after</w:t>
            </w:r>
          </w:p>
        </w:tc>
        <w:tc>
          <w:tcPr>
            <w:tcW w:w="3240" w:type="dxa"/>
            <w:vAlign w:val="bottom"/>
            <w:tcBorders>
              <w:top w:val="single" w:sz="8" w:color="8C8C8C"/>
            </w:tcBorders>
            <w:vMerge w:val="restart"/>
          </w:tcPr>
          <w:p>
            <w:pPr>
              <w:ind w:left="80"/>
              <w:spacing w:after="0"/>
              <w:rPr>
                <w:sz w:val="20"/>
                <w:szCs w:val="20"/>
                <w:color w:val="auto"/>
              </w:rPr>
            </w:pPr>
            <w:r>
              <w:rPr>
                <w:rFonts w:ascii="Arial" w:cs="Arial" w:eastAsia="Arial" w:hAnsi="Arial"/>
                <w:sz w:val="14"/>
                <w:szCs w:val="14"/>
                <w:color w:val="auto"/>
              </w:rPr>
              <w:t>Focus executives on share price appreciation</w:t>
            </w:r>
          </w:p>
        </w:tc>
        <w:tc>
          <w:tcPr>
            <w:tcW w:w="0" w:type="dxa"/>
            <w:vAlign w:val="bottom"/>
          </w:tcPr>
          <w:p>
            <w:pPr>
              <w:spacing w:after="0"/>
              <w:rPr>
                <w:sz w:val="1"/>
                <w:szCs w:val="1"/>
                <w:color w:val="auto"/>
              </w:rPr>
            </w:pPr>
          </w:p>
        </w:tc>
      </w:tr>
      <w:tr>
        <w:trPr>
          <w:trHeight w:val="160"/>
        </w:trPr>
        <w:tc>
          <w:tcPr>
            <w:tcW w:w="2640" w:type="dxa"/>
            <w:vAlign w:val="bottom"/>
            <w:tcBorders>
              <w:right w:val="single" w:sz="8" w:color="8C8C8C"/>
            </w:tcBorders>
          </w:tcPr>
          <w:p>
            <w:pPr>
              <w:ind w:left="180"/>
              <w:spacing w:after="0"/>
              <w:rPr>
                <w:sz w:val="20"/>
                <w:szCs w:val="20"/>
                <w:color w:val="auto"/>
              </w:rPr>
            </w:pPr>
            <w:r>
              <w:rPr>
                <w:rFonts w:ascii="Arial" w:cs="Arial" w:eastAsia="Arial" w:hAnsi="Arial"/>
                <w:sz w:val="14"/>
                <w:szCs w:val="14"/>
                <w:b w:val="1"/>
                <w:bCs w:val="1"/>
                <w:color w:val="auto"/>
              </w:rPr>
              <w:t>Appreciation Rights</w:t>
            </w:r>
          </w:p>
        </w:tc>
        <w:tc>
          <w:tcPr>
            <w:tcW w:w="240" w:type="dxa"/>
            <w:vAlign w:val="bottom"/>
          </w:tcPr>
          <w:p>
            <w:pPr>
              <w:spacing w:after="0"/>
              <w:rPr>
                <w:sz w:val="13"/>
                <w:szCs w:val="13"/>
                <w:color w:val="auto"/>
              </w:rPr>
            </w:pPr>
          </w:p>
        </w:tc>
        <w:tc>
          <w:tcPr>
            <w:tcW w:w="4800" w:type="dxa"/>
            <w:vAlign w:val="bottom"/>
            <w:tcBorders>
              <w:right w:val="single" w:sz="8" w:color="8C8C8C"/>
            </w:tcBorders>
          </w:tcPr>
          <w:p>
            <w:pPr>
              <w:ind w:left="80"/>
              <w:spacing w:after="0"/>
              <w:rPr>
                <w:sz w:val="20"/>
                <w:szCs w:val="20"/>
                <w:color w:val="auto"/>
              </w:rPr>
            </w:pPr>
            <w:r>
              <w:rPr>
                <w:rFonts w:ascii="Arial" w:cs="Arial" w:eastAsia="Arial" w:hAnsi="Arial"/>
                <w:sz w:val="14"/>
                <w:szCs w:val="14"/>
                <w:color w:val="auto"/>
              </w:rPr>
              <w:t>grant date and remain exercisable for seven years (subject to 10-year</w:t>
            </w:r>
          </w:p>
        </w:tc>
        <w:tc>
          <w:tcPr>
            <w:tcW w:w="3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40" w:type="dxa"/>
            <w:vAlign w:val="bottom"/>
            <w:tcBorders>
              <w:bottom w:val="single" w:sz="8" w:color="8C8C8C"/>
              <w:right w:val="single" w:sz="8" w:color="8C8C8C"/>
            </w:tcBorders>
          </w:tcPr>
          <w:p>
            <w:pPr>
              <w:ind w:left="180"/>
              <w:spacing w:after="0"/>
              <w:rPr>
                <w:sz w:val="20"/>
                <w:szCs w:val="20"/>
                <w:color w:val="auto"/>
              </w:rPr>
            </w:pPr>
            <w:r>
              <w:rPr>
                <w:rFonts w:ascii="Arial" w:cs="Arial" w:eastAsia="Arial" w:hAnsi="Arial"/>
                <w:sz w:val="14"/>
                <w:szCs w:val="14"/>
                <w:b w:val="1"/>
                <w:bCs w:val="1"/>
                <w:color w:val="auto"/>
              </w:rPr>
              <w:t>(40% LTIP weighting)</w:t>
            </w:r>
          </w:p>
        </w:tc>
        <w:tc>
          <w:tcPr>
            <w:tcW w:w="240" w:type="dxa"/>
            <w:vAlign w:val="bottom"/>
            <w:tcBorders>
              <w:bottom w:val="single" w:sz="8" w:color="8C8C8C"/>
            </w:tcBorders>
          </w:tcPr>
          <w:p>
            <w:pPr>
              <w:spacing w:after="0"/>
              <w:rPr>
                <w:sz w:val="17"/>
                <w:szCs w:val="17"/>
                <w:color w:val="auto"/>
              </w:rPr>
            </w:pPr>
          </w:p>
        </w:tc>
        <w:tc>
          <w:tcPr>
            <w:tcW w:w="4800" w:type="dxa"/>
            <w:vAlign w:val="bottom"/>
            <w:tcBorders>
              <w:bottom w:val="single" w:sz="8" w:color="8C8C8C"/>
              <w:right w:val="single" w:sz="8" w:color="8C8C8C"/>
            </w:tcBorders>
          </w:tcPr>
          <w:p>
            <w:pPr>
              <w:ind w:left="80"/>
              <w:spacing w:after="0"/>
              <w:rPr>
                <w:sz w:val="20"/>
                <w:szCs w:val="20"/>
                <w:color w:val="auto"/>
              </w:rPr>
            </w:pPr>
            <w:r>
              <w:rPr>
                <w:rFonts w:ascii="Arial" w:cs="Arial" w:eastAsia="Arial" w:hAnsi="Arial"/>
                <w:sz w:val="14"/>
                <w:szCs w:val="14"/>
                <w:color w:val="auto"/>
              </w:rPr>
              <w:t>stock price movement)</w:t>
            </w:r>
          </w:p>
        </w:tc>
        <w:tc>
          <w:tcPr>
            <w:tcW w:w="3240" w:type="dxa"/>
            <w:vAlign w:val="bottom"/>
            <w:tcBorders>
              <w:bottom w:val="single" w:sz="8" w:color="8C8C8C"/>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40" w:type="dxa"/>
            <w:vAlign w:val="bottom"/>
            <w:tcBorders>
              <w:right w:val="single" w:sz="8" w:color="8C8C8C"/>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240" w:type="dxa"/>
            <w:vAlign w:val="bottom"/>
            <w:shd w:val="clear" w:color="auto" w:fill="D8D8D8"/>
          </w:tcPr>
          <w:p>
            <w:pPr>
              <w:spacing w:after="0"/>
              <w:rPr>
                <w:sz w:val="21"/>
                <w:szCs w:val="21"/>
                <w:color w:val="auto"/>
              </w:rPr>
            </w:pPr>
          </w:p>
        </w:tc>
        <w:tc>
          <w:tcPr>
            <w:tcW w:w="4800" w:type="dxa"/>
            <w:vAlign w:val="bottom"/>
            <w:tcBorders>
              <w:right w:val="single" w:sz="8" w:color="8C8C8C"/>
            </w:tcBorders>
            <w:shd w:val="clear" w:color="auto" w:fill="D8D8D8"/>
          </w:tcPr>
          <w:p>
            <w:pPr>
              <w:ind w:left="80"/>
              <w:spacing w:after="0"/>
              <w:rPr>
                <w:sz w:val="20"/>
                <w:szCs w:val="20"/>
                <w:color w:val="auto"/>
              </w:rPr>
            </w:pPr>
            <w:r>
              <w:rPr>
                <w:rFonts w:ascii="Arial" w:cs="Arial" w:eastAsia="Arial" w:hAnsi="Arial"/>
                <w:sz w:val="14"/>
                <w:szCs w:val="14"/>
                <w:color w:val="auto"/>
              </w:rPr>
              <w:t>Performance Criteria: Dover stock price; awards vest ratably over three</w:t>
            </w:r>
          </w:p>
        </w:tc>
        <w:tc>
          <w:tcPr>
            <w:tcW w:w="3240" w:type="dxa"/>
            <w:vAlign w:val="bottom"/>
            <w:shd w:val="clear" w:color="auto" w:fill="D8D8D8"/>
          </w:tcPr>
          <w:p>
            <w:pPr>
              <w:ind w:left="80"/>
              <w:spacing w:after="0"/>
              <w:rPr>
                <w:sz w:val="20"/>
                <w:szCs w:val="20"/>
                <w:color w:val="auto"/>
              </w:rPr>
            </w:pPr>
            <w:r>
              <w:rPr>
                <w:rFonts w:ascii="Arial" w:cs="Arial" w:eastAsia="Arial" w:hAnsi="Arial"/>
                <w:sz w:val="14"/>
                <w:szCs w:val="14"/>
                <w:color w:val="auto"/>
              </w:rPr>
              <w:t>Retention and full alignment with the</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021496"/>
              <w:right w:val="single" w:sz="8" w:color="8C8C8C"/>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(20% LTIP weighting)</w:t>
            </w:r>
          </w:p>
        </w:tc>
        <w:tc>
          <w:tcPr>
            <w:tcW w:w="240" w:type="dxa"/>
            <w:vAlign w:val="bottom"/>
            <w:tcBorders>
              <w:bottom w:val="single" w:sz="8" w:color="021496"/>
            </w:tcBorders>
            <w:shd w:val="clear" w:color="auto" w:fill="D8D8D8"/>
          </w:tcPr>
          <w:p>
            <w:pPr>
              <w:spacing w:after="0"/>
              <w:rPr>
                <w:sz w:val="17"/>
                <w:szCs w:val="17"/>
                <w:color w:val="auto"/>
              </w:rPr>
            </w:pPr>
          </w:p>
        </w:tc>
        <w:tc>
          <w:tcPr>
            <w:tcW w:w="4800" w:type="dxa"/>
            <w:vAlign w:val="bottom"/>
            <w:tcBorders>
              <w:bottom w:val="single" w:sz="8" w:color="021496"/>
              <w:right w:val="single" w:sz="8" w:color="8C8C8C"/>
            </w:tcBorders>
            <w:shd w:val="clear" w:color="auto" w:fill="D8D8D8"/>
          </w:tcPr>
          <w:p>
            <w:pPr>
              <w:ind w:left="80"/>
              <w:spacing w:after="0"/>
              <w:rPr>
                <w:sz w:val="20"/>
                <w:szCs w:val="20"/>
                <w:color w:val="auto"/>
              </w:rPr>
            </w:pPr>
            <w:r>
              <w:rPr>
                <w:rFonts w:ascii="Arial" w:cs="Arial" w:eastAsia="Arial" w:hAnsi="Arial"/>
                <w:sz w:val="14"/>
                <w:szCs w:val="14"/>
                <w:color w:val="auto"/>
              </w:rPr>
              <w:t>years</w:t>
            </w:r>
          </w:p>
        </w:tc>
        <w:tc>
          <w:tcPr>
            <w:tcW w:w="3240" w:type="dxa"/>
            <w:vAlign w:val="bottom"/>
            <w:tcBorders>
              <w:bottom w:val="single" w:sz="8" w:color="021496"/>
            </w:tcBorders>
            <w:shd w:val="clear" w:color="auto" w:fill="D8D8D8"/>
          </w:tcPr>
          <w:p>
            <w:pPr>
              <w:ind w:left="28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53</w:t>
      </w:r>
    </w:p>
    <w:p>
      <w:pPr>
        <w:sectPr>
          <w:pgSz w:w="11900" w:h="16838" w:orient="portrait"/>
          <w:cols w:equalWidth="0" w:num="1">
            <w:col w:w="10920"/>
          </w:cols>
          <w:pgMar w:left="480" w:top="299" w:right="49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Performance Shares – Overview</w:t>
      </w:r>
    </w:p>
    <w:p>
      <w:pPr>
        <w:spacing w:after="0" w:line="175"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Beginning with grants made in 2024, performance shares will be earned based 50% on our TSR performance relative to the TSR of S&amp;P 500 Industrials index companies and 50% on the average Tangible Return on Invested Capital (“Tangible ROIC”). Both performance metrics are measured over a three-year performance period. The relative TSR metric provides shareholders with a transparent and straightforward measure to gauge our performance against our industry peers, aligning the interests of our executives with those of our shareholders. Tangible ROIC is a measure for evaluating investment returns on capital and operational performance and aligns our performance shares with portfolio actions and long-term business strategy.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Performance Shares Subject to Relative TSR Metric – 50% Weighting</w:t>
      </w:r>
    </w:p>
    <w:p>
      <w:pPr>
        <w:spacing w:after="0" w:line="175"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Our NEOs may earn between 0% and 300% of their target performance shares based on our relative TSR performance, subject to a cap of 100% of target if our TSR is negative over the performance period, as illustrated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128270</wp:posOffset>
            </wp:positionV>
            <wp:extent cx="3244215" cy="2174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44215"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Performance Shares Subject to Tangible ROIC – 50% Weighting</w:t>
      </w:r>
    </w:p>
    <w:p>
      <w:pPr>
        <w:spacing w:after="0" w:line="188"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Our NEOs may earn between 0% and 300% of their target performance shares, based in part on Tangible ROIC performance. Tangible ROIC is the quotient of (i) Adjusted Net Earnings and (ii) Total Tangibles. Adjusted Net Earnings refers to the Adjusted Net Earnings for each year ended December 31 during the performance period, excluding the adjusted net earnings related to any business acquisitions or dispositions in the year each such transaction is completed. Total Tangibles refers to the total tangible assets of Dover for each year ended December 31 during the performance period, excluding the total tangible assets related to any business acquisitions or dispositions in the year each such transaction is completed. This is equal to the sum of (i) property, plant and equipment (gross), (ii) accounts receivable, (iii) total inventory (net) and (iv) accounts payable (stated as a negative number).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ectPr>
          <w:pgSz w:w="11900" w:h="16838" w:orient="portrait"/>
          <w:cols w:equalWidth="0" w:num="1">
            <w:col w:w="10920"/>
          </w:cols>
          <w:pgMar w:left="480" w:top="299" w:right="49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shows the percentage of target performance shares earned based on the level of achieved Tangible ROIC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163830</wp:posOffset>
            </wp:positionV>
            <wp:extent cx="3277870" cy="1936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7787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Performance Shares Vested in 2025</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Prior to 2024, performance shares were earned solely based on the relative TSR metric. Accordingly, the payout of performance shares granted in 2023 for the three year performance period ended December 31, 2025 were based solely on Dover’s relative TSR over that period against the S&amp;P 500 Industrials index companies. Consistent with our value creation over the three-year performance period, the performance shares vested in 2025 had a payout percentage of 104.0% of target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Borders>
              <w:bottom w:val="single" w:sz="8" w:color="021496"/>
            </w:tcBorders>
          </w:tcPr>
          <w:p>
            <w:pPr>
              <w:spacing w:after="0"/>
              <w:rPr>
                <w:sz w:val="19"/>
                <w:szCs w:val="19"/>
                <w:color w:val="auto"/>
              </w:rPr>
            </w:pPr>
          </w:p>
        </w:tc>
        <w:tc>
          <w:tcPr>
            <w:tcW w:w="2420" w:type="dxa"/>
            <w:vAlign w:val="bottom"/>
            <w:tcBorders>
              <w:bottom w:val="single" w:sz="8" w:color="021496"/>
            </w:tcBorders>
          </w:tcPr>
          <w:p>
            <w:pPr>
              <w:jc w:val="right"/>
              <w:ind w:right="360"/>
              <w:spacing w:after="0"/>
              <w:rPr>
                <w:sz w:val="20"/>
                <w:szCs w:val="20"/>
                <w:color w:val="auto"/>
              </w:rPr>
            </w:pPr>
            <w:r>
              <w:rPr>
                <w:rFonts w:ascii="Arial" w:cs="Arial" w:eastAsia="Arial" w:hAnsi="Arial"/>
                <w:sz w:val="16"/>
                <w:szCs w:val="16"/>
                <w:b w:val="1"/>
                <w:bCs w:val="1"/>
                <w:color w:val="auto"/>
              </w:rPr>
              <w:t>Target # of Shares(1)</w:t>
            </w:r>
          </w:p>
        </w:tc>
        <w:tc>
          <w:tcPr>
            <w:tcW w:w="2660" w:type="dxa"/>
            <w:vAlign w:val="bottom"/>
            <w:tcBorders>
              <w:bottom w:val="single" w:sz="8" w:color="021496"/>
            </w:tcBorders>
          </w:tcPr>
          <w:p>
            <w:pPr>
              <w:jc w:val="right"/>
              <w:ind w:right="380"/>
              <w:spacing w:after="0"/>
              <w:rPr>
                <w:sz w:val="20"/>
                <w:szCs w:val="20"/>
                <w:color w:val="auto"/>
              </w:rPr>
            </w:pPr>
            <w:r>
              <w:rPr>
                <w:rFonts w:ascii="Arial" w:cs="Arial" w:eastAsia="Arial" w:hAnsi="Arial"/>
                <w:sz w:val="16"/>
                <w:szCs w:val="16"/>
                <w:b w:val="1"/>
                <w:bCs w:val="1"/>
                <w:color w:val="auto"/>
              </w:rPr>
              <w:t>Actual Shares Awarded</w:t>
            </w:r>
          </w:p>
        </w:tc>
      </w:tr>
      <w:tr>
        <w:trPr>
          <w:trHeight w:val="258"/>
        </w:trPr>
        <w:tc>
          <w:tcPr>
            <w:tcW w:w="58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J. Tobin</w:t>
            </w:r>
          </w:p>
        </w:tc>
        <w:tc>
          <w:tcPr>
            <w:tcW w:w="2420" w:type="dxa"/>
            <w:vAlign w:val="bottom"/>
            <w:tcBorders>
              <w:bottom w:val="single" w:sz="8" w:color="D8D8D8"/>
            </w:tcBorders>
            <w:shd w:val="clear" w:color="auto" w:fill="D8D8D8"/>
          </w:tcPr>
          <w:p>
            <w:pPr>
              <w:jc w:val="right"/>
              <w:ind w:right="880"/>
              <w:spacing w:after="0"/>
              <w:rPr>
                <w:sz w:val="20"/>
                <w:szCs w:val="20"/>
                <w:color w:val="auto"/>
              </w:rPr>
            </w:pPr>
            <w:r>
              <w:rPr>
                <w:rFonts w:ascii="Arial" w:cs="Arial" w:eastAsia="Arial" w:hAnsi="Arial"/>
                <w:sz w:val="16"/>
                <w:szCs w:val="16"/>
                <w:color w:val="auto"/>
              </w:rPr>
              <w:t>24,796</w:t>
            </w:r>
          </w:p>
        </w:tc>
        <w:tc>
          <w:tcPr>
            <w:tcW w:w="2660" w:type="dxa"/>
            <w:vAlign w:val="bottom"/>
            <w:tcBorders>
              <w:bottom w:val="single" w:sz="8" w:color="D8D8D8"/>
            </w:tcBorders>
            <w:shd w:val="clear" w:color="auto" w:fill="D8D8D8"/>
          </w:tcPr>
          <w:p>
            <w:pPr>
              <w:jc w:val="right"/>
              <w:ind w:right="980"/>
              <w:spacing w:after="0"/>
              <w:rPr>
                <w:sz w:val="20"/>
                <w:szCs w:val="20"/>
                <w:color w:val="auto"/>
              </w:rPr>
            </w:pPr>
            <w:r>
              <w:rPr>
                <w:rFonts w:ascii="Arial" w:cs="Arial" w:eastAsia="Arial" w:hAnsi="Arial"/>
                <w:sz w:val="16"/>
                <w:szCs w:val="16"/>
                <w:color w:val="auto"/>
              </w:rPr>
              <w:t>25,788</w:t>
            </w:r>
          </w:p>
        </w:tc>
      </w:tr>
      <w:tr>
        <w:trPr>
          <w:trHeight w:val="261"/>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Chris Woenker</w:t>
            </w:r>
          </w:p>
        </w:tc>
        <w:tc>
          <w:tcPr>
            <w:tcW w:w="2420" w:type="dxa"/>
            <w:vAlign w:val="bottom"/>
          </w:tcPr>
          <w:p>
            <w:pPr>
              <w:jc w:val="right"/>
              <w:ind w:right="880"/>
              <w:spacing w:after="0"/>
              <w:rPr>
                <w:sz w:val="20"/>
                <w:szCs w:val="20"/>
                <w:color w:val="auto"/>
              </w:rPr>
            </w:pPr>
            <w:r>
              <w:rPr>
                <w:rFonts w:ascii="Arial" w:cs="Arial" w:eastAsia="Arial" w:hAnsi="Arial"/>
                <w:sz w:val="16"/>
                <w:szCs w:val="16"/>
                <w:color w:val="auto"/>
              </w:rPr>
              <w:t>783</w:t>
            </w:r>
          </w:p>
        </w:tc>
        <w:tc>
          <w:tcPr>
            <w:tcW w:w="2660" w:type="dxa"/>
            <w:vAlign w:val="bottom"/>
          </w:tcPr>
          <w:p>
            <w:pPr>
              <w:jc w:val="right"/>
              <w:ind w:right="980"/>
              <w:spacing w:after="0"/>
              <w:rPr>
                <w:sz w:val="20"/>
                <w:szCs w:val="20"/>
                <w:color w:val="auto"/>
              </w:rPr>
            </w:pPr>
            <w:r>
              <w:rPr>
                <w:rFonts w:ascii="Arial" w:cs="Arial" w:eastAsia="Arial" w:hAnsi="Arial"/>
                <w:sz w:val="16"/>
                <w:szCs w:val="16"/>
                <w:color w:val="auto"/>
              </w:rPr>
              <w:t>814</w:t>
            </w:r>
          </w:p>
        </w:tc>
      </w:tr>
      <w:tr>
        <w:trPr>
          <w:trHeight w:val="34"/>
        </w:trPr>
        <w:tc>
          <w:tcPr>
            <w:tcW w:w="5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4"/>
        </w:trPr>
        <w:tc>
          <w:tcPr>
            <w:tcW w:w="58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Brad Cerepak</w:t>
            </w:r>
          </w:p>
        </w:tc>
        <w:tc>
          <w:tcPr>
            <w:tcW w:w="2420" w:type="dxa"/>
            <w:vAlign w:val="bottom"/>
            <w:tcBorders>
              <w:bottom w:val="single" w:sz="8" w:color="D8D8D8"/>
            </w:tcBorders>
            <w:shd w:val="clear" w:color="auto" w:fill="D8D8D8"/>
          </w:tcPr>
          <w:p>
            <w:pPr>
              <w:jc w:val="right"/>
              <w:ind w:right="880"/>
              <w:spacing w:after="0"/>
              <w:rPr>
                <w:sz w:val="20"/>
                <w:szCs w:val="20"/>
                <w:color w:val="auto"/>
              </w:rPr>
            </w:pPr>
            <w:r>
              <w:rPr>
                <w:rFonts w:ascii="Arial" w:cs="Arial" w:eastAsia="Arial" w:hAnsi="Arial"/>
                <w:sz w:val="16"/>
                <w:szCs w:val="16"/>
                <w:color w:val="auto"/>
              </w:rPr>
              <w:t>5,546</w:t>
            </w:r>
          </w:p>
        </w:tc>
        <w:tc>
          <w:tcPr>
            <w:tcW w:w="2660" w:type="dxa"/>
            <w:vAlign w:val="bottom"/>
            <w:tcBorders>
              <w:bottom w:val="single" w:sz="8" w:color="D8D8D8"/>
            </w:tcBorders>
            <w:shd w:val="clear" w:color="auto" w:fill="D8D8D8"/>
          </w:tcPr>
          <w:p>
            <w:pPr>
              <w:jc w:val="right"/>
              <w:ind w:right="980"/>
              <w:spacing w:after="0"/>
              <w:rPr>
                <w:sz w:val="20"/>
                <w:szCs w:val="20"/>
                <w:color w:val="auto"/>
              </w:rPr>
            </w:pPr>
            <w:r>
              <w:rPr>
                <w:rFonts w:ascii="Arial" w:cs="Arial" w:eastAsia="Arial" w:hAnsi="Arial"/>
                <w:sz w:val="16"/>
                <w:szCs w:val="16"/>
                <w:color w:val="auto"/>
              </w:rPr>
              <w:t>5,768</w:t>
            </w:r>
          </w:p>
        </w:tc>
      </w:tr>
      <w:tr>
        <w:trPr>
          <w:trHeight w:val="261"/>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Ivonne M. Cabrera</w:t>
            </w:r>
          </w:p>
        </w:tc>
        <w:tc>
          <w:tcPr>
            <w:tcW w:w="2420" w:type="dxa"/>
            <w:vAlign w:val="bottom"/>
          </w:tcPr>
          <w:p>
            <w:pPr>
              <w:jc w:val="right"/>
              <w:ind w:right="880"/>
              <w:spacing w:after="0"/>
              <w:rPr>
                <w:sz w:val="20"/>
                <w:szCs w:val="20"/>
                <w:color w:val="auto"/>
              </w:rPr>
            </w:pPr>
            <w:r>
              <w:rPr>
                <w:rFonts w:ascii="Arial" w:cs="Arial" w:eastAsia="Arial" w:hAnsi="Arial"/>
                <w:sz w:val="16"/>
                <w:szCs w:val="16"/>
                <w:color w:val="auto"/>
              </w:rPr>
              <w:t>2,610</w:t>
            </w:r>
          </w:p>
        </w:tc>
        <w:tc>
          <w:tcPr>
            <w:tcW w:w="2660" w:type="dxa"/>
            <w:vAlign w:val="bottom"/>
          </w:tcPr>
          <w:p>
            <w:pPr>
              <w:jc w:val="right"/>
              <w:ind w:right="980"/>
              <w:spacing w:after="0"/>
              <w:rPr>
                <w:sz w:val="20"/>
                <w:szCs w:val="20"/>
                <w:color w:val="auto"/>
              </w:rPr>
            </w:pPr>
            <w:r>
              <w:rPr>
                <w:rFonts w:ascii="Arial" w:cs="Arial" w:eastAsia="Arial" w:hAnsi="Arial"/>
                <w:sz w:val="16"/>
                <w:szCs w:val="16"/>
                <w:color w:val="auto"/>
              </w:rPr>
              <w:t>2,714</w:t>
            </w:r>
          </w:p>
        </w:tc>
      </w:tr>
      <w:tr>
        <w:trPr>
          <w:trHeight w:val="34"/>
        </w:trPr>
        <w:tc>
          <w:tcPr>
            <w:tcW w:w="5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4"/>
        </w:trPr>
        <w:tc>
          <w:tcPr>
            <w:tcW w:w="58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Girish Juneja</w:t>
            </w:r>
          </w:p>
        </w:tc>
        <w:tc>
          <w:tcPr>
            <w:tcW w:w="2420" w:type="dxa"/>
            <w:vAlign w:val="bottom"/>
            <w:tcBorders>
              <w:bottom w:val="single" w:sz="8" w:color="D8D8D8"/>
            </w:tcBorders>
            <w:shd w:val="clear" w:color="auto" w:fill="D8D8D8"/>
          </w:tcPr>
          <w:p>
            <w:pPr>
              <w:jc w:val="right"/>
              <w:ind w:right="880"/>
              <w:spacing w:after="0"/>
              <w:rPr>
                <w:sz w:val="20"/>
                <w:szCs w:val="20"/>
                <w:color w:val="auto"/>
              </w:rPr>
            </w:pPr>
            <w:r>
              <w:rPr>
                <w:rFonts w:ascii="Arial" w:cs="Arial" w:eastAsia="Arial" w:hAnsi="Arial"/>
                <w:sz w:val="16"/>
                <w:szCs w:val="16"/>
                <w:color w:val="auto"/>
              </w:rPr>
              <w:t>1,958</w:t>
            </w:r>
          </w:p>
        </w:tc>
        <w:tc>
          <w:tcPr>
            <w:tcW w:w="2660" w:type="dxa"/>
            <w:vAlign w:val="bottom"/>
            <w:tcBorders>
              <w:bottom w:val="single" w:sz="8" w:color="D8D8D8"/>
            </w:tcBorders>
            <w:shd w:val="clear" w:color="auto" w:fill="D8D8D8"/>
          </w:tcPr>
          <w:p>
            <w:pPr>
              <w:jc w:val="right"/>
              <w:ind w:right="980"/>
              <w:spacing w:after="0"/>
              <w:rPr>
                <w:sz w:val="20"/>
                <w:szCs w:val="20"/>
                <w:color w:val="auto"/>
              </w:rPr>
            </w:pPr>
            <w:r>
              <w:rPr>
                <w:rFonts w:ascii="Arial" w:cs="Arial" w:eastAsia="Arial" w:hAnsi="Arial"/>
                <w:sz w:val="16"/>
                <w:szCs w:val="16"/>
                <w:color w:val="auto"/>
              </w:rPr>
              <w:t>2,036</w:t>
            </w:r>
          </w:p>
        </w:tc>
      </w:tr>
      <w:tr>
        <w:trPr>
          <w:trHeight w:val="20"/>
        </w:trPr>
        <w:tc>
          <w:tcPr>
            <w:tcW w:w="5840" w:type="dxa"/>
            <w:vAlign w:val="bottom"/>
            <w:shd w:val="clear" w:color="auto" w:fill="021496"/>
          </w:tcPr>
          <w:p>
            <w:pPr>
              <w:spacing w:after="0" w:line="20" w:lineRule="exact"/>
              <w:rPr>
                <w:sz w:val="1"/>
                <w:szCs w:val="1"/>
                <w:color w:val="auto"/>
              </w:rPr>
            </w:pPr>
          </w:p>
        </w:tc>
        <w:tc>
          <w:tcPr>
            <w:tcW w:w="2420" w:type="dxa"/>
            <w:vAlign w:val="bottom"/>
            <w:shd w:val="clear" w:color="auto" w:fill="021496"/>
          </w:tcPr>
          <w:p>
            <w:pPr>
              <w:spacing w:after="0" w:line="20" w:lineRule="exact"/>
              <w:rPr>
                <w:sz w:val="1"/>
                <w:szCs w:val="1"/>
                <w:color w:val="auto"/>
              </w:rPr>
            </w:pPr>
          </w:p>
        </w:tc>
        <w:tc>
          <w:tcPr>
            <w:tcW w:w="2660" w:type="dxa"/>
            <w:vAlign w:val="bottom"/>
            <w:shd w:val="clear" w:color="auto" w:fill="021496"/>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(1) Mr. Yehle joined Dover in 2024 and accordingly did not have a performance share award for the period 2023-2025.</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Stock Settled Stock Appreciation Rights</w:t>
      </w:r>
    </w:p>
    <w:p>
      <w:pPr>
        <w:spacing w:after="0" w:line="18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Stock Settled Stock Appreciation Rights (SSARs) give our NEOs the ability to participate in the price appreciation of a set number of shares of Company stock. Once SSARs vest, NEO may exercise them any time prior to the expiration date and the proceeds from the exercise are paid to the NEO in the form of shares of Dover common stock to encourage continued share ownership and shareholder alignment. SSARs vest and become exercisable three years after the grant date and remain exercisable for seven years, which means the awards are subject to ten-year stock price movement thus aligning executive interests with those of our shareholders over the long term. Importantly, in light of our active acquisition program, SSARs’ forward-looking orientation is effective for incentivizing our newly-acquired companies and employees, who must create new value in order to realize gains. Furthermore, SSARs’ ten-year life cycle is essential to managing value creation with a business that has a portfolio of industrial companies whose economic cycles vary.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Restricted Stock Units</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RSU grants attract and retain NEOs by providing them with some of the benefits associated with stock ownership during the vesting period. Executives do not actually own the shares underlying the units, nor do they enjoy the benefits of ownership such as dividends and voting, until the vesting conditions are satisfied. Once an NEO’s RSUs vest, the NEO receives a number of shares of Dover common stock equivalent in number to the vested units and receives a cash amount equal to any dividend equivalents that were accrued during the vesting period, net of withholding taxes.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ectPr>
          <w:pgSz w:w="11900" w:h="16838" w:orient="portrait"/>
          <w:cols w:equalWidth="0" w:num="1">
            <w:col w:w="10920"/>
          </w:cols>
          <w:pgMar w:left="480" w:top="299" w:right="49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Other Benefits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401(k), Pension Plan and Health &amp; Wellness Plans</w:t>
      </w:r>
    </w:p>
    <w:p>
      <w:pPr>
        <w:spacing w:after="0" w:line="6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NEOs are able to participate in retirement and benefit plans generally available to our employees on the same terms as other employees. Dover and most of our businesses offer a 401(k) plan to substantially all U.S.-based employees and provide a Company matching contribution denominated as a percentage of the amount of salary deferred into the plan by a participant during the course of the year. Effective December 31, 2013, we closed both our qualified and non-qualified defined benefit retirement plans to new employees. As of December 31, 2023, all benefit accruals in both plans were frozen. All of our U.S.-based employees are offered a health and wellness plan (including health, term life and disability insurance). NEOs do not receive enhanced health and wellness benefits.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Non-Qualified Retirement Plans</w:t>
      </w:r>
    </w:p>
    <w:p>
      <w:pPr>
        <w:spacing w:after="0" w:line="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offer a non-qualified deferred compensation plan with participation generally limited to individuals whose annual salary and bonus earnings exceed the Internal Revenue Service (“IRS”) limits applicable to our qualified plans and whose annual salary is equal to or greater than $250,000. The plan allows participants to elect to defer their receipt of some or all of their salary, bonuses and any payout of a cash performance award. The plan permits executive officers to defer receipt of part of their compensation to later periods and facilitates tax planning for the participants. Effective January 1, 2022, the deferred compensation plan was amended to also provide for automatic Company contributions for participants who do not also participate in the Pension Replacement Plan (“PRP”) or have a present value benefit under the PRP of less than $100,000.</w:t>
      </w:r>
    </w:p>
    <w:p>
      <w:pPr>
        <w:spacing w:after="0" w:line="183"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Effective December 31, 2013, our PRP was closed to new employees. All eligible employees as of December 31, 2013, continued to earn PRP benefits through December 31, 2023 as long as they remain employed by Dover and its affiliates. Effective December 31, 2023, Dover eliminated any benefit accruals consistent with the freezing of benefit accruals under the pension plan.</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Prior to our PRP being closed to new employees, the participants in the PRP accrued benefits greater than those offered in the pension plan prior to December 31, 2009. After December 31, 2009, benefits under the PRP before offsets are determined using the benefit calculation and eligibility criteria as under the pension plan, except that IRS limits on compensation and benefits do not apply. Effective January 1, 2010, we modified this plan so that executives subject to IRS compensation limits will accrue future benefits that are substantially the same as benefits under the pension plan. Individuals who participated in the PRP prior to January 1, 2010 will receive benefits calculated under the prior benefit formula through December 31, 2009 and benefits calculated under the lower PRP benefit formula on and after January 1, 2010. Amounts receivable by the executives under the PRP are reduced by any amounts receivable by them under the pension plan, any qualifying profit sharing plan, Company-paid portion of social security benefits, and the amounts of the Company match in the 401(k)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Executive Non-Change-in Control Severance Plan</w:t>
      </w:r>
    </w:p>
    <w:p>
      <w:pPr>
        <w:spacing w:after="0" w:line="6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All of our current NEOs are eligible to participate in our severance plan. Under the plan, if we terminate an NEO’s employment without cause (as defined in the severance plan), the NEO will generally be entitled to receive twelve months of salary plus target annual cash bonus, outplacement services, and healthcare benefits continuation, and a prorated annual cash bonus and a prorated performance share award for time worked during the year. Pursuant to a policy adopted by the Compensation Committee effective February 9, 2023, cash severance benefits will be limited to no more than 2.99 times the sum of the executive officer’s base salary plus target annual bonus, unless approved by shareholders. In addition, Mr. Tobin is entitled to receive certain severance payments and benefits under his employment agreement in the event his employment is terminated by Dover without cause or by him for good reason. See “Potential Payments Upon Termination or Change in Control.”</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56</w:t>
      </w:r>
    </w:p>
    <w:p>
      <w:pPr>
        <w:sectPr>
          <w:pgSz w:w="11900" w:h="16838" w:orient="portrait"/>
          <w:cols w:equalWidth="0" w:num="1">
            <w:col w:w="10920"/>
          </w:cols>
          <w:pgMar w:left="480" w:top="299" w:right="49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Senior Executive Change in Control Severance Plan</w:t>
      </w:r>
    </w:p>
    <w:p>
      <w:pPr>
        <w:spacing w:after="0" w:line="6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Senior Executive Change in Control Severance Plan (the “CIC Severance Plan”) establishes the severance benefits payable to eligible executives if they are involuntarily terminated following a change in control. All of our current NEOs are eligible to participate in the CIC Severance Plan. An executive eligible to participate in the CIC Severance Plan as of the date of a change in control will be entitled to receive severance payments under the plan if, within 24 months after the change in control, either the executive’s employment is terminated by the Company without “cause” or he or she terminates employment</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for “good reason” (as such terms are defined in the plan). The severance payments and benefits will consist of: a lump sum payment equal to 2.0 times their annual salary and target bonus, a prorated annual cash bonus at target, full acceleration of all unvested SSARs and RSUs, performance share payout at target for all in-cycle awards, outplacement services, and a lump sum payment equal to the cost of Consolidated Omnibus Budget Reconciliation Act (COBRA) health care benefit continuation of the executive and covered family members for 24 months. See “Potential Payments Upon Termination or Change in Control.” Pursuant to a policy adopted by the Compensation Committee effective February 9, 2023, cash severance benefits will be limited to no more than 2.99 times the sum of the executive officer’s base salary plus target annual bonus, unless approved by shareholder. No executive may receive severance benefits under more than one plan or arrangement. Dover does not provide tax gross-ups in the CIC Severance Plan.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Other Elements of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Clawback Policy</w:t>
      </w:r>
    </w:p>
    <w:p>
      <w:pPr>
        <w:spacing w:after="0" w:line="7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May 2023, in light of new rules promulgated by NYSE and SEC requirements, the Compensation Committee adopted a new clawback and recoupment policy applicable to our executive officers, effective as of October 2, 2023 (the “Clawback Policy”) that complies with applicable standards. The Clawback Policy provides for the prompt repayment or forfeiture by current or former executive officers of certain erroneously awarded compensation (“Erroneously Awarded Compensation”) received during an applicable three-year lookback period in the event we are required to prepare an accounting restatement of all or a portion of our consolidated financial statements due to material noncompliance with any financial reporting requirement under the securities laws. Erroneously Awarded Compensation for the purposes of the Clawback Policy generally means the amount of incentive-based compensation received during the fiscal period affected by the restatement by such executive officer that exceeds the amount of incentive-based compensation that would have been received by such executive officer had it been determined based on the restated amounts, without regard to any taxes paid. Incentive-based compensation covered under the Clawback Policy generally includes any incentive-based compensation granted, vested or paid to our executive officers at any time during the performance period for the incentive-based compensation and that was received (i) on or after the effective date of the NYSE listing standard, (ii) after the person became an executive officer, and (iii) at a time that we have a class of securities listed on a national securities exchange, and such incentive-based compensation is in general limited to any compensation granted, earned, or vested based wholly or in part on the attainment of one or more financial reporting measures.</w:t>
      </w:r>
    </w:p>
    <w:p>
      <w:pPr>
        <w:spacing w:after="0" w:line="18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Clawback Policy does not condition clawback on the fault of the executive officer, but we are not required to pursue forfeiture or recovery of amounts in limited circumstances where the Compensation Committee has made a determination that recovery would be impracticable and (i) we have already attempted to recover such amounts but the direct expenses paid to a third party in an effort to enforce the Clawback Policy would exceed the amount to be recovered, (ii) the recovery of amounts would violate applicable home country law, or (iii) the recovery would cause the non-compliance of a tax-qualified retirement plan under the Internal Revenue Code and applicable regulations. We may effect any such recoupment by requiring the executive officer to pay Dover the relevant amount, by set-off, by reducing future compensation or by such other means or combination of means as the Board determines to be appropriate. We may not indemnify any such executive officer against the loss of such recovered compensation.</w:t>
      </w:r>
    </w:p>
    <w:p>
      <w:pPr>
        <w:spacing w:after="0" w:line="183"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Apart from the Clawback Policy described above, our PRP includes clawback provisions for termination for cause and the severance plan and CIC Severance Plan provide for clawback of benefits for breaches of the plan.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Insider Trading Policy</w:t>
      </w:r>
    </w:p>
    <w:p>
      <w:pPr>
        <w:spacing w:after="0" w:line="6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Dover has an insider trading policy governing the purchase, sale, and other dispositions of Dover securities that applies to all Dover employees and directors. Dover believes these policies and procedures are reasonably designed to promote compliance with insider trading laws, rules and regulations and applicable NYSE listing standards. A copy of the Company’s insider trading policy was filed as Exhibit 19 to its Annual Report on Form 10-K for the year ended December 31, 2024 (and incorporated by reference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57</w:t>
      </w:r>
    </w:p>
    <w:p>
      <w:pPr>
        <w:sectPr>
          <w:pgSz w:w="11900" w:h="16838" w:orient="portrait"/>
          <w:cols w:equalWidth="0" w:num="1">
            <w:col w:w="10920"/>
          </w:cols>
          <w:pgMar w:left="480" w:top="299"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auto"/>
        </w:rPr>
        <w:t>into the Annual Report on Form 10-K for the year ended December 31, 2025). From time to time, Dover may engage in transactions in its own securities. It is Dover’s policy to comply with all applicable securities and state laws (including appropriate approvals by the Board of Directors or appropriate committee, if required) when engaging in transactions of its securities.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Anti-hedging and Anti-pledging Policy</w:t>
      </w:r>
    </w:p>
    <w:p>
      <w:pPr>
        <w:spacing w:after="0" w:line="60"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Our Securities Trading and Confidentiality Policy prohibits directors, executive officers and any employee who has previously received or receives any type of long-term incentive plan award, and certain persons and entities related to any such persons, from engaging in short-sales, transactions in derivative securities or any other form of hedging transaction designed to hedge or offset any decrease in the market value of Dover securities granted to or held by such persons. In addition, such persons may not hold Dover securities in a margin account or pledge securities as collateral for a loan or any other obligation.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Perquisites</w:t>
      </w:r>
    </w:p>
    <w:p>
      <w:pPr>
        <w:spacing w:after="0" w:line="6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We provide no substantial executive perquisites, other than the payment for executive physicals, nor does the Company own or operate any corporate aircraft. Management and our Compensation Committee believe that providing significant perquisites to executive officers would not be consistent with our overall compensation philosophy. As a result, we do not provide executive officers with perquisites such as social club memberships, company cars or car allowances, or financial counseling.</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Shareholding Guidelines</w:t>
      </w:r>
    </w:p>
    <w:p>
      <w:pPr>
        <w:spacing w:after="0" w:line="74"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We believe that our executives will most effectively pursue the long-term interests of our shareholders if they are shareholders themselves. As a result, share ownership guidelines are in place for all NEOs (subject to exceptions that may be granted by our Compensation Committee for significant personal events or retirement planning). Our CEO is required to hold shares equal in value to five-times salary and our other NEOs are required to hold shares equal in value to three-times salary. Our policy requires that NEOs hold/retain all equity grants until the share ownership guidelines are met. Based on current share ownership, all executives serving as NEOs are currently in compliance with the guidelines. Our Compensation Committee reserves the right to provide a portion of annual bonus in stock for any officer who fails to meet or make satisfactory progress toward satisfying the guidelines.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Risk Assessment</w:t>
      </w:r>
    </w:p>
    <w:p>
      <w:pPr>
        <w:spacing w:after="0" w:line="6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In 2025, Dover, with the assistance of Willis Towers Watson, conducted a formal risk assessment for all our incentive compensation programs that have a material impact on our financial statements. Willis Towers Watson inventoried incentive compensation programs at the corporate and operating company levels globally and conducted in-depth reviews of financially material plans, identified based on expected spend and income statement accounts tied to the program. The reviews focused on both the plan design features as well as internal risk mitigation controls in place. Based on this assessment, we have concluded that Dover’s compensation practices and policies do not create risks that are reasonably likely to have a material adverse effect on the Company.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58</w:t>
      </w:r>
    </w:p>
    <w:p>
      <w:pPr>
        <w:sectPr>
          <w:pgSz w:w="11900" w:h="16838" w:orient="portrait"/>
          <w:cols w:equalWidth="0" w:num="1">
            <w:col w:w="11080"/>
          </w:cols>
          <w:pgMar w:left="320" w:top="478"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253365</wp:posOffset>
            </wp:positionV>
            <wp:extent cx="5545455" cy="1986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45455" cy="19869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540" w:right="1760"/>
        <w:spacing w:after="0" w:line="279" w:lineRule="auto"/>
        <w:rPr>
          <w:sz w:val="20"/>
          <w:szCs w:val="20"/>
          <w:color w:val="auto"/>
        </w:rPr>
      </w:pPr>
      <w:r>
        <w:rPr>
          <w:rFonts w:ascii="Arial" w:cs="Arial" w:eastAsia="Arial" w:hAnsi="Arial"/>
          <w:sz w:val="16"/>
          <w:szCs w:val="16"/>
          <w:color w:val="auto"/>
        </w:rPr>
        <w:t>We reviewed and discussed with management the Compensation Discussion and Analysis for the year ended December 31, 2025.</w:t>
      </w:r>
    </w:p>
    <w:p>
      <w:pPr>
        <w:spacing w:after="0" w:line="147" w:lineRule="exact"/>
        <w:rPr>
          <w:sz w:val="20"/>
          <w:szCs w:val="20"/>
          <w:color w:val="auto"/>
        </w:rPr>
      </w:pPr>
    </w:p>
    <w:p>
      <w:pPr>
        <w:ind w:left="1540" w:right="1820"/>
        <w:spacing w:after="0" w:line="262" w:lineRule="auto"/>
        <w:rPr>
          <w:sz w:val="20"/>
          <w:szCs w:val="20"/>
          <w:color w:val="auto"/>
        </w:rPr>
      </w:pPr>
      <w:r>
        <w:rPr>
          <w:rFonts w:ascii="Arial" w:cs="Arial" w:eastAsia="Arial" w:hAnsi="Arial"/>
          <w:sz w:val="16"/>
          <w:szCs w:val="16"/>
          <w:color w:val="auto"/>
        </w:rPr>
        <w:t>Based on the review and discussions referred to above, we recommended to the Board of Directors that the Compensation Discussion and Analysis be included in this Proxy Statement and incorporated by reference in Dover’s Annual Report on Form 10-K for the year ended December 31, 2025.</w:t>
      </w:r>
    </w:p>
    <w:p>
      <w:pPr>
        <w:sectPr>
          <w:pgSz w:w="11900" w:h="16838" w:orient="portrait"/>
          <w:cols w:equalWidth="0" w:num="1">
            <w:col w:w="11080"/>
          </w:cols>
          <w:pgMar w:left="320" w:top="478" w:right="499" w:bottom="1440" w:gutter="0" w:footer="0" w:header="0"/>
        </w:sectPr>
      </w:pPr>
    </w:p>
    <w:p>
      <w:pPr>
        <w:spacing w:after="0" w:line="17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Keith E. Wandell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Kristiane C. Graham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 A. Howze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Manley</w:t>
      </w:r>
    </w:p>
    <w:p>
      <w:pPr>
        <w:spacing w:after="0" w:line="200" w:lineRule="exact"/>
        <w:rPr>
          <w:sz w:val="20"/>
          <w:szCs w:val="20"/>
          <w:color w:val="auto"/>
        </w:rPr>
      </w:pPr>
    </w:p>
    <w:p>
      <w:pPr>
        <w:sectPr>
          <w:pgSz w:w="11900" w:h="16838" w:orient="portrait"/>
          <w:cols w:equalWidth="0" w:num="2">
            <w:col w:w="3440" w:space="720"/>
            <w:col w:w="6920"/>
          </w:cols>
          <w:pgMar w:left="320" w:top="478" w:right="499" w:bottom="1440" w:gutter="0" w:footer="0" w:header="0"/>
          <w:type w:val="continuous"/>
        </w:sectPr>
      </w:pPr>
    </w:p>
    <w:p>
      <w:pPr>
        <w:spacing w:after="0" w:line="1" w:lineRule="exact"/>
        <w:rPr>
          <w:sz w:val="20"/>
          <w:szCs w:val="20"/>
          <w:color w:val="auto"/>
        </w:rPr>
      </w:pPr>
    </w:p>
    <w:p>
      <w:pPr>
        <w:ind w:left="1540" w:right="1300"/>
        <w:spacing w:after="0" w:line="262"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the Company specifically incorporates this report by reference and shall not otherwise be deemed filed under such Acts.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59</w:t>
      </w:r>
    </w:p>
    <w:p>
      <w:pPr>
        <w:sectPr>
          <w:pgSz w:w="11900" w:h="16838" w:orient="portrait"/>
          <w:cols w:equalWidth="0" w:num="1">
            <w:col w:w="11080"/>
          </w:cols>
          <w:pgMar w:left="320" w:top="478" w:right="4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Summary Compensation Table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Summary Compensation Table and notes show all remuneration for 2025 provided to our NEOs, consisting of the following officers:</w:t>
      </w:r>
    </w:p>
    <w:p>
      <w:pPr>
        <w:spacing w:after="0" w:line="124" w:lineRule="exact"/>
        <w:rPr>
          <w:sz w:val="20"/>
          <w:szCs w:val="20"/>
          <w:color w:val="auto"/>
        </w:rPr>
      </w:pPr>
    </w:p>
    <w:p>
      <w:pPr>
        <w:ind w:left="980" w:hanging="438"/>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President &amp; CEO;</w:t>
      </w:r>
    </w:p>
    <w:p>
      <w:pPr>
        <w:spacing w:after="0" w:line="123" w:lineRule="exact"/>
        <w:rPr>
          <w:rFonts w:ascii="Arial" w:cs="Arial" w:eastAsia="Arial" w:hAnsi="Arial"/>
          <w:sz w:val="16"/>
          <w:szCs w:val="16"/>
          <w:color w:val="auto"/>
        </w:rPr>
      </w:pPr>
    </w:p>
    <w:p>
      <w:pPr>
        <w:ind w:left="980" w:hanging="438"/>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Senior Vice President &amp; CFO;</w:t>
      </w:r>
    </w:p>
    <w:p>
      <w:pPr>
        <w:spacing w:after="0" w:line="123" w:lineRule="exact"/>
        <w:rPr>
          <w:rFonts w:ascii="Arial" w:cs="Arial" w:eastAsia="Arial" w:hAnsi="Arial"/>
          <w:sz w:val="16"/>
          <w:szCs w:val="16"/>
          <w:color w:val="auto"/>
        </w:rPr>
      </w:pPr>
    </w:p>
    <w:p>
      <w:pPr>
        <w:ind w:left="980" w:hanging="438"/>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former Senior Vice President &amp; CFO who served for a portion of the year 2025; and</w:t>
      </w:r>
    </w:p>
    <w:p>
      <w:pPr>
        <w:spacing w:after="0" w:line="123" w:lineRule="exact"/>
        <w:rPr>
          <w:rFonts w:ascii="Arial" w:cs="Arial" w:eastAsia="Arial" w:hAnsi="Arial"/>
          <w:sz w:val="16"/>
          <w:szCs w:val="16"/>
          <w:color w:val="auto"/>
        </w:rPr>
      </w:pPr>
    </w:p>
    <w:p>
      <w:pPr>
        <w:ind w:left="980" w:hanging="438"/>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three other most highly compensated executive officers as of the end of 2025</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determination of the most highly compensated executive officers is based on total compensation paid or accrued for 2025, excluding changes in the actuarial value of defined benefit plans and earnings on nonqualified deferred compensation balances.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80" w:type="dxa"/>
            <w:vAlign w:val="bottom"/>
            <w:tcBorders>
              <w:top w:val="single" w:sz="8" w:color="021496"/>
            </w:tcBorders>
          </w:tcPr>
          <w:p>
            <w:pPr>
              <w:spacing w:after="0"/>
              <w:rPr>
                <w:sz w:val="14"/>
                <w:szCs w:val="14"/>
                <w:color w:val="auto"/>
              </w:rPr>
            </w:pPr>
          </w:p>
        </w:tc>
        <w:tc>
          <w:tcPr>
            <w:tcW w:w="120" w:type="dxa"/>
            <w:vAlign w:val="bottom"/>
            <w:tcBorders>
              <w:top w:val="single" w:sz="8" w:color="021496"/>
            </w:tcBorders>
          </w:tcPr>
          <w:p>
            <w:pPr>
              <w:spacing w:after="0"/>
              <w:rPr>
                <w:sz w:val="14"/>
                <w:szCs w:val="14"/>
                <w:color w:val="auto"/>
              </w:rPr>
            </w:pPr>
          </w:p>
        </w:tc>
        <w:tc>
          <w:tcPr>
            <w:tcW w:w="38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1140" w:type="dxa"/>
            <w:vAlign w:val="bottom"/>
            <w:tcBorders>
              <w:top w:val="single" w:sz="8" w:color="021496"/>
            </w:tcBorders>
          </w:tcPr>
          <w:p>
            <w:pPr>
              <w:spacing w:after="0"/>
              <w:rPr>
                <w:sz w:val="14"/>
                <w:szCs w:val="14"/>
                <w:color w:val="auto"/>
              </w:rPr>
            </w:pPr>
          </w:p>
        </w:tc>
        <w:tc>
          <w:tcPr>
            <w:tcW w:w="11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Change in</w:t>
            </w:r>
          </w:p>
        </w:tc>
        <w:tc>
          <w:tcPr>
            <w:tcW w:w="1100" w:type="dxa"/>
            <w:vAlign w:val="bottom"/>
            <w:tcBorders>
              <w:top w:val="single" w:sz="8" w:color="021496"/>
            </w:tcBorders>
          </w:tcPr>
          <w:p>
            <w:pPr>
              <w:spacing w:after="0"/>
              <w:rPr>
                <w:sz w:val="14"/>
                <w:szCs w:val="14"/>
                <w:color w:val="auto"/>
              </w:rPr>
            </w:pPr>
          </w:p>
        </w:tc>
        <w:tc>
          <w:tcPr>
            <w:tcW w:w="880" w:type="dxa"/>
            <w:vAlign w:val="bottom"/>
            <w:tcBorders>
              <w:top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Pension Value</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and</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Nonqualified</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Non-Equity</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Deferred</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Bonus</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20"/>
                <w:szCs w:val="20"/>
                <w:color w:val="auto"/>
              </w:rPr>
            </w:pPr>
            <w:r>
              <w:rPr>
                <w:rFonts w:ascii="Arial" w:cs="Arial" w:eastAsia="Arial" w:hAnsi="Arial"/>
                <w:sz w:val="14"/>
                <w:szCs w:val="14"/>
                <w:b w:val="1"/>
                <w:bCs w:val="1"/>
                <w:color w:val="auto"/>
              </w:rPr>
              <w:t>  Name and Principal Position</w:t>
            </w:r>
          </w:p>
        </w:tc>
        <w:tc>
          <w:tcPr>
            <w:tcW w:w="50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 (1)</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 (2)</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 (3)</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 (4)</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 (5)</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 (6)</w:t>
            </w:r>
          </w:p>
        </w:tc>
        <w:tc>
          <w:tcPr>
            <w:tcW w:w="88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8"/>
        </w:trPr>
        <w:tc>
          <w:tcPr>
            <w:tcW w:w="2980" w:type="dxa"/>
            <w:vAlign w:val="bottom"/>
            <w:tcBorders>
              <w:bottom w:val="single" w:sz="8" w:color="021496"/>
            </w:tcBorders>
          </w:tcPr>
          <w:p>
            <w:pPr>
              <w:spacing w:after="0"/>
              <w:rPr>
                <w:sz w:val="2"/>
                <w:szCs w:val="2"/>
                <w:color w:val="auto"/>
              </w:rPr>
            </w:pPr>
          </w:p>
        </w:tc>
        <w:tc>
          <w:tcPr>
            <w:tcW w:w="120" w:type="dxa"/>
            <w:vAlign w:val="bottom"/>
            <w:tcBorders>
              <w:bottom w:val="single" w:sz="8" w:color="021496"/>
            </w:tcBorders>
          </w:tcPr>
          <w:p>
            <w:pPr>
              <w:spacing w:after="0"/>
              <w:rPr>
                <w:sz w:val="2"/>
                <w:szCs w:val="2"/>
                <w:color w:val="auto"/>
              </w:rPr>
            </w:pPr>
          </w:p>
        </w:tc>
        <w:tc>
          <w:tcPr>
            <w:tcW w:w="380" w:type="dxa"/>
            <w:vAlign w:val="bottom"/>
            <w:tcBorders>
              <w:bottom w:val="single" w:sz="8" w:color="021496"/>
            </w:tcBorders>
          </w:tcPr>
          <w:p>
            <w:pPr>
              <w:spacing w:after="0"/>
              <w:rPr>
                <w:sz w:val="2"/>
                <w:szCs w:val="2"/>
                <w:color w:val="auto"/>
              </w:rPr>
            </w:pPr>
          </w:p>
        </w:tc>
        <w:tc>
          <w:tcPr>
            <w:tcW w:w="800" w:type="dxa"/>
            <w:vAlign w:val="bottom"/>
            <w:tcBorders>
              <w:bottom w:val="single" w:sz="8" w:color="021496"/>
            </w:tcBorders>
          </w:tcPr>
          <w:p>
            <w:pPr>
              <w:spacing w:after="0"/>
              <w:rPr>
                <w:sz w:val="2"/>
                <w:szCs w:val="2"/>
                <w:color w:val="auto"/>
              </w:rPr>
            </w:pPr>
          </w:p>
        </w:tc>
        <w:tc>
          <w:tcPr>
            <w:tcW w:w="800" w:type="dxa"/>
            <w:vAlign w:val="bottom"/>
            <w:tcBorders>
              <w:bottom w:val="single" w:sz="8" w:color="021496"/>
            </w:tcBorders>
          </w:tcPr>
          <w:p>
            <w:pPr>
              <w:spacing w:after="0"/>
              <w:rPr>
                <w:sz w:val="2"/>
                <w:szCs w:val="2"/>
                <w:color w:val="auto"/>
              </w:rPr>
            </w:pPr>
          </w:p>
        </w:tc>
        <w:tc>
          <w:tcPr>
            <w:tcW w:w="800" w:type="dxa"/>
            <w:vAlign w:val="bottom"/>
            <w:tcBorders>
              <w:bottom w:val="single" w:sz="8" w:color="021496"/>
            </w:tcBorders>
          </w:tcPr>
          <w:p>
            <w:pPr>
              <w:spacing w:after="0"/>
              <w:rPr>
                <w:sz w:val="2"/>
                <w:szCs w:val="2"/>
                <w:color w:val="auto"/>
              </w:rPr>
            </w:pPr>
          </w:p>
        </w:tc>
        <w:tc>
          <w:tcPr>
            <w:tcW w:w="800" w:type="dxa"/>
            <w:vAlign w:val="bottom"/>
            <w:tcBorders>
              <w:bottom w:val="single" w:sz="8" w:color="021496"/>
            </w:tcBorders>
          </w:tcPr>
          <w:p>
            <w:pPr>
              <w:spacing w:after="0"/>
              <w:rPr>
                <w:sz w:val="2"/>
                <w:szCs w:val="2"/>
                <w:color w:val="auto"/>
              </w:rPr>
            </w:pPr>
          </w:p>
        </w:tc>
        <w:tc>
          <w:tcPr>
            <w:tcW w:w="1140" w:type="dxa"/>
            <w:vAlign w:val="bottom"/>
            <w:tcBorders>
              <w:bottom w:val="single" w:sz="8" w:color="021496"/>
            </w:tcBorders>
          </w:tcPr>
          <w:p>
            <w:pPr>
              <w:spacing w:after="0"/>
              <w:rPr>
                <w:sz w:val="2"/>
                <w:szCs w:val="2"/>
                <w:color w:val="auto"/>
              </w:rPr>
            </w:pPr>
          </w:p>
        </w:tc>
        <w:tc>
          <w:tcPr>
            <w:tcW w:w="1120" w:type="dxa"/>
            <w:vAlign w:val="bottom"/>
            <w:tcBorders>
              <w:bottom w:val="single" w:sz="8" w:color="021496"/>
            </w:tcBorders>
          </w:tcPr>
          <w:p>
            <w:pPr>
              <w:spacing w:after="0"/>
              <w:rPr>
                <w:sz w:val="2"/>
                <w:szCs w:val="2"/>
                <w:color w:val="auto"/>
              </w:rPr>
            </w:pPr>
          </w:p>
        </w:tc>
        <w:tc>
          <w:tcPr>
            <w:tcW w:w="1100" w:type="dxa"/>
            <w:vAlign w:val="bottom"/>
            <w:tcBorders>
              <w:bottom w:val="single" w:sz="8" w:color="021496"/>
            </w:tcBorders>
          </w:tcPr>
          <w:p>
            <w:pPr>
              <w:spacing w:after="0"/>
              <w:rPr>
                <w:sz w:val="2"/>
                <w:szCs w:val="2"/>
                <w:color w:val="auto"/>
              </w:rPr>
            </w:pPr>
          </w:p>
        </w:tc>
        <w:tc>
          <w:tcPr>
            <w:tcW w:w="880" w:type="dxa"/>
            <w:vAlign w:val="bottom"/>
            <w:tcBorders>
              <w:bottom w:val="single" w:sz="8" w:color="021496"/>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  Richard J. Tobin</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1,387,385</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2,535,601</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8,040,726</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6,562,519</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231,475</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18,757,706</w:t>
            </w:r>
          </w:p>
        </w:tc>
        <w:tc>
          <w:tcPr>
            <w:tcW w:w="0" w:type="dxa"/>
            <w:vAlign w:val="bottom"/>
          </w:tcPr>
          <w:p>
            <w:pPr>
              <w:spacing w:after="0"/>
              <w:rPr>
                <w:sz w:val="1"/>
                <w:szCs w:val="1"/>
                <w:color w:val="auto"/>
              </w:rPr>
            </w:pPr>
          </w:p>
        </w:tc>
      </w:tr>
      <w:tr>
        <w:trPr>
          <w:trHeight w:val="191"/>
        </w:trPr>
        <w:tc>
          <w:tcPr>
            <w:tcW w:w="2980" w:type="dxa"/>
            <w:vAlign w:val="bottom"/>
            <w:shd w:val="clear" w:color="auto" w:fill="D8D8D8"/>
          </w:tcPr>
          <w:p>
            <w:pPr>
              <w:spacing w:after="0"/>
              <w:rPr>
                <w:sz w:val="20"/>
                <w:szCs w:val="20"/>
                <w:color w:val="auto"/>
              </w:rPr>
            </w:pPr>
            <w:r>
              <w:rPr>
                <w:rFonts w:ascii="Arial" w:cs="Arial" w:eastAsia="Arial" w:hAnsi="Arial"/>
                <w:sz w:val="14"/>
                <w:szCs w:val="14"/>
                <w:color w:val="auto"/>
              </w:rPr>
              <w:t>  President &amp;</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1,337,000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3,461,120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8,196,451</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5,965,757</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270,202</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19,230,530</w:t>
            </w:r>
          </w:p>
        </w:tc>
        <w:tc>
          <w:tcPr>
            <w:tcW w:w="0" w:type="dxa"/>
            <w:vAlign w:val="bottom"/>
          </w:tcPr>
          <w:p>
            <w:pPr>
              <w:spacing w:after="0"/>
              <w:rPr>
                <w:sz w:val="1"/>
                <w:szCs w:val="1"/>
                <w:color w:val="auto"/>
              </w:rPr>
            </w:pPr>
          </w:p>
        </w:tc>
      </w:tr>
      <w:tr>
        <w:trPr>
          <w:trHeight w:val="229"/>
        </w:trPr>
        <w:tc>
          <w:tcPr>
            <w:tcW w:w="2980" w:type="dxa"/>
            <w:vAlign w:val="bottom"/>
            <w:shd w:val="clear" w:color="auto" w:fill="D8D8D8"/>
          </w:tcPr>
          <w:p>
            <w:pPr>
              <w:spacing w:after="0"/>
              <w:rPr>
                <w:sz w:val="20"/>
                <w:szCs w:val="20"/>
                <w:color w:val="auto"/>
              </w:rPr>
            </w:pPr>
            <w:r>
              <w:rPr>
                <w:rFonts w:ascii="Arial" w:cs="Arial" w:eastAsia="Arial" w:hAnsi="Arial"/>
                <w:sz w:val="14"/>
                <w:szCs w:val="14"/>
                <w:color w:val="auto"/>
              </w:rPr>
              <w:t>  Chief Executive Officer</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1,292,500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1,999,920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8,086,100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5,209,390</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207,191</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16,795,101</w:t>
            </w:r>
          </w:p>
        </w:tc>
        <w:tc>
          <w:tcPr>
            <w:tcW w:w="0" w:type="dxa"/>
            <w:vAlign w:val="bottom"/>
          </w:tcPr>
          <w:p>
            <w:pPr>
              <w:spacing w:after="0"/>
              <w:rPr>
                <w:sz w:val="1"/>
                <w:szCs w:val="1"/>
                <w:color w:val="auto"/>
              </w:rPr>
            </w:pPr>
          </w:p>
        </w:tc>
      </w:tr>
      <w:tr>
        <w:trPr>
          <w:trHeight w:val="61"/>
        </w:trPr>
        <w:tc>
          <w:tcPr>
            <w:tcW w:w="29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8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2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980" w:type="dxa"/>
            <w:vAlign w:val="bottom"/>
          </w:tcPr>
          <w:p>
            <w:pPr>
              <w:spacing w:after="0"/>
              <w:rPr>
                <w:sz w:val="20"/>
                <w:szCs w:val="20"/>
                <w:color w:val="auto"/>
              </w:rPr>
            </w:pPr>
            <w:r>
              <w:rPr>
                <w:rFonts w:ascii="Arial" w:cs="Arial" w:eastAsia="Arial" w:hAnsi="Arial"/>
                <w:sz w:val="14"/>
                <w:szCs w:val="14"/>
                <w:b w:val="1"/>
                <w:bCs w:val="1"/>
                <w:color w:val="auto"/>
              </w:rPr>
              <w:t>  Chris B. Woenker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516,852</w:t>
            </w:r>
          </w:p>
        </w:tc>
        <w:tc>
          <w:tcPr>
            <w:tcW w:w="800" w:type="dxa"/>
            <w:vAlign w:val="bottom"/>
          </w:tcPr>
          <w:p>
            <w:pPr>
              <w:jc w:val="right"/>
              <w:spacing w:after="0"/>
              <w:rPr>
                <w:sz w:val="20"/>
                <w:szCs w:val="20"/>
                <w:color w:val="auto"/>
              </w:rPr>
            </w:pPr>
            <w:r>
              <w:rPr>
                <w:rFonts w:ascii="Arial" w:cs="Arial" w:eastAsia="Arial" w:hAnsi="Arial"/>
                <w:sz w:val="14"/>
                <w:szCs w:val="14"/>
                <w:color w:val="auto"/>
              </w:rPr>
              <w:t>421,734</w:t>
            </w:r>
          </w:p>
        </w:tc>
        <w:tc>
          <w:tcPr>
            <w:tcW w:w="800" w:type="dxa"/>
            <w:vAlign w:val="bottom"/>
          </w:tcPr>
          <w:p>
            <w:pPr>
              <w:jc w:val="right"/>
              <w:spacing w:after="0"/>
              <w:rPr>
                <w:sz w:val="20"/>
                <w:szCs w:val="20"/>
                <w:color w:val="auto"/>
              </w:rPr>
            </w:pPr>
            <w:r>
              <w:rPr>
                <w:rFonts w:ascii="Arial" w:cs="Arial" w:eastAsia="Arial" w:hAnsi="Arial"/>
                <w:sz w:val="14"/>
                <w:szCs w:val="14"/>
                <w:color w:val="auto"/>
              </w:rPr>
              <w:t>714,884</w:t>
            </w:r>
          </w:p>
        </w:tc>
        <w:tc>
          <w:tcPr>
            <w:tcW w:w="800" w:type="dxa"/>
            <w:vAlign w:val="bottom"/>
          </w:tcPr>
          <w:p>
            <w:pPr>
              <w:jc w:val="right"/>
              <w:spacing w:after="0"/>
              <w:rPr>
                <w:sz w:val="20"/>
                <w:szCs w:val="20"/>
                <w:color w:val="auto"/>
              </w:rPr>
            </w:pPr>
            <w:r>
              <w:rPr>
                <w:rFonts w:ascii="Arial" w:cs="Arial" w:eastAsia="Arial" w:hAnsi="Arial"/>
                <w:sz w:val="14"/>
                <w:szCs w:val="14"/>
                <w:color w:val="auto"/>
              </w:rPr>
              <w:t>583,369</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27,651</w:t>
            </w:r>
          </w:p>
        </w:tc>
        <w:tc>
          <w:tcPr>
            <w:tcW w:w="1100" w:type="dxa"/>
            <w:vAlign w:val="bottom"/>
          </w:tcPr>
          <w:p>
            <w:pPr>
              <w:jc w:val="right"/>
              <w:spacing w:after="0"/>
              <w:rPr>
                <w:sz w:val="20"/>
                <w:szCs w:val="20"/>
                <w:color w:val="auto"/>
              </w:rPr>
            </w:pPr>
            <w:r>
              <w:rPr>
                <w:rFonts w:ascii="Arial" w:cs="Arial" w:eastAsia="Arial" w:hAnsi="Arial"/>
                <w:sz w:val="14"/>
                <w:szCs w:val="14"/>
                <w:color w:val="auto"/>
              </w:rPr>
              <w:t>43,969</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2,308,459</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20"/>
                <w:szCs w:val="20"/>
                <w:color w:val="auto"/>
              </w:rPr>
            </w:pPr>
            <w:r>
              <w:rPr>
                <w:rFonts w:ascii="Arial" w:cs="Arial" w:eastAsia="Arial" w:hAnsi="Arial"/>
                <w:sz w:val="14"/>
                <w:szCs w:val="14"/>
                <w:color w:val="auto"/>
              </w:rPr>
              <w:t>  Senior Vice President &amp;</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4"/>
                <w:szCs w:val="14"/>
                <w:color w:val="auto"/>
              </w:rPr>
              <w:t>  Chief Financial Officer (7)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98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  Brad M. Cerepak</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109,604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262,382</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16,195</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388,181</w:t>
            </w:r>
          </w:p>
        </w:tc>
        <w:tc>
          <w:tcPr>
            <w:tcW w:w="0" w:type="dxa"/>
            <w:vAlign w:val="bottom"/>
          </w:tcPr>
          <w:p>
            <w:pPr>
              <w:spacing w:after="0"/>
              <w:rPr>
                <w:sz w:val="1"/>
                <w:szCs w:val="1"/>
                <w:color w:val="auto"/>
              </w:rPr>
            </w:pPr>
          </w:p>
        </w:tc>
      </w:tr>
      <w:tr>
        <w:trPr>
          <w:trHeight w:val="191"/>
        </w:trPr>
        <w:tc>
          <w:tcPr>
            <w:tcW w:w="2980" w:type="dxa"/>
            <w:vAlign w:val="bottom"/>
            <w:shd w:val="clear" w:color="auto" w:fill="D8D8D8"/>
          </w:tcPr>
          <w:p>
            <w:pPr>
              <w:spacing w:after="0"/>
              <w:rPr>
                <w:sz w:val="20"/>
                <w:szCs w:val="20"/>
                <w:color w:val="auto"/>
              </w:rPr>
            </w:pPr>
            <w:r>
              <w:rPr>
                <w:rFonts w:ascii="Arial" w:cs="Arial" w:eastAsia="Arial" w:hAnsi="Arial"/>
                <w:sz w:val="14"/>
                <w:szCs w:val="14"/>
                <w:color w:val="auto"/>
              </w:rPr>
              <w:t>  Former Senior Vice President &amp;</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807,364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1,302,720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1,659,002</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1,207,356</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105,427</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5,081,869</w:t>
            </w:r>
          </w:p>
        </w:tc>
        <w:tc>
          <w:tcPr>
            <w:tcW w:w="0" w:type="dxa"/>
            <w:vAlign w:val="bottom"/>
          </w:tcPr>
          <w:p>
            <w:pPr>
              <w:spacing w:after="0"/>
              <w:rPr>
                <w:sz w:val="1"/>
                <w:szCs w:val="1"/>
                <w:color w:val="auto"/>
              </w:rPr>
            </w:pPr>
          </w:p>
        </w:tc>
      </w:tr>
      <w:tr>
        <w:trPr>
          <w:trHeight w:val="229"/>
        </w:trPr>
        <w:tc>
          <w:tcPr>
            <w:tcW w:w="2980" w:type="dxa"/>
            <w:vAlign w:val="bottom"/>
            <w:shd w:val="clear" w:color="auto" w:fill="D8D8D8"/>
          </w:tcPr>
          <w:p>
            <w:pPr>
              <w:spacing w:after="0"/>
              <w:rPr>
                <w:sz w:val="20"/>
                <w:szCs w:val="20"/>
                <w:color w:val="auto"/>
              </w:rPr>
            </w:pPr>
            <w:r>
              <w:rPr>
                <w:rFonts w:ascii="Arial" w:cs="Arial" w:eastAsia="Arial" w:hAnsi="Arial"/>
                <w:sz w:val="14"/>
                <w:szCs w:val="14"/>
                <w:color w:val="auto"/>
              </w:rPr>
              <w:t>  Chief Financial Officer (8)</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781,108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842,357</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1,808,578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1,165,253</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471,561</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27,179</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5,096,036</w:t>
            </w:r>
          </w:p>
        </w:tc>
        <w:tc>
          <w:tcPr>
            <w:tcW w:w="0" w:type="dxa"/>
            <w:vAlign w:val="bottom"/>
          </w:tcPr>
          <w:p>
            <w:pPr>
              <w:spacing w:after="0"/>
              <w:rPr>
                <w:sz w:val="1"/>
                <w:szCs w:val="1"/>
                <w:color w:val="auto"/>
              </w:rPr>
            </w:pPr>
          </w:p>
        </w:tc>
      </w:tr>
      <w:tr>
        <w:trPr>
          <w:trHeight w:val="61"/>
        </w:trPr>
        <w:tc>
          <w:tcPr>
            <w:tcW w:w="29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8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2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r>
              <w:rPr>
                <w:rFonts w:ascii="Arial" w:cs="Arial" w:eastAsia="Arial" w:hAnsi="Arial"/>
                <w:sz w:val="14"/>
                <w:szCs w:val="14"/>
                <w:b w:val="1"/>
                <w:bCs w:val="1"/>
                <w:color w:val="auto"/>
              </w:rPr>
              <w:t>  Ivonne M. Cabrera</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661,860</w:t>
            </w:r>
          </w:p>
        </w:tc>
        <w:tc>
          <w:tcPr>
            <w:tcW w:w="800" w:type="dxa"/>
            <w:vAlign w:val="bottom"/>
          </w:tcPr>
          <w:p>
            <w:pPr>
              <w:jc w:val="right"/>
              <w:spacing w:after="0"/>
              <w:rPr>
                <w:sz w:val="20"/>
                <w:szCs w:val="20"/>
                <w:color w:val="auto"/>
              </w:rPr>
            </w:pPr>
            <w:r>
              <w:rPr>
                <w:rFonts w:ascii="Arial" w:cs="Arial" w:eastAsia="Arial" w:hAnsi="Arial"/>
                <w:sz w:val="14"/>
                <w:szCs w:val="14"/>
                <w:color w:val="auto"/>
              </w:rPr>
              <w:t>565,881</w:t>
            </w:r>
          </w:p>
        </w:tc>
        <w:tc>
          <w:tcPr>
            <w:tcW w:w="800" w:type="dxa"/>
            <w:vAlign w:val="bottom"/>
          </w:tcPr>
          <w:p>
            <w:pPr>
              <w:jc w:val="right"/>
              <w:spacing w:after="0"/>
              <w:rPr>
                <w:sz w:val="20"/>
                <w:szCs w:val="20"/>
                <w:color w:val="auto"/>
              </w:rPr>
            </w:pPr>
            <w:r>
              <w:rPr>
                <w:rFonts w:ascii="Arial" w:cs="Arial" w:eastAsia="Arial" w:hAnsi="Arial"/>
                <w:sz w:val="14"/>
                <w:szCs w:val="14"/>
                <w:color w:val="auto"/>
              </w:rPr>
              <w:t>1,429,450</w:t>
            </w:r>
          </w:p>
        </w:tc>
        <w:tc>
          <w:tcPr>
            <w:tcW w:w="800" w:type="dxa"/>
            <w:vAlign w:val="bottom"/>
          </w:tcPr>
          <w:p>
            <w:pPr>
              <w:jc w:val="right"/>
              <w:spacing w:after="0"/>
              <w:rPr>
                <w:sz w:val="20"/>
                <w:szCs w:val="20"/>
                <w:color w:val="auto"/>
              </w:rPr>
            </w:pPr>
            <w:r>
              <w:rPr>
                <w:rFonts w:ascii="Arial" w:cs="Arial" w:eastAsia="Arial" w:hAnsi="Arial"/>
                <w:sz w:val="14"/>
                <w:szCs w:val="14"/>
                <w:color w:val="auto"/>
              </w:rPr>
              <w:t>1,166,671</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284,382</w:t>
            </w:r>
          </w:p>
        </w:tc>
        <w:tc>
          <w:tcPr>
            <w:tcW w:w="1100" w:type="dxa"/>
            <w:vAlign w:val="bottom"/>
          </w:tcPr>
          <w:p>
            <w:pPr>
              <w:jc w:val="right"/>
              <w:spacing w:after="0"/>
              <w:rPr>
                <w:sz w:val="20"/>
                <w:szCs w:val="20"/>
                <w:color w:val="auto"/>
              </w:rPr>
            </w:pPr>
            <w:r>
              <w:rPr>
                <w:rFonts w:ascii="Arial" w:cs="Arial" w:eastAsia="Arial" w:hAnsi="Arial"/>
                <w:sz w:val="14"/>
                <w:szCs w:val="14"/>
                <w:color w:val="auto"/>
              </w:rPr>
              <w:t>61,062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4,169,306</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20"/>
                <w:szCs w:val="20"/>
                <w:color w:val="auto"/>
              </w:rPr>
            </w:pPr>
            <w:r>
              <w:rPr>
                <w:rFonts w:ascii="Arial" w:cs="Arial" w:eastAsia="Arial" w:hAnsi="Arial"/>
                <w:sz w:val="14"/>
                <w:szCs w:val="14"/>
                <w:color w:val="auto"/>
              </w:rPr>
              <w:t>  Senior Vice President &amp;</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2024</w:t>
            </w:r>
          </w:p>
        </w:tc>
        <w:tc>
          <w:tcPr>
            <w:tcW w:w="800" w:type="dxa"/>
            <w:vAlign w:val="bottom"/>
          </w:tcPr>
          <w:p>
            <w:pPr>
              <w:jc w:val="right"/>
              <w:spacing w:after="0"/>
              <w:rPr>
                <w:sz w:val="20"/>
                <w:szCs w:val="20"/>
                <w:color w:val="auto"/>
              </w:rPr>
            </w:pPr>
            <w:r>
              <w:rPr>
                <w:rFonts w:ascii="Arial" w:cs="Arial" w:eastAsia="Arial" w:hAnsi="Arial"/>
                <w:sz w:val="14"/>
                <w:szCs w:val="14"/>
                <w:color w:val="auto"/>
              </w:rPr>
              <w:t>642,648</w:t>
            </w:r>
          </w:p>
        </w:tc>
        <w:tc>
          <w:tcPr>
            <w:tcW w:w="800" w:type="dxa"/>
            <w:vAlign w:val="bottom"/>
          </w:tcPr>
          <w:p>
            <w:pPr>
              <w:jc w:val="right"/>
              <w:spacing w:after="0"/>
              <w:rPr>
                <w:sz w:val="20"/>
                <w:szCs w:val="20"/>
                <w:color w:val="auto"/>
              </w:rPr>
            </w:pPr>
            <w:r>
              <w:rPr>
                <w:rFonts w:ascii="Arial" w:cs="Arial" w:eastAsia="Arial" w:hAnsi="Arial"/>
                <w:sz w:val="14"/>
                <w:szCs w:val="14"/>
                <w:color w:val="auto"/>
              </w:rPr>
              <w:t>777,720</w:t>
            </w:r>
          </w:p>
        </w:tc>
        <w:tc>
          <w:tcPr>
            <w:tcW w:w="800" w:type="dxa"/>
            <w:vAlign w:val="bottom"/>
          </w:tcPr>
          <w:p>
            <w:pPr>
              <w:jc w:val="right"/>
              <w:spacing w:after="0"/>
              <w:rPr>
                <w:sz w:val="20"/>
                <w:szCs w:val="20"/>
                <w:color w:val="auto"/>
              </w:rPr>
            </w:pPr>
            <w:r>
              <w:rPr>
                <w:rFonts w:ascii="Arial" w:cs="Arial" w:eastAsia="Arial" w:hAnsi="Arial"/>
                <w:sz w:val="14"/>
                <w:szCs w:val="14"/>
                <w:color w:val="auto"/>
              </w:rPr>
              <w:t>780,525</w:t>
            </w:r>
          </w:p>
        </w:tc>
        <w:tc>
          <w:tcPr>
            <w:tcW w:w="800" w:type="dxa"/>
            <w:vAlign w:val="bottom"/>
          </w:tcPr>
          <w:p>
            <w:pPr>
              <w:jc w:val="right"/>
              <w:spacing w:after="0"/>
              <w:rPr>
                <w:sz w:val="20"/>
                <w:szCs w:val="20"/>
                <w:color w:val="auto"/>
              </w:rPr>
            </w:pPr>
            <w:r>
              <w:rPr>
                <w:rFonts w:ascii="Arial" w:cs="Arial" w:eastAsia="Arial" w:hAnsi="Arial"/>
                <w:sz w:val="14"/>
                <w:szCs w:val="14"/>
                <w:color w:val="auto"/>
              </w:rPr>
              <w:t>568,141</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414,398</w:t>
            </w:r>
          </w:p>
        </w:tc>
        <w:tc>
          <w:tcPr>
            <w:tcW w:w="1100" w:type="dxa"/>
            <w:vAlign w:val="bottom"/>
          </w:tcPr>
          <w:p>
            <w:pPr>
              <w:jc w:val="right"/>
              <w:spacing w:after="0"/>
              <w:rPr>
                <w:sz w:val="20"/>
                <w:szCs w:val="20"/>
                <w:color w:val="auto"/>
              </w:rPr>
            </w:pPr>
            <w:r>
              <w:rPr>
                <w:rFonts w:ascii="Arial" w:cs="Arial" w:eastAsia="Arial" w:hAnsi="Arial"/>
                <w:sz w:val="14"/>
                <w:szCs w:val="14"/>
                <w:color w:val="auto"/>
              </w:rPr>
              <w:t>66,310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3,249,742</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4"/>
                <w:szCs w:val="14"/>
                <w:color w:val="auto"/>
              </w:rPr>
              <w:t>  General Counsel</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800" w:type="dxa"/>
            <w:vAlign w:val="bottom"/>
          </w:tcPr>
          <w:p>
            <w:pPr>
              <w:jc w:val="right"/>
              <w:spacing w:after="0"/>
              <w:rPr>
                <w:sz w:val="20"/>
                <w:szCs w:val="20"/>
                <w:color w:val="auto"/>
              </w:rPr>
            </w:pPr>
            <w:r>
              <w:rPr>
                <w:rFonts w:ascii="Arial" w:cs="Arial" w:eastAsia="Arial" w:hAnsi="Arial"/>
                <w:sz w:val="14"/>
                <w:szCs w:val="14"/>
                <w:color w:val="auto"/>
              </w:rPr>
              <w:t>621,700</w:t>
            </w:r>
          </w:p>
        </w:tc>
        <w:tc>
          <w:tcPr>
            <w:tcW w:w="800" w:type="dxa"/>
            <w:vAlign w:val="bottom"/>
          </w:tcPr>
          <w:p>
            <w:pPr>
              <w:jc w:val="right"/>
              <w:spacing w:after="0"/>
              <w:rPr>
                <w:sz w:val="20"/>
                <w:szCs w:val="20"/>
                <w:color w:val="auto"/>
              </w:rPr>
            </w:pPr>
            <w:r>
              <w:rPr>
                <w:rFonts w:ascii="Arial" w:cs="Arial" w:eastAsia="Arial" w:hAnsi="Arial"/>
                <w:sz w:val="14"/>
                <w:szCs w:val="14"/>
                <w:color w:val="auto"/>
              </w:rPr>
              <w:t>465,105</w:t>
            </w:r>
          </w:p>
        </w:tc>
        <w:tc>
          <w:tcPr>
            <w:tcW w:w="800" w:type="dxa"/>
            <w:vAlign w:val="bottom"/>
          </w:tcPr>
          <w:p>
            <w:pPr>
              <w:jc w:val="right"/>
              <w:spacing w:after="0"/>
              <w:rPr>
                <w:sz w:val="20"/>
                <w:szCs w:val="20"/>
                <w:color w:val="auto"/>
              </w:rPr>
            </w:pPr>
            <w:r>
              <w:rPr>
                <w:rFonts w:ascii="Arial" w:cs="Arial" w:eastAsia="Arial" w:hAnsi="Arial"/>
                <w:sz w:val="14"/>
                <w:szCs w:val="14"/>
                <w:color w:val="auto"/>
              </w:rPr>
              <w:t>851,134</w:t>
            </w:r>
          </w:p>
        </w:tc>
        <w:tc>
          <w:tcPr>
            <w:tcW w:w="800" w:type="dxa"/>
            <w:vAlign w:val="bottom"/>
          </w:tcPr>
          <w:p>
            <w:pPr>
              <w:jc w:val="right"/>
              <w:spacing w:after="0"/>
              <w:rPr>
                <w:sz w:val="20"/>
                <w:szCs w:val="20"/>
                <w:color w:val="auto"/>
              </w:rPr>
            </w:pPr>
            <w:r>
              <w:rPr>
                <w:rFonts w:ascii="Arial" w:cs="Arial" w:eastAsia="Arial" w:hAnsi="Arial"/>
                <w:sz w:val="14"/>
                <w:szCs w:val="14"/>
                <w:color w:val="auto"/>
              </w:rPr>
              <w:t>548,379</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255,662</w:t>
            </w:r>
          </w:p>
        </w:tc>
        <w:tc>
          <w:tcPr>
            <w:tcW w:w="1100" w:type="dxa"/>
            <w:vAlign w:val="bottom"/>
          </w:tcPr>
          <w:p>
            <w:pPr>
              <w:jc w:val="right"/>
              <w:spacing w:after="0"/>
              <w:rPr>
                <w:sz w:val="20"/>
                <w:szCs w:val="20"/>
                <w:color w:val="auto"/>
              </w:rPr>
            </w:pPr>
            <w:r>
              <w:rPr>
                <w:rFonts w:ascii="Arial" w:cs="Arial" w:eastAsia="Arial" w:hAnsi="Arial"/>
                <w:sz w:val="14"/>
                <w:szCs w:val="14"/>
                <w:color w:val="auto"/>
              </w:rPr>
              <w:t>18,437</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2,760,417</w:t>
            </w:r>
          </w:p>
        </w:tc>
        <w:tc>
          <w:tcPr>
            <w:tcW w:w="0" w:type="dxa"/>
            <w:vAlign w:val="bottom"/>
          </w:tcPr>
          <w:p>
            <w:pPr>
              <w:spacing w:after="0"/>
              <w:rPr>
                <w:sz w:val="1"/>
                <w:szCs w:val="1"/>
                <w:color w:val="auto"/>
              </w:rPr>
            </w:pPr>
          </w:p>
        </w:tc>
      </w:tr>
      <w:tr>
        <w:trPr>
          <w:trHeight w:val="61"/>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980" w:type="dxa"/>
            <w:vAlign w:val="bottom"/>
            <w:vMerge w:val="restart"/>
            <w:shd w:val="clear" w:color="auto" w:fill="D8D8D8"/>
          </w:tcPr>
          <w:p>
            <w:pPr>
              <w:spacing w:after="0"/>
              <w:rPr>
                <w:sz w:val="20"/>
                <w:szCs w:val="20"/>
                <w:color w:val="auto"/>
              </w:rPr>
            </w:pPr>
            <w:r>
              <w:rPr>
                <w:rFonts w:ascii="Arial" w:cs="Arial" w:eastAsia="Arial" w:hAnsi="Arial"/>
                <w:sz w:val="14"/>
                <w:szCs w:val="14"/>
                <w:b w:val="1"/>
                <w:bCs w:val="1"/>
                <w:color w:val="auto"/>
              </w:rPr>
              <w:t>  Girish Juneja</w:t>
            </w:r>
          </w:p>
        </w:tc>
        <w:tc>
          <w:tcPr>
            <w:tcW w:w="50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571,118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491,024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607,354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495,867</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52,155</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2,217,518</w:t>
            </w:r>
          </w:p>
        </w:tc>
        <w:tc>
          <w:tcPr>
            <w:tcW w:w="0" w:type="dxa"/>
            <w:vAlign w:val="bottom"/>
          </w:tcPr>
          <w:p>
            <w:pPr>
              <w:spacing w:after="0"/>
              <w:rPr>
                <w:sz w:val="1"/>
                <w:szCs w:val="1"/>
                <w:color w:val="auto"/>
              </w:rPr>
            </w:pPr>
          </w:p>
        </w:tc>
      </w:tr>
      <w:tr>
        <w:trPr>
          <w:trHeight w:val="100"/>
        </w:trPr>
        <w:tc>
          <w:tcPr>
            <w:tcW w:w="2980" w:type="dxa"/>
            <w:vAlign w:val="bottom"/>
            <w:vMerge w:val="continue"/>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38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96"/>
              </w:rPr>
              <w:t>2024</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546,956</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617,792</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585,550</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426,144</w:t>
            </w:r>
          </w:p>
        </w:tc>
        <w:tc>
          <w:tcPr>
            <w:tcW w:w="11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52,872</w:t>
            </w:r>
          </w:p>
        </w:tc>
        <w:tc>
          <w:tcPr>
            <w:tcW w:w="880" w:type="dxa"/>
            <w:vAlign w:val="bottom"/>
            <w:vMerge w:val="restart"/>
            <w:shd w:val="clear" w:color="auto" w:fill="D8D8D8"/>
          </w:tcPr>
          <w:p>
            <w:pPr>
              <w:jc w:val="right"/>
              <w:ind w:right="9"/>
              <w:spacing w:after="0"/>
              <w:rPr>
                <w:sz w:val="20"/>
                <w:szCs w:val="20"/>
                <w:color w:val="auto"/>
              </w:rPr>
            </w:pPr>
            <w:r>
              <w:rPr>
                <w:rFonts w:ascii="Arial" w:cs="Arial" w:eastAsia="Arial" w:hAnsi="Arial"/>
                <w:sz w:val="14"/>
                <w:szCs w:val="14"/>
                <w:color w:val="auto"/>
              </w:rPr>
              <w:t>2,229,314</w:t>
            </w:r>
          </w:p>
        </w:tc>
        <w:tc>
          <w:tcPr>
            <w:tcW w:w="0" w:type="dxa"/>
            <w:vAlign w:val="bottom"/>
          </w:tcPr>
          <w:p>
            <w:pPr>
              <w:spacing w:after="0"/>
              <w:rPr>
                <w:sz w:val="1"/>
                <w:szCs w:val="1"/>
                <w:color w:val="auto"/>
              </w:rPr>
            </w:pPr>
          </w:p>
        </w:tc>
      </w:tr>
      <w:tr>
        <w:trPr>
          <w:trHeight w:val="128"/>
        </w:trPr>
        <w:tc>
          <w:tcPr>
            <w:tcW w:w="298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  Senior Vice President &amp;</w:t>
            </w:r>
          </w:p>
        </w:tc>
        <w:tc>
          <w:tcPr>
            <w:tcW w:w="120" w:type="dxa"/>
            <w:vAlign w:val="bottom"/>
            <w:shd w:val="clear" w:color="auto" w:fill="D8D8D8"/>
          </w:tcPr>
          <w:p>
            <w:pPr>
              <w:spacing w:after="0"/>
              <w:rPr>
                <w:sz w:val="11"/>
                <w:szCs w:val="11"/>
                <w:color w:val="auto"/>
              </w:rPr>
            </w:pPr>
          </w:p>
        </w:tc>
        <w:tc>
          <w:tcPr>
            <w:tcW w:w="380" w:type="dxa"/>
            <w:vAlign w:val="bottom"/>
            <w:vMerge w:val="continue"/>
            <w:shd w:val="clear" w:color="auto" w:fill="D8D8D8"/>
          </w:tcPr>
          <w:p>
            <w:pPr>
              <w:spacing w:after="0"/>
              <w:rPr>
                <w:sz w:val="11"/>
                <w:szCs w:val="11"/>
                <w:color w:val="auto"/>
              </w:rPr>
            </w:pPr>
          </w:p>
        </w:tc>
        <w:tc>
          <w:tcPr>
            <w:tcW w:w="800" w:type="dxa"/>
            <w:vAlign w:val="bottom"/>
            <w:vMerge w:val="continue"/>
            <w:shd w:val="clear" w:color="auto" w:fill="D8D8D8"/>
          </w:tcPr>
          <w:p>
            <w:pPr>
              <w:spacing w:after="0"/>
              <w:rPr>
                <w:sz w:val="11"/>
                <w:szCs w:val="11"/>
                <w:color w:val="auto"/>
              </w:rPr>
            </w:pPr>
          </w:p>
        </w:tc>
        <w:tc>
          <w:tcPr>
            <w:tcW w:w="800" w:type="dxa"/>
            <w:vAlign w:val="bottom"/>
            <w:vMerge w:val="continue"/>
            <w:shd w:val="clear" w:color="auto" w:fill="D8D8D8"/>
          </w:tcPr>
          <w:p>
            <w:pPr>
              <w:spacing w:after="0"/>
              <w:rPr>
                <w:sz w:val="11"/>
                <w:szCs w:val="11"/>
                <w:color w:val="auto"/>
              </w:rPr>
            </w:pPr>
          </w:p>
        </w:tc>
        <w:tc>
          <w:tcPr>
            <w:tcW w:w="800" w:type="dxa"/>
            <w:vAlign w:val="bottom"/>
            <w:vMerge w:val="continue"/>
            <w:shd w:val="clear" w:color="auto" w:fill="D8D8D8"/>
          </w:tcPr>
          <w:p>
            <w:pPr>
              <w:spacing w:after="0"/>
              <w:rPr>
                <w:sz w:val="11"/>
                <w:szCs w:val="11"/>
                <w:color w:val="auto"/>
              </w:rPr>
            </w:pPr>
          </w:p>
        </w:tc>
        <w:tc>
          <w:tcPr>
            <w:tcW w:w="800" w:type="dxa"/>
            <w:vAlign w:val="bottom"/>
            <w:vMerge w:val="continue"/>
            <w:shd w:val="clear" w:color="auto" w:fill="D8D8D8"/>
          </w:tcPr>
          <w:p>
            <w:pPr>
              <w:spacing w:after="0"/>
              <w:rPr>
                <w:sz w:val="11"/>
                <w:szCs w:val="11"/>
                <w:color w:val="auto"/>
              </w:rPr>
            </w:pPr>
          </w:p>
        </w:tc>
        <w:tc>
          <w:tcPr>
            <w:tcW w:w="1140" w:type="dxa"/>
            <w:vAlign w:val="bottom"/>
            <w:vMerge w:val="continue"/>
            <w:shd w:val="clear" w:color="auto" w:fill="D8D8D8"/>
          </w:tcPr>
          <w:p>
            <w:pPr>
              <w:spacing w:after="0"/>
              <w:rPr>
                <w:sz w:val="11"/>
                <w:szCs w:val="11"/>
                <w:color w:val="auto"/>
              </w:rPr>
            </w:pPr>
          </w:p>
        </w:tc>
        <w:tc>
          <w:tcPr>
            <w:tcW w:w="1120" w:type="dxa"/>
            <w:vAlign w:val="bottom"/>
            <w:vMerge w:val="continue"/>
            <w:shd w:val="clear" w:color="auto" w:fill="D8D8D8"/>
          </w:tcPr>
          <w:p>
            <w:pPr>
              <w:spacing w:after="0"/>
              <w:rPr>
                <w:sz w:val="11"/>
                <w:szCs w:val="11"/>
                <w:color w:val="auto"/>
              </w:rPr>
            </w:pPr>
          </w:p>
        </w:tc>
        <w:tc>
          <w:tcPr>
            <w:tcW w:w="1100" w:type="dxa"/>
            <w:vAlign w:val="bottom"/>
            <w:vMerge w:val="continue"/>
            <w:shd w:val="clear" w:color="auto" w:fill="D8D8D8"/>
          </w:tcPr>
          <w:p>
            <w:pPr>
              <w:spacing w:after="0"/>
              <w:rPr>
                <w:sz w:val="11"/>
                <w:szCs w:val="11"/>
                <w:color w:val="auto"/>
              </w:rPr>
            </w:pPr>
          </w:p>
        </w:tc>
        <w:tc>
          <w:tcPr>
            <w:tcW w:w="88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980" w:type="dxa"/>
            <w:vAlign w:val="bottom"/>
            <w:vMerge w:val="continue"/>
            <w:shd w:val="clear" w:color="auto" w:fill="D8D8D8"/>
          </w:tcPr>
          <w:p>
            <w:pPr>
              <w:spacing w:after="0"/>
              <w:rPr>
                <w:sz w:val="4"/>
                <w:szCs w:val="4"/>
                <w:color w:val="auto"/>
              </w:rPr>
            </w:pPr>
          </w:p>
        </w:tc>
        <w:tc>
          <w:tcPr>
            <w:tcW w:w="120" w:type="dxa"/>
            <w:vAlign w:val="bottom"/>
            <w:shd w:val="clear" w:color="auto" w:fill="D8D8D8"/>
          </w:tcPr>
          <w:p>
            <w:pPr>
              <w:spacing w:after="0"/>
              <w:rPr>
                <w:sz w:val="4"/>
                <w:szCs w:val="4"/>
                <w:color w:val="auto"/>
              </w:rPr>
            </w:pPr>
          </w:p>
        </w:tc>
        <w:tc>
          <w:tcPr>
            <w:tcW w:w="38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96"/>
              </w:rPr>
              <w:t>2023</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529,125</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369,452</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638,514</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411,249</w:t>
            </w:r>
          </w:p>
        </w:tc>
        <w:tc>
          <w:tcPr>
            <w:tcW w:w="11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44,246</w:t>
            </w:r>
          </w:p>
        </w:tc>
        <w:tc>
          <w:tcPr>
            <w:tcW w:w="880" w:type="dxa"/>
            <w:vAlign w:val="bottom"/>
            <w:vMerge w:val="restart"/>
            <w:shd w:val="clear" w:color="auto" w:fill="D8D8D8"/>
          </w:tcPr>
          <w:p>
            <w:pPr>
              <w:jc w:val="right"/>
              <w:ind w:right="9"/>
              <w:spacing w:after="0"/>
              <w:rPr>
                <w:sz w:val="20"/>
                <w:szCs w:val="20"/>
                <w:color w:val="auto"/>
              </w:rPr>
            </w:pPr>
            <w:r>
              <w:rPr>
                <w:rFonts w:ascii="Arial" w:cs="Arial" w:eastAsia="Arial" w:hAnsi="Arial"/>
                <w:sz w:val="14"/>
                <w:szCs w:val="14"/>
                <w:color w:val="auto"/>
              </w:rPr>
              <w:t>1,992,586</w:t>
            </w:r>
          </w:p>
        </w:tc>
        <w:tc>
          <w:tcPr>
            <w:tcW w:w="0" w:type="dxa"/>
            <w:vAlign w:val="bottom"/>
          </w:tcPr>
          <w:p>
            <w:pPr>
              <w:spacing w:after="0"/>
              <w:rPr>
                <w:sz w:val="1"/>
                <w:szCs w:val="1"/>
                <w:color w:val="auto"/>
              </w:rPr>
            </w:pPr>
          </w:p>
        </w:tc>
      </w:tr>
      <w:tr>
        <w:trPr>
          <w:trHeight w:val="190"/>
        </w:trPr>
        <w:tc>
          <w:tcPr>
            <w:tcW w:w="29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Chief Digital Officer</w:t>
            </w:r>
          </w:p>
        </w:tc>
        <w:tc>
          <w:tcPr>
            <w:tcW w:w="120" w:type="dxa"/>
            <w:vAlign w:val="bottom"/>
            <w:tcBorders>
              <w:bottom w:val="single" w:sz="8" w:color="D8D8D8"/>
            </w:tcBorders>
            <w:shd w:val="clear" w:color="auto" w:fill="D8D8D8"/>
          </w:tcPr>
          <w:p>
            <w:pPr>
              <w:spacing w:after="0"/>
              <w:rPr>
                <w:sz w:val="16"/>
                <w:szCs w:val="16"/>
                <w:color w:val="auto"/>
              </w:rPr>
            </w:pPr>
          </w:p>
        </w:tc>
        <w:tc>
          <w:tcPr>
            <w:tcW w:w="380" w:type="dxa"/>
            <w:vAlign w:val="bottom"/>
            <w:tcBorders>
              <w:bottom w:val="single" w:sz="8" w:color="D8D8D8"/>
            </w:tcBorders>
            <w:vMerge w:val="continue"/>
            <w:shd w:val="clear" w:color="auto" w:fill="D8D8D8"/>
          </w:tcPr>
          <w:p>
            <w:pPr>
              <w:spacing w:after="0"/>
              <w:rPr>
                <w:sz w:val="16"/>
                <w:szCs w:val="16"/>
                <w:color w:val="auto"/>
              </w:rPr>
            </w:pPr>
          </w:p>
        </w:tc>
        <w:tc>
          <w:tcPr>
            <w:tcW w:w="800" w:type="dxa"/>
            <w:vAlign w:val="bottom"/>
            <w:tcBorders>
              <w:bottom w:val="single" w:sz="8" w:color="D8D8D8"/>
            </w:tcBorders>
            <w:vMerge w:val="continue"/>
            <w:shd w:val="clear" w:color="auto" w:fill="D8D8D8"/>
          </w:tcPr>
          <w:p>
            <w:pPr>
              <w:spacing w:after="0"/>
              <w:rPr>
                <w:sz w:val="16"/>
                <w:szCs w:val="16"/>
                <w:color w:val="auto"/>
              </w:rPr>
            </w:pPr>
          </w:p>
        </w:tc>
        <w:tc>
          <w:tcPr>
            <w:tcW w:w="800" w:type="dxa"/>
            <w:vAlign w:val="bottom"/>
            <w:tcBorders>
              <w:bottom w:val="single" w:sz="8" w:color="D8D8D8"/>
            </w:tcBorders>
            <w:vMerge w:val="continue"/>
            <w:shd w:val="clear" w:color="auto" w:fill="D8D8D8"/>
          </w:tcPr>
          <w:p>
            <w:pPr>
              <w:spacing w:after="0"/>
              <w:rPr>
                <w:sz w:val="16"/>
                <w:szCs w:val="16"/>
                <w:color w:val="auto"/>
              </w:rPr>
            </w:pPr>
          </w:p>
        </w:tc>
        <w:tc>
          <w:tcPr>
            <w:tcW w:w="800" w:type="dxa"/>
            <w:vAlign w:val="bottom"/>
            <w:tcBorders>
              <w:bottom w:val="single" w:sz="8" w:color="D8D8D8"/>
            </w:tcBorders>
            <w:vMerge w:val="continue"/>
            <w:shd w:val="clear" w:color="auto" w:fill="D8D8D8"/>
          </w:tcPr>
          <w:p>
            <w:pPr>
              <w:spacing w:after="0"/>
              <w:rPr>
                <w:sz w:val="16"/>
                <w:szCs w:val="16"/>
                <w:color w:val="auto"/>
              </w:rPr>
            </w:pPr>
          </w:p>
        </w:tc>
        <w:tc>
          <w:tcPr>
            <w:tcW w:w="800" w:type="dxa"/>
            <w:vAlign w:val="bottom"/>
            <w:tcBorders>
              <w:bottom w:val="single" w:sz="8" w:color="D8D8D8"/>
            </w:tcBorders>
            <w:vMerge w:val="continue"/>
            <w:shd w:val="clear" w:color="auto" w:fill="D8D8D8"/>
          </w:tcPr>
          <w:p>
            <w:pPr>
              <w:spacing w:after="0"/>
              <w:rPr>
                <w:sz w:val="16"/>
                <w:szCs w:val="16"/>
                <w:color w:val="auto"/>
              </w:rPr>
            </w:pPr>
          </w:p>
        </w:tc>
        <w:tc>
          <w:tcPr>
            <w:tcW w:w="1140" w:type="dxa"/>
            <w:vAlign w:val="bottom"/>
            <w:tcBorders>
              <w:bottom w:val="single" w:sz="8" w:color="D8D8D8"/>
            </w:tcBorders>
            <w:vMerge w:val="continue"/>
            <w:shd w:val="clear" w:color="auto" w:fill="D8D8D8"/>
          </w:tcPr>
          <w:p>
            <w:pPr>
              <w:spacing w:after="0"/>
              <w:rPr>
                <w:sz w:val="16"/>
                <w:szCs w:val="16"/>
                <w:color w:val="auto"/>
              </w:rPr>
            </w:pPr>
          </w:p>
        </w:tc>
        <w:tc>
          <w:tcPr>
            <w:tcW w:w="1120" w:type="dxa"/>
            <w:vAlign w:val="bottom"/>
            <w:tcBorders>
              <w:bottom w:val="single" w:sz="8" w:color="D8D8D8"/>
            </w:tcBorders>
            <w:vMerge w:val="continue"/>
            <w:shd w:val="clear" w:color="auto" w:fill="D8D8D8"/>
          </w:tcPr>
          <w:p>
            <w:pPr>
              <w:spacing w:after="0"/>
              <w:rPr>
                <w:sz w:val="16"/>
                <w:szCs w:val="16"/>
                <w:color w:val="auto"/>
              </w:rPr>
            </w:pPr>
          </w:p>
        </w:tc>
        <w:tc>
          <w:tcPr>
            <w:tcW w:w="1100" w:type="dxa"/>
            <w:vAlign w:val="bottom"/>
            <w:tcBorders>
              <w:bottom w:val="single" w:sz="8" w:color="D8D8D8"/>
            </w:tcBorders>
            <w:vMerge w:val="continue"/>
            <w:shd w:val="clear" w:color="auto" w:fill="D8D8D8"/>
          </w:tcPr>
          <w:p>
            <w:pPr>
              <w:spacing w:after="0"/>
              <w:rPr>
                <w:sz w:val="16"/>
                <w:szCs w:val="16"/>
                <w:color w:val="auto"/>
              </w:rPr>
            </w:pPr>
          </w:p>
        </w:tc>
        <w:tc>
          <w:tcPr>
            <w:tcW w:w="880" w:type="dxa"/>
            <w:vAlign w:val="bottom"/>
            <w:tcBorders>
              <w:bottom w:val="single" w:sz="8" w:color="D8D8D8"/>
            </w:tcBorders>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4"/>
                <w:szCs w:val="14"/>
                <w:b w:val="1"/>
                <w:bCs w:val="1"/>
                <w:color w:val="auto"/>
              </w:rPr>
              <w:t>  Jeffrey C. Yehle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2025</w:t>
            </w:r>
          </w:p>
        </w:tc>
        <w:tc>
          <w:tcPr>
            <w:tcW w:w="800" w:type="dxa"/>
            <w:vAlign w:val="bottom"/>
          </w:tcPr>
          <w:p>
            <w:pPr>
              <w:jc w:val="right"/>
              <w:spacing w:after="0"/>
              <w:rPr>
                <w:sz w:val="20"/>
                <w:szCs w:val="20"/>
                <w:color w:val="auto"/>
              </w:rPr>
            </w:pPr>
            <w:r>
              <w:rPr>
                <w:rFonts w:ascii="Arial" w:cs="Arial" w:eastAsia="Arial" w:hAnsi="Arial"/>
                <w:sz w:val="14"/>
                <w:szCs w:val="14"/>
                <w:color w:val="auto"/>
              </w:rPr>
              <w:t>535,000</w:t>
            </w:r>
          </w:p>
        </w:tc>
        <w:tc>
          <w:tcPr>
            <w:tcW w:w="800" w:type="dxa"/>
            <w:vAlign w:val="bottom"/>
          </w:tcPr>
          <w:p>
            <w:pPr>
              <w:jc w:val="right"/>
              <w:spacing w:after="0"/>
              <w:rPr>
                <w:sz w:val="20"/>
                <w:szCs w:val="20"/>
                <w:color w:val="auto"/>
              </w:rPr>
            </w:pPr>
            <w:r>
              <w:rPr>
                <w:rFonts w:ascii="Arial" w:cs="Arial" w:eastAsia="Arial" w:hAnsi="Arial"/>
                <w:sz w:val="14"/>
                <w:szCs w:val="14"/>
                <w:color w:val="auto"/>
              </w:rPr>
              <w:t>453,553</w:t>
            </w:r>
          </w:p>
        </w:tc>
        <w:tc>
          <w:tcPr>
            <w:tcW w:w="800" w:type="dxa"/>
            <w:vAlign w:val="bottom"/>
          </w:tcPr>
          <w:p>
            <w:pPr>
              <w:jc w:val="right"/>
              <w:spacing w:after="0"/>
              <w:rPr>
                <w:sz w:val="20"/>
                <w:szCs w:val="20"/>
                <w:color w:val="auto"/>
              </w:rPr>
            </w:pPr>
            <w:r>
              <w:rPr>
                <w:rFonts w:ascii="Arial" w:cs="Arial" w:eastAsia="Arial" w:hAnsi="Arial"/>
                <w:sz w:val="14"/>
                <w:szCs w:val="14"/>
                <w:color w:val="auto"/>
              </w:rPr>
              <w:t>464,915</w:t>
            </w:r>
          </w:p>
        </w:tc>
        <w:tc>
          <w:tcPr>
            <w:tcW w:w="800" w:type="dxa"/>
            <w:vAlign w:val="bottom"/>
          </w:tcPr>
          <w:p>
            <w:pPr>
              <w:jc w:val="right"/>
              <w:spacing w:after="0"/>
              <w:rPr>
                <w:sz w:val="20"/>
                <w:szCs w:val="20"/>
                <w:color w:val="auto"/>
              </w:rPr>
            </w:pPr>
            <w:r>
              <w:rPr>
                <w:rFonts w:ascii="Arial" w:cs="Arial" w:eastAsia="Arial" w:hAnsi="Arial"/>
                <w:sz w:val="14"/>
                <w:szCs w:val="14"/>
                <w:color w:val="auto"/>
              </w:rPr>
              <w:t>379,153</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45,692</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1,878,313</w:t>
            </w:r>
          </w:p>
        </w:tc>
        <w:tc>
          <w:tcPr>
            <w:tcW w:w="0" w:type="dxa"/>
            <w:vAlign w:val="bottom"/>
          </w:tcPr>
          <w:p>
            <w:pPr>
              <w:spacing w:after="0"/>
              <w:rPr>
                <w:sz w:val="1"/>
                <w:szCs w:val="1"/>
                <w:color w:val="auto"/>
              </w:rPr>
            </w:pPr>
          </w:p>
        </w:tc>
      </w:tr>
      <w:tr>
        <w:trPr>
          <w:trHeight w:val="189"/>
        </w:trPr>
        <w:tc>
          <w:tcPr>
            <w:tcW w:w="2980" w:type="dxa"/>
            <w:vAlign w:val="bottom"/>
            <w:vMerge w:val="restart"/>
          </w:tcPr>
          <w:p>
            <w:pPr>
              <w:spacing w:after="0"/>
              <w:rPr>
                <w:sz w:val="20"/>
                <w:szCs w:val="20"/>
                <w:color w:val="auto"/>
              </w:rPr>
            </w:pPr>
            <w:r>
              <w:rPr>
                <w:rFonts w:ascii="Arial" w:cs="Arial" w:eastAsia="Arial" w:hAnsi="Arial"/>
                <w:sz w:val="14"/>
                <w:szCs w:val="14"/>
                <w:color w:val="auto"/>
              </w:rPr>
              <w:t>  Senior Vice President &amp;</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2024</w:t>
            </w:r>
          </w:p>
        </w:tc>
        <w:tc>
          <w:tcPr>
            <w:tcW w:w="800" w:type="dxa"/>
            <w:vAlign w:val="bottom"/>
          </w:tcPr>
          <w:p>
            <w:pPr>
              <w:jc w:val="right"/>
              <w:spacing w:after="0"/>
              <w:rPr>
                <w:sz w:val="20"/>
                <w:szCs w:val="20"/>
                <w:color w:val="auto"/>
              </w:rPr>
            </w:pPr>
            <w:r>
              <w:rPr>
                <w:rFonts w:ascii="Arial" w:cs="Arial" w:eastAsia="Arial" w:hAnsi="Arial"/>
                <w:sz w:val="14"/>
                <w:szCs w:val="14"/>
                <w:color w:val="auto"/>
              </w:rPr>
              <w:t>236,635</w:t>
            </w:r>
          </w:p>
        </w:tc>
        <w:tc>
          <w:tcPr>
            <w:tcW w:w="800" w:type="dxa"/>
            <w:vAlign w:val="bottom"/>
          </w:tcPr>
          <w:p>
            <w:pPr>
              <w:jc w:val="right"/>
              <w:spacing w:after="0"/>
              <w:rPr>
                <w:sz w:val="20"/>
                <w:szCs w:val="20"/>
                <w:color w:val="auto"/>
              </w:rPr>
            </w:pPr>
            <w:r>
              <w:rPr>
                <w:rFonts w:ascii="Arial" w:cs="Arial" w:eastAsia="Arial" w:hAnsi="Arial"/>
                <w:sz w:val="14"/>
                <w:szCs w:val="14"/>
                <w:color w:val="auto"/>
              </w:rPr>
              <w:t>321,000</w:t>
            </w:r>
          </w:p>
        </w:tc>
        <w:tc>
          <w:tcPr>
            <w:tcW w:w="800" w:type="dxa"/>
            <w:vAlign w:val="bottom"/>
          </w:tcPr>
          <w:p>
            <w:pPr>
              <w:jc w:val="right"/>
              <w:spacing w:after="0"/>
              <w:rPr>
                <w:sz w:val="20"/>
                <w:szCs w:val="20"/>
                <w:color w:val="auto"/>
              </w:rPr>
            </w:pPr>
            <w:r>
              <w:rPr>
                <w:rFonts w:ascii="Arial" w:cs="Arial" w:eastAsia="Arial" w:hAnsi="Arial"/>
                <w:sz w:val="14"/>
                <w:szCs w:val="14"/>
                <w:color w:val="auto"/>
              </w:rPr>
              <w:t>490,224</w:t>
            </w:r>
          </w:p>
        </w:tc>
        <w:tc>
          <w:tcPr>
            <w:tcW w:w="800" w:type="dxa"/>
            <w:vAlign w:val="bottom"/>
          </w:tcPr>
          <w:p>
            <w:pPr>
              <w:jc w:val="right"/>
              <w:spacing w:after="0"/>
              <w:rPr>
                <w:sz w:val="20"/>
                <w:szCs w:val="20"/>
                <w:color w:val="auto"/>
              </w:rPr>
            </w:pPr>
            <w:r>
              <w:rPr>
                <w:rFonts w:ascii="Arial" w:cs="Arial" w:eastAsia="Arial" w:hAnsi="Arial"/>
                <w:sz w:val="14"/>
                <w:szCs w:val="14"/>
                <w:color w:val="auto"/>
              </w:rPr>
              <w:t>180,536</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17,388</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1,245,783</w:t>
            </w:r>
          </w:p>
        </w:tc>
        <w:tc>
          <w:tcPr>
            <w:tcW w:w="0" w:type="dxa"/>
            <w:vAlign w:val="bottom"/>
          </w:tcPr>
          <w:p>
            <w:pPr>
              <w:spacing w:after="0"/>
              <w:rPr>
                <w:sz w:val="1"/>
                <w:szCs w:val="1"/>
                <w:color w:val="auto"/>
              </w:rPr>
            </w:pPr>
          </w:p>
        </w:tc>
      </w:tr>
      <w:tr>
        <w:trPr>
          <w:trHeight w:val="39"/>
        </w:trPr>
        <w:tc>
          <w:tcPr>
            <w:tcW w:w="29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80" w:hanging="73"/>
        <w:spacing w:after="0"/>
        <w:tabs>
          <w:tab w:leader="none" w:pos="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Chief Human Resources</w:t>
      </w:r>
    </w:p>
    <w:p>
      <w:pPr>
        <w:ind w:left="80" w:hanging="73"/>
        <w:spacing w:after="0"/>
        <w:tabs>
          <w:tab w:leader="none" w:pos="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Officer (9)</w:t>
      </w:r>
    </w:p>
    <w:p>
      <w:pPr>
        <w:spacing w:after="0" w:line="76" w:lineRule="exact"/>
        <w:rPr>
          <w:rFonts w:ascii="Arial" w:cs="Arial" w:eastAsia="Arial" w:hAnsi="Arial"/>
          <w:sz w:val="14"/>
          <w:szCs w:val="14"/>
          <w:color w:val="auto"/>
        </w:rPr>
      </w:pPr>
    </w:p>
    <w:p>
      <w:pPr>
        <w:ind w:left="540" w:right="440" w:hanging="426"/>
        <w:spacing w:after="0" w:line="255" w:lineRule="auto"/>
        <w:tabs>
          <w:tab w:leader="none" w:pos="540" w:val="left"/>
        </w:tabs>
        <w:numPr>
          <w:ilvl w:val="1"/>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Bonus amounts generally represent payments under our AIP for the year indicated, for which payments are made in the first quarter of the following year. The AIP constitutes a non-equity incentive plan under FASB ASC Topic 718. Although they are based on the satisfaction of pre-established performance targets, AIP amounts are reported in the bonus column rather than the non-equity incentive plan compensation column to make clear that they are annual bonus payments for the year indicated.</w:t>
      </w:r>
    </w:p>
    <w:p>
      <w:pPr>
        <w:spacing w:after="0" w:line="33" w:lineRule="exact"/>
        <w:rPr>
          <w:rFonts w:ascii="Arial" w:cs="Arial" w:eastAsia="Arial" w:hAnsi="Arial"/>
          <w:sz w:val="16"/>
          <w:szCs w:val="16"/>
          <w:i w:val="1"/>
          <w:iCs w:val="1"/>
          <w:color w:val="auto"/>
        </w:rPr>
      </w:pPr>
    </w:p>
    <w:p>
      <w:pPr>
        <w:ind w:left="540" w:right="120" w:hanging="426"/>
        <w:spacing w:after="0" w:line="252" w:lineRule="auto"/>
        <w:tabs>
          <w:tab w:leader="none" w:pos="540" w:val="left"/>
        </w:tabs>
        <w:numPr>
          <w:ilvl w:val="1"/>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generally represent (a) the aggregate grant date fair value of performance shares granted during the year indicated, and (b) the aggregate grant date fair value of restricted stock unit awards granted during the year, in each case, calculated in accordance with FASB ASC Topic 718. The amounts set forth in the table do not correspond to the actual value that might be realized by the named executives. For the 2023 performance share grants, the performance metric of the award is relative TSR, a market-based metric and the award was valued using the Monte-Carlo simulation model. For the 2024 and 2025 performance share grants, the performance metric for 50% of the award is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-1174115</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5"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60</w:t>
      </w:r>
    </w:p>
    <w:p>
      <w:pPr>
        <w:sectPr>
          <w:pgSz w:w="11900" w:h="16838" w:orient="portrait"/>
          <w:cols w:equalWidth="0" w:num="1">
            <w:col w:w="10920"/>
          </w:cols>
          <w:pgMar w:left="480" w:top="276" w:right="49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2" w:lineRule="exact"/>
        <w:rPr>
          <w:sz w:val="20"/>
          <w:szCs w:val="20"/>
          <w:color w:val="auto"/>
        </w:rPr>
      </w:pPr>
    </w:p>
    <w:p>
      <w:pPr>
        <w:ind w:left="540" w:right="280"/>
        <w:spacing w:after="0" w:line="255" w:lineRule="auto"/>
        <w:rPr>
          <w:sz w:val="20"/>
          <w:szCs w:val="20"/>
          <w:color w:val="auto"/>
        </w:rPr>
      </w:pPr>
      <w:r>
        <w:rPr>
          <w:rFonts w:ascii="Arial" w:cs="Arial" w:eastAsia="Arial" w:hAnsi="Arial"/>
          <w:sz w:val="16"/>
          <w:szCs w:val="16"/>
          <w:i w:val="1"/>
          <w:iCs w:val="1"/>
          <w:color w:val="auto"/>
        </w:rPr>
        <w:t>valued using the Monte-Carlo simulation model. The performance metric for the other 50% of the award is Tangible Return on Invested Capital and that portion of the award was valued based on the grant date stock price. For a discussion of the valuation of equity awards and related assumptions, see Note 15 to the Notes to the Financial Statements contained in our Annual Report on Form 10-K for the year ended December 31, 2025.</w:t>
      </w:r>
    </w:p>
    <w:p>
      <w:pPr>
        <w:spacing w:after="0" w:line="7" w:lineRule="exact"/>
        <w:rPr>
          <w:sz w:val="20"/>
          <w:szCs w:val="20"/>
          <w:color w:val="auto"/>
        </w:rPr>
      </w:pPr>
    </w:p>
    <w:p>
      <w:pPr>
        <w:ind w:left="540" w:right="20" w:hanging="426"/>
        <w:spacing w:after="0" w:line="250" w:lineRule="auto"/>
        <w:tabs>
          <w:tab w:leader="none" w:pos="54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 for the 2023 performance share awards was $249.48 and the grant date fair value for the 2024 performance share awards was $232.41 or $241.43 in the case of Mr. Yehle’s awards. The grant date fair value for the 2025 performance share awards was $260.36, calculated using 50% of the grant date fair value of the market condition portion of the 2025 performance share awards of $318.38 per share and 50% of the grant date fair value of the performance condition portion of the 2025 performance share awards of $202.33 based on Dover’s closing stock price at the date of grant. The grant date fair value of 2025 RSU awards was $202.33. All RSU grants are eligible for dividend equivalent payments which are paid upon vesting.</w:t>
      </w:r>
    </w:p>
    <w:p>
      <w:pPr>
        <w:spacing w:after="0" w:line="14" w:lineRule="exact"/>
        <w:rPr>
          <w:sz w:val="20"/>
          <w:szCs w:val="20"/>
          <w:color w:val="auto"/>
        </w:rPr>
      </w:pPr>
    </w:p>
    <w:p>
      <w:pPr>
        <w:ind w:left="540" w:right="180" w:hanging="426"/>
        <w:spacing w:after="0" w:line="260" w:lineRule="auto"/>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SSAR awards granted during the year indicated, calculated in accordance with FASB ASC Topic 718, and do not correspond to the actual value that may be realized by the named executives. The grant date fair value for the 2025 SSAR awards was calculated using a Black-Scholes value of $66.39 per SSAR.</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for a discussion of annual bonuses under the AIP as non-equity incentive plan compensation.</w:t>
      </w:r>
    </w:p>
    <w:p>
      <w:pPr>
        <w:spacing w:after="0" w:line="43" w:lineRule="exact"/>
        <w:rPr>
          <w:rFonts w:ascii="Arial" w:cs="Arial" w:eastAsia="Arial" w:hAnsi="Arial"/>
          <w:sz w:val="16"/>
          <w:szCs w:val="16"/>
          <w:i w:val="1"/>
          <w:iCs w:val="1"/>
          <w:color w:val="auto"/>
        </w:rPr>
      </w:pPr>
    </w:p>
    <w:p>
      <w:pPr>
        <w:ind w:left="540" w:right="540" w:hanging="426"/>
        <w:spacing w:after="0" w:line="260" w:lineRule="auto"/>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changes in present value of accumulated benefits under the pension plan and/or PRP during the year indicated. For Mr. Cerepak, the change in his pension value for the year 2024 was negative ($135,282) and pursuant to SEC rules, the table presents the amount of the change as “0.”</w:t>
      </w:r>
    </w:p>
    <w:p>
      <w:pPr>
        <w:spacing w:after="0" w:line="3" w:lineRule="exact"/>
        <w:rPr>
          <w:rFonts w:ascii="Arial" w:cs="Arial" w:eastAsia="Arial" w:hAnsi="Arial"/>
          <w:sz w:val="16"/>
          <w:szCs w:val="16"/>
          <w:i w:val="1"/>
          <w:iCs w:val="1"/>
          <w:color w:val="auto"/>
        </w:rPr>
      </w:pPr>
    </w:p>
    <w:p>
      <w:pPr>
        <w:ind w:left="540" w:right="280" w:hanging="426"/>
        <w:spacing w:after="0" w:line="252" w:lineRule="auto"/>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Amounts for 2025 include: (i) 401(k) matching contributions of $12,250 for Messrs. Tobin, Woenker, Juneja, Yehle and Ms. Cabrera, $3,836 for Mr. Cerepak, (ii) dividend equivalents received on RSUs in the amount of $54,941, $1,733, $12,359, $4,359, $1,207, and $5,814 for Messrs. Tobin, Woenker, Cerepak, Juneja and Yehle, and Ms. Cabrera, respectively, and (iii) the nonqualified deferred compensation plan 4.5% non-elective contribution in the amounts of $160,784, $26,486, $32,046, $28,735, and $39,498 for Messrs. Tobin, Woenker, Juneja and Yehle, and Ms. Cabrera, respectively.</w:t>
      </w:r>
    </w:p>
    <w:p>
      <w:pPr>
        <w:spacing w:after="0" w:line="10" w:lineRule="exact"/>
        <w:rPr>
          <w:rFonts w:ascii="Arial" w:cs="Arial" w:eastAsia="Arial" w:hAnsi="Arial"/>
          <w:sz w:val="16"/>
          <w:szCs w:val="16"/>
          <w:i w:val="1"/>
          <w:iCs w:val="1"/>
          <w:color w:val="auto"/>
        </w:rPr>
      </w:pPr>
    </w:p>
    <w:p>
      <w:pPr>
        <w:ind w:left="540" w:hanging="426"/>
        <w:spacing w:after="0"/>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Mr. Woenker was promoted as of January 31, 2025 to the position of Senior Vice President &amp; CFO.</w:t>
      </w:r>
    </w:p>
    <w:p>
      <w:pPr>
        <w:spacing w:after="0" w:line="43" w:lineRule="exact"/>
        <w:rPr>
          <w:rFonts w:ascii="Arial" w:cs="Arial" w:eastAsia="Arial" w:hAnsi="Arial"/>
          <w:sz w:val="16"/>
          <w:szCs w:val="16"/>
          <w:i w:val="1"/>
          <w:iCs w:val="1"/>
          <w:color w:val="auto"/>
        </w:rPr>
      </w:pPr>
    </w:p>
    <w:p>
      <w:pPr>
        <w:ind w:left="540" w:hanging="426"/>
        <w:spacing w:after="0"/>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Mr. Cerepak retired as of January 31, 2025.</w:t>
      </w:r>
    </w:p>
    <w:p>
      <w:pPr>
        <w:spacing w:after="0" w:line="43" w:lineRule="exact"/>
        <w:rPr>
          <w:rFonts w:ascii="Arial" w:cs="Arial" w:eastAsia="Arial" w:hAnsi="Arial"/>
          <w:sz w:val="16"/>
          <w:szCs w:val="16"/>
          <w:i w:val="1"/>
          <w:iCs w:val="1"/>
          <w:color w:val="auto"/>
        </w:rPr>
      </w:pPr>
    </w:p>
    <w:p>
      <w:pPr>
        <w:ind w:left="540" w:hanging="426"/>
        <w:spacing w:after="0"/>
        <w:tabs>
          <w:tab w:leader="none" w:pos="54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Mr. Yehle joined Dover as of July 8, 2024 and his 2024 compensation reflects his partial year of service.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CEO Employment Agreement</w:t>
      </w:r>
    </w:p>
    <w:p>
      <w:pPr>
        <w:spacing w:after="0" w:line="18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In connection with the hiring of Mr. Tobin as our CEO, Mr. Tobin and Dover entered into a three-year employment agreement commencing May 1, 2018, which was renewed in 2021 for a three-year period. In recognition of Mr. Tobin’s outstanding leadership and contributions to value creation, the agreement was again renewed effective March 5, 2024 for an additional three-year period ending May 30, 2027. Under the terms of the agreement,</w:t>
      </w:r>
    </w:p>
    <w:p>
      <w:pPr>
        <w:spacing w:after="0" w:line="247" w:lineRule="auto"/>
        <w:rPr>
          <w:sz w:val="20"/>
          <w:szCs w:val="20"/>
          <w:color w:val="auto"/>
        </w:rPr>
      </w:pPr>
      <w:r>
        <w:rPr>
          <w:rFonts w:ascii="Arial" w:cs="Arial" w:eastAsia="Arial" w:hAnsi="Arial"/>
          <w:sz w:val="16"/>
          <w:szCs w:val="16"/>
          <w:color w:val="auto"/>
        </w:rPr>
        <w:t>Mr. Tobin is entitled to a minimum annual base salary of $1.2 million and a minimum target annual bonus equal to 125% of his base salary, and the receipt of an annual equity grant for each of Dover’s fiscal years ending during the term of the agreement with a grant date fair value of not less than $7 million. During the term of the agreement, Mr. Tobin will also be entitled to employee benefits on the same basis as those generally available to executive officers of Dover. Mr. Tobin is entitled to receive certain severance payments and benefits in the event his employment is terminated by Dover without cause or by him for good reason. See “Potential Payments upon Termination or Change in Control.”</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At the end of the term of the agreement, Mr. Tobin will continue to be employed by Dover as an at-will employee and participate in severance and other benefit plans on the same terms as other executives.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CEO Pay Ratio</w:t>
      </w:r>
    </w:p>
    <w:p>
      <w:pPr>
        <w:spacing w:after="0" w:line="16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Chief Executive Officer and our median employee. This ratio is a reasonable estimate calculated in a manner consistent with Item 402(u) of Regulation S-K. Under the rules, we are permitted to use the same median employee in calculating the pay ratio as the median employee we identified in fiscal year 2023 for up to three years if there have been no changes that we reasonably believe would significantly affect this pay ratio disclosure and are permitted to substitute another employee for the median employee in certain circumstances. We believe that there have been no changes to our employee population or compensation arrangements that would result in a significant change to the pay ratio disclosure. However, in fiscal year 2025, the median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61</w:t>
      </w:r>
    </w:p>
    <w:p>
      <w:pPr>
        <w:sectPr>
          <w:pgSz w:w="11900" w:h="16838" w:orient="portrait"/>
          <w:cols w:equalWidth="0" w:num="1">
            <w:col w:w="10920"/>
          </w:cols>
          <w:pgMar w:left="480" w:top="299" w:right="49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employee originally identified for fiscal year 2023 is no longer employed by Dover. Therefore, to calculate the pay ratio disclosure for fiscal year 2025, we are using another employee whose compensation was substantially similar to that of the median employee first identified for fiscal year 2023 using the same compensation measure we used to determine the fiscal year 2023 median employee.</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global headcount was 24,204 employees (11,255 U.S. and 12,949 non-U.S.) as of our December 31, 2025 determination date. Eleven countries were excluded (3.5% of the total workforce) under the permissible 5% exclusion, with employee counts as follows: Argentina (20), Colombia (4), Dominican Republic (98), Indonesia (4), Malaysia (143), Mexico (460), Russian Federation (3), Taiwan (20), Thailand (76), and Turkey (14). After country exclusions, our total headcount was 23,362 employees (11,255 U.S. and 12,107 non-U.S.). As is permitted under the rules, to determine our median employee, we chose “base salary” as our consistently applied compensation measure. We estimated annual base salary for hourly workers employed for the entire year using their hourly rate and a reasonable estimate of hours worked for the year. For employees who commenced work during the year, we annualized their annual base salary. We then produced a sample of employees who were paid within a 0.5% range of that median and selected an employee from within that group as our median employee. We determined that employee’s (Summary Compensation Table) total compensation was $55,766 for 2025.</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We calculated 2025 annual total compensation for both our median employee and Mr. Tobin using the same methodology that we use to determine our named executive officers’ annual total compensation for the Summary Compensation Table. Mr. Tobin’s total compensation was $18,757,706 resulting in an estimated ratio of 336:1 for CEO pay to median worker pay.</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p>
    <w:p>
      <w:pPr>
        <w:sectPr>
          <w:pgSz w:w="11900" w:h="16838" w:orient="portrait"/>
          <w:cols w:equalWidth="0" w:num="1">
            <w:col w:w="10920"/>
          </w:cols>
          <w:pgMar w:left="480" w:top="299" w:right="49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Grants of Plan-Based Awards in 2025</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grant date of the AIP, SSAR, PSU and RSU awards listed in the table below was February 14, 2025 for all NEOs. For a discussion of the awards, see “Compensation Discussion and Analysis – Elements of Executive Compensation.” Mr. Cerepak retired as of January 31, 2025 and, accordingly, did not receive any grants in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40" w:type="dxa"/>
            <w:vAlign w:val="bottom"/>
            <w:tcBorders>
              <w:top w:val="single" w:sz="8" w:color="021496"/>
            </w:tcBorders>
          </w:tcPr>
          <w:p>
            <w:pPr>
              <w:spacing w:after="0"/>
              <w:rPr>
                <w:sz w:val="14"/>
                <w:szCs w:val="14"/>
                <w:color w:val="auto"/>
              </w:rPr>
            </w:pPr>
          </w:p>
        </w:tc>
        <w:tc>
          <w:tcPr>
            <w:tcW w:w="920" w:type="dxa"/>
            <w:vAlign w:val="bottom"/>
            <w:tcBorders>
              <w:top w:val="single" w:sz="8" w:color="021496"/>
            </w:tcBorders>
          </w:tcPr>
          <w:p>
            <w:pPr>
              <w:spacing w:after="0"/>
              <w:rPr>
                <w:sz w:val="14"/>
                <w:szCs w:val="14"/>
                <w:color w:val="auto"/>
              </w:rPr>
            </w:pPr>
          </w:p>
        </w:tc>
        <w:tc>
          <w:tcPr>
            <w:tcW w:w="10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14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600" w:type="dxa"/>
            <w:vAlign w:val="bottom"/>
            <w:tcBorders>
              <w:top w:val="single" w:sz="8" w:color="021496"/>
            </w:tcBorders>
          </w:tcPr>
          <w:p>
            <w:pPr>
              <w:spacing w:after="0"/>
              <w:rPr>
                <w:sz w:val="14"/>
                <w:szCs w:val="14"/>
                <w:color w:val="auto"/>
              </w:rPr>
            </w:pPr>
          </w:p>
        </w:tc>
        <w:tc>
          <w:tcPr>
            <w:tcW w:w="740" w:type="dxa"/>
            <w:vAlign w:val="bottom"/>
            <w:tcBorders>
              <w:top w:val="single" w:sz="8" w:color="021496"/>
            </w:tcBorders>
          </w:tcPr>
          <w:p>
            <w:pPr>
              <w:spacing w:after="0"/>
              <w:rPr>
                <w:sz w:val="14"/>
                <w:szCs w:val="14"/>
                <w:color w:val="auto"/>
              </w:rPr>
            </w:pPr>
          </w:p>
        </w:tc>
        <w:tc>
          <w:tcPr>
            <w:tcW w:w="80" w:type="dxa"/>
            <w:vAlign w:val="bottom"/>
            <w:tcBorders>
              <w:top w:val="single" w:sz="8" w:color="021496"/>
            </w:tcBorders>
          </w:tcPr>
          <w:p>
            <w:pPr>
              <w:spacing w:after="0"/>
              <w:rPr>
                <w:sz w:val="14"/>
                <w:szCs w:val="14"/>
                <w:color w:val="auto"/>
              </w:rPr>
            </w:pPr>
          </w:p>
        </w:tc>
        <w:tc>
          <w:tcPr>
            <w:tcW w:w="7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Borders>
              <w:top w:val="single" w:sz="8" w:color="021496"/>
            </w:tcBorders>
          </w:tcPr>
          <w:p>
            <w:pPr>
              <w:spacing w:after="0"/>
              <w:rPr>
                <w:sz w:val="14"/>
                <w:szCs w:val="14"/>
                <w:color w:val="auto"/>
              </w:rPr>
            </w:pPr>
          </w:p>
        </w:tc>
        <w:tc>
          <w:tcPr>
            <w:tcW w:w="700" w:type="dxa"/>
            <w:vAlign w:val="bottom"/>
            <w:tcBorders>
              <w:top w:val="single" w:sz="8" w:color="021496"/>
            </w:tcBorders>
          </w:tcPr>
          <w:p>
            <w:pPr>
              <w:spacing w:after="0"/>
              <w:rPr>
                <w:sz w:val="14"/>
                <w:szCs w:val="14"/>
                <w:color w:val="auto"/>
              </w:rPr>
            </w:pPr>
          </w:p>
        </w:tc>
        <w:tc>
          <w:tcPr>
            <w:tcW w:w="820" w:type="dxa"/>
            <w:vAlign w:val="bottom"/>
            <w:tcBorders>
              <w:top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Exercise</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Non-Equity</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Equity</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Share 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Securities</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720" w:type="dxa"/>
            <w:vAlign w:val="bottom"/>
            <w:vMerge w:val="restart"/>
          </w:tcPr>
          <w:p>
            <w:pPr>
              <w:ind w:left="60"/>
              <w:spacing w:after="0" w:line="123" w:lineRule="exact"/>
              <w:rPr>
                <w:sz w:val="20"/>
                <w:szCs w:val="20"/>
                <w:color w:val="auto"/>
              </w:rPr>
            </w:pPr>
            <w:r>
              <w:rPr>
                <w:rFonts w:ascii="Arial" w:cs="Arial" w:eastAsia="Arial" w:hAnsi="Arial"/>
                <w:sz w:val="14"/>
                <w:szCs w:val="14"/>
                <w:b w:val="1"/>
                <w:bCs w:val="1"/>
                <w:color w:val="auto"/>
              </w:rPr>
              <w:t>Stock or</w:t>
            </w:r>
          </w:p>
        </w:tc>
        <w:tc>
          <w:tcPr>
            <w:tcW w:w="880" w:type="dxa"/>
            <w:vAlign w:val="bottom"/>
            <w:vMerge w:val="restart"/>
          </w:tcPr>
          <w:p>
            <w:pPr>
              <w:ind w:left="80"/>
              <w:spacing w:after="0" w:line="123" w:lineRule="exact"/>
              <w:rPr>
                <w:sz w:val="20"/>
                <w:szCs w:val="20"/>
                <w:color w:val="auto"/>
              </w:rPr>
            </w:pPr>
            <w:r>
              <w:rPr>
                <w:rFonts w:ascii="Arial" w:cs="Arial" w:eastAsia="Arial" w:hAnsi="Arial"/>
                <w:sz w:val="14"/>
                <w:szCs w:val="14"/>
                <w:b w:val="1"/>
                <w:bCs w:val="1"/>
                <w:color w:val="auto"/>
              </w:rPr>
              <w:t>Underlying</w:t>
            </w:r>
          </w:p>
        </w:tc>
        <w:tc>
          <w:tcPr>
            <w:tcW w:w="700" w:type="dxa"/>
            <w:vAlign w:val="bottom"/>
            <w:vMerge w:val="restart"/>
          </w:tcPr>
          <w:p>
            <w:pPr>
              <w:ind w:left="80"/>
              <w:spacing w:after="0" w:line="123" w:lineRule="exact"/>
              <w:rPr>
                <w:sz w:val="20"/>
                <w:szCs w:val="20"/>
                <w:color w:val="auto"/>
              </w:rPr>
            </w:pPr>
            <w:r>
              <w:rPr>
                <w:rFonts w:ascii="Arial" w:cs="Arial" w:eastAsia="Arial" w:hAnsi="Arial"/>
                <w:sz w:val="14"/>
                <w:szCs w:val="14"/>
                <w:b w:val="1"/>
                <w:bCs w:val="1"/>
                <w:color w:val="auto"/>
              </w:rPr>
              <w:t>Option</w:t>
            </w:r>
          </w:p>
        </w:tc>
        <w:tc>
          <w:tcPr>
            <w:tcW w:w="820" w:type="dxa"/>
            <w:vAlign w:val="bottom"/>
            <w:vMerge w:val="restart"/>
          </w:tcPr>
          <w:p>
            <w:pPr>
              <w:ind w:left="40"/>
              <w:spacing w:after="0" w:line="123"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55"/>
        </w:trPr>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line="158" w:lineRule="exact"/>
              <w:rPr>
                <w:sz w:val="20"/>
                <w:szCs w:val="20"/>
                <w:color w:val="auto"/>
              </w:rPr>
            </w:pPr>
            <w:r>
              <w:rPr>
                <w:rFonts w:ascii="Arial" w:cs="Arial" w:eastAsia="Arial" w:hAnsi="Arial"/>
                <w:sz w:val="14"/>
                <w:szCs w:val="14"/>
                <w:b w:val="1"/>
                <w:bCs w:val="1"/>
                <w:color w:val="auto"/>
              </w:rPr>
              <w:t>Threshold</w:t>
            </w:r>
          </w:p>
        </w:tc>
        <w:tc>
          <w:tcPr>
            <w:tcW w:w="80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Target</w:t>
            </w: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Maximum</w:t>
            </w:r>
          </w:p>
        </w:tc>
        <w:tc>
          <w:tcPr>
            <w:tcW w:w="760" w:type="dxa"/>
            <w:vAlign w:val="bottom"/>
          </w:tcPr>
          <w:p>
            <w:pPr>
              <w:spacing w:after="0" w:line="158" w:lineRule="exact"/>
              <w:rPr>
                <w:sz w:val="20"/>
                <w:szCs w:val="20"/>
                <w:color w:val="auto"/>
              </w:rPr>
            </w:pPr>
            <w:r>
              <w:rPr>
                <w:rFonts w:ascii="Arial" w:cs="Arial" w:eastAsia="Arial" w:hAnsi="Arial"/>
                <w:sz w:val="14"/>
                <w:szCs w:val="14"/>
                <w:b w:val="1"/>
                <w:bCs w:val="1"/>
                <w:color w:val="auto"/>
              </w:rPr>
              <w:t>Threshold</w:t>
            </w:r>
          </w:p>
        </w:tc>
        <w:tc>
          <w:tcPr>
            <w:tcW w:w="60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Maximum</w:t>
            </w:r>
          </w:p>
        </w:tc>
        <w:tc>
          <w:tcPr>
            <w:tcW w:w="7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Units</w:t>
            </w:r>
          </w:p>
        </w:tc>
        <w:tc>
          <w:tcPr>
            <w:tcW w:w="8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Awards</w:t>
            </w:r>
          </w:p>
        </w:tc>
        <w:tc>
          <w:tcPr>
            <w:tcW w:w="82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Type</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 (1)</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 (1)</w:t>
            </w: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2"/>
        </w:trPr>
        <w:tc>
          <w:tcPr>
            <w:tcW w:w="2140" w:type="dxa"/>
            <w:vAlign w:val="bottom"/>
            <w:tcBorders>
              <w:bottom w:val="single" w:sz="8" w:color="021496"/>
            </w:tcBorders>
          </w:tcPr>
          <w:p>
            <w:pPr>
              <w:spacing w:after="0"/>
              <w:rPr>
                <w:sz w:val="3"/>
                <w:szCs w:val="3"/>
                <w:color w:val="auto"/>
              </w:rPr>
            </w:pPr>
          </w:p>
        </w:tc>
        <w:tc>
          <w:tcPr>
            <w:tcW w:w="920" w:type="dxa"/>
            <w:vAlign w:val="bottom"/>
            <w:tcBorders>
              <w:bottom w:val="single" w:sz="8" w:color="021496"/>
            </w:tcBorders>
          </w:tcPr>
          <w:p>
            <w:pPr>
              <w:spacing w:after="0"/>
              <w:rPr>
                <w:sz w:val="3"/>
                <w:szCs w:val="3"/>
                <w:color w:val="auto"/>
              </w:rPr>
            </w:pPr>
          </w:p>
        </w:tc>
        <w:tc>
          <w:tcPr>
            <w:tcW w:w="10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80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14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600" w:type="dxa"/>
            <w:vAlign w:val="bottom"/>
            <w:tcBorders>
              <w:bottom w:val="single" w:sz="8" w:color="021496"/>
            </w:tcBorders>
          </w:tcPr>
          <w:p>
            <w:pPr>
              <w:spacing w:after="0"/>
              <w:rPr>
                <w:sz w:val="3"/>
                <w:szCs w:val="3"/>
                <w:color w:val="auto"/>
              </w:rPr>
            </w:pPr>
          </w:p>
        </w:tc>
        <w:tc>
          <w:tcPr>
            <w:tcW w:w="740" w:type="dxa"/>
            <w:vAlign w:val="bottom"/>
            <w:tcBorders>
              <w:bottom w:val="single" w:sz="8" w:color="021496"/>
            </w:tcBorders>
          </w:tcPr>
          <w:p>
            <w:pPr>
              <w:spacing w:after="0"/>
              <w:rPr>
                <w:sz w:val="3"/>
                <w:szCs w:val="3"/>
                <w:color w:val="auto"/>
              </w:rPr>
            </w:pPr>
          </w:p>
        </w:tc>
        <w:tc>
          <w:tcPr>
            <w:tcW w:w="80" w:type="dxa"/>
            <w:vAlign w:val="bottom"/>
            <w:tcBorders>
              <w:bottom w:val="single" w:sz="8" w:color="021496"/>
            </w:tcBorders>
          </w:tcPr>
          <w:p>
            <w:pPr>
              <w:spacing w:after="0"/>
              <w:rPr>
                <w:sz w:val="3"/>
                <w:szCs w:val="3"/>
                <w:color w:val="auto"/>
              </w:rPr>
            </w:pPr>
          </w:p>
        </w:tc>
        <w:tc>
          <w:tcPr>
            <w:tcW w:w="720" w:type="dxa"/>
            <w:vAlign w:val="bottom"/>
            <w:tcBorders>
              <w:bottom w:val="single" w:sz="8" w:color="021496"/>
            </w:tcBorders>
          </w:tcPr>
          <w:p>
            <w:pPr>
              <w:spacing w:after="0"/>
              <w:rPr>
                <w:sz w:val="3"/>
                <w:szCs w:val="3"/>
                <w:color w:val="auto"/>
              </w:rPr>
            </w:pPr>
          </w:p>
        </w:tc>
        <w:tc>
          <w:tcPr>
            <w:tcW w:w="880" w:type="dxa"/>
            <w:vAlign w:val="bottom"/>
            <w:tcBorders>
              <w:bottom w:val="single" w:sz="8" w:color="021496"/>
            </w:tcBorders>
          </w:tcPr>
          <w:p>
            <w:pPr>
              <w:spacing w:after="0"/>
              <w:rPr>
                <w:sz w:val="3"/>
                <w:szCs w:val="3"/>
                <w:color w:val="auto"/>
              </w:rPr>
            </w:pPr>
          </w:p>
        </w:tc>
        <w:tc>
          <w:tcPr>
            <w:tcW w:w="700" w:type="dxa"/>
            <w:vAlign w:val="bottom"/>
            <w:tcBorders>
              <w:bottom w:val="single" w:sz="8" w:color="021496"/>
            </w:tcBorders>
          </w:tcPr>
          <w:p>
            <w:pPr>
              <w:spacing w:after="0"/>
              <w:rPr>
                <w:sz w:val="3"/>
                <w:szCs w:val="3"/>
                <w:color w:val="auto"/>
              </w:rPr>
            </w:pPr>
          </w:p>
        </w:tc>
        <w:tc>
          <w:tcPr>
            <w:tcW w:w="82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Richard J. Tobin</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1,121,600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2,243,200</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4,486,400</w:t>
            </w:r>
          </w:p>
        </w:tc>
        <w:tc>
          <w:tcPr>
            <w:tcW w:w="76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72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98,848</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202.33</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6,562,519</w:t>
            </w: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22,242</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66,726</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5,790,816</w:t>
            </w: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11,120</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2,249,910</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  Chris B. Woenker</w:t>
            </w: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60" w:type="dxa"/>
            <w:vAlign w:val="bottom"/>
            <w:tcBorders>
              <w:bottom w:val="single" w:sz="8" w:color="999999"/>
            </w:tcBorders>
            <w:gridSpan w:val="2"/>
          </w:tcPr>
          <w:p>
            <w:pPr>
              <w:jc w:val="right"/>
              <w:ind w:right="9"/>
              <w:spacing w:after="0"/>
              <w:rPr>
                <w:sz w:val="20"/>
                <w:szCs w:val="20"/>
                <w:color w:val="auto"/>
              </w:rPr>
            </w:pPr>
            <w:r>
              <w:rPr>
                <w:rFonts w:ascii="Arial" w:cs="Arial" w:eastAsia="Arial" w:hAnsi="Arial"/>
                <w:sz w:val="14"/>
                <w:szCs w:val="14"/>
                <w:color w:val="auto"/>
              </w:rPr>
              <w:t>186,550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373,100</w:t>
            </w:r>
          </w:p>
        </w:tc>
        <w:tc>
          <w:tcPr>
            <w:tcW w:w="90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746,200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8,787</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202.33</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583,369</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1,978</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5,934</w:t>
            </w: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514,982</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RSU (5)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988</w:t>
            </w: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199,902</w:t>
            </w:r>
          </w:p>
        </w:tc>
        <w:tc>
          <w:tcPr>
            <w:tcW w:w="0" w:type="dxa"/>
            <w:vAlign w:val="bottom"/>
          </w:tcPr>
          <w:p>
            <w:pPr>
              <w:spacing w:after="0"/>
              <w:rPr>
                <w:sz w:val="1"/>
                <w:szCs w:val="1"/>
                <w:color w:val="auto"/>
              </w:rPr>
            </w:pPr>
          </w:p>
        </w:tc>
      </w:tr>
      <w:tr>
        <w:trPr>
          <w:trHeight w:val="221"/>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Ivonne M. Cabrera</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250,329</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500,657</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1,001,315</w:t>
            </w: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17,573</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202.33</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1,166,671</w:t>
            </w:r>
          </w:p>
        </w:tc>
        <w:tc>
          <w:tcPr>
            <w:tcW w:w="0" w:type="dxa"/>
            <w:vAlign w:val="bottom"/>
          </w:tcPr>
          <w:p>
            <w:pPr>
              <w:spacing w:after="0"/>
              <w:rPr>
                <w:sz w:val="1"/>
                <w:szCs w:val="1"/>
                <w:color w:val="auto"/>
              </w:rPr>
            </w:pPr>
          </w:p>
        </w:tc>
      </w:tr>
      <w:tr>
        <w:trPr>
          <w:trHeight w:val="227"/>
        </w:trPr>
        <w:tc>
          <w:tcPr>
            <w:tcW w:w="214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3,954</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11,862</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1,029,444</w:t>
            </w: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1,977</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400,006</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  Girish Juneja</w:t>
            </w: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60" w:type="dxa"/>
            <w:vAlign w:val="bottom"/>
            <w:tcBorders>
              <w:bottom w:val="single" w:sz="8" w:color="999999"/>
            </w:tcBorders>
            <w:gridSpan w:val="2"/>
          </w:tcPr>
          <w:p>
            <w:pPr>
              <w:jc w:val="right"/>
              <w:ind w:right="9"/>
              <w:spacing w:after="0"/>
              <w:rPr>
                <w:sz w:val="20"/>
                <w:szCs w:val="20"/>
                <w:color w:val="auto"/>
              </w:rPr>
            </w:pPr>
            <w:r>
              <w:rPr>
                <w:rFonts w:ascii="Arial" w:cs="Arial" w:eastAsia="Arial" w:hAnsi="Arial"/>
                <w:sz w:val="14"/>
                <w:szCs w:val="14"/>
                <w:color w:val="auto"/>
              </w:rPr>
              <w:t>217,193</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434,385</w:t>
            </w:r>
          </w:p>
        </w:tc>
        <w:tc>
          <w:tcPr>
            <w:tcW w:w="90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868,707</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7,469</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202.33</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495,867</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1,680</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5,040</w:t>
            </w: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437,396</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RSU (5)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840</w:t>
            </w: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169,957</w:t>
            </w:r>
          </w:p>
        </w:tc>
        <w:tc>
          <w:tcPr>
            <w:tcW w:w="0" w:type="dxa"/>
            <w:vAlign w:val="bottom"/>
          </w:tcPr>
          <w:p>
            <w:pPr>
              <w:spacing w:after="0"/>
              <w:rPr>
                <w:sz w:val="1"/>
                <w:szCs w:val="1"/>
                <w:color w:val="auto"/>
              </w:rPr>
            </w:pPr>
          </w:p>
        </w:tc>
      </w:tr>
      <w:tr>
        <w:trPr>
          <w:trHeight w:val="221"/>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Jeffrey C. Yehle</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200,625</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401,250</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802,500</w:t>
            </w: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5,711</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202.33</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379,153</w:t>
            </w:r>
          </w:p>
        </w:tc>
        <w:tc>
          <w:tcPr>
            <w:tcW w:w="0" w:type="dxa"/>
            <w:vAlign w:val="bottom"/>
          </w:tcPr>
          <w:p>
            <w:pPr>
              <w:spacing w:after="0"/>
              <w:rPr>
                <w:sz w:val="1"/>
                <w:szCs w:val="1"/>
                <w:color w:val="auto"/>
              </w:rPr>
            </w:pPr>
          </w:p>
        </w:tc>
      </w:tr>
      <w:tr>
        <w:trPr>
          <w:trHeight w:val="227"/>
        </w:trPr>
        <w:tc>
          <w:tcPr>
            <w:tcW w:w="214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1,286</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3,858</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334,817</w:t>
            </w:r>
          </w:p>
        </w:tc>
        <w:tc>
          <w:tcPr>
            <w:tcW w:w="0" w:type="dxa"/>
            <w:vAlign w:val="bottom"/>
          </w:tcPr>
          <w:p>
            <w:pPr>
              <w:spacing w:after="0"/>
              <w:rPr>
                <w:sz w:val="1"/>
                <w:szCs w:val="1"/>
                <w:color w:val="auto"/>
              </w:rPr>
            </w:pPr>
          </w:p>
        </w:tc>
      </w:tr>
      <w:tr>
        <w:trPr>
          <w:trHeight w:val="231"/>
        </w:trPr>
        <w:tc>
          <w:tcPr>
            <w:tcW w:w="2140" w:type="dxa"/>
            <w:vAlign w:val="bottom"/>
            <w:tcBorders>
              <w:bottom w:val="single" w:sz="8" w:color="021496"/>
            </w:tcBorders>
            <w:shd w:val="clear" w:color="auto" w:fill="D8D8D8"/>
          </w:tcPr>
          <w:p>
            <w:pPr>
              <w:spacing w:after="0"/>
              <w:rPr>
                <w:sz w:val="20"/>
                <w:szCs w:val="20"/>
                <w:color w:val="auto"/>
              </w:rPr>
            </w:pPr>
          </w:p>
        </w:tc>
        <w:tc>
          <w:tcPr>
            <w:tcW w:w="920" w:type="dxa"/>
            <w:vAlign w:val="bottom"/>
            <w:tcBorders>
              <w:bottom w:val="single" w:sz="8" w:color="021496"/>
            </w:tcBorders>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100" w:type="dxa"/>
            <w:vAlign w:val="bottom"/>
            <w:tcBorders>
              <w:bottom w:val="single" w:sz="8" w:color="021496"/>
            </w:tcBorders>
            <w:shd w:val="clear" w:color="auto" w:fill="D8D8D8"/>
          </w:tcPr>
          <w:p>
            <w:pPr>
              <w:spacing w:after="0"/>
              <w:rPr>
                <w:sz w:val="20"/>
                <w:szCs w:val="20"/>
                <w:color w:val="auto"/>
              </w:rPr>
            </w:pPr>
          </w:p>
        </w:tc>
        <w:tc>
          <w:tcPr>
            <w:tcW w:w="760" w:type="dxa"/>
            <w:vAlign w:val="bottom"/>
            <w:tcBorders>
              <w:bottom w:val="single" w:sz="8" w:color="021496"/>
            </w:tcBorders>
            <w:shd w:val="clear" w:color="auto" w:fill="D8D8D8"/>
          </w:tcPr>
          <w:p>
            <w:pPr>
              <w:spacing w:after="0"/>
              <w:rPr>
                <w:sz w:val="20"/>
                <w:szCs w:val="20"/>
                <w:color w:val="auto"/>
              </w:rPr>
            </w:pPr>
          </w:p>
        </w:tc>
        <w:tc>
          <w:tcPr>
            <w:tcW w:w="800" w:type="dxa"/>
            <w:vAlign w:val="bottom"/>
            <w:tcBorders>
              <w:bottom w:val="single" w:sz="8" w:color="021496"/>
            </w:tcBorders>
            <w:shd w:val="clear" w:color="auto" w:fill="D8D8D8"/>
          </w:tcPr>
          <w:p>
            <w:pPr>
              <w:spacing w:after="0"/>
              <w:rPr>
                <w:sz w:val="20"/>
                <w:szCs w:val="20"/>
                <w:color w:val="auto"/>
              </w:rPr>
            </w:pPr>
          </w:p>
        </w:tc>
        <w:tc>
          <w:tcPr>
            <w:tcW w:w="760" w:type="dxa"/>
            <w:vAlign w:val="bottom"/>
            <w:tcBorders>
              <w:bottom w:val="single" w:sz="8" w:color="021496"/>
            </w:tcBorders>
            <w:shd w:val="clear" w:color="auto" w:fill="D8D8D8"/>
          </w:tcPr>
          <w:p>
            <w:pPr>
              <w:spacing w:after="0"/>
              <w:rPr>
                <w:sz w:val="20"/>
                <w:szCs w:val="20"/>
                <w:color w:val="auto"/>
              </w:rPr>
            </w:pPr>
          </w:p>
        </w:tc>
        <w:tc>
          <w:tcPr>
            <w:tcW w:w="140" w:type="dxa"/>
            <w:vAlign w:val="bottom"/>
            <w:tcBorders>
              <w:bottom w:val="single" w:sz="8" w:color="021496"/>
            </w:tcBorders>
            <w:shd w:val="clear" w:color="auto" w:fill="D8D8D8"/>
          </w:tcPr>
          <w:p>
            <w:pPr>
              <w:spacing w:after="0"/>
              <w:rPr>
                <w:sz w:val="20"/>
                <w:szCs w:val="20"/>
                <w:color w:val="auto"/>
              </w:rPr>
            </w:pPr>
          </w:p>
        </w:tc>
        <w:tc>
          <w:tcPr>
            <w:tcW w:w="760" w:type="dxa"/>
            <w:vAlign w:val="bottom"/>
            <w:tcBorders>
              <w:bottom w:val="single" w:sz="8" w:color="021496"/>
            </w:tcBorders>
            <w:shd w:val="clear" w:color="auto" w:fill="D8D8D8"/>
          </w:tcPr>
          <w:p>
            <w:pPr>
              <w:spacing w:after="0"/>
              <w:rPr>
                <w:sz w:val="20"/>
                <w:szCs w:val="20"/>
                <w:color w:val="auto"/>
              </w:rPr>
            </w:pPr>
          </w:p>
        </w:tc>
        <w:tc>
          <w:tcPr>
            <w:tcW w:w="600" w:type="dxa"/>
            <w:vAlign w:val="bottom"/>
            <w:tcBorders>
              <w:bottom w:val="single" w:sz="8" w:color="021496"/>
            </w:tcBorders>
            <w:shd w:val="clear" w:color="auto" w:fill="D8D8D8"/>
          </w:tcPr>
          <w:p>
            <w:pPr>
              <w:spacing w:after="0"/>
              <w:rPr>
                <w:sz w:val="20"/>
                <w:szCs w:val="20"/>
                <w:color w:val="auto"/>
              </w:rPr>
            </w:pPr>
          </w:p>
        </w:tc>
        <w:tc>
          <w:tcPr>
            <w:tcW w:w="740" w:type="dxa"/>
            <w:vAlign w:val="bottom"/>
            <w:tcBorders>
              <w:bottom w:val="single" w:sz="8" w:color="021496"/>
            </w:tcBorders>
            <w:shd w:val="clear" w:color="auto" w:fill="D8D8D8"/>
          </w:tcPr>
          <w:p>
            <w:pPr>
              <w:spacing w:after="0"/>
              <w:rPr>
                <w:sz w:val="20"/>
                <w:szCs w:val="20"/>
                <w:color w:val="auto"/>
              </w:rPr>
            </w:pPr>
          </w:p>
        </w:tc>
        <w:tc>
          <w:tcPr>
            <w:tcW w:w="80" w:type="dxa"/>
            <w:vAlign w:val="bottom"/>
            <w:tcBorders>
              <w:bottom w:val="single" w:sz="8" w:color="021496"/>
            </w:tcBorders>
            <w:shd w:val="clear" w:color="auto" w:fill="D8D8D8"/>
          </w:tcPr>
          <w:p>
            <w:pPr>
              <w:spacing w:after="0"/>
              <w:rPr>
                <w:sz w:val="20"/>
                <w:szCs w:val="20"/>
                <w:color w:val="auto"/>
              </w:rPr>
            </w:pPr>
          </w:p>
        </w:tc>
        <w:tc>
          <w:tcPr>
            <w:tcW w:w="7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4"/>
                <w:szCs w:val="14"/>
                <w:color w:val="auto"/>
              </w:rPr>
              <w:t>643</w:t>
            </w:r>
          </w:p>
        </w:tc>
        <w:tc>
          <w:tcPr>
            <w:tcW w:w="880" w:type="dxa"/>
            <w:vAlign w:val="bottom"/>
            <w:tcBorders>
              <w:bottom w:val="single" w:sz="8" w:color="021496"/>
            </w:tcBorders>
            <w:shd w:val="clear" w:color="auto" w:fill="D8D8D8"/>
          </w:tcPr>
          <w:p>
            <w:pPr>
              <w:spacing w:after="0"/>
              <w:rPr>
                <w:sz w:val="20"/>
                <w:szCs w:val="20"/>
                <w:color w:val="auto"/>
              </w:rPr>
            </w:pPr>
          </w:p>
        </w:tc>
        <w:tc>
          <w:tcPr>
            <w:tcW w:w="700" w:type="dxa"/>
            <w:vAlign w:val="bottom"/>
            <w:tcBorders>
              <w:bottom w:val="single" w:sz="8" w:color="021496"/>
            </w:tcBorders>
            <w:shd w:val="clear" w:color="auto" w:fill="D8D8D8"/>
          </w:tcPr>
          <w:p>
            <w:pPr>
              <w:spacing w:after="0"/>
              <w:rPr>
                <w:sz w:val="20"/>
                <w:szCs w:val="20"/>
                <w:color w:val="auto"/>
              </w:rPr>
            </w:pPr>
          </w:p>
        </w:tc>
        <w:tc>
          <w:tcPr>
            <w:tcW w:w="820" w:type="dxa"/>
            <w:vAlign w:val="bottom"/>
            <w:tcBorders>
              <w:bottom w:val="single" w:sz="8" w:color="021496"/>
            </w:tcBorders>
            <w:shd w:val="clear" w:color="auto" w:fill="D8D8D8"/>
          </w:tcPr>
          <w:p>
            <w:pPr>
              <w:jc w:val="right"/>
              <w:ind w:right="29"/>
              <w:spacing w:after="0"/>
              <w:rPr>
                <w:sz w:val="20"/>
                <w:szCs w:val="20"/>
                <w:color w:val="auto"/>
              </w:rPr>
            </w:pPr>
            <w:r>
              <w:rPr>
                <w:rFonts w:ascii="Arial" w:cs="Arial" w:eastAsia="Arial" w:hAnsi="Arial"/>
                <w:sz w:val="14"/>
                <w:szCs w:val="14"/>
                <w:color w:val="auto"/>
              </w:rPr>
              <w:t>130,098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-152400</wp:posOffset>
            </wp:positionV>
            <wp:extent cx="55797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-432435</wp:posOffset>
            </wp:positionV>
            <wp:extent cx="55797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-576580</wp:posOffset>
            </wp:positionV>
            <wp:extent cx="55797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-1562100</wp:posOffset>
            </wp:positionV>
            <wp:extent cx="55797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-1842135</wp:posOffset>
            </wp:positionV>
            <wp:extent cx="55797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-1986280</wp:posOffset>
            </wp:positionV>
            <wp:extent cx="55797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-2971800</wp:posOffset>
            </wp:positionV>
            <wp:extent cx="55797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-3251835</wp:posOffset>
            </wp:positionV>
            <wp:extent cx="55797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-3396615</wp:posOffset>
            </wp:positionV>
            <wp:extent cx="55797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9745" cy="8255"/>
                    </a:xfrm>
                    <a:prstGeom prst="rect">
                      <a:avLst/>
                    </a:prstGeom>
                    <a:noFill/>
                  </pic:spPr>
                </pic:pic>
              </a:graphicData>
            </a:graphic>
          </wp:anchor>
        </w:drawing>
      </w:r>
    </w:p>
    <w:p>
      <w:pPr>
        <w:spacing w:after="0" w:line="35" w:lineRule="exact"/>
        <w:rPr>
          <w:sz w:val="20"/>
          <w:szCs w:val="20"/>
          <w:color w:val="auto"/>
        </w:rPr>
      </w:pPr>
    </w:p>
    <w:p>
      <w:pPr>
        <w:ind w:left="760" w:right="620" w:hanging="325"/>
        <w:spacing w:after="0" w:line="270" w:lineRule="auto"/>
        <w:tabs>
          <w:tab w:leader="none" w:pos="7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minimum amount payable for a certain level of performance. Under each of our plans, there is no guaranteed minimum payment.</w:t>
      </w:r>
    </w:p>
    <w:p>
      <w:pPr>
        <w:ind w:left="760" w:right="520" w:hanging="325"/>
        <w:spacing w:after="0" w:line="270" w:lineRule="auto"/>
        <w:tabs>
          <w:tab w:leader="none" w:pos="7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in this row reflect the potential payouts in February 2026 for 2025 under the AIP. The bonus amount actually paid in February 2026 is disclosed in the Summary Compensation Table in the column “Bonus” for 2025 for the executive officer.</w:t>
      </w:r>
    </w:p>
    <w:p>
      <w:pPr>
        <w:ind w:left="760" w:right="620" w:hanging="325"/>
        <w:spacing w:after="0" w:line="270" w:lineRule="auto"/>
        <w:tabs>
          <w:tab w:leader="none" w:pos="7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2021 LTIP that will not be exercisable until February 14, 2028. The grant date fair value was calculated in accordance with FASB ASC 718, using a Black-Scholes value of $66.39 per SSAR.</w:t>
      </w:r>
    </w:p>
    <w:p>
      <w:pPr>
        <w:ind w:left="760" w:right="100" w:hanging="325"/>
        <w:spacing w:after="0" w:line="255" w:lineRule="auto"/>
        <w:tabs>
          <w:tab w:leader="none" w:pos="7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performance shares under the 2021 LTIP. The performance shares vest and become payable after the three-year performance period ending December 31, 2027 subject to the achievement of two equally weighted measures which are considered (i) market condition and (ii) performance condition per FASB ASC 718. The grant date fair value of the market condition portion is $318.38 per share calculated using the Monte Carlo simulation</w:t>
      </w:r>
    </w:p>
    <w:p>
      <w:pPr>
        <w:spacing w:after="0" w:line="112"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ectPr>
          <w:pgSz w:w="11900" w:h="16838" w:orient="portrait"/>
          <w:cols w:equalWidth="0" w:num="1">
            <w:col w:w="10920"/>
          </w:cols>
          <w:pgMar w:left="480" w:top="299" w:right="49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2" w:lineRule="exact"/>
        <w:rPr>
          <w:sz w:val="20"/>
          <w:szCs w:val="20"/>
          <w:color w:val="auto"/>
        </w:rPr>
      </w:pPr>
    </w:p>
    <w:p>
      <w:pPr>
        <w:ind w:left="760" w:right="500"/>
        <w:spacing w:after="0" w:line="270" w:lineRule="auto"/>
        <w:rPr>
          <w:sz w:val="20"/>
          <w:szCs w:val="20"/>
          <w:color w:val="auto"/>
        </w:rPr>
      </w:pPr>
      <w:r>
        <w:rPr>
          <w:rFonts w:ascii="Arial" w:cs="Arial" w:eastAsia="Arial" w:hAnsi="Arial"/>
          <w:sz w:val="16"/>
          <w:szCs w:val="16"/>
          <w:i w:val="1"/>
          <w:iCs w:val="1"/>
          <w:color w:val="auto"/>
        </w:rPr>
        <w:t>mode in accordance with FASB ASC 718 and the grant date fair value of the performance condition portion is $202.33 based on Dover’s closing stock price at the date of grant.</w:t>
      </w:r>
    </w:p>
    <w:p>
      <w:pPr>
        <w:spacing w:after="0" w:line="1" w:lineRule="exact"/>
        <w:rPr>
          <w:sz w:val="20"/>
          <w:szCs w:val="20"/>
          <w:color w:val="auto"/>
        </w:rPr>
      </w:pPr>
    </w:p>
    <w:p>
      <w:pPr>
        <w:ind w:left="760" w:right="20" w:hanging="325"/>
        <w:spacing w:after="0" w:line="277" w:lineRule="auto"/>
        <w:tabs>
          <w:tab w:leader="none" w:pos="76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RSUs under the 2021 LTIP Plan. The grant vests in three equal annual installments beginning on March 15, 2026. The grant date fair value for the awards were calculated in accordance with FASB ASC 718, using a value of $202.33 per share.</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Outstanding Equity Awards at Fiscal Year-End 2025</w:t>
      </w:r>
    </w:p>
    <w:p>
      <w:pPr>
        <w:spacing w:after="0" w:line="231"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Awards listed below with grant dates beginning in 2013 were made under the 2012 Equity and Cash Incentive Plan (the “2012 LTIP”). All equity awards outstanding as of May 9, 2018 were adjusted as a result of the spin-off of Apergy Corporation (now known as ChampionX Corporation) to preserve the value of the awards in accordance with the Employee Matters Agreement, dated May 9, 2018, between Dover and Apergy.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Effective May 7, 2021, we adopted the 2021 LTIP. All grants of equity awards made on or after May 7, 2021 were made under the 2021 LTIP.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Borders>
              <w:top w:val="single" w:sz="8" w:color="021496"/>
            </w:tcBorders>
          </w:tcPr>
          <w:p>
            <w:pPr>
              <w:spacing w:after="0"/>
              <w:rPr>
                <w:sz w:val="16"/>
                <w:szCs w:val="16"/>
                <w:color w:val="auto"/>
              </w:rPr>
            </w:pPr>
          </w:p>
        </w:tc>
        <w:tc>
          <w:tcPr>
            <w:tcW w:w="940" w:type="dxa"/>
            <w:vAlign w:val="bottom"/>
            <w:tcBorders>
              <w:top w:val="single" w:sz="8" w:color="021496"/>
            </w:tcBorders>
            <w:gridSpan w:val="2"/>
          </w:tcPr>
          <w:p>
            <w:pPr>
              <w:ind w:left="40"/>
              <w:spacing w:after="0"/>
              <w:rPr>
                <w:sz w:val="20"/>
                <w:szCs w:val="20"/>
                <w:color w:val="auto"/>
              </w:rPr>
            </w:pPr>
            <w:r>
              <w:rPr>
                <w:rFonts w:ascii="Arial" w:cs="Arial" w:eastAsia="Arial" w:hAnsi="Arial"/>
                <w:sz w:val="12"/>
                <w:szCs w:val="12"/>
                <w:b w:val="1"/>
                <w:bCs w:val="1"/>
                <w:color w:val="auto"/>
              </w:rPr>
              <w:t>Option Awards</w:t>
            </w:r>
          </w:p>
        </w:tc>
        <w:tc>
          <w:tcPr>
            <w:tcW w:w="1020" w:type="dxa"/>
            <w:vAlign w:val="bottom"/>
            <w:tcBorders>
              <w:top w:val="single" w:sz="8" w:color="021496"/>
            </w:tcBorders>
          </w:tcPr>
          <w:p>
            <w:pPr>
              <w:spacing w:after="0"/>
              <w:rPr>
                <w:sz w:val="16"/>
                <w:szCs w:val="16"/>
                <w:color w:val="auto"/>
              </w:rPr>
            </w:pPr>
          </w:p>
        </w:tc>
        <w:tc>
          <w:tcPr>
            <w:tcW w:w="660" w:type="dxa"/>
            <w:vAlign w:val="bottom"/>
            <w:tcBorders>
              <w:top w:val="single" w:sz="8" w:color="021496"/>
            </w:tcBorders>
          </w:tcPr>
          <w:p>
            <w:pPr>
              <w:spacing w:after="0"/>
              <w:rPr>
                <w:sz w:val="16"/>
                <w:szCs w:val="16"/>
                <w:color w:val="auto"/>
              </w:rPr>
            </w:pPr>
          </w:p>
        </w:tc>
        <w:tc>
          <w:tcPr>
            <w:tcW w:w="860" w:type="dxa"/>
            <w:vAlign w:val="bottom"/>
            <w:tcBorders>
              <w:top w:val="single" w:sz="8" w:color="021496"/>
            </w:tcBorders>
          </w:tcPr>
          <w:p>
            <w:pPr>
              <w:spacing w:after="0"/>
              <w:rPr>
                <w:sz w:val="16"/>
                <w:szCs w:val="16"/>
                <w:color w:val="auto"/>
              </w:rPr>
            </w:pPr>
          </w:p>
        </w:tc>
        <w:tc>
          <w:tcPr>
            <w:tcW w:w="240" w:type="dxa"/>
            <w:vAlign w:val="bottom"/>
            <w:tcBorders>
              <w:top w:val="single" w:sz="8" w:color="021496"/>
            </w:tcBorders>
          </w:tcPr>
          <w:p>
            <w:pPr>
              <w:spacing w:after="0"/>
              <w:rPr>
                <w:sz w:val="16"/>
                <w:szCs w:val="16"/>
                <w:color w:val="auto"/>
              </w:rPr>
            </w:pPr>
          </w:p>
        </w:tc>
        <w:tc>
          <w:tcPr>
            <w:tcW w:w="900" w:type="dxa"/>
            <w:vAlign w:val="bottom"/>
            <w:tcBorders>
              <w:top w:val="single" w:sz="8" w:color="021496"/>
            </w:tcBorders>
          </w:tcPr>
          <w:p>
            <w:pPr>
              <w:ind w:left="40"/>
              <w:spacing w:after="0"/>
              <w:rPr>
                <w:sz w:val="20"/>
                <w:szCs w:val="20"/>
                <w:color w:val="auto"/>
              </w:rPr>
            </w:pPr>
            <w:r>
              <w:rPr>
                <w:rFonts w:ascii="Arial" w:cs="Arial" w:eastAsia="Arial" w:hAnsi="Arial"/>
                <w:sz w:val="12"/>
                <w:szCs w:val="12"/>
                <w:b w:val="1"/>
                <w:bCs w:val="1"/>
                <w:color w:val="auto"/>
              </w:rPr>
              <w:t>Stock Awards</w:t>
            </w:r>
          </w:p>
        </w:tc>
        <w:tc>
          <w:tcPr>
            <w:tcW w:w="1140" w:type="dxa"/>
            <w:vAlign w:val="bottom"/>
            <w:tcBorders>
              <w:top w:val="single" w:sz="8" w:color="021496"/>
            </w:tcBorders>
          </w:tcPr>
          <w:p>
            <w:pPr>
              <w:spacing w:after="0"/>
              <w:rPr>
                <w:sz w:val="16"/>
                <w:szCs w:val="16"/>
                <w:color w:val="auto"/>
              </w:rPr>
            </w:pPr>
          </w:p>
        </w:tc>
        <w:tc>
          <w:tcPr>
            <w:tcW w:w="1020" w:type="dxa"/>
            <w:vAlign w:val="bottom"/>
            <w:tcBorders>
              <w:top w:val="single" w:sz="8" w:color="021496"/>
            </w:tcBorders>
          </w:tcPr>
          <w:p>
            <w:pPr>
              <w:spacing w:after="0"/>
              <w:rPr>
                <w:sz w:val="16"/>
                <w:szCs w:val="16"/>
                <w:color w:val="auto"/>
              </w:rPr>
            </w:pPr>
          </w:p>
        </w:tc>
        <w:tc>
          <w:tcPr>
            <w:tcW w:w="1200" w:type="dxa"/>
            <w:vAlign w:val="bottom"/>
            <w:tcBorders>
              <w:top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940" w:type="dxa"/>
            <w:vAlign w:val="bottom"/>
          </w:tcPr>
          <w:p>
            <w:pPr>
              <w:spacing w:after="0"/>
              <w:rPr>
                <w:sz w:val="3"/>
                <w:szCs w:val="3"/>
                <w:color w:val="auto"/>
              </w:rPr>
            </w:pPr>
          </w:p>
        </w:tc>
        <w:tc>
          <w:tcPr>
            <w:tcW w:w="660" w:type="dxa"/>
            <w:vAlign w:val="bottom"/>
            <w:tcBorders>
              <w:bottom w:val="single" w:sz="8" w:color="021496"/>
            </w:tcBorders>
          </w:tcPr>
          <w:p>
            <w:pPr>
              <w:spacing w:after="0"/>
              <w:rPr>
                <w:sz w:val="3"/>
                <w:szCs w:val="3"/>
                <w:color w:val="auto"/>
              </w:rPr>
            </w:pPr>
          </w:p>
        </w:tc>
        <w:tc>
          <w:tcPr>
            <w:tcW w:w="280" w:type="dxa"/>
            <w:vAlign w:val="bottom"/>
            <w:tcBorders>
              <w:bottom w:val="single" w:sz="8" w:color="021496"/>
            </w:tcBorders>
          </w:tcPr>
          <w:p>
            <w:pPr>
              <w:spacing w:after="0"/>
              <w:rPr>
                <w:sz w:val="3"/>
                <w:szCs w:val="3"/>
                <w:color w:val="auto"/>
              </w:rPr>
            </w:pPr>
          </w:p>
        </w:tc>
        <w:tc>
          <w:tcPr>
            <w:tcW w:w="1020" w:type="dxa"/>
            <w:vAlign w:val="bottom"/>
            <w:tcBorders>
              <w:bottom w:val="single" w:sz="8" w:color="021496"/>
            </w:tcBorders>
          </w:tcPr>
          <w:p>
            <w:pPr>
              <w:spacing w:after="0"/>
              <w:rPr>
                <w:sz w:val="3"/>
                <w:szCs w:val="3"/>
                <w:color w:val="auto"/>
              </w:rPr>
            </w:pPr>
          </w:p>
        </w:tc>
        <w:tc>
          <w:tcPr>
            <w:tcW w:w="660" w:type="dxa"/>
            <w:vAlign w:val="bottom"/>
            <w:tcBorders>
              <w:bottom w:val="single" w:sz="8" w:color="021496"/>
            </w:tcBorders>
          </w:tcPr>
          <w:p>
            <w:pPr>
              <w:spacing w:after="0"/>
              <w:rPr>
                <w:sz w:val="3"/>
                <w:szCs w:val="3"/>
                <w:color w:val="auto"/>
              </w:rPr>
            </w:pPr>
          </w:p>
        </w:tc>
        <w:tc>
          <w:tcPr>
            <w:tcW w:w="860" w:type="dxa"/>
            <w:vAlign w:val="bottom"/>
            <w:tcBorders>
              <w:bottom w:val="single" w:sz="8" w:color="021496"/>
            </w:tcBorders>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1020" w:type="dxa"/>
            <w:vAlign w:val="bottom"/>
            <w:tcBorders>
              <w:bottom w:val="single" w:sz="8" w:color="021496"/>
            </w:tcBorders>
          </w:tcPr>
          <w:p>
            <w:pPr>
              <w:spacing w:after="0"/>
              <w:rPr>
                <w:sz w:val="3"/>
                <w:szCs w:val="3"/>
                <w:color w:val="auto"/>
              </w:rPr>
            </w:pPr>
          </w:p>
        </w:tc>
        <w:tc>
          <w:tcPr>
            <w:tcW w:w="120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120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 Market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Market Value</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 of</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Payout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Option</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or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Shares or</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vMerge w:val="continue"/>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Option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of</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or</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Exercise</w:t>
            </w:r>
          </w:p>
        </w:tc>
        <w:tc>
          <w:tcPr>
            <w:tcW w:w="1100" w:type="dxa"/>
            <w:vAlign w:val="bottom"/>
            <w:gridSpan w:val="2"/>
            <w:vMerge w:val="continue"/>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 That</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Stock That</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Other Rights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2940" w:type="dxa"/>
            <w:vAlign w:val="bottom"/>
            <w:vMerge w:val="restart"/>
          </w:tcPr>
          <w:p>
            <w:pPr>
              <w:spacing w:after="0"/>
              <w:rPr>
                <w:sz w:val="20"/>
                <w:szCs w:val="20"/>
                <w:color w:val="auto"/>
              </w:rPr>
            </w:pPr>
            <w:r>
              <w:rPr>
                <w:rFonts w:ascii="Arial" w:cs="Arial" w:eastAsia="Arial" w:hAnsi="Arial"/>
                <w:sz w:val="12"/>
                <w:szCs w:val="12"/>
                <w:b w:val="1"/>
                <w:bCs w:val="1"/>
                <w:color w:val="auto"/>
              </w:rPr>
              <w:t>  Name</w:t>
            </w: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Prices</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Have Not</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180"/>
        </w:trPr>
        <w:tc>
          <w:tcPr>
            <w:tcW w:w="2940" w:type="dxa"/>
            <w:vAlign w:val="bottom"/>
            <w:vMerge w:val="continue"/>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Unexercisable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Vested (#)</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Vested ($)</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not Vested (#)</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Vested ($)</w:t>
            </w:r>
          </w:p>
        </w:tc>
        <w:tc>
          <w:tcPr>
            <w:tcW w:w="0" w:type="dxa"/>
            <w:vAlign w:val="bottom"/>
          </w:tcPr>
          <w:p>
            <w:pPr>
              <w:spacing w:after="0"/>
              <w:rPr>
                <w:sz w:val="1"/>
                <w:szCs w:val="1"/>
                <w:color w:val="auto"/>
              </w:rPr>
            </w:pPr>
          </w:p>
        </w:tc>
      </w:tr>
      <w:tr>
        <w:trPr>
          <w:trHeight w:val="48"/>
        </w:trPr>
        <w:tc>
          <w:tcPr>
            <w:tcW w:w="2940" w:type="dxa"/>
            <w:vAlign w:val="bottom"/>
            <w:tcBorders>
              <w:bottom w:val="single" w:sz="8" w:color="021496"/>
            </w:tcBorders>
          </w:tcPr>
          <w:p>
            <w:pPr>
              <w:spacing w:after="0"/>
              <w:rPr>
                <w:sz w:val="4"/>
                <w:szCs w:val="4"/>
                <w:color w:val="auto"/>
              </w:rPr>
            </w:pPr>
          </w:p>
        </w:tc>
        <w:tc>
          <w:tcPr>
            <w:tcW w:w="660" w:type="dxa"/>
            <w:vAlign w:val="bottom"/>
            <w:tcBorders>
              <w:bottom w:val="single" w:sz="8" w:color="021496"/>
            </w:tcBorders>
          </w:tcPr>
          <w:p>
            <w:pPr>
              <w:spacing w:after="0"/>
              <w:rPr>
                <w:sz w:val="4"/>
                <w:szCs w:val="4"/>
                <w:color w:val="auto"/>
              </w:rPr>
            </w:pPr>
          </w:p>
        </w:tc>
        <w:tc>
          <w:tcPr>
            <w:tcW w:w="280" w:type="dxa"/>
            <w:vAlign w:val="bottom"/>
            <w:tcBorders>
              <w:bottom w:val="single" w:sz="8" w:color="021496"/>
            </w:tcBorders>
          </w:tcPr>
          <w:p>
            <w:pPr>
              <w:spacing w:after="0"/>
              <w:rPr>
                <w:sz w:val="4"/>
                <w:szCs w:val="4"/>
                <w:color w:val="auto"/>
              </w:rPr>
            </w:pPr>
          </w:p>
        </w:tc>
        <w:tc>
          <w:tcPr>
            <w:tcW w:w="1020" w:type="dxa"/>
            <w:vAlign w:val="bottom"/>
            <w:tcBorders>
              <w:bottom w:val="single" w:sz="8" w:color="021496"/>
            </w:tcBorders>
          </w:tcPr>
          <w:p>
            <w:pPr>
              <w:spacing w:after="0"/>
              <w:rPr>
                <w:sz w:val="4"/>
                <w:szCs w:val="4"/>
                <w:color w:val="auto"/>
              </w:rPr>
            </w:pPr>
          </w:p>
        </w:tc>
        <w:tc>
          <w:tcPr>
            <w:tcW w:w="660" w:type="dxa"/>
            <w:vAlign w:val="bottom"/>
            <w:tcBorders>
              <w:bottom w:val="single" w:sz="8" w:color="021496"/>
            </w:tcBorders>
          </w:tcPr>
          <w:p>
            <w:pPr>
              <w:spacing w:after="0"/>
              <w:rPr>
                <w:sz w:val="4"/>
                <w:szCs w:val="4"/>
                <w:color w:val="auto"/>
              </w:rPr>
            </w:pPr>
          </w:p>
        </w:tc>
        <w:tc>
          <w:tcPr>
            <w:tcW w:w="860" w:type="dxa"/>
            <w:vAlign w:val="bottom"/>
            <w:tcBorders>
              <w:bottom w:val="single" w:sz="8" w:color="021496"/>
            </w:tcBorders>
          </w:tcPr>
          <w:p>
            <w:pPr>
              <w:spacing w:after="0"/>
              <w:rPr>
                <w:sz w:val="4"/>
                <w:szCs w:val="4"/>
                <w:color w:val="auto"/>
              </w:rPr>
            </w:pPr>
          </w:p>
        </w:tc>
        <w:tc>
          <w:tcPr>
            <w:tcW w:w="240" w:type="dxa"/>
            <w:vAlign w:val="bottom"/>
            <w:tcBorders>
              <w:bottom w:val="single" w:sz="8" w:color="021496"/>
            </w:tcBorders>
          </w:tcPr>
          <w:p>
            <w:pPr>
              <w:spacing w:after="0"/>
              <w:rPr>
                <w:sz w:val="4"/>
                <w:szCs w:val="4"/>
                <w:color w:val="auto"/>
              </w:rPr>
            </w:pPr>
          </w:p>
        </w:tc>
        <w:tc>
          <w:tcPr>
            <w:tcW w:w="900" w:type="dxa"/>
            <w:vAlign w:val="bottom"/>
            <w:tcBorders>
              <w:bottom w:val="single" w:sz="8" w:color="021496"/>
            </w:tcBorders>
          </w:tcPr>
          <w:p>
            <w:pPr>
              <w:spacing w:after="0"/>
              <w:rPr>
                <w:sz w:val="4"/>
                <w:szCs w:val="4"/>
                <w:color w:val="auto"/>
              </w:rPr>
            </w:pPr>
          </w:p>
        </w:tc>
        <w:tc>
          <w:tcPr>
            <w:tcW w:w="1140" w:type="dxa"/>
            <w:vAlign w:val="bottom"/>
            <w:tcBorders>
              <w:bottom w:val="single" w:sz="8" w:color="021496"/>
            </w:tcBorders>
          </w:tcPr>
          <w:p>
            <w:pPr>
              <w:spacing w:after="0"/>
              <w:rPr>
                <w:sz w:val="4"/>
                <w:szCs w:val="4"/>
                <w:color w:val="auto"/>
              </w:rPr>
            </w:pPr>
          </w:p>
        </w:tc>
        <w:tc>
          <w:tcPr>
            <w:tcW w:w="1020" w:type="dxa"/>
            <w:vAlign w:val="bottom"/>
            <w:tcBorders>
              <w:bottom w:val="single" w:sz="8" w:color="021496"/>
            </w:tcBorders>
          </w:tcPr>
          <w:p>
            <w:pPr>
              <w:spacing w:after="0"/>
              <w:rPr>
                <w:sz w:val="4"/>
                <w:szCs w:val="4"/>
                <w:color w:val="auto"/>
              </w:rPr>
            </w:pPr>
          </w:p>
        </w:tc>
        <w:tc>
          <w:tcPr>
            <w:tcW w:w="120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shd w:val="clear" w:color="auto" w:fill="D8D8D8"/>
          </w:tcPr>
          <w:p>
            <w:pPr>
              <w:spacing w:after="0" w:line="154" w:lineRule="exact"/>
              <w:rPr>
                <w:sz w:val="20"/>
                <w:szCs w:val="20"/>
                <w:color w:val="auto"/>
              </w:rPr>
            </w:pPr>
            <w:r>
              <w:rPr>
                <w:rFonts w:ascii="Arial" w:cs="Arial" w:eastAsia="Arial" w:hAnsi="Arial"/>
                <w:sz w:val="14"/>
                <w:szCs w:val="14"/>
                <w:color w:val="auto"/>
              </w:rPr>
              <w:t>  Richard J. Tobin</w:t>
            </w:r>
          </w:p>
        </w:tc>
        <w:tc>
          <w:tcPr>
            <w:tcW w:w="6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020" w:type="dxa"/>
            <w:vAlign w:val="bottom"/>
            <w:shd w:val="clear" w:color="auto" w:fill="D8D8D8"/>
          </w:tcPr>
          <w:p>
            <w:pPr>
              <w:jc w:val="right"/>
              <w:ind w:right="33"/>
              <w:spacing w:after="0" w:line="154" w:lineRule="exact"/>
              <w:rPr>
                <w:sz w:val="20"/>
                <w:szCs w:val="20"/>
                <w:color w:val="auto"/>
              </w:rPr>
            </w:pPr>
            <w:r>
              <w:rPr>
                <w:rFonts w:ascii="Arial" w:cs="Arial" w:eastAsia="Arial" w:hAnsi="Arial"/>
                <w:sz w:val="14"/>
                <w:szCs w:val="14"/>
                <w:color w:val="auto"/>
              </w:rPr>
              <w:t>98,848 (1)</w:t>
            </w:r>
          </w:p>
        </w:tc>
        <w:tc>
          <w:tcPr>
            <w:tcW w:w="660" w:type="dxa"/>
            <w:vAlign w:val="bottom"/>
            <w:shd w:val="clear" w:color="auto" w:fill="D8D8D8"/>
          </w:tcPr>
          <w:p>
            <w:pPr>
              <w:jc w:val="right"/>
              <w:ind w:right="10"/>
              <w:spacing w:after="0" w:line="154" w:lineRule="exact"/>
              <w:rPr>
                <w:sz w:val="20"/>
                <w:szCs w:val="20"/>
                <w:color w:val="auto"/>
              </w:rPr>
            </w:pPr>
            <w:r>
              <w:rPr>
                <w:rFonts w:ascii="Arial" w:cs="Arial" w:eastAsia="Arial" w:hAnsi="Arial"/>
                <w:sz w:val="14"/>
                <w:szCs w:val="14"/>
                <w:color w:val="auto"/>
              </w:rPr>
              <w:t>202.33</w:t>
            </w:r>
          </w:p>
        </w:tc>
        <w:tc>
          <w:tcPr>
            <w:tcW w:w="860" w:type="dxa"/>
            <w:vAlign w:val="bottom"/>
            <w:shd w:val="clear" w:color="auto" w:fill="D8D8D8"/>
          </w:tcPr>
          <w:p>
            <w:pPr>
              <w:jc w:val="right"/>
              <w:ind w:right="30"/>
              <w:spacing w:after="0" w:line="154" w:lineRule="exact"/>
              <w:rPr>
                <w:sz w:val="20"/>
                <w:szCs w:val="20"/>
                <w:color w:val="auto"/>
              </w:rPr>
            </w:pPr>
            <w:r>
              <w:rPr>
                <w:rFonts w:ascii="Arial" w:cs="Arial" w:eastAsia="Arial" w:hAnsi="Arial"/>
                <w:sz w:val="14"/>
                <w:szCs w:val="14"/>
                <w:color w:val="auto"/>
              </w:rPr>
              <w:t>2/14/2035</w:t>
            </w:r>
          </w:p>
        </w:tc>
        <w:tc>
          <w:tcPr>
            <w:tcW w:w="240" w:type="dxa"/>
            <w:vAlign w:val="bottom"/>
            <w:shd w:val="clear" w:color="auto" w:fill="D8D8D8"/>
          </w:tcPr>
          <w:p>
            <w:pPr>
              <w:spacing w:after="0"/>
              <w:rPr>
                <w:sz w:val="13"/>
                <w:szCs w:val="13"/>
                <w:color w:val="auto"/>
              </w:rPr>
            </w:pPr>
          </w:p>
        </w:tc>
        <w:tc>
          <w:tcPr>
            <w:tcW w:w="90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116,587 (2)</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2/08/2034</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110,205 (3)</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2/10/2033</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99,869</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(4)</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2/11/2032</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123,125</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(5)</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2/12/2031</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118,657</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(6)</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2/14/2030</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184,211</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(7)</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2/15/2029</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210,658</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(8)</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79.75</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5/23/2028</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11,120 (12)</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2,171,069 (16)</w:t>
            </w:r>
          </w:p>
        </w:tc>
        <w:tc>
          <w:tcPr>
            <w:tcW w:w="102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22,242 (17)</w:t>
            </w:r>
          </w:p>
        </w:tc>
        <w:tc>
          <w:tcPr>
            <w:tcW w:w="1200" w:type="dxa"/>
            <w:vAlign w:val="bottom"/>
            <w:shd w:val="clear" w:color="auto" w:fill="D8D8D8"/>
          </w:tcPr>
          <w:p>
            <w:pPr>
              <w:jc w:val="right"/>
              <w:ind w:right="34"/>
              <w:spacing w:after="0"/>
              <w:rPr>
                <w:sz w:val="20"/>
                <w:szCs w:val="20"/>
                <w:color w:val="auto"/>
              </w:rPr>
            </w:pPr>
            <w:r>
              <w:rPr>
                <w:rFonts w:ascii="Arial" w:cs="Arial" w:eastAsia="Arial" w:hAnsi="Arial"/>
                <w:sz w:val="14"/>
                <w:szCs w:val="14"/>
                <w:color w:val="auto"/>
              </w:rPr>
              <w:t>4,342,528 (21)</w:t>
            </w: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8,744 (13)</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1,707,179 (16)</w:t>
            </w:r>
          </w:p>
        </w:tc>
        <w:tc>
          <w:tcPr>
            <w:tcW w:w="102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26,232 (18)</w:t>
            </w:r>
          </w:p>
        </w:tc>
        <w:tc>
          <w:tcPr>
            <w:tcW w:w="1200" w:type="dxa"/>
            <w:vAlign w:val="bottom"/>
            <w:shd w:val="clear" w:color="auto" w:fill="D8D8D8"/>
          </w:tcPr>
          <w:p>
            <w:pPr>
              <w:jc w:val="right"/>
              <w:ind w:right="34"/>
              <w:spacing w:after="0"/>
              <w:rPr>
                <w:sz w:val="20"/>
                <w:szCs w:val="20"/>
                <w:color w:val="auto"/>
              </w:rPr>
            </w:pPr>
            <w:r>
              <w:rPr>
                <w:rFonts w:ascii="Arial" w:cs="Arial" w:eastAsia="Arial" w:hAnsi="Arial"/>
                <w:sz w:val="14"/>
                <w:szCs w:val="14"/>
                <w:color w:val="auto"/>
              </w:rPr>
              <w:t>5,121,536 (21)</w:t>
            </w:r>
          </w:p>
        </w:tc>
        <w:tc>
          <w:tcPr>
            <w:tcW w:w="0" w:type="dxa"/>
            <w:vAlign w:val="bottom"/>
          </w:tcPr>
          <w:p>
            <w:pPr>
              <w:spacing w:after="0"/>
              <w:rPr>
                <w:sz w:val="1"/>
                <w:szCs w:val="1"/>
                <w:color w:val="auto"/>
              </w:rPr>
            </w:pPr>
          </w:p>
        </w:tc>
      </w:tr>
      <w:tr>
        <w:trPr>
          <w:trHeight w:val="235"/>
        </w:trPr>
        <w:tc>
          <w:tcPr>
            <w:tcW w:w="2940" w:type="dxa"/>
            <w:vAlign w:val="bottom"/>
            <w:shd w:val="clear" w:color="auto" w:fill="D8D8D8"/>
          </w:tcPr>
          <w:p>
            <w:pPr>
              <w:spacing w:after="0"/>
              <w:rPr>
                <w:sz w:val="20"/>
                <w:szCs w:val="20"/>
                <w:color w:val="auto"/>
              </w:rPr>
            </w:pPr>
          </w:p>
        </w:tc>
        <w:tc>
          <w:tcPr>
            <w:tcW w:w="66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66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4,133 (14)</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806,927 (16)</w:t>
            </w:r>
          </w:p>
        </w:tc>
        <w:tc>
          <w:tcPr>
            <w:tcW w:w="102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24,796 (19)</w:t>
            </w:r>
          </w:p>
        </w:tc>
        <w:tc>
          <w:tcPr>
            <w:tcW w:w="1200" w:type="dxa"/>
            <w:vAlign w:val="bottom"/>
            <w:shd w:val="clear" w:color="auto" w:fill="D8D8D8"/>
          </w:tcPr>
          <w:p>
            <w:pPr>
              <w:jc w:val="right"/>
              <w:ind w:right="34"/>
              <w:spacing w:after="0"/>
              <w:rPr>
                <w:sz w:val="20"/>
                <w:szCs w:val="20"/>
                <w:color w:val="auto"/>
              </w:rPr>
            </w:pPr>
            <w:r>
              <w:rPr>
                <w:rFonts w:ascii="Arial" w:cs="Arial" w:eastAsia="Arial" w:hAnsi="Arial"/>
                <w:sz w:val="14"/>
                <w:szCs w:val="14"/>
                <w:color w:val="auto"/>
              </w:rPr>
              <w:t>4,841,171 (21)</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4"/>
                <w:szCs w:val="14"/>
                <w:color w:val="auto"/>
              </w:rPr>
              <w:t>  Chris B. Woenker</w:t>
            </w:r>
          </w:p>
        </w:tc>
        <w:tc>
          <w:tcPr>
            <w:tcW w:w="660" w:type="dxa"/>
            <w:vAlign w:val="bottom"/>
            <w:tcBorders>
              <w:bottom w:val="single" w:sz="8" w:color="999999"/>
            </w:tcBorders>
          </w:tcPr>
          <w:p>
            <w:pPr>
              <w:spacing w:after="0"/>
              <w:rPr>
                <w:sz w:val="13"/>
                <w:szCs w:val="13"/>
                <w:color w:val="auto"/>
              </w:rPr>
            </w:pPr>
          </w:p>
        </w:tc>
        <w:tc>
          <w:tcPr>
            <w:tcW w:w="28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8,787 (1)</w:t>
            </w: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202.33</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2/14/2035</w:t>
            </w:r>
          </w:p>
        </w:tc>
        <w:tc>
          <w:tcPr>
            <w:tcW w:w="240" w:type="dxa"/>
            <w:vAlign w:val="bottom"/>
            <w:tcBorders>
              <w:bottom w:val="single" w:sz="8" w:color="999999"/>
            </w:tcBorders>
          </w:tcPr>
          <w:p>
            <w:pPr>
              <w:spacing w:after="0"/>
              <w:rPr>
                <w:sz w:val="13"/>
                <w:szCs w:val="13"/>
                <w:color w:val="auto"/>
              </w:rPr>
            </w:pPr>
          </w:p>
        </w:tc>
        <w:tc>
          <w:tcPr>
            <w:tcW w:w="900" w:type="dxa"/>
            <w:vAlign w:val="bottom"/>
            <w:tcBorders>
              <w:bottom w:val="single" w:sz="8" w:color="999999"/>
            </w:tcBorders>
          </w:tcPr>
          <w:p>
            <w:pPr>
              <w:spacing w:after="0"/>
              <w:rPr>
                <w:sz w:val="13"/>
                <w:szCs w:val="13"/>
                <w:color w:val="auto"/>
              </w:rPr>
            </w:pPr>
          </w:p>
        </w:tc>
        <w:tc>
          <w:tcPr>
            <w:tcW w:w="114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120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660" w:type="dxa"/>
            <w:vAlign w:val="bottom"/>
            <w:tcBorders>
              <w:bottom w:val="single" w:sz="8" w:color="999999"/>
            </w:tcBorders>
          </w:tcPr>
          <w:p>
            <w:pPr>
              <w:spacing w:after="0"/>
              <w:rPr>
                <w:sz w:val="17"/>
                <w:szCs w:val="17"/>
                <w:color w:val="auto"/>
              </w:rPr>
            </w:pPr>
          </w:p>
        </w:tc>
        <w:tc>
          <w:tcPr>
            <w:tcW w:w="280" w:type="dxa"/>
            <w:vAlign w:val="bottom"/>
            <w:tcBorders>
              <w:bottom w:val="single" w:sz="8" w:color="999999"/>
            </w:tcBorders>
          </w:tcPr>
          <w:p>
            <w:pPr>
              <w:spacing w:after="0"/>
              <w:rPr>
                <w:sz w:val="17"/>
                <w:szCs w:val="17"/>
                <w:color w:val="auto"/>
              </w:rPr>
            </w:pPr>
          </w:p>
        </w:tc>
        <w:tc>
          <w:tcPr>
            <w:tcW w:w="102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3,886 (2)</w:t>
            </w: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2/8/2034</w:t>
            </w:r>
          </w:p>
        </w:tc>
        <w:tc>
          <w:tcPr>
            <w:tcW w:w="240" w:type="dxa"/>
            <w:vAlign w:val="bottom"/>
            <w:tcBorders>
              <w:bottom w:val="single" w:sz="8" w:color="999999"/>
            </w:tcBorders>
          </w:tcPr>
          <w:p>
            <w:pPr>
              <w:spacing w:after="0"/>
              <w:rPr>
                <w:sz w:val="17"/>
                <w:szCs w:val="17"/>
                <w:color w:val="auto"/>
              </w:rPr>
            </w:pPr>
          </w:p>
        </w:tc>
        <w:tc>
          <w:tcPr>
            <w:tcW w:w="900" w:type="dxa"/>
            <w:vAlign w:val="bottom"/>
            <w:tcBorders>
              <w:bottom w:val="single" w:sz="8" w:color="999999"/>
            </w:tcBorders>
          </w:tcPr>
          <w:p>
            <w:pPr>
              <w:spacing w:after="0"/>
              <w:rPr>
                <w:sz w:val="17"/>
                <w:szCs w:val="17"/>
                <w:color w:val="auto"/>
              </w:rPr>
            </w:pPr>
          </w:p>
        </w:tc>
        <w:tc>
          <w:tcPr>
            <w:tcW w:w="1140" w:type="dxa"/>
            <w:vAlign w:val="bottom"/>
            <w:tcBorders>
              <w:bottom w:val="single" w:sz="8" w:color="999999"/>
            </w:tcBorders>
          </w:tcPr>
          <w:p>
            <w:pPr>
              <w:spacing w:after="0"/>
              <w:rPr>
                <w:sz w:val="17"/>
                <w:szCs w:val="17"/>
                <w:color w:val="auto"/>
              </w:rPr>
            </w:pPr>
          </w:p>
        </w:tc>
        <w:tc>
          <w:tcPr>
            <w:tcW w:w="1020" w:type="dxa"/>
            <w:vAlign w:val="bottom"/>
            <w:tcBorders>
              <w:bottom w:val="single" w:sz="8" w:color="999999"/>
            </w:tcBorders>
          </w:tcPr>
          <w:p>
            <w:pPr>
              <w:spacing w:after="0"/>
              <w:rPr>
                <w:sz w:val="17"/>
                <w:szCs w:val="17"/>
                <w:color w:val="auto"/>
              </w:rPr>
            </w:pPr>
          </w:p>
        </w:tc>
        <w:tc>
          <w:tcPr>
            <w:tcW w:w="120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3,480 (3)</w:t>
            </w: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2/10/2033</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3,052</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(4)</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2/11/2032</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3,621</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(5)</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2/12/2031</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3,708</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(6)</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2/14/2030</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4,386</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(7)</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2/15/2029</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3,655</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(9)</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82.09</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2/09/2028</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40" w:type="dxa"/>
            <w:vAlign w:val="bottom"/>
            <w:tcBorders>
              <w:bottom w:val="single" w:sz="8" w:color="999999"/>
            </w:tcBorders>
            <w:gridSpan w:val="2"/>
          </w:tcPr>
          <w:p>
            <w:pPr>
              <w:jc w:val="right"/>
              <w:ind w:right="29"/>
              <w:spacing w:after="0"/>
              <w:rPr>
                <w:sz w:val="20"/>
                <w:szCs w:val="20"/>
                <w:color w:val="auto"/>
              </w:rPr>
            </w:pPr>
            <w:r>
              <w:rPr>
                <w:rFonts w:ascii="Arial" w:cs="Arial" w:eastAsia="Arial" w:hAnsi="Arial"/>
                <w:sz w:val="14"/>
                <w:szCs w:val="14"/>
                <w:color w:val="auto"/>
              </w:rPr>
              <w:t>1,795 (10)</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66.85</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2/10/2027</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988 (12)</w:t>
            </w:r>
          </w:p>
        </w:tc>
        <w:tc>
          <w:tcPr>
            <w:tcW w:w="1140" w:type="dxa"/>
            <w:vAlign w:val="bottom"/>
            <w:tcBorders>
              <w:bottom w:val="single" w:sz="8" w:color="999999"/>
            </w:tcBorders>
          </w:tcPr>
          <w:p>
            <w:pPr>
              <w:jc w:val="right"/>
              <w:ind w:right="13"/>
              <w:spacing w:after="0"/>
              <w:rPr>
                <w:sz w:val="20"/>
                <w:szCs w:val="20"/>
                <w:color w:val="auto"/>
              </w:rPr>
            </w:pPr>
            <w:r>
              <w:rPr>
                <w:rFonts w:ascii="Arial" w:cs="Arial" w:eastAsia="Arial" w:hAnsi="Arial"/>
                <w:sz w:val="14"/>
                <w:szCs w:val="14"/>
                <w:color w:val="auto"/>
              </w:rPr>
              <w:t>192,897 (16)</w:t>
            </w:r>
          </w:p>
        </w:tc>
        <w:tc>
          <w:tcPr>
            <w:tcW w:w="102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1,978 (17)</w:t>
            </w:r>
          </w:p>
        </w:tc>
        <w:tc>
          <w:tcPr>
            <w:tcW w:w="1200" w:type="dxa"/>
            <w:vAlign w:val="bottom"/>
            <w:tcBorders>
              <w:bottom w:val="single" w:sz="8" w:color="999999"/>
            </w:tcBorders>
          </w:tcPr>
          <w:p>
            <w:pPr>
              <w:jc w:val="right"/>
              <w:ind w:right="34"/>
              <w:spacing w:after="0"/>
              <w:rPr>
                <w:sz w:val="20"/>
                <w:szCs w:val="20"/>
                <w:color w:val="auto"/>
              </w:rPr>
            </w:pPr>
            <w:r>
              <w:rPr>
                <w:rFonts w:ascii="Arial" w:cs="Arial" w:eastAsia="Arial" w:hAnsi="Arial"/>
                <w:sz w:val="14"/>
                <w:szCs w:val="14"/>
                <w:color w:val="auto"/>
              </w:rPr>
              <w:t>386,185 (21)</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292 (13)</w:t>
            </w:r>
          </w:p>
        </w:tc>
        <w:tc>
          <w:tcPr>
            <w:tcW w:w="1140" w:type="dxa"/>
            <w:vAlign w:val="bottom"/>
            <w:tcBorders>
              <w:bottom w:val="single" w:sz="8" w:color="999999"/>
            </w:tcBorders>
          </w:tcPr>
          <w:p>
            <w:pPr>
              <w:jc w:val="right"/>
              <w:ind w:right="13"/>
              <w:spacing w:after="0"/>
              <w:rPr>
                <w:sz w:val="20"/>
                <w:szCs w:val="20"/>
                <w:color w:val="auto"/>
              </w:rPr>
            </w:pPr>
            <w:r>
              <w:rPr>
                <w:rFonts w:ascii="Arial" w:cs="Arial" w:eastAsia="Arial" w:hAnsi="Arial"/>
                <w:sz w:val="14"/>
                <w:szCs w:val="14"/>
                <w:color w:val="auto"/>
              </w:rPr>
              <w:t>57,010 (16)</w:t>
            </w:r>
          </w:p>
        </w:tc>
        <w:tc>
          <w:tcPr>
            <w:tcW w:w="102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874 (18)</w:t>
            </w:r>
          </w:p>
        </w:tc>
        <w:tc>
          <w:tcPr>
            <w:tcW w:w="1200" w:type="dxa"/>
            <w:vAlign w:val="bottom"/>
            <w:tcBorders>
              <w:bottom w:val="single" w:sz="8" w:color="999999"/>
            </w:tcBorders>
          </w:tcPr>
          <w:p>
            <w:pPr>
              <w:jc w:val="right"/>
              <w:ind w:right="34"/>
              <w:spacing w:after="0"/>
              <w:rPr>
                <w:sz w:val="20"/>
                <w:szCs w:val="20"/>
                <w:color w:val="auto"/>
              </w:rPr>
            </w:pPr>
            <w:r>
              <w:rPr>
                <w:rFonts w:ascii="Arial" w:cs="Arial" w:eastAsia="Arial" w:hAnsi="Arial"/>
                <w:sz w:val="14"/>
                <w:szCs w:val="14"/>
                <w:color w:val="auto"/>
              </w:rPr>
              <w:t>170,640 (21)</w:t>
            </w:r>
          </w:p>
        </w:tc>
        <w:tc>
          <w:tcPr>
            <w:tcW w:w="0" w:type="dxa"/>
            <w:vAlign w:val="bottom"/>
          </w:tcPr>
          <w:p>
            <w:pPr>
              <w:spacing w:after="0"/>
              <w:rPr>
                <w:sz w:val="1"/>
                <w:szCs w:val="1"/>
                <w:color w:val="auto"/>
              </w:rPr>
            </w:pPr>
          </w:p>
        </w:tc>
      </w:tr>
      <w:tr>
        <w:trPr>
          <w:trHeight w:val="207"/>
        </w:trPr>
        <w:tc>
          <w:tcPr>
            <w:tcW w:w="2940" w:type="dxa"/>
            <w:vAlign w:val="bottom"/>
            <w:tcBorders>
              <w:bottom w:val="single" w:sz="8" w:color="021496"/>
            </w:tcBorders>
          </w:tcPr>
          <w:p>
            <w:pPr>
              <w:spacing w:after="0"/>
              <w:rPr>
                <w:sz w:val="18"/>
                <w:szCs w:val="18"/>
                <w:color w:val="auto"/>
              </w:rPr>
            </w:pPr>
          </w:p>
        </w:tc>
        <w:tc>
          <w:tcPr>
            <w:tcW w:w="660" w:type="dxa"/>
            <w:vAlign w:val="bottom"/>
            <w:tcBorders>
              <w:bottom w:val="single" w:sz="8" w:color="021496"/>
            </w:tcBorders>
          </w:tcPr>
          <w:p>
            <w:pPr>
              <w:spacing w:after="0"/>
              <w:rPr>
                <w:sz w:val="18"/>
                <w:szCs w:val="18"/>
                <w:color w:val="auto"/>
              </w:rPr>
            </w:pPr>
          </w:p>
        </w:tc>
        <w:tc>
          <w:tcPr>
            <w:tcW w:w="280" w:type="dxa"/>
            <w:vAlign w:val="bottom"/>
            <w:tcBorders>
              <w:bottom w:val="single" w:sz="8" w:color="021496"/>
            </w:tcBorders>
          </w:tcPr>
          <w:p>
            <w:pPr>
              <w:spacing w:after="0"/>
              <w:rPr>
                <w:sz w:val="18"/>
                <w:szCs w:val="18"/>
                <w:color w:val="auto"/>
              </w:rPr>
            </w:pPr>
          </w:p>
        </w:tc>
        <w:tc>
          <w:tcPr>
            <w:tcW w:w="1020" w:type="dxa"/>
            <w:vAlign w:val="bottom"/>
            <w:tcBorders>
              <w:bottom w:val="single" w:sz="8" w:color="021496"/>
            </w:tcBorders>
          </w:tcPr>
          <w:p>
            <w:pPr>
              <w:spacing w:after="0"/>
              <w:rPr>
                <w:sz w:val="18"/>
                <w:szCs w:val="18"/>
                <w:color w:val="auto"/>
              </w:rPr>
            </w:pPr>
          </w:p>
        </w:tc>
        <w:tc>
          <w:tcPr>
            <w:tcW w:w="660" w:type="dxa"/>
            <w:vAlign w:val="bottom"/>
            <w:tcBorders>
              <w:bottom w:val="single" w:sz="8" w:color="021496"/>
            </w:tcBorders>
          </w:tcPr>
          <w:p>
            <w:pPr>
              <w:spacing w:after="0"/>
              <w:rPr>
                <w:sz w:val="18"/>
                <w:szCs w:val="18"/>
                <w:color w:val="auto"/>
              </w:rPr>
            </w:pPr>
          </w:p>
        </w:tc>
        <w:tc>
          <w:tcPr>
            <w:tcW w:w="860" w:type="dxa"/>
            <w:vAlign w:val="bottom"/>
            <w:tcBorders>
              <w:bottom w:val="single" w:sz="8" w:color="021496"/>
            </w:tcBorders>
          </w:tcPr>
          <w:p>
            <w:pPr>
              <w:spacing w:after="0"/>
              <w:rPr>
                <w:sz w:val="18"/>
                <w:szCs w:val="18"/>
                <w:color w:val="auto"/>
              </w:rPr>
            </w:pPr>
          </w:p>
        </w:tc>
        <w:tc>
          <w:tcPr>
            <w:tcW w:w="240" w:type="dxa"/>
            <w:vAlign w:val="bottom"/>
            <w:tcBorders>
              <w:bottom w:val="single" w:sz="8" w:color="021496"/>
            </w:tcBorders>
          </w:tcPr>
          <w:p>
            <w:pPr>
              <w:spacing w:after="0"/>
              <w:rPr>
                <w:sz w:val="18"/>
                <w:szCs w:val="18"/>
                <w:color w:val="auto"/>
              </w:rPr>
            </w:pPr>
          </w:p>
        </w:tc>
        <w:tc>
          <w:tcPr>
            <w:tcW w:w="900" w:type="dxa"/>
            <w:vAlign w:val="bottom"/>
            <w:tcBorders>
              <w:bottom w:val="single" w:sz="8" w:color="021496"/>
            </w:tcBorders>
          </w:tcPr>
          <w:p>
            <w:pPr>
              <w:jc w:val="right"/>
              <w:ind w:right="14"/>
              <w:spacing w:after="0"/>
              <w:rPr>
                <w:sz w:val="20"/>
                <w:szCs w:val="20"/>
                <w:color w:val="auto"/>
              </w:rPr>
            </w:pPr>
            <w:r>
              <w:rPr>
                <w:rFonts w:ascii="Arial" w:cs="Arial" w:eastAsia="Arial" w:hAnsi="Arial"/>
                <w:sz w:val="14"/>
                <w:szCs w:val="14"/>
                <w:color w:val="auto"/>
              </w:rPr>
              <w:t>131 (14)</w:t>
            </w:r>
          </w:p>
        </w:tc>
        <w:tc>
          <w:tcPr>
            <w:tcW w:w="1140" w:type="dxa"/>
            <w:vAlign w:val="bottom"/>
            <w:tcBorders>
              <w:bottom w:val="single" w:sz="8" w:color="021496"/>
            </w:tcBorders>
          </w:tcPr>
          <w:p>
            <w:pPr>
              <w:jc w:val="right"/>
              <w:ind w:right="13"/>
              <w:spacing w:after="0"/>
              <w:rPr>
                <w:sz w:val="20"/>
                <w:szCs w:val="20"/>
                <w:color w:val="auto"/>
              </w:rPr>
            </w:pPr>
            <w:r>
              <w:rPr>
                <w:rFonts w:ascii="Arial" w:cs="Arial" w:eastAsia="Arial" w:hAnsi="Arial"/>
                <w:sz w:val="14"/>
                <w:szCs w:val="14"/>
                <w:color w:val="auto"/>
              </w:rPr>
              <w:t>25,576 (16)</w:t>
            </w:r>
          </w:p>
        </w:tc>
        <w:tc>
          <w:tcPr>
            <w:tcW w:w="1020" w:type="dxa"/>
            <w:vAlign w:val="bottom"/>
            <w:tcBorders>
              <w:bottom w:val="single" w:sz="8" w:color="021496"/>
            </w:tcBorders>
          </w:tcPr>
          <w:p>
            <w:pPr>
              <w:jc w:val="right"/>
              <w:ind w:right="14"/>
              <w:spacing w:after="0"/>
              <w:rPr>
                <w:sz w:val="20"/>
                <w:szCs w:val="20"/>
                <w:color w:val="auto"/>
              </w:rPr>
            </w:pPr>
            <w:r>
              <w:rPr>
                <w:rFonts w:ascii="Arial" w:cs="Arial" w:eastAsia="Arial" w:hAnsi="Arial"/>
                <w:sz w:val="14"/>
                <w:szCs w:val="14"/>
                <w:color w:val="auto"/>
              </w:rPr>
              <w:t>783 (19)</w:t>
            </w:r>
          </w:p>
        </w:tc>
        <w:tc>
          <w:tcPr>
            <w:tcW w:w="1200" w:type="dxa"/>
            <w:vAlign w:val="bottom"/>
            <w:tcBorders>
              <w:bottom w:val="single" w:sz="8" w:color="021496"/>
            </w:tcBorders>
          </w:tcPr>
          <w:p>
            <w:pPr>
              <w:jc w:val="right"/>
              <w:ind w:right="34"/>
              <w:spacing w:after="0"/>
              <w:rPr>
                <w:sz w:val="20"/>
                <w:szCs w:val="20"/>
                <w:color w:val="auto"/>
              </w:rPr>
            </w:pPr>
            <w:r>
              <w:rPr>
                <w:rFonts w:ascii="Arial" w:cs="Arial" w:eastAsia="Arial" w:hAnsi="Arial"/>
                <w:sz w:val="14"/>
                <w:szCs w:val="14"/>
                <w:color w:val="auto"/>
              </w:rPr>
              <w:t>152,873 (21)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-1842135</wp:posOffset>
            </wp:positionV>
            <wp:extent cx="50615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-1986280</wp:posOffset>
            </wp:positionV>
            <wp:extent cx="50615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-2131060</wp:posOffset>
            </wp:positionV>
            <wp:extent cx="50615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-2275205</wp:posOffset>
            </wp:positionV>
            <wp:extent cx="50615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-2419985</wp:posOffset>
            </wp:positionV>
            <wp:extent cx="50615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-2564130</wp:posOffset>
            </wp:positionV>
            <wp:extent cx="5061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-2708275</wp:posOffset>
            </wp:positionV>
            <wp:extent cx="5061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-2853055</wp:posOffset>
            </wp:positionV>
            <wp:extent cx="50615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-2997200</wp:posOffset>
            </wp:positionV>
            <wp:extent cx="50615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-3141345</wp:posOffset>
            </wp:positionV>
            <wp:extent cx="50615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1585" cy="8255"/>
                    </a:xfrm>
                    <a:prstGeom prst="rect">
                      <a:avLst/>
                    </a:prstGeom>
                    <a:noFill/>
                  </pic:spPr>
                </pic:pic>
              </a:graphicData>
            </a:graphic>
          </wp:anchor>
        </w:drawing>
      </w:r>
    </w:p>
    <w:p>
      <w:pPr>
        <w:spacing w:after="0" w:line="113"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64</w:t>
      </w:r>
    </w:p>
    <w:p>
      <w:pPr>
        <w:sectPr>
          <w:pgSz w:w="11900" w:h="16838" w:orient="portrait"/>
          <w:cols w:equalWidth="0" w:num="1">
            <w:col w:w="10920"/>
          </w:cols>
          <w:pgMar w:left="480" w:top="299" w:right="49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Borders>
              <w:top w:val="single" w:sz="8" w:color="021496"/>
            </w:tcBorders>
          </w:tcPr>
          <w:p>
            <w:pPr>
              <w:spacing w:after="0"/>
              <w:rPr>
                <w:sz w:val="16"/>
                <w:szCs w:val="16"/>
                <w:color w:val="auto"/>
              </w:rPr>
            </w:pPr>
          </w:p>
        </w:tc>
        <w:tc>
          <w:tcPr>
            <w:tcW w:w="40" w:type="dxa"/>
            <w:vAlign w:val="bottom"/>
            <w:tcBorders>
              <w:top w:val="single" w:sz="8" w:color="021496"/>
            </w:tcBorders>
          </w:tcPr>
          <w:p>
            <w:pPr>
              <w:spacing w:after="0"/>
              <w:rPr>
                <w:sz w:val="16"/>
                <w:szCs w:val="16"/>
                <w:color w:val="auto"/>
              </w:rPr>
            </w:pPr>
          </w:p>
        </w:tc>
        <w:tc>
          <w:tcPr>
            <w:tcW w:w="920" w:type="dxa"/>
            <w:vAlign w:val="bottom"/>
            <w:tcBorders>
              <w:top w:val="single" w:sz="8" w:color="021496"/>
            </w:tcBorders>
            <w:gridSpan w:val="2"/>
          </w:tcPr>
          <w:p>
            <w:pPr>
              <w:spacing w:after="0"/>
              <w:rPr>
                <w:sz w:val="20"/>
                <w:szCs w:val="20"/>
                <w:color w:val="auto"/>
              </w:rPr>
            </w:pPr>
            <w:r>
              <w:rPr>
                <w:rFonts w:ascii="Arial" w:cs="Arial" w:eastAsia="Arial" w:hAnsi="Arial"/>
                <w:sz w:val="12"/>
                <w:szCs w:val="12"/>
                <w:b w:val="1"/>
                <w:bCs w:val="1"/>
                <w:color w:val="auto"/>
              </w:rPr>
              <w:t>Option Awards</w:t>
            </w:r>
          </w:p>
        </w:tc>
        <w:tc>
          <w:tcPr>
            <w:tcW w:w="960" w:type="dxa"/>
            <w:vAlign w:val="bottom"/>
            <w:tcBorders>
              <w:top w:val="single" w:sz="8" w:color="021496"/>
            </w:tcBorders>
          </w:tcPr>
          <w:p>
            <w:pPr>
              <w:spacing w:after="0"/>
              <w:rPr>
                <w:sz w:val="16"/>
                <w:szCs w:val="16"/>
                <w:color w:val="auto"/>
              </w:rPr>
            </w:pPr>
          </w:p>
        </w:tc>
        <w:tc>
          <w:tcPr>
            <w:tcW w:w="680" w:type="dxa"/>
            <w:vAlign w:val="bottom"/>
            <w:tcBorders>
              <w:top w:val="single" w:sz="8" w:color="021496"/>
            </w:tcBorders>
          </w:tcPr>
          <w:p>
            <w:pPr>
              <w:spacing w:after="0"/>
              <w:rPr>
                <w:sz w:val="16"/>
                <w:szCs w:val="16"/>
                <w:color w:val="auto"/>
              </w:rPr>
            </w:pPr>
          </w:p>
        </w:tc>
        <w:tc>
          <w:tcPr>
            <w:tcW w:w="860" w:type="dxa"/>
            <w:vAlign w:val="bottom"/>
            <w:tcBorders>
              <w:top w:val="single" w:sz="8" w:color="021496"/>
            </w:tcBorders>
          </w:tcPr>
          <w:p>
            <w:pPr>
              <w:spacing w:after="0"/>
              <w:rPr>
                <w:sz w:val="16"/>
                <w:szCs w:val="16"/>
                <w:color w:val="auto"/>
              </w:rPr>
            </w:pPr>
          </w:p>
        </w:tc>
        <w:tc>
          <w:tcPr>
            <w:tcW w:w="220" w:type="dxa"/>
            <w:vAlign w:val="bottom"/>
            <w:tcBorders>
              <w:top w:val="single" w:sz="8" w:color="021496"/>
            </w:tcBorders>
          </w:tcPr>
          <w:p>
            <w:pPr>
              <w:spacing w:after="0"/>
              <w:rPr>
                <w:sz w:val="16"/>
                <w:szCs w:val="16"/>
                <w:color w:val="auto"/>
              </w:rPr>
            </w:pPr>
          </w:p>
        </w:tc>
        <w:tc>
          <w:tcPr>
            <w:tcW w:w="880" w:type="dxa"/>
            <w:vAlign w:val="bottom"/>
            <w:tcBorders>
              <w:top w:val="single" w:sz="8" w:color="021496"/>
            </w:tcBorders>
          </w:tcPr>
          <w:p>
            <w:pPr>
              <w:ind w:left="40"/>
              <w:spacing w:after="0"/>
              <w:rPr>
                <w:sz w:val="20"/>
                <w:szCs w:val="20"/>
                <w:color w:val="auto"/>
              </w:rPr>
            </w:pPr>
            <w:r>
              <w:rPr>
                <w:rFonts w:ascii="Arial" w:cs="Arial" w:eastAsia="Arial" w:hAnsi="Arial"/>
                <w:sz w:val="12"/>
                <w:szCs w:val="12"/>
                <w:b w:val="1"/>
                <w:bCs w:val="1"/>
                <w:color w:val="auto"/>
              </w:rPr>
              <w:t>Stock Awards</w:t>
            </w:r>
          </w:p>
        </w:tc>
        <w:tc>
          <w:tcPr>
            <w:tcW w:w="600" w:type="dxa"/>
            <w:vAlign w:val="bottom"/>
            <w:tcBorders>
              <w:top w:val="single" w:sz="8" w:color="021496"/>
            </w:tcBorders>
          </w:tcPr>
          <w:p>
            <w:pPr>
              <w:spacing w:after="0"/>
              <w:rPr>
                <w:sz w:val="16"/>
                <w:szCs w:val="16"/>
                <w:color w:val="auto"/>
              </w:rPr>
            </w:pPr>
          </w:p>
        </w:tc>
        <w:tc>
          <w:tcPr>
            <w:tcW w:w="340" w:type="dxa"/>
            <w:vAlign w:val="bottom"/>
            <w:tcBorders>
              <w:top w:val="single" w:sz="8" w:color="021496"/>
            </w:tcBorders>
          </w:tcPr>
          <w:p>
            <w:pPr>
              <w:spacing w:after="0"/>
              <w:rPr>
                <w:sz w:val="16"/>
                <w:szCs w:val="16"/>
                <w:color w:val="auto"/>
              </w:rPr>
            </w:pPr>
          </w:p>
        </w:tc>
        <w:tc>
          <w:tcPr>
            <w:tcW w:w="980" w:type="dxa"/>
            <w:vAlign w:val="bottom"/>
            <w:tcBorders>
              <w:top w:val="single" w:sz="8" w:color="021496"/>
            </w:tcBorders>
          </w:tcPr>
          <w:p>
            <w:pPr>
              <w:spacing w:after="0"/>
              <w:rPr>
                <w:sz w:val="16"/>
                <w:szCs w:val="16"/>
                <w:color w:val="auto"/>
              </w:rPr>
            </w:pPr>
          </w:p>
        </w:tc>
        <w:tc>
          <w:tcPr>
            <w:tcW w:w="1160" w:type="dxa"/>
            <w:vAlign w:val="bottom"/>
            <w:tcBorders>
              <w:top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40" w:type="dxa"/>
            <w:vAlign w:val="bottom"/>
            <w:tcBorders>
              <w:bottom w:val="single" w:sz="8" w:color="021496"/>
            </w:tcBorders>
          </w:tcPr>
          <w:p>
            <w:pPr>
              <w:spacing w:after="0"/>
              <w:rPr>
                <w:sz w:val="3"/>
                <w:szCs w:val="3"/>
                <w:color w:val="auto"/>
              </w:rPr>
            </w:pPr>
          </w:p>
        </w:tc>
        <w:tc>
          <w:tcPr>
            <w:tcW w:w="600" w:type="dxa"/>
            <w:vAlign w:val="bottom"/>
            <w:tcBorders>
              <w:bottom w:val="single" w:sz="8" w:color="021496"/>
            </w:tcBorders>
          </w:tcPr>
          <w:p>
            <w:pPr>
              <w:spacing w:after="0"/>
              <w:rPr>
                <w:sz w:val="3"/>
                <w:szCs w:val="3"/>
                <w:color w:val="auto"/>
              </w:rPr>
            </w:pPr>
          </w:p>
        </w:tc>
        <w:tc>
          <w:tcPr>
            <w:tcW w:w="320" w:type="dxa"/>
            <w:vAlign w:val="bottom"/>
            <w:tcBorders>
              <w:bottom w:val="single" w:sz="8" w:color="021496"/>
            </w:tcBorders>
          </w:tcPr>
          <w:p>
            <w:pPr>
              <w:spacing w:after="0"/>
              <w:rPr>
                <w:sz w:val="3"/>
                <w:szCs w:val="3"/>
                <w:color w:val="auto"/>
              </w:rPr>
            </w:pPr>
          </w:p>
        </w:tc>
        <w:tc>
          <w:tcPr>
            <w:tcW w:w="960" w:type="dxa"/>
            <w:vAlign w:val="bottom"/>
            <w:tcBorders>
              <w:bottom w:val="single" w:sz="8" w:color="021496"/>
            </w:tcBorders>
          </w:tcPr>
          <w:p>
            <w:pPr>
              <w:spacing w:after="0"/>
              <w:rPr>
                <w:sz w:val="3"/>
                <w:szCs w:val="3"/>
                <w:color w:val="auto"/>
              </w:rPr>
            </w:pPr>
          </w:p>
        </w:tc>
        <w:tc>
          <w:tcPr>
            <w:tcW w:w="680" w:type="dxa"/>
            <w:vAlign w:val="bottom"/>
            <w:tcBorders>
              <w:bottom w:val="single" w:sz="8" w:color="021496"/>
            </w:tcBorders>
          </w:tcPr>
          <w:p>
            <w:pPr>
              <w:spacing w:after="0"/>
              <w:rPr>
                <w:sz w:val="3"/>
                <w:szCs w:val="3"/>
                <w:color w:val="auto"/>
              </w:rPr>
            </w:pPr>
          </w:p>
        </w:tc>
        <w:tc>
          <w:tcPr>
            <w:tcW w:w="860" w:type="dxa"/>
            <w:vAlign w:val="bottom"/>
            <w:tcBorders>
              <w:bottom w:val="single" w:sz="8" w:color="021496"/>
            </w:tcBorders>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Borders>
              <w:bottom w:val="single" w:sz="8" w:color="021496"/>
            </w:tcBorders>
          </w:tcPr>
          <w:p>
            <w:pPr>
              <w:spacing w:after="0"/>
              <w:rPr>
                <w:sz w:val="3"/>
                <w:szCs w:val="3"/>
                <w:color w:val="auto"/>
              </w:rPr>
            </w:pPr>
          </w:p>
        </w:tc>
        <w:tc>
          <w:tcPr>
            <w:tcW w:w="600" w:type="dxa"/>
            <w:vAlign w:val="bottom"/>
            <w:tcBorders>
              <w:bottom w:val="single" w:sz="8" w:color="021496"/>
            </w:tcBorders>
          </w:tcPr>
          <w:p>
            <w:pPr>
              <w:spacing w:after="0"/>
              <w:rPr>
                <w:sz w:val="3"/>
                <w:szCs w:val="3"/>
                <w:color w:val="auto"/>
              </w:rPr>
            </w:pPr>
          </w:p>
        </w:tc>
        <w:tc>
          <w:tcPr>
            <w:tcW w:w="340" w:type="dxa"/>
            <w:vAlign w:val="bottom"/>
            <w:tcBorders>
              <w:bottom w:val="single" w:sz="8" w:color="021496"/>
            </w:tcBorders>
          </w:tcPr>
          <w:p>
            <w:pPr>
              <w:spacing w:after="0"/>
              <w:rPr>
                <w:sz w:val="3"/>
                <w:szCs w:val="3"/>
                <w:color w:val="auto"/>
              </w:rPr>
            </w:pPr>
          </w:p>
        </w:tc>
        <w:tc>
          <w:tcPr>
            <w:tcW w:w="980" w:type="dxa"/>
            <w:vAlign w:val="bottom"/>
            <w:tcBorders>
              <w:bottom w:val="single" w:sz="8" w:color="021496"/>
            </w:tcBorders>
          </w:tcPr>
          <w:p>
            <w:pPr>
              <w:spacing w:after="0"/>
              <w:rPr>
                <w:sz w:val="3"/>
                <w:szCs w:val="3"/>
                <w:color w:val="auto"/>
              </w:rPr>
            </w:pPr>
          </w:p>
        </w:tc>
        <w:tc>
          <w:tcPr>
            <w:tcW w:w="116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1160" w:type="dxa"/>
            <w:vAlign w:val="bottom"/>
          </w:tcPr>
          <w:p>
            <w:pPr>
              <w:ind w:left="80"/>
              <w:spacing w:after="0" w:line="114"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Awards: Market</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Number of</w:t>
            </w:r>
          </w:p>
        </w:tc>
        <w:tc>
          <w:tcPr>
            <w:tcW w:w="960" w:type="dxa"/>
            <w:vAlign w:val="bottom"/>
            <w:vMerge w:val="restart"/>
          </w:tcPr>
          <w:p>
            <w:pPr>
              <w:spacing w:after="0"/>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Market Value</w:t>
            </w: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 of</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Payout</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or</w:t>
            </w:r>
          </w:p>
        </w:tc>
        <w:tc>
          <w:tcPr>
            <w:tcW w:w="940" w:type="dxa"/>
            <w:vAlign w:val="bottom"/>
            <w:gridSpan w:val="2"/>
            <w:vMerge w:val="continue"/>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6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Option</w:t>
            </w: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Option</w:t>
            </w: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Shares or</w:t>
            </w: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960" w:type="dxa"/>
            <w:vAlign w:val="bottom"/>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Units of</w:t>
            </w:r>
          </w:p>
        </w:tc>
        <w:tc>
          <w:tcPr>
            <w:tcW w:w="34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or</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Unexercised</w:t>
            </w:r>
          </w:p>
        </w:tc>
        <w:tc>
          <w:tcPr>
            <w:tcW w:w="960" w:type="dxa"/>
            <w:vAlign w:val="bottom"/>
          </w:tcPr>
          <w:p>
            <w:pPr>
              <w:spacing w:after="0" w:line="134" w:lineRule="exact"/>
              <w:rPr>
                <w:sz w:val="20"/>
                <w:szCs w:val="20"/>
                <w:color w:val="auto"/>
              </w:rPr>
            </w:pPr>
            <w:r>
              <w:rPr>
                <w:rFonts w:ascii="Arial" w:cs="Arial" w:eastAsia="Arial" w:hAnsi="Arial"/>
                <w:sz w:val="12"/>
                <w:szCs w:val="12"/>
                <w:b w:val="1"/>
                <w:bCs w:val="1"/>
                <w:color w:val="auto"/>
              </w:rPr>
              <w:t>Unexercised</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Exercise</w:t>
            </w:r>
          </w:p>
        </w:tc>
        <w:tc>
          <w:tcPr>
            <w:tcW w:w="10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That</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Stock That</w:t>
            </w: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Other Rights</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  Name</w:t>
            </w:r>
          </w:p>
        </w:tc>
        <w:tc>
          <w:tcPr>
            <w:tcW w:w="4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Options (#)</w:t>
            </w:r>
          </w:p>
        </w:tc>
        <w:tc>
          <w:tcPr>
            <w:tcW w:w="960" w:type="dxa"/>
            <w:vAlign w:val="bottom"/>
          </w:tcPr>
          <w:p>
            <w:pPr>
              <w:spacing w:after="0" w:line="134" w:lineRule="exact"/>
              <w:rPr>
                <w:sz w:val="20"/>
                <w:szCs w:val="20"/>
                <w:color w:val="auto"/>
              </w:rPr>
            </w:pPr>
            <w:r>
              <w:rPr>
                <w:rFonts w:ascii="Arial" w:cs="Arial" w:eastAsia="Arial" w:hAnsi="Arial"/>
                <w:sz w:val="12"/>
                <w:szCs w:val="12"/>
                <w:b w:val="1"/>
                <w:bCs w:val="1"/>
                <w:color w:val="auto"/>
              </w:rPr>
              <w:t>Options (#)</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Prices</w:t>
            </w: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Have Not</w:t>
            </w:r>
          </w:p>
        </w:tc>
        <w:tc>
          <w:tcPr>
            <w:tcW w:w="34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180"/>
        </w:trPr>
        <w:tc>
          <w:tcPr>
            <w:tcW w:w="3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960" w:type="dxa"/>
            <w:vAlign w:val="bottom"/>
          </w:tcPr>
          <w:p>
            <w:pPr>
              <w:spacing w:after="0"/>
              <w:rPr>
                <w:sz w:val="20"/>
                <w:szCs w:val="20"/>
                <w:color w:val="auto"/>
              </w:rPr>
            </w:pPr>
            <w:r>
              <w:rPr>
                <w:rFonts w:ascii="Arial" w:cs="Arial" w:eastAsia="Arial" w:hAnsi="Arial"/>
                <w:sz w:val="12"/>
                <w:szCs w:val="12"/>
                <w:b w:val="1"/>
                <w:bCs w:val="1"/>
                <w:color w:val="auto"/>
              </w:rPr>
              <w:t>Unexercisable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w:t>
            </w:r>
          </w:p>
        </w:tc>
        <w:tc>
          <w:tcPr>
            <w:tcW w:w="1080" w:type="dxa"/>
            <w:vAlign w:val="bottom"/>
            <w:gridSpan w:val="2"/>
            <w:vMerge w:val="continue"/>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Vested (#)</w:t>
            </w:r>
          </w:p>
        </w:tc>
        <w:tc>
          <w:tcPr>
            <w:tcW w:w="600" w:type="dxa"/>
            <w:vAlign w:val="bottom"/>
          </w:tcPr>
          <w:p>
            <w:pPr>
              <w:spacing w:after="0"/>
              <w:rPr>
                <w:sz w:val="20"/>
                <w:szCs w:val="20"/>
                <w:color w:val="auto"/>
              </w:rPr>
            </w:pPr>
            <w:r>
              <w:rPr>
                <w:rFonts w:ascii="Arial" w:cs="Arial" w:eastAsia="Arial" w:hAnsi="Arial"/>
                <w:sz w:val="12"/>
                <w:szCs w:val="12"/>
                <w:b w:val="1"/>
                <w:bCs w:val="1"/>
                <w:color w:val="auto"/>
              </w:rPr>
              <w:t>Vested ($)</w:t>
            </w:r>
          </w:p>
        </w:tc>
        <w:tc>
          <w:tcPr>
            <w:tcW w:w="34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not Vested (#)</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Vested ($)</w:t>
            </w:r>
          </w:p>
        </w:tc>
        <w:tc>
          <w:tcPr>
            <w:tcW w:w="0" w:type="dxa"/>
            <w:vAlign w:val="bottom"/>
          </w:tcPr>
          <w:p>
            <w:pPr>
              <w:spacing w:after="0"/>
              <w:rPr>
                <w:sz w:val="1"/>
                <w:szCs w:val="1"/>
                <w:color w:val="auto"/>
              </w:rPr>
            </w:pPr>
          </w:p>
        </w:tc>
      </w:tr>
      <w:tr>
        <w:trPr>
          <w:trHeight w:val="48"/>
        </w:trPr>
        <w:tc>
          <w:tcPr>
            <w:tcW w:w="3280" w:type="dxa"/>
            <w:vAlign w:val="bottom"/>
            <w:tcBorders>
              <w:bottom w:val="single" w:sz="8" w:color="021496"/>
            </w:tcBorders>
          </w:tcPr>
          <w:p>
            <w:pPr>
              <w:spacing w:after="0"/>
              <w:rPr>
                <w:sz w:val="4"/>
                <w:szCs w:val="4"/>
                <w:color w:val="auto"/>
              </w:rPr>
            </w:pPr>
          </w:p>
        </w:tc>
        <w:tc>
          <w:tcPr>
            <w:tcW w:w="40" w:type="dxa"/>
            <w:vAlign w:val="bottom"/>
            <w:tcBorders>
              <w:bottom w:val="single" w:sz="8" w:color="021496"/>
            </w:tcBorders>
          </w:tcPr>
          <w:p>
            <w:pPr>
              <w:spacing w:after="0"/>
              <w:rPr>
                <w:sz w:val="4"/>
                <w:szCs w:val="4"/>
                <w:color w:val="auto"/>
              </w:rPr>
            </w:pPr>
          </w:p>
        </w:tc>
        <w:tc>
          <w:tcPr>
            <w:tcW w:w="600" w:type="dxa"/>
            <w:vAlign w:val="bottom"/>
            <w:tcBorders>
              <w:bottom w:val="single" w:sz="8" w:color="021496"/>
            </w:tcBorders>
          </w:tcPr>
          <w:p>
            <w:pPr>
              <w:spacing w:after="0"/>
              <w:rPr>
                <w:sz w:val="4"/>
                <w:szCs w:val="4"/>
                <w:color w:val="auto"/>
              </w:rPr>
            </w:pPr>
          </w:p>
        </w:tc>
        <w:tc>
          <w:tcPr>
            <w:tcW w:w="320" w:type="dxa"/>
            <w:vAlign w:val="bottom"/>
            <w:tcBorders>
              <w:bottom w:val="single" w:sz="8" w:color="021496"/>
            </w:tcBorders>
          </w:tcPr>
          <w:p>
            <w:pPr>
              <w:spacing w:after="0"/>
              <w:rPr>
                <w:sz w:val="4"/>
                <w:szCs w:val="4"/>
                <w:color w:val="auto"/>
              </w:rPr>
            </w:pPr>
          </w:p>
        </w:tc>
        <w:tc>
          <w:tcPr>
            <w:tcW w:w="960" w:type="dxa"/>
            <w:vAlign w:val="bottom"/>
            <w:tcBorders>
              <w:bottom w:val="single" w:sz="8" w:color="021496"/>
            </w:tcBorders>
          </w:tcPr>
          <w:p>
            <w:pPr>
              <w:spacing w:after="0"/>
              <w:rPr>
                <w:sz w:val="4"/>
                <w:szCs w:val="4"/>
                <w:color w:val="auto"/>
              </w:rPr>
            </w:pPr>
          </w:p>
        </w:tc>
        <w:tc>
          <w:tcPr>
            <w:tcW w:w="680" w:type="dxa"/>
            <w:vAlign w:val="bottom"/>
            <w:tcBorders>
              <w:bottom w:val="single" w:sz="8" w:color="021496"/>
            </w:tcBorders>
          </w:tcPr>
          <w:p>
            <w:pPr>
              <w:spacing w:after="0"/>
              <w:rPr>
                <w:sz w:val="4"/>
                <w:szCs w:val="4"/>
                <w:color w:val="auto"/>
              </w:rPr>
            </w:pPr>
          </w:p>
        </w:tc>
        <w:tc>
          <w:tcPr>
            <w:tcW w:w="860" w:type="dxa"/>
            <w:vAlign w:val="bottom"/>
            <w:tcBorders>
              <w:bottom w:val="single" w:sz="8" w:color="021496"/>
            </w:tcBorders>
          </w:tcPr>
          <w:p>
            <w:pPr>
              <w:spacing w:after="0"/>
              <w:rPr>
                <w:sz w:val="4"/>
                <w:szCs w:val="4"/>
                <w:color w:val="auto"/>
              </w:rPr>
            </w:pPr>
          </w:p>
        </w:tc>
        <w:tc>
          <w:tcPr>
            <w:tcW w:w="220" w:type="dxa"/>
            <w:vAlign w:val="bottom"/>
            <w:tcBorders>
              <w:bottom w:val="single" w:sz="8" w:color="021496"/>
            </w:tcBorders>
          </w:tcPr>
          <w:p>
            <w:pPr>
              <w:spacing w:after="0"/>
              <w:rPr>
                <w:sz w:val="4"/>
                <w:szCs w:val="4"/>
                <w:color w:val="auto"/>
              </w:rPr>
            </w:pPr>
          </w:p>
        </w:tc>
        <w:tc>
          <w:tcPr>
            <w:tcW w:w="880" w:type="dxa"/>
            <w:vAlign w:val="bottom"/>
            <w:tcBorders>
              <w:bottom w:val="single" w:sz="8" w:color="021496"/>
            </w:tcBorders>
          </w:tcPr>
          <w:p>
            <w:pPr>
              <w:spacing w:after="0"/>
              <w:rPr>
                <w:sz w:val="4"/>
                <w:szCs w:val="4"/>
                <w:color w:val="auto"/>
              </w:rPr>
            </w:pPr>
          </w:p>
        </w:tc>
        <w:tc>
          <w:tcPr>
            <w:tcW w:w="600" w:type="dxa"/>
            <w:vAlign w:val="bottom"/>
            <w:tcBorders>
              <w:bottom w:val="single" w:sz="8" w:color="021496"/>
            </w:tcBorders>
          </w:tcPr>
          <w:p>
            <w:pPr>
              <w:spacing w:after="0"/>
              <w:rPr>
                <w:sz w:val="4"/>
                <w:szCs w:val="4"/>
                <w:color w:val="auto"/>
              </w:rPr>
            </w:pPr>
          </w:p>
        </w:tc>
        <w:tc>
          <w:tcPr>
            <w:tcW w:w="340" w:type="dxa"/>
            <w:vAlign w:val="bottom"/>
            <w:tcBorders>
              <w:bottom w:val="single" w:sz="8" w:color="021496"/>
            </w:tcBorders>
          </w:tcPr>
          <w:p>
            <w:pPr>
              <w:spacing w:after="0"/>
              <w:rPr>
                <w:sz w:val="4"/>
                <w:szCs w:val="4"/>
                <w:color w:val="auto"/>
              </w:rPr>
            </w:pPr>
          </w:p>
        </w:tc>
        <w:tc>
          <w:tcPr>
            <w:tcW w:w="980" w:type="dxa"/>
            <w:vAlign w:val="bottom"/>
            <w:tcBorders>
              <w:bottom w:val="single" w:sz="8" w:color="021496"/>
            </w:tcBorders>
          </w:tcPr>
          <w:p>
            <w:pPr>
              <w:spacing w:after="0"/>
              <w:rPr>
                <w:sz w:val="4"/>
                <w:szCs w:val="4"/>
                <w:color w:val="auto"/>
              </w:rPr>
            </w:pPr>
          </w:p>
        </w:tc>
        <w:tc>
          <w:tcPr>
            <w:tcW w:w="116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280" w:type="dxa"/>
            <w:vAlign w:val="bottom"/>
            <w:shd w:val="clear" w:color="auto" w:fill="D8D8D8"/>
          </w:tcPr>
          <w:p>
            <w:pPr>
              <w:spacing w:after="0"/>
              <w:rPr>
                <w:sz w:val="20"/>
                <w:szCs w:val="20"/>
                <w:color w:val="auto"/>
              </w:rPr>
            </w:pPr>
            <w:r>
              <w:rPr>
                <w:rFonts w:ascii="Arial" w:cs="Arial" w:eastAsia="Arial" w:hAnsi="Arial"/>
                <w:sz w:val="14"/>
                <w:szCs w:val="14"/>
                <w:color w:val="auto"/>
              </w:rPr>
              <w:t>  Brad Cerepak</w:t>
            </w:r>
          </w:p>
        </w:tc>
        <w:tc>
          <w:tcPr>
            <w:tcW w:w="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23,595 (2)</w:t>
            </w: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2/1/2030</w:t>
            </w:r>
          </w:p>
        </w:tc>
        <w:tc>
          <w:tcPr>
            <w:tcW w:w="22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8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24,651 (3)</w:t>
            </w: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2/1/2030</w:t>
            </w:r>
          </w:p>
        </w:tc>
        <w:tc>
          <w:tcPr>
            <w:tcW w:w="22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23,580</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(4)</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2/1/2030</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30,781</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(5)</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2/1/2030</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29,664</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(6)</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2/14/2030</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52,632</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(7)</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2/15/2029</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58,478</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(9)</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82.09</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2/09/2028</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920" w:type="dxa"/>
            <w:vAlign w:val="bottom"/>
            <w:gridSpan w:val="2"/>
            <w:shd w:val="clear" w:color="auto" w:fill="D8D8D8"/>
          </w:tcPr>
          <w:p>
            <w:pPr>
              <w:jc w:val="right"/>
              <w:ind w:right="69"/>
              <w:spacing w:after="0"/>
              <w:rPr>
                <w:sz w:val="20"/>
                <w:szCs w:val="20"/>
                <w:color w:val="auto"/>
              </w:rPr>
            </w:pPr>
            <w:r>
              <w:rPr>
                <w:rFonts w:ascii="Arial" w:cs="Arial" w:eastAsia="Arial" w:hAnsi="Arial"/>
                <w:sz w:val="14"/>
                <w:szCs w:val="14"/>
                <w:color w:val="auto"/>
              </w:rPr>
              <w:t>29,306 (10)</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66.85</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2/10/2027</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1,770 (13)</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345,575</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5,310 (18)</w:t>
            </w:r>
          </w:p>
        </w:tc>
        <w:tc>
          <w:tcPr>
            <w:tcW w:w="116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1,036,724 (21)</w:t>
            </w:r>
          </w:p>
        </w:tc>
        <w:tc>
          <w:tcPr>
            <w:tcW w:w="0" w:type="dxa"/>
            <w:vAlign w:val="bottom"/>
          </w:tcPr>
          <w:p>
            <w:pPr>
              <w:spacing w:after="0"/>
              <w:rPr>
                <w:sz w:val="1"/>
                <w:szCs w:val="1"/>
                <w:color w:val="auto"/>
              </w:rPr>
            </w:pPr>
          </w:p>
        </w:tc>
      </w:tr>
      <w:tr>
        <w:trPr>
          <w:trHeight w:val="235"/>
        </w:trPr>
        <w:tc>
          <w:tcPr>
            <w:tcW w:w="328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925 (14)</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180,597</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5,546 (19)</w:t>
            </w:r>
          </w:p>
        </w:tc>
        <w:tc>
          <w:tcPr>
            <w:tcW w:w="116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1,082,801 (21)</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4"/>
                <w:szCs w:val="14"/>
                <w:color w:val="auto"/>
              </w:rPr>
              <w:t>  Ivonne M. Cabrera</w:t>
            </w: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17,573 (1)</w:t>
            </w: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202.33</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2/14/2035</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11,103 (2)</w:t>
            </w: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2/08/2034</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11,601 (3)</w:t>
            </w: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2/10/2033</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11,097</w:t>
            </w:r>
          </w:p>
        </w:tc>
        <w:tc>
          <w:tcPr>
            <w:tcW w:w="320" w:type="dxa"/>
            <w:vAlign w:val="bottom"/>
            <w:tcBorders>
              <w:bottom w:val="single" w:sz="8" w:color="999999"/>
            </w:tcBorders>
          </w:tcPr>
          <w:p>
            <w:pPr>
              <w:jc w:val="right"/>
              <w:ind w:right="69"/>
              <w:spacing w:after="0"/>
              <w:rPr>
                <w:sz w:val="20"/>
                <w:szCs w:val="20"/>
                <w:color w:val="auto"/>
              </w:rPr>
            </w:pPr>
            <w:r>
              <w:rPr>
                <w:rFonts w:ascii="Arial" w:cs="Arial" w:eastAsia="Arial" w:hAnsi="Arial"/>
                <w:sz w:val="14"/>
                <w:szCs w:val="14"/>
                <w:color w:val="auto"/>
                <w:w w:val="93"/>
              </w:rPr>
              <w:t>(4)</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2/11/2032</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11,588</w:t>
            </w:r>
          </w:p>
        </w:tc>
        <w:tc>
          <w:tcPr>
            <w:tcW w:w="320" w:type="dxa"/>
            <w:vAlign w:val="bottom"/>
            <w:tcBorders>
              <w:bottom w:val="single" w:sz="8" w:color="999999"/>
            </w:tcBorders>
          </w:tcPr>
          <w:p>
            <w:pPr>
              <w:jc w:val="right"/>
              <w:ind w:right="69"/>
              <w:spacing w:after="0"/>
              <w:rPr>
                <w:sz w:val="20"/>
                <w:szCs w:val="20"/>
                <w:color w:val="auto"/>
              </w:rPr>
            </w:pPr>
            <w:r>
              <w:rPr>
                <w:rFonts w:ascii="Arial" w:cs="Arial" w:eastAsia="Arial" w:hAnsi="Arial"/>
                <w:sz w:val="14"/>
                <w:szCs w:val="14"/>
                <w:color w:val="auto"/>
                <w:w w:val="93"/>
              </w:rPr>
              <w:t>(5)</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2/12/2031</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11,866</w:t>
            </w:r>
          </w:p>
        </w:tc>
        <w:tc>
          <w:tcPr>
            <w:tcW w:w="320" w:type="dxa"/>
            <w:vAlign w:val="bottom"/>
            <w:tcBorders>
              <w:bottom w:val="single" w:sz="8" w:color="999999"/>
            </w:tcBorders>
          </w:tcPr>
          <w:p>
            <w:pPr>
              <w:jc w:val="right"/>
              <w:ind w:right="69"/>
              <w:spacing w:after="0"/>
              <w:rPr>
                <w:sz w:val="20"/>
                <w:szCs w:val="20"/>
                <w:color w:val="auto"/>
              </w:rPr>
            </w:pPr>
            <w:r>
              <w:rPr>
                <w:rFonts w:ascii="Arial" w:cs="Arial" w:eastAsia="Arial" w:hAnsi="Arial"/>
                <w:sz w:val="14"/>
                <w:szCs w:val="14"/>
                <w:color w:val="auto"/>
                <w:w w:val="93"/>
              </w:rPr>
              <w:t>(6)</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2/14/2030</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21,053</w:t>
            </w:r>
          </w:p>
        </w:tc>
        <w:tc>
          <w:tcPr>
            <w:tcW w:w="320" w:type="dxa"/>
            <w:vAlign w:val="bottom"/>
            <w:tcBorders>
              <w:bottom w:val="single" w:sz="8" w:color="999999"/>
            </w:tcBorders>
          </w:tcPr>
          <w:p>
            <w:pPr>
              <w:jc w:val="right"/>
              <w:ind w:right="69"/>
              <w:spacing w:after="0"/>
              <w:rPr>
                <w:sz w:val="20"/>
                <w:szCs w:val="20"/>
                <w:color w:val="auto"/>
              </w:rPr>
            </w:pPr>
            <w:r>
              <w:rPr>
                <w:rFonts w:ascii="Arial" w:cs="Arial" w:eastAsia="Arial" w:hAnsi="Arial"/>
                <w:sz w:val="14"/>
                <w:szCs w:val="14"/>
                <w:color w:val="auto"/>
                <w:w w:val="93"/>
              </w:rPr>
              <w:t>(7)</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2/15/2029</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23,391</w:t>
            </w:r>
          </w:p>
        </w:tc>
        <w:tc>
          <w:tcPr>
            <w:tcW w:w="320" w:type="dxa"/>
            <w:vAlign w:val="bottom"/>
            <w:tcBorders>
              <w:bottom w:val="single" w:sz="8" w:color="999999"/>
            </w:tcBorders>
          </w:tcPr>
          <w:p>
            <w:pPr>
              <w:jc w:val="right"/>
              <w:ind w:right="69"/>
              <w:spacing w:after="0"/>
              <w:rPr>
                <w:sz w:val="20"/>
                <w:szCs w:val="20"/>
                <w:color w:val="auto"/>
              </w:rPr>
            </w:pPr>
            <w:r>
              <w:rPr>
                <w:rFonts w:ascii="Arial" w:cs="Arial" w:eastAsia="Arial" w:hAnsi="Arial"/>
                <w:sz w:val="14"/>
                <w:szCs w:val="14"/>
                <w:color w:val="auto"/>
                <w:w w:val="93"/>
              </w:rPr>
              <w:t>(9)</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82.09</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2/09/2028</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960" w:type="dxa"/>
            <w:vAlign w:val="bottom"/>
            <w:tcBorders>
              <w:bottom w:val="single" w:sz="8" w:color="999999"/>
            </w:tcBorders>
            <w:gridSpan w:val="3"/>
          </w:tcPr>
          <w:p>
            <w:pPr>
              <w:jc w:val="right"/>
              <w:ind w:right="69"/>
              <w:spacing w:after="0"/>
              <w:rPr>
                <w:sz w:val="20"/>
                <w:szCs w:val="20"/>
                <w:color w:val="auto"/>
              </w:rPr>
            </w:pPr>
            <w:r>
              <w:rPr>
                <w:rFonts w:ascii="Arial" w:cs="Arial" w:eastAsia="Arial" w:hAnsi="Arial"/>
                <w:sz w:val="14"/>
                <w:szCs w:val="14"/>
                <w:color w:val="auto"/>
              </w:rPr>
              <w:t>28,722 (10)</w:t>
            </w: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66.85</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2/10/2027</w:t>
            </w: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ind w:right="72"/>
              <w:spacing w:after="0"/>
              <w:rPr>
                <w:sz w:val="20"/>
                <w:szCs w:val="20"/>
                <w:color w:val="auto"/>
              </w:rPr>
            </w:pPr>
            <w:r>
              <w:rPr>
                <w:rFonts w:ascii="Arial" w:cs="Arial" w:eastAsia="Arial" w:hAnsi="Arial"/>
                <w:sz w:val="14"/>
                <w:szCs w:val="14"/>
                <w:color w:val="auto"/>
              </w:rPr>
              <w:t>1,977(12)</w:t>
            </w: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385,989</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3,954 (17)</w:t>
            </w:r>
          </w:p>
        </w:tc>
        <w:tc>
          <w:tcPr>
            <w:tcW w:w="116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771,979 (21)</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ind w:right="72"/>
              <w:spacing w:after="0"/>
              <w:rPr>
                <w:sz w:val="20"/>
                <w:szCs w:val="20"/>
                <w:color w:val="auto"/>
              </w:rPr>
            </w:pPr>
            <w:r>
              <w:rPr>
                <w:rFonts w:ascii="Arial" w:cs="Arial" w:eastAsia="Arial" w:hAnsi="Arial"/>
                <w:sz w:val="14"/>
                <w:szCs w:val="14"/>
                <w:color w:val="auto"/>
              </w:rPr>
              <w:t>833 (13)</w:t>
            </w: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162,635</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2,498 (18)</w:t>
            </w:r>
          </w:p>
        </w:tc>
        <w:tc>
          <w:tcPr>
            <w:tcW w:w="116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487,710 (21)</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435 (14)</w:t>
            </w:r>
          </w:p>
        </w:tc>
        <w:tc>
          <w:tcPr>
            <w:tcW w:w="600" w:type="dxa"/>
            <w:vAlign w:val="bottom"/>
          </w:tcPr>
          <w:p>
            <w:pPr>
              <w:jc w:val="right"/>
              <w:spacing w:after="0"/>
              <w:rPr>
                <w:sz w:val="20"/>
                <w:szCs w:val="20"/>
                <w:color w:val="auto"/>
              </w:rPr>
            </w:pPr>
            <w:r>
              <w:rPr>
                <w:rFonts w:ascii="Arial" w:cs="Arial" w:eastAsia="Arial" w:hAnsi="Arial"/>
                <w:sz w:val="14"/>
                <w:szCs w:val="14"/>
                <w:color w:val="auto"/>
              </w:rPr>
              <w:t>84,929</w:t>
            </w:r>
          </w:p>
        </w:tc>
        <w:tc>
          <w:tcPr>
            <w:tcW w:w="340" w:type="dxa"/>
            <w:vAlign w:val="bottom"/>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Pr>
          <w:p>
            <w:pPr>
              <w:jc w:val="right"/>
              <w:spacing w:after="0"/>
              <w:rPr>
                <w:sz w:val="20"/>
                <w:szCs w:val="20"/>
                <w:color w:val="auto"/>
              </w:rPr>
            </w:pPr>
            <w:r>
              <w:rPr>
                <w:rFonts w:ascii="Arial" w:cs="Arial" w:eastAsia="Arial" w:hAnsi="Arial"/>
                <w:sz w:val="14"/>
                <w:szCs w:val="14"/>
                <w:color w:val="auto"/>
              </w:rPr>
              <w:t>2,610 (19)</w:t>
            </w: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509,576 (21)</w:t>
            </w:r>
          </w:p>
        </w:tc>
        <w:tc>
          <w:tcPr>
            <w:tcW w:w="0" w:type="dxa"/>
            <w:vAlign w:val="bottom"/>
          </w:tcPr>
          <w:p>
            <w:pPr>
              <w:spacing w:after="0"/>
              <w:rPr>
                <w:sz w:val="1"/>
                <w:szCs w:val="1"/>
                <w:color w:val="auto"/>
              </w:rPr>
            </w:pPr>
          </w:p>
        </w:tc>
      </w:tr>
      <w:tr>
        <w:trPr>
          <w:trHeight w:val="250"/>
        </w:trPr>
        <w:tc>
          <w:tcPr>
            <w:tcW w:w="3280" w:type="dxa"/>
            <w:vAlign w:val="bottom"/>
            <w:shd w:val="clear" w:color="auto" w:fill="D8D8D8"/>
          </w:tcPr>
          <w:p>
            <w:pPr>
              <w:spacing w:after="0"/>
              <w:rPr>
                <w:sz w:val="20"/>
                <w:szCs w:val="20"/>
                <w:color w:val="auto"/>
              </w:rPr>
            </w:pPr>
            <w:r>
              <w:rPr>
                <w:rFonts w:ascii="Arial" w:cs="Arial" w:eastAsia="Arial" w:hAnsi="Arial"/>
                <w:sz w:val="14"/>
                <w:szCs w:val="14"/>
                <w:color w:val="auto"/>
              </w:rPr>
              <w:t>  Girish Juneja</w:t>
            </w:r>
          </w:p>
        </w:tc>
        <w:tc>
          <w:tcPr>
            <w:tcW w:w="40" w:type="dxa"/>
            <w:vAlign w:val="bottom"/>
            <w:shd w:val="clear" w:color="auto" w:fill="D8D8D8"/>
          </w:tcPr>
          <w:p>
            <w:pPr>
              <w:spacing w:after="0"/>
              <w:rPr>
                <w:sz w:val="21"/>
                <w:szCs w:val="21"/>
                <w:color w:val="auto"/>
              </w:rPr>
            </w:pPr>
          </w:p>
        </w:tc>
        <w:tc>
          <w:tcPr>
            <w:tcW w:w="600" w:type="dxa"/>
            <w:vAlign w:val="bottom"/>
            <w:shd w:val="clear" w:color="auto" w:fill="D8D8D8"/>
          </w:tcPr>
          <w:p>
            <w:pPr>
              <w:spacing w:after="0"/>
              <w:rPr>
                <w:sz w:val="21"/>
                <w:szCs w:val="21"/>
                <w:color w:val="auto"/>
              </w:rPr>
            </w:pPr>
          </w:p>
        </w:tc>
        <w:tc>
          <w:tcPr>
            <w:tcW w:w="320" w:type="dxa"/>
            <w:vAlign w:val="bottom"/>
            <w:shd w:val="clear" w:color="auto" w:fill="D8D8D8"/>
          </w:tcPr>
          <w:p>
            <w:pPr>
              <w:spacing w:after="0"/>
              <w:rPr>
                <w:sz w:val="21"/>
                <w:szCs w:val="21"/>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7,469 (1)</w:t>
            </w: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202.33</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2/14/2025</w:t>
            </w:r>
          </w:p>
        </w:tc>
        <w:tc>
          <w:tcPr>
            <w:tcW w:w="22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60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98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8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8,328 (2)</w:t>
            </w: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2/08/2034</w:t>
            </w:r>
          </w:p>
        </w:tc>
        <w:tc>
          <w:tcPr>
            <w:tcW w:w="22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8,700 (3)</w:t>
            </w: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2/10/2033</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8,322</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(4)</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2/11/2032</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7,243</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(5)</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2/12/2031</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7,416</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(6)</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119.860</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2/14/2030</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11,842</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(7)</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2/15/2029</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11.695</w:t>
            </w:r>
          </w:p>
        </w:tc>
        <w:tc>
          <w:tcPr>
            <w:tcW w:w="3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w w:val="93"/>
              </w:rPr>
              <w:t>(9)</w:t>
            </w: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82.09</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2/09/2028</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840 (12)</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164,002</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1,680 (17)</w:t>
            </w:r>
          </w:p>
        </w:tc>
        <w:tc>
          <w:tcPr>
            <w:tcW w:w="116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328,003 (21)</w:t>
            </w:r>
          </w:p>
        </w:tc>
        <w:tc>
          <w:tcPr>
            <w:tcW w:w="0" w:type="dxa"/>
            <w:vAlign w:val="bottom"/>
          </w:tcPr>
          <w:p>
            <w:pPr>
              <w:spacing w:after="0"/>
              <w:rPr>
                <w:sz w:val="1"/>
                <w:szCs w:val="1"/>
                <w:color w:val="auto"/>
              </w:rPr>
            </w:pPr>
          </w:p>
        </w:tc>
      </w:tr>
      <w:tr>
        <w:trPr>
          <w:trHeight w:val="227"/>
        </w:trPr>
        <w:tc>
          <w:tcPr>
            <w:tcW w:w="328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625 (13)</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122,025</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1,874 (18)</w:t>
            </w:r>
          </w:p>
        </w:tc>
        <w:tc>
          <w:tcPr>
            <w:tcW w:w="116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365,880 (21)</w:t>
            </w:r>
          </w:p>
        </w:tc>
        <w:tc>
          <w:tcPr>
            <w:tcW w:w="0" w:type="dxa"/>
            <w:vAlign w:val="bottom"/>
          </w:tcPr>
          <w:p>
            <w:pPr>
              <w:spacing w:after="0"/>
              <w:rPr>
                <w:sz w:val="1"/>
                <w:szCs w:val="1"/>
                <w:color w:val="auto"/>
              </w:rPr>
            </w:pPr>
          </w:p>
        </w:tc>
      </w:tr>
      <w:tr>
        <w:trPr>
          <w:trHeight w:val="235"/>
        </w:trPr>
        <w:tc>
          <w:tcPr>
            <w:tcW w:w="328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327 (14)</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63,843</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1,958 (19)</w:t>
            </w:r>
          </w:p>
        </w:tc>
        <w:tc>
          <w:tcPr>
            <w:tcW w:w="116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382,280 (21)</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Arial" w:cs="Arial" w:eastAsia="Arial" w:hAnsi="Arial"/>
                <w:sz w:val="14"/>
                <w:szCs w:val="14"/>
                <w:color w:val="auto"/>
              </w:rPr>
              <w:t>  Jeffrey C. Yehle</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5,711 (1)</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202.33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2/14/2035</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86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88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980" w:type="dxa"/>
            <w:vAlign w:val="bottom"/>
            <w:tcBorders>
              <w:bottom w:val="single" w:sz="8" w:color="999999"/>
            </w:tcBorders>
          </w:tcPr>
          <w:p>
            <w:pPr>
              <w:spacing w:after="0" w:line="20" w:lineRule="exact"/>
              <w:rPr>
                <w:sz w:val="1"/>
                <w:szCs w:val="1"/>
                <w:color w:val="auto"/>
              </w:rPr>
            </w:pPr>
          </w:p>
        </w:tc>
        <w:tc>
          <w:tcPr>
            <w:tcW w:w="11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40" w:type="dxa"/>
            <w:vAlign w:val="bottom"/>
            <w:tcBorders>
              <w:bottom w:val="single" w:sz="8" w:color="999999"/>
            </w:tcBorders>
          </w:tcPr>
          <w:p>
            <w:pPr>
              <w:spacing w:after="0"/>
              <w:rPr>
                <w:sz w:val="17"/>
                <w:szCs w:val="17"/>
                <w:color w:val="auto"/>
              </w:rPr>
            </w:pPr>
          </w:p>
        </w:tc>
        <w:tc>
          <w:tcPr>
            <w:tcW w:w="600" w:type="dxa"/>
            <w:vAlign w:val="bottom"/>
            <w:tcBorders>
              <w:bottom w:val="single" w:sz="8" w:color="999999"/>
            </w:tcBorders>
          </w:tcPr>
          <w:p>
            <w:pPr>
              <w:spacing w:after="0"/>
              <w:rPr>
                <w:sz w:val="17"/>
                <w:szCs w:val="17"/>
                <w:color w:val="auto"/>
              </w:rPr>
            </w:pPr>
          </w:p>
        </w:tc>
        <w:tc>
          <w:tcPr>
            <w:tcW w:w="320" w:type="dxa"/>
            <w:vAlign w:val="bottom"/>
            <w:tcBorders>
              <w:bottom w:val="single" w:sz="8" w:color="999999"/>
            </w:tcBorders>
          </w:tcPr>
          <w:p>
            <w:pPr>
              <w:spacing w:after="0"/>
              <w:rPr>
                <w:sz w:val="17"/>
                <w:szCs w:val="17"/>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3,225 (11)</w:t>
            </w:r>
          </w:p>
        </w:tc>
        <w:tc>
          <w:tcPr>
            <w:tcW w:w="68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179.15</w:t>
            </w:r>
          </w:p>
        </w:tc>
        <w:tc>
          <w:tcPr>
            <w:tcW w:w="860" w:type="dxa"/>
            <w:vAlign w:val="bottom"/>
            <w:tcBorders>
              <w:bottom w:val="single" w:sz="8" w:color="999999"/>
            </w:tcBorders>
          </w:tcPr>
          <w:p>
            <w:pPr>
              <w:jc w:val="right"/>
              <w:ind w:right="50"/>
              <w:spacing w:after="0"/>
              <w:rPr>
                <w:sz w:val="20"/>
                <w:szCs w:val="20"/>
                <w:color w:val="auto"/>
              </w:rPr>
            </w:pPr>
            <w:r>
              <w:rPr>
                <w:rFonts w:ascii="Arial" w:cs="Arial" w:eastAsia="Arial" w:hAnsi="Arial"/>
                <w:sz w:val="14"/>
                <w:szCs w:val="14"/>
                <w:color w:val="auto"/>
              </w:rPr>
              <w:t>8/01/2034</w:t>
            </w:r>
          </w:p>
        </w:tc>
        <w:tc>
          <w:tcPr>
            <w:tcW w:w="220" w:type="dxa"/>
            <w:vAlign w:val="bottom"/>
            <w:tcBorders>
              <w:bottom w:val="single" w:sz="8" w:color="999999"/>
            </w:tcBorders>
          </w:tcPr>
          <w:p>
            <w:pPr>
              <w:spacing w:after="0"/>
              <w:rPr>
                <w:sz w:val="17"/>
                <w:szCs w:val="17"/>
                <w:color w:val="auto"/>
              </w:rPr>
            </w:pPr>
          </w:p>
        </w:tc>
        <w:tc>
          <w:tcPr>
            <w:tcW w:w="880" w:type="dxa"/>
            <w:vAlign w:val="bottom"/>
            <w:tcBorders>
              <w:bottom w:val="single" w:sz="8" w:color="999999"/>
            </w:tcBorders>
          </w:tcPr>
          <w:p>
            <w:pPr>
              <w:spacing w:after="0"/>
              <w:rPr>
                <w:sz w:val="17"/>
                <w:szCs w:val="17"/>
                <w:color w:val="auto"/>
              </w:rPr>
            </w:pPr>
          </w:p>
        </w:tc>
        <w:tc>
          <w:tcPr>
            <w:tcW w:w="600" w:type="dxa"/>
            <w:vAlign w:val="bottom"/>
            <w:tcBorders>
              <w:bottom w:val="single" w:sz="8" w:color="999999"/>
            </w:tcBorders>
          </w:tcPr>
          <w:p>
            <w:pPr>
              <w:spacing w:after="0"/>
              <w:rPr>
                <w:sz w:val="17"/>
                <w:szCs w:val="17"/>
                <w:color w:val="auto"/>
              </w:rPr>
            </w:pPr>
          </w:p>
        </w:tc>
        <w:tc>
          <w:tcPr>
            <w:tcW w:w="340" w:type="dxa"/>
            <w:vAlign w:val="bottom"/>
            <w:tcBorders>
              <w:bottom w:val="single" w:sz="8" w:color="999999"/>
            </w:tcBorders>
          </w:tcPr>
          <w:p>
            <w:pPr>
              <w:spacing w:after="0"/>
              <w:rPr>
                <w:sz w:val="17"/>
                <w:szCs w:val="17"/>
                <w:color w:val="auto"/>
              </w:rPr>
            </w:pPr>
          </w:p>
        </w:tc>
        <w:tc>
          <w:tcPr>
            <w:tcW w:w="980" w:type="dxa"/>
            <w:vAlign w:val="bottom"/>
            <w:tcBorders>
              <w:bottom w:val="single" w:sz="8" w:color="999999"/>
            </w:tcBorders>
          </w:tcPr>
          <w:p>
            <w:pPr>
              <w:spacing w:after="0"/>
              <w:rPr>
                <w:sz w:val="17"/>
                <w:szCs w:val="17"/>
                <w:color w:val="auto"/>
              </w:rPr>
            </w:pPr>
          </w:p>
        </w:tc>
        <w:tc>
          <w:tcPr>
            <w:tcW w:w="116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ind w:right="72"/>
              <w:spacing w:after="0"/>
              <w:rPr>
                <w:sz w:val="20"/>
                <w:szCs w:val="20"/>
                <w:color w:val="auto"/>
              </w:rPr>
            </w:pPr>
            <w:r>
              <w:rPr>
                <w:rFonts w:ascii="Arial" w:cs="Arial" w:eastAsia="Arial" w:hAnsi="Arial"/>
                <w:sz w:val="14"/>
                <w:szCs w:val="14"/>
                <w:color w:val="auto"/>
              </w:rPr>
              <w:t>643 (12)</w:t>
            </w: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125,539</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ind w:right="72"/>
              <w:spacing w:after="0"/>
              <w:rPr>
                <w:sz w:val="20"/>
                <w:szCs w:val="20"/>
                <w:color w:val="auto"/>
              </w:rPr>
            </w:pPr>
            <w:r>
              <w:rPr>
                <w:rFonts w:ascii="Arial" w:cs="Arial" w:eastAsia="Arial" w:hAnsi="Arial"/>
                <w:sz w:val="14"/>
                <w:szCs w:val="14"/>
                <w:color w:val="auto"/>
              </w:rPr>
              <w:t>242 (15)</w:t>
            </w: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47,248</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ind w:right="72"/>
              <w:spacing w:after="0"/>
              <w:rPr>
                <w:sz w:val="20"/>
                <w:szCs w:val="20"/>
                <w:color w:val="auto"/>
              </w:rPr>
            </w:pPr>
            <w:r>
              <w:rPr>
                <w:rFonts w:ascii="Arial" w:cs="Arial" w:eastAsia="Arial" w:hAnsi="Arial"/>
                <w:sz w:val="14"/>
                <w:szCs w:val="14"/>
                <w:color w:val="auto"/>
              </w:rPr>
              <w:t>930 (15)</w:t>
            </w: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181,573</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(16)</w:t>
            </w:r>
          </w:p>
        </w:tc>
        <w:tc>
          <w:tcPr>
            <w:tcW w:w="980" w:type="dxa"/>
            <w:vAlign w:val="bottom"/>
            <w:tcBorders>
              <w:bottom w:val="single" w:sz="8" w:color="999999"/>
            </w:tcBorders>
          </w:tcPr>
          <w:p>
            <w:pPr>
              <w:spacing w:after="0"/>
              <w:rPr>
                <w:sz w:val="18"/>
                <w:szCs w:val="18"/>
                <w:color w:val="auto"/>
              </w:rPr>
            </w:pPr>
          </w:p>
        </w:tc>
        <w:tc>
          <w:tcPr>
            <w:tcW w:w="116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20" w:type="dxa"/>
            <w:vAlign w:val="bottom"/>
            <w:tcBorders>
              <w:bottom w:val="single" w:sz="8" w:color="999999"/>
            </w:tcBorders>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1,286 (17)</w:t>
            </w:r>
          </w:p>
        </w:tc>
        <w:tc>
          <w:tcPr>
            <w:tcW w:w="116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251,079 (21)</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021496"/>
            </w:tcBorders>
          </w:tcPr>
          <w:p>
            <w:pPr>
              <w:spacing w:after="0"/>
              <w:rPr>
                <w:sz w:val="18"/>
                <w:szCs w:val="18"/>
                <w:color w:val="auto"/>
              </w:rPr>
            </w:pPr>
          </w:p>
        </w:tc>
        <w:tc>
          <w:tcPr>
            <w:tcW w:w="40" w:type="dxa"/>
            <w:vAlign w:val="bottom"/>
            <w:tcBorders>
              <w:bottom w:val="single" w:sz="8" w:color="021496"/>
            </w:tcBorders>
          </w:tcPr>
          <w:p>
            <w:pPr>
              <w:spacing w:after="0"/>
              <w:rPr>
                <w:sz w:val="18"/>
                <w:szCs w:val="18"/>
                <w:color w:val="auto"/>
              </w:rPr>
            </w:pPr>
          </w:p>
        </w:tc>
        <w:tc>
          <w:tcPr>
            <w:tcW w:w="600" w:type="dxa"/>
            <w:vAlign w:val="bottom"/>
            <w:tcBorders>
              <w:bottom w:val="single" w:sz="8" w:color="021496"/>
            </w:tcBorders>
          </w:tcPr>
          <w:p>
            <w:pPr>
              <w:spacing w:after="0"/>
              <w:rPr>
                <w:sz w:val="18"/>
                <w:szCs w:val="18"/>
                <w:color w:val="auto"/>
              </w:rPr>
            </w:pPr>
          </w:p>
        </w:tc>
        <w:tc>
          <w:tcPr>
            <w:tcW w:w="320" w:type="dxa"/>
            <w:vAlign w:val="bottom"/>
            <w:tcBorders>
              <w:bottom w:val="single" w:sz="8" w:color="021496"/>
            </w:tcBorders>
          </w:tcPr>
          <w:p>
            <w:pPr>
              <w:spacing w:after="0"/>
              <w:rPr>
                <w:sz w:val="18"/>
                <w:szCs w:val="18"/>
                <w:color w:val="auto"/>
              </w:rPr>
            </w:pPr>
          </w:p>
        </w:tc>
        <w:tc>
          <w:tcPr>
            <w:tcW w:w="960" w:type="dxa"/>
            <w:vAlign w:val="bottom"/>
            <w:tcBorders>
              <w:bottom w:val="single" w:sz="8" w:color="021496"/>
            </w:tcBorders>
          </w:tcPr>
          <w:p>
            <w:pPr>
              <w:spacing w:after="0"/>
              <w:rPr>
                <w:sz w:val="18"/>
                <w:szCs w:val="18"/>
                <w:color w:val="auto"/>
              </w:rPr>
            </w:pPr>
          </w:p>
        </w:tc>
        <w:tc>
          <w:tcPr>
            <w:tcW w:w="680" w:type="dxa"/>
            <w:vAlign w:val="bottom"/>
            <w:tcBorders>
              <w:bottom w:val="single" w:sz="8" w:color="021496"/>
            </w:tcBorders>
          </w:tcPr>
          <w:p>
            <w:pPr>
              <w:spacing w:after="0"/>
              <w:rPr>
                <w:sz w:val="18"/>
                <w:szCs w:val="18"/>
                <w:color w:val="auto"/>
              </w:rPr>
            </w:pPr>
          </w:p>
        </w:tc>
        <w:tc>
          <w:tcPr>
            <w:tcW w:w="860" w:type="dxa"/>
            <w:vAlign w:val="bottom"/>
            <w:tcBorders>
              <w:bottom w:val="single" w:sz="8" w:color="021496"/>
            </w:tcBorders>
          </w:tcPr>
          <w:p>
            <w:pPr>
              <w:spacing w:after="0"/>
              <w:rPr>
                <w:sz w:val="18"/>
                <w:szCs w:val="18"/>
                <w:color w:val="auto"/>
              </w:rPr>
            </w:pPr>
          </w:p>
        </w:tc>
        <w:tc>
          <w:tcPr>
            <w:tcW w:w="220" w:type="dxa"/>
            <w:vAlign w:val="bottom"/>
            <w:tcBorders>
              <w:bottom w:val="single" w:sz="8" w:color="021496"/>
            </w:tcBorders>
          </w:tcPr>
          <w:p>
            <w:pPr>
              <w:spacing w:after="0"/>
              <w:rPr>
                <w:sz w:val="18"/>
                <w:szCs w:val="18"/>
                <w:color w:val="auto"/>
              </w:rPr>
            </w:pPr>
          </w:p>
        </w:tc>
        <w:tc>
          <w:tcPr>
            <w:tcW w:w="880" w:type="dxa"/>
            <w:vAlign w:val="bottom"/>
            <w:tcBorders>
              <w:bottom w:val="single" w:sz="8" w:color="021496"/>
            </w:tcBorders>
          </w:tcPr>
          <w:p>
            <w:pPr>
              <w:spacing w:after="0"/>
              <w:rPr>
                <w:sz w:val="18"/>
                <w:szCs w:val="18"/>
                <w:color w:val="auto"/>
              </w:rPr>
            </w:pPr>
          </w:p>
        </w:tc>
        <w:tc>
          <w:tcPr>
            <w:tcW w:w="600" w:type="dxa"/>
            <w:vAlign w:val="bottom"/>
            <w:tcBorders>
              <w:bottom w:val="single" w:sz="8" w:color="021496"/>
            </w:tcBorders>
          </w:tcPr>
          <w:p>
            <w:pPr>
              <w:spacing w:after="0"/>
              <w:rPr>
                <w:sz w:val="18"/>
                <w:szCs w:val="18"/>
                <w:color w:val="auto"/>
              </w:rPr>
            </w:pPr>
          </w:p>
        </w:tc>
        <w:tc>
          <w:tcPr>
            <w:tcW w:w="340" w:type="dxa"/>
            <w:vAlign w:val="bottom"/>
            <w:tcBorders>
              <w:bottom w:val="single" w:sz="8" w:color="021496"/>
            </w:tcBorders>
          </w:tcPr>
          <w:p>
            <w:pPr>
              <w:spacing w:after="0"/>
              <w:rPr>
                <w:sz w:val="18"/>
                <w:szCs w:val="18"/>
                <w:color w:val="auto"/>
              </w:rPr>
            </w:pPr>
          </w:p>
        </w:tc>
        <w:tc>
          <w:tcPr>
            <w:tcW w:w="980" w:type="dxa"/>
            <w:vAlign w:val="bottom"/>
            <w:tcBorders>
              <w:bottom w:val="single" w:sz="8" w:color="021496"/>
            </w:tcBorders>
          </w:tcPr>
          <w:p>
            <w:pPr>
              <w:jc w:val="right"/>
              <w:spacing w:after="0"/>
              <w:rPr>
                <w:sz w:val="20"/>
                <w:szCs w:val="20"/>
                <w:color w:val="auto"/>
              </w:rPr>
            </w:pPr>
            <w:r>
              <w:rPr>
                <w:rFonts w:ascii="Arial" w:cs="Arial" w:eastAsia="Arial" w:hAnsi="Arial"/>
                <w:sz w:val="14"/>
                <w:szCs w:val="14"/>
                <w:color w:val="auto"/>
              </w:rPr>
              <w:t>726 (20)</w:t>
            </w:r>
          </w:p>
        </w:tc>
        <w:tc>
          <w:tcPr>
            <w:tcW w:w="1160" w:type="dxa"/>
            <w:vAlign w:val="bottom"/>
            <w:tcBorders>
              <w:bottom w:val="single" w:sz="8" w:color="021496"/>
            </w:tcBorders>
          </w:tcPr>
          <w:p>
            <w:pPr>
              <w:jc w:val="right"/>
              <w:ind w:right="33"/>
              <w:spacing w:after="0"/>
              <w:rPr>
                <w:sz w:val="20"/>
                <w:szCs w:val="20"/>
                <w:color w:val="auto"/>
              </w:rPr>
            </w:pPr>
            <w:r>
              <w:rPr>
                <w:rFonts w:ascii="Arial" w:cs="Arial" w:eastAsia="Arial" w:hAnsi="Arial"/>
                <w:sz w:val="14"/>
                <w:szCs w:val="14"/>
                <w:color w:val="auto"/>
              </w:rPr>
              <w:t>141,744 (21)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-1188085</wp:posOffset>
            </wp:positionV>
            <wp:extent cx="4848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-1332865</wp:posOffset>
            </wp:positionV>
            <wp:extent cx="4848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-1477010</wp:posOffset>
            </wp:positionV>
            <wp:extent cx="4848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-1621155</wp:posOffset>
            </wp:positionV>
            <wp:extent cx="4848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-1765935</wp:posOffset>
            </wp:positionV>
            <wp:extent cx="4848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-1910080</wp:posOffset>
            </wp:positionV>
            <wp:extent cx="4848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-2054225</wp:posOffset>
            </wp:positionV>
            <wp:extent cx="4848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-2199005</wp:posOffset>
            </wp:positionV>
            <wp:extent cx="4848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-2343150</wp:posOffset>
            </wp:positionV>
            <wp:extent cx="4848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-2487930</wp:posOffset>
            </wp:positionV>
            <wp:extent cx="4848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-4525645</wp:posOffset>
            </wp:positionV>
            <wp:extent cx="4848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-4670425</wp:posOffset>
            </wp:positionV>
            <wp:extent cx="4848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-4814570</wp:posOffset>
            </wp:positionV>
            <wp:extent cx="4848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-4958715</wp:posOffset>
            </wp:positionV>
            <wp:extent cx="48488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-5103495</wp:posOffset>
            </wp:positionV>
            <wp:extent cx="4848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-5247640</wp:posOffset>
            </wp:positionV>
            <wp:extent cx="4848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-5391785</wp:posOffset>
            </wp:positionV>
            <wp:extent cx="48488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-5536565</wp:posOffset>
            </wp:positionV>
            <wp:extent cx="4848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48860" cy="825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-5680710</wp:posOffset>
            </wp:positionV>
            <wp:extent cx="4848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48860" cy="8255"/>
                    </a:xfrm>
                    <a:prstGeom prst="rect">
                      <a:avLst/>
                    </a:prstGeom>
                    <a:noFill/>
                  </pic:spPr>
                </pic:pic>
              </a:graphicData>
            </a:graphic>
          </wp:anchor>
        </w:drawing>
      </w:r>
    </w:p>
    <w:p>
      <w:pPr>
        <w:spacing w:after="0" w:line="88" w:lineRule="exact"/>
        <w:rPr>
          <w:sz w:val="20"/>
          <w:szCs w:val="20"/>
          <w:color w:val="auto"/>
        </w:rPr>
      </w:pPr>
    </w:p>
    <w:p>
      <w:pPr>
        <w:ind w:left="540" w:hanging="426"/>
        <w:spacing w:after="0"/>
        <w:tabs>
          <w:tab w:leader="none" w:pos="54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2025 that are not exercisable until February 14, 2028.</w:t>
      </w:r>
    </w:p>
    <w:p>
      <w:pPr>
        <w:spacing w:after="0" w:line="17" w:lineRule="exact"/>
        <w:rPr>
          <w:rFonts w:ascii="Arial" w:cs="Arial" w:eastAsia="Arial" w:hAnsi="Arial"/>
          <w:sz w:val="16"/>
          <w:szCs w:val="16"/>
          <w:i w:val="1"/>
          <w:iCs w:val="1"/>
          <w:color w:val="auto"/>
        </w:rPr>
      </w:pPr>
    </w:p>
    <w:p>
      <w:pPr>
        <w:ind w:left="540" w:hanging="426"/>
        <w:spacing w:after="0"/>
        <w:tabs>
          <w:tab w:leader="none" w:pos="54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8, 2024 that are not exercisable until February 8, 2027.</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65</w:t>
      </w:r>
    </w:p>
    <w:p>
      <w:pPr>
        <w:sectPr>
          <w:pgSz w:w="11900" w:h="16838" w:orient="portrait"/>
          <w:cols w:equalWidth="0" w:num="1">
            <w:col w:w="10920"/>
          </w:cols>
          <w:pgMar w:left="480" w:top="299" w:right="49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2" w:lineRule="exact"/>
        <w:rPr>
          <w:sz w:val="20"/>
          <w:szCs w:val="20"/>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2023 that are not exercisable until February 10, 2026.</w:t>
      </w:r>
    </w:p>
    <w:p>
      <w:pPr>
        <w:spacing w:after="0" w:line="17"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2022 that became exercisable on February 11, 2025.</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2021 that became exercisable on February 12, 2024.</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2020 that became exercisable on February 14, 2023.</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15, 2019 that became exercisable on February 15, 2022.</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May 23, 2018 that became exercisable on May 23, 2021.</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2018 that became exercisable on February 9, 2021.</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2017 that became exercisable on February 10, 2020.</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August 1, 2024 that will become exercisable on August 1, 2027.</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14, 2025. The units vest in three equal installments beginning on March 15, 2026.</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8, 2024. The units vest in three equal installments beginning on March 15, 2025.</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10, 2023. The units vest in three equal annual installments beginning on March 15, 2024.</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August 1, 2024. The units vest in three equal installments beginning on August 1, 2025.</w:t>
      </w:r>
    </w:p>
    <w:p>
      <w:pPr>
        <w:spacing w:after="0" w:line="3" w:lineRule="exact"/>
        <w:rPr>
          <w:rFonts w:ascii="Arial" w:cs="Arial" w:eastAsia="Arial" w:hAnsi="Arial"/>
          <w:sz w:val="16"/>
          <w:szCs w:val="16"/>
          <w:i w:val="1"/>
          <w:iCs w:val="1"/>
          <w:color w:val="auto"/>
        </w:rPr>
      </w:pPr>
    </w:p>
    <w:p>
      <w:pPr>
        <w:ind w:left="540" w:hanging="426"/>
        <w:spacing w:after="0"/>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units granted multiplied by $195.24, the closing price of our common stock on December 31, 2025.</w:t>
      </w:r>
    </w:p>
    <w:p>
      <w:pPr>
        <w:spacing w:after="0" w:line="3" w:lineRule="exact"/>
        <w:rPr>
          <w:rFonts w:ascii="Arial" w:cs="Arial" w:eastAsia="Arial" w:hAnsi="Arial"/>
          <w:sz w:val="16"/>
          <w:szCs w:val="16"/>
          <w:i w:val="1"/>
          <w:iCs w:val="1"/>
          <w:color w:val="auto"/>
        </w:rPr>
      </w:pPr>
    </w:p>
    <w:p>
      <w:pPr>
        <w:ind w:left="540" w:right="240" w:hanging="426"/>
        <w:spacing w:after="0" w:line="244" w:lineRule="auto"/>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14, 2025 that become payable after December 31, 2027 subject to the achievement of the applicable performance goal. The amount reflected in the table represents the number of shares payable based on achievement of the target level of performance (100%)</w:t>
      </w:r>
    </w:p>
    <w:p>
      <w:pPr>
        <w:ind w:left="540" w:right="440" w:hanging="426"/>
        <w:spacing w:after="0" w:line="244" w:lineRule="auto"/>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March 29, 2024 that become payable after December 31, 2026 subject to the achievement of the applicable performance goal. The amount reflected in the table represents the number of shares payable based on achievement of the target level of performance (100%)</w:t>
      </w:r>
    </w:p>
    <w:p>
      <w:pPr>
        <w:ind w:left="540" w:right="240" w:hanging="426"/>
        <w:spacing w:after="0" w:line="244" w:lineRule="auto"/>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10, 2023 that become payable after December 31, 2025 subject to the achievement of the applicable performance goal. The amount reflected in the table represents the number of shares payable based on achievement of the target level of performance (100%)</w:t>
      </w:r>
    </w:p>
    <w:p>
      <w:pPr>
        <w:ind w:left="540" w:right="600" w:hanging="426"/>
        <w:spacing w:after="0" w:line="244" w:lineRule="auto"/>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August 1, 2024 become payable after December 31, 2026 subject to the achievement of the applicable performance goal. The amount reflected in the table represents the number of shares payable based on achievement of the target level of performance (100%).</w:t>
      </w:r>
    </w:p>
    <w:p>
      <w:pPr>
        <w:ind w:left="540" w:right="180" w:hanging="426"/>
        <w:spacing w:after="0" w:line="258" w:lineRule="auto"/>
        <w:tabs>
          <w:tab w:leader="none" w:pos="54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performance shares payable based on achievement of the target level of performance multiplied by $195.24, the closing price of our common stock on December 31, 2025.</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Option Exercises and Stock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Pr>
          <w:p>
            <w:pPr>
              <w:spacing w:after="0"/>
              <w:rPr>
                <w:sz w:val="19"/>
                <w:szCs w:val="19"/>
                <w:color w:val="auto"/>
              </w:rPr>
            </w:pPr>
          </w:p>
        </w:tc>
      </w:tr>
      <w:tr>
        <w:trPr>
          <w:trHeight w:val="42"/>
        </w:trPr>
        <w:tc>
          <w:tcPr>
            <w:tcW w:w="5540" w:type="dxa"/>
            <w:vAlign w:val="bottom"/>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r>
        <w:trPr>
          <w:trHeight w:val="145"/>
        </w:trPr>
        <w:tc>
          <w:tcPr>
            <w:tcW w:w="5540" w:type="dxa"/>
            <w:vAlign w:val="bottom"/>
          </w:tcPr>
          <w:p>
            <w:pPr>
              <w:spacing w:after="0"/>
              <w:rPr>
                <w:sz w:val="12"/>
                <w:szCs w:val="12"/>
                <w:color w:val="auto"/>
              </w:rPr>
            </w:pPr>
          </w:p>
        </w:tc>
        <w:tc>
          <w:tcPr>
            <w:tcW w:w="14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Value Realized</w:t>
            </w:r>
          </w:p>
        </w:tc>
        <w:tc>
          <w:tcPr>
            <w:tcW w:w="260" w:type="dxa"/>
            <w:vAlign w:val="bottom"/>
          </w:tcPr>
          <w:p>
            <w:pPr>
              <w:spacing w:after="0"/>
              <w:rPr>
                <w:sz w:val="12"/>
                <w:szCs w:val="12"/>
                <w:color w:val="auto"/>
              </w:rPr>
            </w:pPr>
          </w:p>
        </w:tc>
        <w:tc>
          <w:tcPr>
            <w:tcW w:w="14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Value Realized</w:t>
            </w:r>
          </w:p>
        </w:tc>
      </w:tr>
      <w:tr>
        <w:trPr>
          <w:trHeight w:val="160"/>
        </w:trPr>
        <w:tc>
          <w:tcPr>
            <w:tcW w:w="55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Acquired on</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on Exercise</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Acquired on</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on Vesting</w:t>
            </w:r>
          </w:p>
        </w:tc>
      </w:tr>
      <w:tr>
        <w:trPr>
          <w:trHeight w:val="195"/>
        </w:trPr>
        <w:tc>
          <w:tcPr>
            <w:tcW w:w="5540" w:type="dxa"/>
            <w:vAlign w:val="bottom"/>
          </w:tcPr>
          <w:p>
            <w:pPr>
              <w:ind w:left="120"/>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Exercise (#)(1)</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Vesting (#)(3)</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($)(4)</w:t>
            </w:r>
          </w:p>
        </w:tc>
      </w:tr>
      <w:tr>
        <w:trPr>
          <w:trHeight w:val="42"/>
        </w:trPr>
        <w:tc>
          <w:tcPr>
            <w:tcW w:w="554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6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r>
        <w:trPr>
          <w:trHeight w:val="254"/>
        </w:trPr>
        <w:tc>
          <w:tcPr>
            <w:tcW w:w="554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Richard J. Tobin</w:t>
            </w:r>
          </w:p>
        </w:tc>
        <w:tc>
          <w:tcPr>
            <w:tcW w:w="1420" w:type="dxa"/>
            <w:vAlign w:val="bottom"/>
            <w:tcBorders>
              <w:bottom w:val="single" w:sz="8" w:color="D8D8D8"/>
            </w:tcBorders>
            <w:shd w:val="clear" w:color="auto" w:fill="D8D8D8"/>
          </w:tcPr>
          <w:p>
            <w:pPr>
              <w:spacing w:after="0"/>
              <w:rPr>
                <w:sz w:val="22"/>
                <w:szCs w:val="22"/>
                <w:color w:val="auto"/>
              </w:rPr>
            </w:pPr>
          </w:p>
        </w:tc>
        <w:tc>
          <w:tcPr>
            <w:tcW w:w="1140" w:type="dxa"/>
            <w:vAlign w:val="bottom"/>
            <w:tcBorders>
              <w:bottom w:val="single" w:sz="8" w:color="D8D8D8"/>
            </w:tcBorders>
            <w:shd w:val="clear" w:color="auto" w:fill="D8D8D8"/>
          </w:tcPr>
          <w:p>
            <w:pPr>
              <w:spacing w:after="0"/>
              <w:rPr>
                <w:sz w:val="22"/>
                <w:szCs w:val="22"/>
                <w:color w:val="auto"/>
              </w:rPr>
            </w:pPr>
          </w:p>
        </w:tc>
        <w:tc>
          <w:tcPr>
            <w:tcW w:w="260" w:type="dxa"/>
            <w:vAlign w:val="bottom"/>
            <w:tcBorders>
              <w:bottom w:val="single" w:sz="8" w:color="D8D8D8"/>
            </w:tcBorders>
            <w:shd w:val="clear" w:color="auto" w:fill="D8D8D8"/>
          </w:tcPr>
          <w:p>
            <w:pPr>
              <w:spacing w:after="0"/>
              <w:rPr>
                <w:sz w:val="22"/>
                <w:szCs w:val="22"/>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  38,038</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7,235,010</w:t>
            </w:r>
          </w:p>
        </w:tc>
      </w:tr>
      <w:tr>
        <w:trPr>
          <w:trHeight w:val="251"/>
        </w:trPr>
        <w:tc>
          <w:tcPr>
            <w:tcW w:w="5540" w:type="dxa"/>
            <w:vAlign w:val="bottom"/>
          </w:tcPr>
          <w:p>
            <w:pPr>
              <w:ind w:left="120"/>
              <w:spacing w:after="0"/>
              <w:rPr>
                <w:sz w:val="20"/>
                <w:szCs w:val="20"/>
                <w:color w:val="auto"/>
              </w:rPr>
            </w:pPr>
            <w:r>
              <w:rPr>
                <w:rFonts w:ascii="Arial" w:cs="Arial" w:eastAsia="Arial" w:hAnsi="Arial"/>
                <w:sz w:val="16"/>
                <w:szCs w:val="16"/>
                <w:color w:val="auto"/>
              </w:rPr>
              <w:t>Chris B. Woenker</w:t>
            </w: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3,107</w:t>
            </w:r>
          </w:p>
        </w:tc>
        <w:tc>
          <w:tcPr>
            <w:tcW w:w="1140" w:type="dxa"/>
            <w:vAlign w:val="bottom"/>
          </w:tcPr>
          <w:p>
            <w:pPr>
              <w:jc w:val="right"/>
              <w:spacing w:after="0"/>
              <w:rPr>
                <w:sz w:val="20"/>
                <w:szCs w:val="20"/>
                <w:color w:val="auto"/>
              </w:rPr>
            </w:pPr>
            <w:r>
              <w:rPr>
                <w:rFonts w:ascii="Arial" w:cs="Arial" w:eastAsia="Arial" w:hAnsi="Arial"/>
                <w:sz w:val="16"/>
                <w:szCs w:val="16"/>
                <w:color w:val="auto"/>
              </w:rPr>
              <w:t>429,170</w:t>
            </w:r>
          </w:p>
        </w:tc>
        <w:tc>
          <w:tcPr>
            <w:tcW w:w="26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1,205</w:t>
            </w:r>
          </w:p>
        </w:tc>
        <w:tc>
          <w:tcPr>
            <w:tcW w:w="1140" w:type="dxa"/>
            <w:vAlign w:val="bottom"/>
          </w:tcPr>
          <w:p>
            <w:pPr>
              <w:jc w:val="right"/>
              <w:spacing w:after="0"/>
              <w:rPr>
                <w:sz w:val="20"/>
                <w:szCs w:val="20"/>
                <w:color w:val="auto"/>
              </w:rPr>
            </w:pPr>
            <w:r>
              <w:rPr>
                <w:rFonts w:ascii="Arial" w:cs="Arial" w:eastAsia="Arial" w:hAnsi="Arial"/>
                <w:sz w:val="16"/>
                <w:szCs w:val="16"/>
                <w:color w:val="auto"/>
              </w:rPr>
              <w:t>229,151</w:t>
            </w:r>
          </w:p>
        </w:tc>
      </w:tr>
      <w:tr>
        <w:trPr>
          <w:trHeight w:val="44"/>
        </w:trPr>
        <w:tc>
          <w:tcPr>
            <w:tcW w:w="5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554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Brad M. Cerepak</w:t>
            </w:r>
          </w:p>
        </w:tc>
        <w:tc>
          <w:tcPr>
            <w:tcW w:w="1420" w:type="dxa"/>
            <w:vAlign w:val="bottom"/>
            <w:tcBorders>
              <w:bottom w:val="single" w:sz="8" w:color="D8D8D8"/>
            </w:tcBorders>
            <w:shd w:val="clear" w:color="auto" w:fill="D8D8D8"/>
          </w:tcPr>
          <w:p>
            <w:pPr>
              <w:jc w:val="right"/>
              <w:ind w:right="5"/>
              <w:spacing w:after="0"/>
              <w:rPr>
                <w:sz w:val="20"/>
                <w:szCs w:val="20"/>
                <w:color w:val="auto"/>
              </w:rPr>
            </w:pPr>
            <w:r>
              <w:rPr>
                <w:rFonts w:ascii="Arial" w:cs="Arial" w:eastAsia="Arial" w:hAnsi="Arial"/>
                <w:sz w:val="16"/>
                <w:szCs w:val="16"/>
                <w:color w:val="auto"/>
              </w:rPr>
              <w:t>74,360</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10,479,551</w:t>
            </w:r>
          </w:p>
        </w:tc>
        <w:tc>
          <w:tcPr>
            <w:tcW w:w="260" w:type="dxa"/>
            <w:vAlign w:val="bottom"/>
            <w:tcBorders>
              <w:bottom w:val="single" w:sz="8" w:color="D8D8D8"/>
            </w:tcBorders>
            <w:shd w:val="clear" w:color="auto" w:fill="D8D8D8"/>
          </w:tcPr>
          <w:p>
            <w:pPr>
              <w:spacing w:after="0"/>
              <w:rPr>
                <w:sz w:val="23"/>
                <w:szCs w:val="23"/>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8,461</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     1,609,820</w:t>
            </w:r>
          </w:p>
        </w:tc>
      </w:tr>
      <w:tr>
        <w:trPr>
          <w:trHeight w:val="251"/>
        </w:trPr>
        <w:tc>
          <w:tcPr>
            <w:tcW w:w="5540" w:type="dxa"/>
            <w:vAlign w:val="bottom"/>
          </w:tcPr>
          <w:p>
            <w:pPr>
              <w:ind w:left="120"/>
              <w:spacing w:after="0"/>
              <w:rPr>
                <w:sz w:val="20"/>
                <w:szCs w:val="20"/>
                <w:color w:val="auto"/>
              </w:rPr>
            </w:pPr>
            <w:r>
              <w:rPr>
                <w:rFonts w:ascii="Arial" w:cs="Arial" w:eastAsia="Arial" w:hAnsi="Arial"/>
                <w:sz w:val="16"/>
                <w:szCs w:val="16"/>
                <w:color w:val="auto"/>
              </w:rPr>
              <w:t>Ivonne M. Cabrera</w:t>
            </w: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39,775</w:t>
            </w:r>
          </w:p>
        </w:tc>
        <w:tc>
          <w:tcPr>
            <w:tcW w:w="1140" w:type="dxa"/>
            <w:vAlign w:val="bottom"/>
          </w:tcPr>
          <w:p>
            <w:pPr>
              <w:jc w:val="right"/>
              <w:spacing w:after="0"/>
              <w:rPr>
                <w:sz w:val="20"/>
                <w:szCs w:val="20"/>
                <w:color w:val="auto"/>
              </w:rPr>
            </w:pPr>
            <w:r>
              <w:rPr>
                <w:rFonts w:ascii="Arial" w:cs="Arial" w:eastAsia="Arial" w:hAnsi="Arial"/>
                <w:sz w:val="16"/>
                <w:szCs w:val="16"/>
                <w:color w:val="auto"/>
              </w:rPr>
              <w:t>5,602,309</w:t>
            </w:r>
          </w:p>
        </w:tc>
        <w:tc>
          <w:tcPr>
            <w:tcW w:w="26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3,981</w:t>
            </w:r>
          </w:p>
        </w:tc>
        <w:tc>
          <w:tcPr>
            <w:tcW w:w="1140" w:type="dxa"/>
            <w:vAlign w:val="bottom"/>
          </w:tcPr>
          <w:p>
            <w:pPr>
              <w:jc w:val="right"/>
              <w:spacing w:after="0"/>
              <w:rPr>
                <w:sz w:val="20"/>
                <w:szCs w:val="20"/>
                <w:color w:val="auto"/>
              </w:rPr>
            </w:pPr>
            <w:r>
              <w:rPr>
                <w:rFonts w:ascii="Arial" w:cs="Arial" w:eastAsia="Arial" w:hAnsi="Arial"/>
                <w:sz w:val="16"/>
                <w:szCs w:val="16"/>
                <w:color w:val="auto"/>
              </w:rPr>
              <w:t>757,441</w:t>
            </w:r>
          </w:p>
        </w:tc>
      </w:tr>
      <w:tr>
        <w:trPr>
          <w:trHeight w:val="44"/>
        </w:trPr>
        <w:tc>
          <w:tcPr>
            <w:tcW w:w="5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554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Girish Juneja</w:t>
            </w:r>
          </w:p>
        </w:tc>
        <w:tc>
          <w:tcPr>
            <w:tcW w:w="1420" w:type="dxa"/>
            <w:vAlign w:val="bottom"/>
            <w:tcBorders>
              <w:bottom w:val="single" w:sz="8" w:color="D8D8D8"/>
            </w:tcBorders>
            <w:shd w:val="clear" w:color="auto" w:fill="D8D8D8"/>
          </w:tcPr>
          <w:p>
            <w:pPr>
              <w:spacing w:after="0"/>
              <w:rPr>
                <w:sz w:val="23"/>
                <w:szCs w:val="23"/>
                <w:color w:val="auto"/>
              </w:rPr>
            </w:pPr>
          </w:p>
        </w:tc>
        <w:tc>
          <w:tcPr>
            <w:tcW w:w="1140" w:type="dxa"/>
            <w:vAlign w:val="bottom"/>
            <w:tcBorders>
              <w:bottom w:val="single" w:sz="8" w:color="D8D8D8"/>
            </w:tcBorders>
            <w:shd w:val="clear" w:color="auto" w:fill="D8D8D8"/>
          </w:tcPr>
          <w:p>
            <w:pPr>
              <w:spacing w:after="0"/>
              <w:rPr>
                <w:sz w:val="23"/>
                <w:szCs w:val="23"/>
                <w:color w:val="auto"/>
              </w:rPr>
            </w:pPr>
          </w:p>
        </w:tc>
        <w:tc>
          <w:tcPr>
            <w:tcW w:w="260" w:type="dxa"/>
            <w:vAlign w:val="bottom"/>
            <w:tcBorders>
              <w:bottom w:val="single" w:sz="8" w:color="D8D8D8"/>
            </w:tcBorders>
            <w:shd w:val="clear" w:color="auto" w:fill="D8D8D8"/>
          </w:tcPr>
          <w:p>
            <w:pPr>
              <w:spacing w:after="0"/>
              <w:rPr>
                <w:sz w:val="23"/>
                <w:szCs w:val="23"/>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2,986</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568,134</w:t>
            </w:r>
          </w:p>
        </w:tc>
      </w:tr>
      <w:tr>
        <w:trPr>
          <w:trHeight w:val="251"/>
        </w:trPr>
        <w:tc>
          <w:tcPr>
            <w:tcW w:w="5540" w:type="dxa"/>
            <w:vAlign w:val="bottom"/>
          </w:tcPr>
          <w:p>
            <w:pPr>
              <w:ind w:left="120"/>
              <w:spacing w:after="0"/>
              <w:rPr>
                <w:sz w:val="20"/>
                <w:szCs w:val="20"/>
                <w:color w:val="auto"/>
              </w:rPr>
            </w:pPr>
            <w:r>
              <w:rPr>
                <w:rFonts w:ascii="Arial" w:cs="Arial" w:eastAsia="Arial" w:hAnsi="Arial"/>
                <w:sz w:val="16"/>
                <w:szCs w:val="16"/>
                <w:color w:val="auto"/>
              </w:rPr>
              <w:t>Jeffrey C. Yehle</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586</w:t>
            </w:r>
          </w:p>
        </w:tc>
        <w:tc>
          <w:tcPr>
            <w:tcW w:w="1140" w:type="dxa"/>
            <w:vAlign w:val="bottom"/>
          </w:tcPr>
          <w:p>
            <w:pPr>
              <w:jc w:val="right"/>
              <w:spacing w:after="0"/>
              <w:rPr>
                <w:sz w:val="20"/>
                <w:szCs w:val="20"/>
                <w:color w:val="auto"/>
              </w:rPr>
            </w:pPr>
            <w:r>
              <w:rPr>
                <w:rFonts w:ascii="Arial" w:cs="Arial" w:eastAsia="Arial" w:hAnsi="Arial"/>
                <w:sz w:val="16"/>
                <w:szCs w:val="16"/>
                <w:color w:val="auto"/>
              </w:rPr>
              <w:t>103,326</w:t>
            </w:r>
          </w:p>
        </w:tc>
      </w:tr>
      <w:tr>
        <w:trPr>
          <w:trHeight w:val="44"/>
        </w:trPr>
        <w:tc>
          <w:tcPr>
            <w:tcW w:w="554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6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bl>
    <w:p>
      <w:pPr>
        <w:spacing w:after="0" w:line="108" w:lineRule="exact"/>
        <w:rPr>
          <w:sz w:val="20"/>
          <w:szCs w:val="20"/>
          <w:color w:val="auto"/>
        </w:rPr>
      </w:pPr>
    </w:p>
    <w:p>
      <w:pPr>
        <w:ind w:left="540" w:right="320" w:hanging="426"/>
        <w:spacing w:after="0" w:line="253" w:lineRule="auto"/>
        <w:tabs>
          <w:tab w:leader="none" w:pos="54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exercise of SSARs; number of shares reported as acquired is the total number of shares underlying the SSAR, rather than the net number of shares received by the NEO.</w:t>
      </w:r>
    </w:p>
    <w:p>
      <w:pPr>
        <w:ind w:left="540" w:right="440" w:hanging="426"/>
        <w:spacing w:after="0" w:line="244" w:lineRule="auto"/>
        <w:tabs>
          <w:tab w:leader="none" w:pos="54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provided in the table represents the difference between the average of the high and low trading price on the exercise date and the exercise or base price, multiplied by the number of shares acquired upon exercise of the award.</w:t>
      </w:r>
    </w:p>
    <w:p>
      <w:pPr>
        <w:ind w:left="540" w:right="60" w:hanging="426"/>
        <w:spacing w:after="0" w:line="244" w:lineRule="auto"/>
        <w:tabs>
          <w:tab w:leader="none" w:pos="54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This column represents the vesting of a portion of the 2022, 2023 and 2024 grants of RSUs as well as a performance share payout for the performance period ended December 31, 2025 for Messrs. Tobin, Woenker, Cerepak, Juneja and Ms. Cabrera and a portion of the 2024 grants of RSUs for Mr. Yehle. The number of shares reported as acquired is the full number of RSUs vested or performance shares paid out, not the net number of shares received by the NEO after withholding shares for satisfaction of taxes.</w:t>
      </w:r>
    </w:p>
    <w:p>
      <w:pPr>
        <w:ind w:left="540" w:right="460" w:hanging="426"/>
        <w:spacing w:after="0" w:line="251" w:lineRule="auto"/>
        <w:tabs>
          <w:tab w:leader="none" w:pos="54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This value represents the average of the high and low trading price on the date of vesting multiplied by the number of RSUs vesting plus the number of performance shares paid for the period ended December 31, 2025 multiplied by $195.24, the closing price of our stock on December 31, 2025.</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ectPr>
          <w:pgSz w:w="11900" w:h="16838" w:orient="portrait"/>
          <w:cols w:equalWidth="0" w:num="1">
            <w:col w:w="10920"/>
          </w:cols>
          <w:pgMar w:left="480" w:top="299" w:right="49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Pension Benefits through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Borders>
              <w:top w:val="single" w:sz="8" w:color="021496"/>
            </w:tcBorders>
          </w:tcPr>
          <w:p>
            <w:pPr>
              <w:spacing w:after="0"/>
              <w:rPr>
                <w:sz w:val="14"/>
                <w:szCs w:val="14"/>
                <w:color w:val="auto"/>
              </w:rPr>
            </w:pPr>
          </w:p>
        </w:tc>
        <w:tc>
          <w:tcPr>
            <w:tcW w:w="100" w:type="dxa"/>
            <w:vAlign w:val="bottom"/>
            <w:tcBorders>
              <w:top w:val="single" w:sz="8" w:color="021496"/>
            </w:tcBorders>
          </w:tcPr>
          <w:p>
            <w:pPr>
              <w:spacing w:after="0"/>
              <w:rPr>
                <w:sz w:val="14"/>
                <w:szCs w:val="14"/>
                <w:color w:val="auto"/>
              </w:rPr>
            </w:pPr>
          </w:p>
        </w:tc>
        <w:tc>
          <w:tcPr>
            <w:tcW w:w="1000" w:type="dxa"/>
            <w:vAlign w:val="bottom"/>
            <w:tcBorders>
              <w:top w:val="single" w:sz="8" w:color="021496"/>
            </w:tcBorders>
          </w:tcPr>
          <w:p>
            <w:pPr>
              <w:spacing w:after="0"/>
              <w:rPr>
                <w:sz w:val="14"/>
                <w:szCs w:val="14"/>
                <w:color w:val="auto"/>
              </w:rPr>
            </w:pPr>
          </w:p>
        </w:tc>
        <w:tc>
          <w:tcPr>
            <w:tcW w:w="1140" w:type="dxa"/>
            <w:vAlign w:val="bottom"/>
            <w:tcBorders>
              <w:top w:val="single" w:sz="8" w:color="021496"/>
            </w:tcBorders>
          </w:tcPr>
          <w:p>
            <w:pPr>
              <w:jc w:val="right"/>
              <w:ind w:right="302"/>
              <w:spacing w:after="0"/>
              <w:rPr>
                <w:sz w:val="20"/>
                <w:szCs w:val="20"/>
                <w:color w:val="auto"/>
              </w:rPr>
            </w:pPr>
            <w:r>
              <w:rPr>
                <w:rFonts w:ascii="Arial" w:cs="Arial" w:eastAsia="Arial" w:hAnsi="Arial"/>
                <w:sz w:val="14"/>
                <w:szCs w:val="14"/>
                <w:b w:val="1"/>
                <w:bCs w:val="1"/>
                <w:color w:val="auto"/>
              </w:rPr>
              <w:t>Number of</w:t>
            </w:r>
          </w:p>
        </w:tc>
        <w:tc>
          <w:tcPr>
            <w:tcW w:w="900" w:type="dxa"/>
            <w:vAlign w:val="bottom"/>
            <w:tcBorders>
              <w:top w:val="single" w:sz="8" w:color="021496"/>
            </w:tcBorders>
          </w:tcPr>
          <w:p>
            <w:pPr>
              <w:ind w:left="80"/>
              <w:spacing w:after="0"/>
              <w:rPr>
                <w:sz w:val="20"/>
                <w:szCs w:val="20"/>
                <w:color w:val="auto"/>
              </w:rPr>
            </w:pPr>
            <w:r>
              <w:rPr>
                <w:rFonts w:ascii="Arial" w:cs="Arial" w:eastAsia="Arial" w:hAnsi="Arial"/>
                <w:sz w:val="14"/>
                <w:szCs w:val="14"/>
                <w:b w:val="1"/>
                <w:bCs w:val="1"/>
                <w:color w:val="auto"/>
              </w:rPr>
              <w:t>Normal</w:t>
            </w:r>
          </w:p>
        </w:tc>
        <w:tc>
          <w:tcPr>
            <w:tcW w:w="1240" w:type="dxa"/>
            <w:vAlign w:val="bottom"/>
            <w:tcBorders>
              <w:top w:val="single" w:sz="8" w:color="021496"/>
            </w:tcBorders>
          </w:tcPr>
          <w:p>
            <w:pPr>
              <w:ind w:left="80"/>
              <w:spacing w:after="0"/>
              <w:rPr>
                <w:sz w:val="20"/>
                <w:szCs w:val="20"/>
                <w:color w:val="auto"/>
              </w:rPr>
            </w:pPr>
            <w:r>
              <w:rPr>
                <w:rFonts w:ascii="Arial" w:cs="Arial" w:eastAsia="Arial" w:hAnsi="Arial"/>
                <w:sz w:val="14"/>
                <w:szCs w:val="14"/>
                <w:b w:val="1"/>
                <w:bCs w:val="1"/>
                <w:color w:val="auto"/>
              </w:rPr>
              <w:t>Present Value</w:t>
            </w:r>
          </w:p>
        </w:tc>
        <w:tc>
          <w:tcPr>
            <w:tcW w:w="11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Years Credited</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Retirement</w:t>
            </w:r>
          </w:p>
        </w:tc>
        <w:tc>
          <w:tcPr>
            <w:tcW w:w="1240" w:type="dxa"/>
            <w:vAlign w:val="bottom"/>
          </w:tcPr>
          <w:p>
            <w:pPr>
              <w:jc w:val="right"/>
              <w:ind w:right="2"/>
              <w:spacing w:after="0"/>
              <w:rPr>
                <w:sz w:val="20"/>
                <w:szCs w:val="20"/>
                <w:color w:val="auto"/>
              </w:rPr>
            </w:pPr>
            <w:r>
              <w:rPr>
                <w:rFonts w:ascii="Arial" w:cs="Arial" w:eastAsia="Arial" w:hAnsi="Arial"/>
                <w:sz w:val="14"/>
                <w:szCs w:val="14"/>
                <w:b w:val="1"/>
                <w:bCs w:val="1"/>
                <w:color w:val="auto"/>
              </w:rPr>
              <w:t>of Accumulated</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Plan Name</w:t>
            </w:r>
          </w:p>
        </w:tc>
        <w:tc>
          <w:tcPr>
            <w:tcW w:w="1140" w:type="dxa"/>
            <w:vAlign w:val="bottom"/>
          </w:tcPr>
          <w:p>
            <w:pPr>
              <w:jc w:val="right"/>
              <w:ind w:right="282"/>
              <w:spacing w:after="0"/>
              <w:rPr>
                <w:sz w:val="20"/>
                <w:szCs w:val="20"/>
                <w:color w:val="auto"/>
              </w:rPr>
            </w:pPr>
            <w:r>
              <w:rPr>
                <w:rFonts w:ascii="Arial" w:cs="Arial" w:eastAsia="Arial" w:hAnsi="Arial"/>
                <w:sz w:val="14"/>
                <w:szCs w:val="14"/>
                <w:b w:val="1"/>
                <w:bCs w:val="1"/>
                <w:color w:val="auto"/>
              </w:rPr>
              <w:t>Service (#)</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Age (#)</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Benefit ($)(1)</w:t>
            </w: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rPr>
              <w:t>Fiscal Year ($)</w:t>
            </w:r>
          </w:p>
        </w:tc>
        <w:tc>
          <w:tcPr>
            <w:tcW w:w="0" w:type="dxa"/>
            <w:vAlign w:val="bottom"/>
          </w:tcPr>
          <w:p>
            <w:pPr>
              <w:spacing w:after="0"/>
              <w:rPr>
                <w:sz w:val="1"/>
                <w:szCs w:val="1"/>
                <w:color w:val="auto"/>
              </w:rPr>
            </w:pPr>
          </w:p>
        </w:tc>
      </w:tr>
      <w:tr>
        <w:trPr>
          <w:trHeight w:val="42"/>
        </w:trPr>
        <w:tc>
          <w:tcPr>
            <w:tcW w:w="5420" w:type="dxa"/>
            <w:vAlign w:val="bottom"/>
            <w:tcBorders>
              <w:bottom w:val="single" w:sz="8" w:color="021496"/>
            </w:tcBorders>
          </w:tcPr>
          <w:p>
            <w:pPr>
              <w:spacing w:after="0"/>
              <w:rPr>
                <w:sz w:val="3"/>
                <w:szCs w:val="3"/>
                <w:color w:val="auto"/>
              </w:rPr>
            </w:pPr>
          </w:p>
        </w:tc>
        <w:tc>
          <w:tcPr>
            <w:tcW w:w="1100" w:type="dxa"/>
            <w:vAlign w:val="bottom"/>
            <w:tcBorders>
              <w:bottom w:val="single" w:sz="8" w:color="021496"/>
            </w:tcBorders>
            <w:gridSpan w:val="2"/>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1240" w:type="dxa"/>
            <w:vAlign w:val="bottom"/>
            <w:tcBorders>
              <w:bottom w:val="single" w:sz="8" w:color="021496"/>
            </w:tcBorders>
          </w:tcPr>
          <w:p>
            <w:pPr>
              <w:spacing w:after="0"/>
              <w:rPr>
                <w:sz w:val="3"/>
                <w:szCs w:val="3"/>
                <w:color w:val="auto"/>
              </w:rPr>
            </w:pPr>
          </w:p>
        </w:tc>
        <w:tc>
          <w:tcPr>
            <w:tcW w:w="112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Richard J. Tobin (2)</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4"/>
        </w:trPr>
        <w:tc>
          <w:tcPr>
            <w:tcW w:w="54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Chris Woenker</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10.8</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175,656</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100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124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Brad M. Cerepak (3)</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65.93</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695,297</w:t>
            </w:r>
          </w:p>
        </w:tc>
        <w:tc>
          <w:tcPr>
            <w:tcW w:w="0" w:type="dxa"/>
            <w:vAlign w:val="bottom"/>
          </w:tcPr>
          <w:p>
            <w:pPr>
              <w:spacing w:after="0"/>
              <w:rPr>
                <w:sz w:val="1"/>
                <w:szCs w:val="1"/>
                <w:color w:val="auto"/>
              </w:rPr>
            </w:pPr>
          </w:p>
        </w:tc>
      </w:tr>
      <w:tr>
        <w:trPr>
          <w:trHeight w:val="30"/>
        </w:trPr>
        <w:tc>
          <w:tcPr>
            <w:tcW w:w="5420" w:type="dxa"/>
            <w:vAlign w:val="bottom"/>
            <w:vMerge w:val="continue"/>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420" w:type="dxa"/>
            <w:vAlign w:val="bottom"/>
            <w:vMerge w:val="continue"/>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14.6</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65.93</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764,490</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2,295,364</w:t>
            </w:r>
          </w:p>
        </w:tc>
        <w:tc>
          <w:tcPr>
            <w:tcW w:w="0" w:type="dxa"/>
            <w:vAlign w:val="bottom"/>
          </w:tcPr>
          <w:p>
            <w:pPr>
              <w:spacing w:after="0"/>
              <w:rPr>
                <w:sz w:val="1"/>
                <w:szCs w:val="1"/>
                <w:color w:val="auto"/>
              </w:rPr>
            </w:pPr>
          </w:p>
        </w:tc>
      </w:tr>
      <w:tr>
        <w:trPr>
          <w:trHeight w:val="121"/>
        </w:trPr>
        <w:tc>
          <w:tcPr>
            <w:tcW w:w="5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542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Ivonne M. Cabrera (4)</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20.6</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695,550</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19.9</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2,019,676</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100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124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Girish Juneja (2)</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
        </w:trPr>
        <w:tc>
          <w:tcPr>
            <w:tcW w:w="5420" w:type="dxa"/>
            <w:vAlign w:val="bottom"/>
            <w:vMerge w:val="continue"/>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420" w:type="dxa"/>
            <w:vAlign w:val="bottom"/>
            <w:vMerge w:val="continue"/>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1"/>
        </w:trPr>
        <w:tc>
          <w:tcPr>
            <w:tcW w:w="5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542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Jeffrey C. Yehle (2)</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tcBorders>
              <w:bottom w:val="single" w:sz="8" w:color="021496"/>
            </w:tcBorders>
            <w:shd w:val="clear" w:color="auto" w:fill="D8D8D8"/>
          </w:tcPr>
          <w:p>
            <w:pPr>
              <w:spacing w:after="0"/>
              <w:rPr>
                <w:sz w:val="6"/>
                <w:szCs w:val="6"/>
                <w:color w:val="auto"/>
              </w:rPr>
            </w:pPr>
          </w:p>
        </w:tc>
        <w:tc>
          <w:tcPr>
            <w:tcW w:w="100" w:type="dxa"/>
            <w:vAlign w:val="bottom"/>
            <w:tcBorders>
              <w:bottom w:val="single" w:sz="8" w:color="021496"/>
            </w:tcBorders>
            <w:shd w:val="clear" w:color="auto" w:fill="D8D8D8"/>
          </w:tcPr>
          <w:p>
            <w:pPr>
              <w:spacing w:after="0"/>
              <w:rPr>
                <w:sz w:val="6"/>
                <w:szCs w:val="6"/>
                <w:color w:val="auto"/>
              </w:rPr>
            </w:pPr>
          </w:p>
        </w:tc>
        <w:tc>
          <w:tcPr>
            <w:tcW w:w="1000" w:type="dxa"/>
            <w:vAlign w:val="bottom"/>
            <w:tcBorders>
              <w:bottom w:val="single" w:sz="8" w:color="021496"/>
            </w:tcBorders>
            <w:shd w:val="clear" w:color="auto" w:fill="D8D8D8"/>
          </w:tcPr>
          <w:p>
            <w:pPr>
              <w:spacing w:after="0"/>
              <w:rPr>
                <w:sz w:val="6"/>
                <w:szCs w:val="6"/>
                <w:color w:val="auto"/>
              </w:rPr>
            </w:pPr>
          </w:p>
        </w:tc>
        <w:tc>
          <w:tcPr>
            <w:tcW w:w="1140" w:type="dxa"/>
            <w:vAlign w:val="bottom"/>
            <w:tcBorders>
              <w:bottom w:val="single" w:sz="8" w:color="021496"/>
            </w:tcBorders>
            <w:shd w:val="clear" w:color="auto" w:fill="D8D8D8"/>
          </w:tcPr>
          <w:p>
            <w:pPr>
              <w:spacing w:after="0"/>
              <w:rPr>
                <w:sz w:val="6"/>
                <w:szCs w:val="6"/>
                <w:color w:val="auto"/>
              </w:rPr>
            </w:pPr>
          </w:p>
        </w:tc>
        <w:tc>
          <w:tcPr>
            <w:tcW w:w="900" w:type="dxa"/>
            <w:vAlign w:val="bottom"/>
            <w:tcBorders>
              <w:bottom w:val="single" w:sz="8" w:color="021496"/>
            </w:tcBorders>
            <w:shd w:val="clear" w:color="auto" w:fill="D8D8D8"/>
          </w:tcPr>
          <w:p>
            <w:pPr>
              <w:spacing w:after="0"/>
              <w:rPr>
                <w:sz w:val="6"/>
                <w:szCs w:val="6"/>
                <w:color w:val="auto"/>
              </w:rPr>
            </w:pPr>
          </w:p>
        </w:tc>
        <w:tc>
          <w:tcPr>
            <w:tcW w:w="1240" w:type="dxa"/>
            <w:vAlign w:val="bottom"/>
            <w:tcBorders>
              <w:bottom w:val="single" w:sz="8" w:color="021496"/>
            </w:tcBorders>
            <w:shd w:val="clear" w:color="auto" w:fill="D8D8D8"/>
          </w:tcPr>
          <w:p>
            <w:pPr>
              <w:spacing w:after="0"/>
              <w:rPr>
                <w:sz w:val="6"/>
                <w:szCs w:val="6"/>
                <w:color w:val="auto"/>
              </w:rPr>
            </w:pPr>
          </w:p>
        </w:tc>
        <w:tc>
          <w:tcPr>
            <w:tcW w:w="1120" w:type="dxa"/>
            <w:vAlign w:val="bottom"/>
            <w:tcBorders>
              <w:bottom w:val="single" w:sz="8" w:color="021496"/>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-186055</wp:posOffset>
            </wp:positionV>
            <wp:extent cx="34988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-882650</wp:posOffset>
            </wp:positionV>
            <wp:extent cx="34988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-1579245</wp:posOffset>
            </wp:positionV>
            <wp:extent cx="34988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35" w:lineRule="exact"/>
        <w:rPr>
          <w:sz w:val="20"/>
          <w:szCs w:val="20"/>
          <w:color w:val="auto"/>
        </w:rPr>
      </w:pPr>
    </w:p>
    <w:p>
      <w:pPr>
        <w:ind w:left="540" w:right="160" w:hanging="426"/>
        <w:spacing w:after="0" w:line="250" w:lineRule="auto"/>
        <w:tabs>
          <w:tab w:leader="none" w:pos="54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earned by the NEOs over his or her years of service. For Mr. Woenker and Ms. Cabrera, the present value of benefits was calculated assuming that the executive will receive a single lump sum payment upon retirement at age 65. For Mr. Cerepak, the present value of benefits is based on the discounted value of his actual retirement benefits payable after December 31, 2025.</w:t>
      </w:r>
    </w:p>
    <w:p>
      <w:pPr>
        <w:ind w:left="540" w:right="300" w:hanging="426"/>
        <w:spacing w:after="0" w:line="244" w:lineRule="auto"/>
        <w:tabs>
          <w:tab w:leader="none" w:pos="54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Messrs. Tobin, Juneja and Yehle are not eligible to participate in the Dover pension plan or the PRP, since the pension plan and the PRP were closed to new employees on December 31, 2013.</w:t>
      </w:r>
    </w:p>
    <w:p>
      <w:pPr>
        <w:ind w:left="540" w:hanging="426"/>
        <w:spacing w:after="0"/>
        <w:tabs>
          <w:tab w:leader="none" w:pos="54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Mr. Cerepak retired on January 31, 2025; his actual retirement age is shown above.</w:t>
      </w:r>
    </w:p>
    <w:p>
      <w:pPr>
        <w:spacing w:after="0" w:line="3" w:lineRule="exact"/>
        <w:rPr>
          <w:rFonts w:ascii="Arial" w:cs="Arial" w:eastAsia="Arial" w:hAnsi="Arial"/>
          <w:sz w:val="16"/>
          <w:szCs w:val="16"/>
          <w:i w:val="1"/>
          <w:iCs w:val="1"/>
          <w:color w:val="auto"/>
        </w:rPr>
      </w:pPr>
    </w:p>
    <w:p>
      <w:pPr>
        <w:ind w:left="540" w:right="20" w:hanging="426"/>
        <w:spacing w:after="0" w:line="251" w:lineRule="auto"/>
        <w:tabs>
          <w:tab w:leader="none" w:pos="54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Ms. Cabrera is eligible to retire with the portion of her PRP benefit accrued through December 31, 2009 payable unreduced at age 62 with 10 years of service, and the portion of her PRP benefit accrued from January 1, 2010 through December 31, 2022 payable unreduced at age 65. The present value of her PRP benefits assuming age 62 retirement age is $2,005,129.</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amounts shown in the Pension Benefits table above are actuarial present values of the benefits accumulated through December 31, 2025.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assumed discount rate, would be sufficient on an average basis to provide estimated future payments totaling the current accumulated benefit. For purposes of the table, the assumed retirement age for each NEO is 65, the normal retirement age under each plan. Actual benefit present values will vary from these estimates depending on many factors, including an executive’s actual retirement age.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Pension Plan</w:t>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have a pension plan for which eligible Dover employees, and the salaried employees of our participating subsidiaries, were eligible to become participants after they completed one year of service. Benefits under the pension plan for Dover employees, including those for the applicable NEOs, are determined by multiplying a participant’s years of credited service (up to a maximum of 35 years) by a percentage of their final average compensation, subject to statutory limits applicable to tax-qualified pension plans. Benefits for a number of the participating subsidiaries are determined under different benefit formulae.</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Pension plan participants generally vest in their benefits after five years of employment or, if earlier, upon reaching age 65, which is the normal retirement age under the plan. All NEOs who participate in the pension plan are vested in their pension plan benefits and are eligible to begin receiving reduced benefits if their employment terminates before normal retirement age.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67</w:t>
      </w:r>
    </w:p>
    <w:p>
      <w:pPr>
        <w:sectPr>
          <w:pgSz w:w="11900" w:h="16838" w:orient="portrait"/>
          <w:cols w:equalWidth="0" w:num="1">
            <w:col w:w="10920"/>
          </w:cols>
          <w:pgMar w:left="480" w:top="299" w:right="49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Effective December 31, 2013, the pension plan was closed to new employees. All pension eligible employees as of December 31, 2013 continued to earn pension benefits through December 31, 2023 as long as they remained employed by an operating company participating in the plan. Dover eliminated benefit accruals effective December 31, 2023.</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Pension Replacement Plan</w:t>
      </w:r>
    </w:p>
    <w:p>
      <w:pPr>
        <w:spacing w:after="0" w:line="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also maintain the PRP, which is a non-qualified plan for tax purposes, to provide benefits to certain employees whose compensation and pension plan benefits are greater than the compensation and benefit limits applicable to tax-qualified pension plans. Prior to January 1, 2010, our plan which provided non-qualified retirement benefits was the Supplemental Executive Retirement Plan (“SERP”). Effective January 1, 2010, the SERP was amended to provide reduced benefits that are more consistent with the benefits provided under the pension plan and its name was changed to the PRP.</w:t>
      </w:r>
    </w:p>
    <w:p>
      <w:pPr>
        <w:spacing w:after="0" w:line="15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Employees are eligible to participate in the PRP if they hold certain positions within Dover, or its subsidiaries, are U.S. taxpayers and earn more than a set percentage above the Internal Revenue Code’s compensation limits for tax-qualified pension plans. Dover’s CEO may designate other employees as eligible and may revoke the eligibility of participants.</w:t>
      </w:r>
    </w:p>
    <w:p>
      <w:pPr>
        <w:spacing w:after="0" w:line="13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formula for determining benefits accrued under the PRP after December 31, 2009, before offsets, is determined using the same benefit formula as under the pension plan, except that the Internal Revenue Code’s limits on compensation and benefits applicable to tax-qualified pension plans will not apply. Benefits under the former SERP, before offsets, were determined by multiplying the participant’s years of actual service with Dover companies, plus, in limited cases, prior service credit by a percentage of the participant’s final average compensation as defined under the plan.</w:t>
      </w:r>
    </w:p>
    <w:p>
      <w:pPr>
        <w:spacing w:after="0" w:line="13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Benefits payable under the PRP or SERP are reduced by the amount of Company-provided benefits under any other retirement plans, including the pension plan, as well as the Company-paid portion of social security benefits. PRP participants must complete five years of service to vest in their benefits. All NEOs who participate in the PRP are fully vested in their benefits and will commence receiving benefits upon termination of employment. PRP benefits may be forfeited for “cause” (defined as conviction of a felony which places a Dover company at legal or other risk or is expected to cause substantial harm to the business of a Dover company or its relationships with employees, distributors, customers or suppliers).</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Normal retirement age for purposes of the PRP is age 65. Certain employees who were participants on or before March 1, 2010 will be entitled to receive the portion of their benefits that accrued through December 31, 2009 without any reduction due to early retirement if they retire after they reach age 62 and complete 10 years of service. Generally, benefits accrued after December 31, 2009 will be subject to early retirement reduction factors consistent with the reduction factors in the pension plan.</w:t>
      </w:r>
    </w:p>
    <w:p>
      <w:pPr>
        <w:spacing w:after="0" w:line="138"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Effective December 31, 2013, the PRP was closed to new employees. All eligible employees as of December 31, 2013 continued to accrue their PRP benefits through December 31, 2023 as long as they remained employed by Dover and its affiliates. Dover eliminated benefit accruals effective December 31, 2023, consistent with the freezing of benefit accruals under the pension plan.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68</w:t>
      </w:r>
    </w:p>
    <w:p>
      <w:pPr>
        <w:sectPr>
          <w:pgSz w:w="11900" w:h="16838" w:orient="portrait"/>
          <w:cols w:equalWidth="0" w:num="1">
            <w:col w:w="10920"/>
          </w:cols>
          <w:pgMar w:left="480" w:top="299"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Nonqualified Deferred Compensation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top w:val="single" w:sz="8" w:color="021496"/>
            </w:tcBorders>
          </w:tcPr>
          <w:p>
            <w:pPr>
              <w:spacing w:after="0"/>
              <w:rPr>
                <w:sz w:val="14"/>
                <w:szCs w:val="14"/>
                <w:color w:val="auto"/>
              </w:rPr>
            </w:pPr>
          </w:p>
        </w:tc>
        <w:tc>
          <w:tcPr>
            <w:tcW w:w="2460" w:type="dxa"/>
            <w:vAlign w:val="bottom"/>
            <w:tcBorders>
              <w:top w:val="single" w:sz="8" w:color="021496"/>
            </w:tcBorders>
          </w:tcPr>
          <w:p>
            <w:pPr>
              <w:spacing w:after="0"/>
              <w:rPr>
                <w:sz w:val="14"/>
                <w:szCs w:val="14"/>
                <w:color w:val="auto"/>
              </w:rPr>
            </w:pPr>
          </w:p>
        </w:tc>
        <w:tc>
          <w:tcPr>
            <w:tcW w:w="1260" w:type="dxa"/>
            <w:vAlign w:val="bottom"/>
            <w:tcBorders>
              <w:top w:val="single" w:sz="8" w:color="021496"/>
            </w:tcBorders>
          </w:tcPr>
          <w:p>
            <w:pPr>
              <w:ind w:left="160"/>
              <w:spacing w:after="0"/>
              <w:rPr>
                <w:sz w:val="20"/>
                <w:szCs w:val="20"/>
                <w:color w:val="auto"/>
              </w:rPr>
            </w:pPr>
            <w:r>
              <w:rPr>
                <w:rFonts w:ascii="Arial" w:cs="Arial" w:eastAsia="Arial" w:hAnsi="Arial"/>
                <w:sz w:val="14"/>
                <w:szCs w:val="14"/>
                <w:b w:val="1"/>
                <w:bCs w:val="1"/>
                <w:color w:val="auto"/>
              </w:rPr>
              <w:t>Executive</w:t>
            </w:r>
          </w:p>
        </w:tc>
        <w:tc>
          <w:tcPr>
            <w:tcW w:w="1260" w:type="dxa"/>
            <w:vAlign w:val="bottom"/>
            <w:tcBorders>
              <w:top w:val="single" w:sz="8" w:color="021496"/>
            </w:tcBorders>
          </w:tcPr>
          <w:p>
            <w:pPr>
              <w:ind w:left="160"/>
              <w:spacing w:after="0"/>
              <w:rPr>
                <w:sz w:val="20"/>
                <w:szCs w:val="20"/>
                <w:color w:val="auto"/>
              </w:rPr>
            </w:pPr>
            <w:r>
              <w:rPr>
                <w:rFonts w:ascii="Arial" w:cs="Arial" w:eastAsia="Arial" w:hAnsi="Arial"/>
                <w:sz w:val="14"/>
                <w:szCs w:val="14"/>
                <w:b w:val="1"/>
                <w:bCs w:val="1"/>
                <w:color w:val="auto"/>
              </w:rPr>
              <w:t>Registrant</w:t>
            </w:r>
          </w:p>
        </w:tc>
        <w:tc>
          <w:tcPr>
            <w:tcW w:w="106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1320" w:type="dxa"/>
            <w:vAlign w:val="bottom"/>
            <w:tcBorders>
              <w:top w:val="single" w:sz="8" w:color="021496"/>
            </w:tcBorders>
          </w:tcPr>
          <w:p>
            <w:pPr>
              <w:spacing w:after="0"/>
              <w:rPr>
                <w:sz w:val="14"/>
                <w:szCs w:val="14"/>
                <w:color w:val="auto"/>
              </w:rPr>
            </w:pPr>
          </w:p>
        </w:tc>
        <w:tc>
          <w:tcPr>
            <w:tcW w:w="110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320" w:type="dxa"/>
            <w:vAlign w:val="bottom"/>
          </w:tcPr>
          <w:p>
            <w:pPr>
              <w:jc w:val="right"/>
              <w:ind w:right="363"/>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in last</w:t>
            </w:r>
          </w:p>
        </w:tc>
        <w:tc>
          <w:tcPr>
            <w:tcW w:w="1320" w:type="dxa"/>
            <w:vAlign w:val="bottom"/>
          </w:tcPr>
          <w:p>
            <w:pPr>
              <w:jc w:val="right"/>
              <w:ind w:right="223"/>
              <w:spacing w:after="0"/>
              <w:rPr>
                <w:sz w:val="20"/>
                <w:szCs w:val="20"/>
                <w:color w:val="auto"/>
              </w:rPr>
            </w:pPr>
            <w:r>
              <w:rPr>
                <w:rFonts w:ascii="Arial" w:cs="Arial" w:eastAsia="Arial" w:hAnsi="Arial"/>
                <w:sz w:val="14"/>
                <w:szCs w:val="14"/>
                <w:b w:val="1"/>
                <w:bCs w:val="1"/>
                <w:color w:val="auto"/>
              </w:rPr>
              <w:t>withdrawals/</w:t>
            </w: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in last FYE</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2460" w:type="dxa"/>
            <w:vAlign w:val="bottom"/>
          </w:tcPr>
          <w:p>
            <w:pPr>
              <w:ind w:left="1260"/>
              <w:spacing w:after="0"/>
              <w:rPr>
                <w:sz w:val="20"/>
                <w:szCs w:val="20"/>
                <w:color w:val="auto"/>
              </w:rPr>
            </w:pPr>
            <w:r>
              <w:rPr>
                <w:rFonts w:ascii="Arial" w:cs="Arial" w:eastAsia="Arial" w:hAnsi="Arial"/>
                <w:sz w:val="14"/>
                <w:szCs w:val="14"/>
                <w:b w:val="1"/>
                <w:bCs w:val="1"/>
                <w:color w:val="auto"/>
              </w:rPr>
              <w:t>Plan Name</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($)(1)</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FY($)</w:t>
            </w:r>
          </w:p>
        </w:tc>
        <w:tc>
          <w:tcPr>
            <w:tcW w:w="1320" w:type="dxa"/>
            <w:vAlign w:val="bottom"/>
          </w:tcPr>
          <w:p>
            <w:pPr>
              <w:jc w:val="right"/>
              <w:ind w:right="103"/>
              <w:spacing w:after="0"/>
              <w:rPr>
                <w:sz w:val="20"/>
                <w:szCs w:val="20"/>
                <w:color w:val="auto"/>
              </w:rPr>
            </w:pPr>
            <w:r>
              <w:rPr>
                <w:rFonts w:ascii="Arial" w:cs="Arial" w:eastAsia="Arial" w:hAnsi="Arial"/>
                <w:sz w:val="14"/>
                <w:szCs w:val="14"/>
                <w:b w:val="1"/>
                <w:bCs w:val="1"/>
                <w:color w:val="auto"/>
              </w:rPr>
              <w:t>Distribution($)</w:t>
            </w: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2460" w:type="dxa"/>
            <w:vAlign w:val="bottom"/>
            <w:tcBorders>
              <w:bottom w:val="single" w:sz="8" w:color="021496"/>
            </w:tcBorders>
          </w:tcPr>
          <w:p>
            <w:pPr>
              <w:spacing w:after="0"/>
              <w:rPr>
                <w:sz w:val="2"/>
                <w:szCs w:val="2"/>
                <w:color w:val="auto"/>
              </w:rPr>
            </w:pPr>
          </w:p>
        </w:tc>
        <w:tc>
          <w:tcPr>
            <w:tcW w:w="2460" w:type="dxa"/>
            <w:vAlign w:val="bottom"/>
            <w:tcBorders>
              <w:bottom w:val="single" w:sz="8" w:color="021496"/>
            </w:tcBorders>
          </w:tcPr>
          <w:p>
            <w:pPr>
              <w:spacing w:after="0"/>
              <w:rPr>
                <w:sz w:val="2"/>
                <w:szCs w:val="2"/>
                <w:color w:val="auto"/>
              </w:rPr>
            </w:pPr>
          </w:p>
        </w:tc>
        <w:tc>
          <w:tcPr>
            <w:tcW w:w="1260" w:type="dxa"/>
            <w:vAlign w:val="bottom"/>
            <w:tcBorders>
              <w:bottom w:val="single" w:sz="8" w:color="021496"/>
            </w:tcBorders>
          </w:tcPr>
          <w:p>
            <w:pPr>
              <w:spacing w:after="0"/>
              <w:rPr>
                <w:sz w:val="2"/>
                <w:szCs w:val="2"/>
                <w:color w:val="auto"/>
              </w:rPr>
            </w:pPr>
          </w:p>
        </w:tc>
        <w:tc>
          <w:tcPr>
            <w:tcW w:w="1260" w:type="dxa"/>
            <w:vAlign w:val="bottom"/>
            <w:tcBorders>
              <w:bottom w:val="single" w:sz="8" w:color="021496"/>
            </w:tcBorders>
          </w:tcPr>
          <w:p>
            <w:pPr>
              <w:spacing w:after="0"/>
              <w:rPr>
                <w:sz w:val="2"/>
                <w:szCs w:val="2"/>
                <w:color w:val="auto"/>
              </w:rPr>
            </w:pPr>
          </w:p>
        </w:tc>
        <w:tc>
          <w:tcPr>
            <w:tcW w:w="1060" w:type="dxa"/>
            <w:vAlign w:val="bottom"/>
            <w:tcBorders>
              <w:bottom w:val="single" w:sz="8" w:color="021496"/>
            </w:tcBorders>
          </w:tcPr>
          <w:p>
            <w:pPr>
              <w:spacing w:after="0"/>
              <w:rPr>
                <w:sz w:val="2"/>
                <w:szCs w:val="2"/>
                <w:color w:val="auto"/>
              </w:rPr>
            </w:pPr>
          </w:p>
        </w:tc>
        <w:tc>
          <w:tcPr>
            <w:tcW w:w="1320" w:type="dxa"/>
            <w:vAlign w:val="bottom"/>
            <w:tcBorders>
              <w:bottom w:val="single" w:sz="8" w:color="021496"/>
            </w:tcBorders>
          </w:tcPr>
          <w:p>
            <w:pPr>
              <w:spacing w:after="0"/>
              <w:rPr>
                <w:sz w:val="2"/>
                <w:szCs w:val="2"/>
                <w:color w:val="auto"/>
              </w:rPr>
            </w:pPr>
          </w:p>
        </w:tc>
        <w:tc>
          <w:tcPr>
            <w:tcW w:w="1100" w:type="dxa"/>
            <w:vAlign w:val="bottom"/>
            <w:tcBorders>
              <w:bottom w:val="single" w:sz="8" w:color="021496"/>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Richard J. Tobin</w:t>
            </w:r>
          </w:p>
        </w:tc>
        <w:tc>
          <w:tcPr>
            <w:tcW w:w="2460" w:type="dxa"/>
            <w:vAlign w:val="bottom"/>
            <w:shd w:val="clear" w:color="auto" w:fill="D8D8D8"/>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7"/>
                <w:szCs w:val="17"/>
                <w:color w:val="auto"/>
              </w:rPr>
            </w:pPr>
          </w:p>
        </w:tc>
        <w:tc>
          <w:tcPr>
            <w:tcW w:w="126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shd w:val="clear" w:color="auto" w:fill="D8D8D8"/>
          </w:tcPr>
          <w:p>
            <w:pPr>
              <w:spacing w:after="0"/>
              <w:rPr>
                <w:sz w:val="9"/>
                <w:szCs w:val="9"/>
                <w:color w:val="auto"/>
              </w:rPr>
            </w:pPr>
          </w:p>
        </w:tc>
        <w:tc>
          <w:tcPr>
            <w:tcW w:w="2460" w:type="dxa"/>
            <w:vAlign w:val="bottom"/>
            <w:vMerge w:val="restart"/>
            <w:shd w:val="clear" w:color="auto" w:fill="D8D8D8"/>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0</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134,636</w:t>
            </w:r>
          </w:p>
        </w:tc>
        <w:tc>
          <w:tcPr>
            <w:tcW w:w="10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804,382</w:t>
            </w:r>
          </w:p>
        </w:tc>
        <w:tc>
          <w:tcPr>
            <w:tcW w:w="132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10,777,417</w:t>
            </w:r>
          </w:p>
        </w:tc>
        <w:tc>
          <w:tcPr>
            <w:tcW w:w="0" w:type="dxa"/>
            <w:vAlign w:val="bottom"/>
          </w:tcPr>
          <w:p>
            <w:pPr>
              <w:spacing w:after="0"/>
              <w:rPr>
                <w:sz w:val="1"/>
                <w:szCs w:val="1"/>
                <w:color w:val="auto"/>
              </w:rPr>
            </w:pPr>
          </w:p>
        </w:tc>
      </w:tr>
      <w:tr>
        <w:trPr>
          <w:trHeight w:val="110"/>
        </w:trPr>
        <w:tc>
          <w:tcPr>
            <w:tcW w:w="2460" w:type="dxa"/>
            <w:vAlign w:val="bottom"/>
            <w:shd w:val="clear" w:color="auto" w:fill="D8D8D8"/>
          </w:tcPr>
          <w:p>
            <w:pPr>
              <w:spacing w:after="0"/>
              <w:rPr>
                <w:sz w:val="9"/>
                <w:szCs w:val="9"/>
                <w:color w:val="auto"/>
              </w:rPr>
            </w:pPr>
          </w:p>
        </w:tc>
        <w:tc>
          <w:tcPr>
            <w:tcW w:w="24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060" w:type="dxa"/>
            <w:vAlign w:val="bottom"/>
            <w:vMerge w:val="continue"/>
            <w:shd w:val="clear" w:color="auto" w:fill="D8D8D8"/>
          </w:tcPr>
          <w:p>
            <w:pPr>
              <w:spacing w:after="0"/>
              <w:rPr>
                <w:sz w:val="9"/>
                <w:szCs w:val="9"/>
                <w:color w:val="auto"/>
              </w:rPr>
            </w:pPr>
          </w:p>
        </w:tc>
        <w:tc>
          <w:tcPr>
            <w:tcW w:w="1320" w:type="dxa"/>
            <w:vAlign w:val="bottom"/>
            <w:vMerge w:val="continue"/>
            <w:shd w:val="clear" w:color="auto" w:fill="D8D8D8"/>
          </w:tcPr>
          <w:p>
            <w:pPr>
              <w:spacing w:after="0"/>
              <w:rPr>
                <w:sz w:val="9"/>
                <w:szCs w:val="9"/>
                <w:color w:val="auto"/>
              </w:rPr>
            </w:pPr>
          </w:p>
        </w:tc>
        <w:tc>
          <w:tcPr>
            <w:tcW w:w="11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60" w:type="dxa"/>
            <w:vAlign w:val="bottom"/>
            <w:vMerge w:val="restart"/>
          </w:tcPr>
          <w:p>
            <w:pPr>
              <w:ind w:left="100"/>
              <w:spacing w:after="0"/>
              <w:rPr>
                <w:sz w:val="20"/>
                <w:szCs w:val="20"/>
                <w:color w:val="auto"/>
              </w:rPr>
            </w:pPr>
            <w:r>
              <w:rPr>
                <w:rFonts w:ascii="Arial" w:cs="Arial" w:eastAsia="Arial" w:hAnsi="Arial"/>
                <w:sz w:val="16"/>
                <w:szCs w:val="16"/>
                <w:color w:val="auto"/>
              </w:rPr>
              <w:t>Chris B. Woenker</w:t>
            </w:r>
          </w:p>
        </w:tc>
        <w:tc>
          <w:tcPr>
            <w:tcW w:w="2460" w:type="dxa"/>
            <w:vAlign w:val="bottom"/>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2460" w:type="dxa"/>
            <w:vAlign w:val="bottom"/>
            <w:vMerge w:val="restart"/>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107,993</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11,513</w:t>
            </w:r>
          </w:p>
        </w:tc>
        <w:tc>
          <w:tcPr>
            <w:tcW w:w="1060" w:type="dxa"/>
            <w:vAlign w:val="bottom"/>
            <w:vMerge w:val="restart"/>
          </w:tcPr>
          <w:p>
            <w:pPr>
              <w:jc w:val="right"/>
              <w:ind w:right="103"/>
              <w:spacing w:after="0"/>
              <w:rPr>
                <w:sz w:val="20"/>
                <w:szCs w:val="20"/>
                <w:color w:val="auto"/>
              </w:rPr>
            </w:pPr>
            <w:r>
              <w:rPr>
                <w:rFonts w:ascii="Arial" w:cs="Arial" w:eastAsia="Arial" w:hAnsi="Arial"/>
                <w:sz w:val="16"/>
                <w:szCs w:val="16"/>
                <w:color w:val="auto"/>
              </w:rPr>
              <w:t>70,301</w:t>
            </w:r>
          </w:p>
        </w:tc>
        <w:tc>
          <w:tcPr>
            <w:tcW w:w="1320" w:type="dxa"/>
            <w:vAlign w:val="bottom"/>
            <w:vMerge w:val="restart"/>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574,556</w:t>
            </w:r>
          </w:p>
        </w:tc>
        <w:tc>
          <w:tcPr>
            <w:tcW w:w="0" w:type="dxa"/>
            <w:vAlign w:val="bottom"/>
          </w:tcPr>
          <w:p>
            <w:pPr>
              <w:spacing w:after="0"/>
              <w:rPr>
                <w:sz w:val="1"/>
                <w:szCs w:val="1"/>
                <w:color w:val="auto"/>
              </w:rPr>
            </w:pPr>
          </w:p>
        </w:tc>
      </w:tr>
      <w:tr>
        <w:trPr>
          <w:trHeight w:val="109"/>
        </w:trPr>
        <w:tc>
          <w:tcPr>
            <w:tcW w:w="246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Brad M. Cerepak (2)</w:t>
            </w:r>
          </w:p>
        </w:tc>
        <w:tc>
          <w:tcPr>
            <w:tcW w:w="2460" w:type="dxa"/>
            <w:vAlign w:val="bottom"/>
            <w:shd w:val="clear" w:color="auto" w:fill="D8D8D8"/>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8"/>
                <w:szCs w:val="18"/>
                <w:color w:val="auto"/>
              </w:rPr>
            </w:pPr>
          </w:p>
        </w:tc>
        <w:tc>
          <w:tcPr>
            <w:tcW w:w="1260" w:type="dxa"/>
            <w:vAlign w:val="bottom"/>
            <w:shd w:val="clear" w:color="auto" w:fill="D8D8D8"/>
          </w:tcPr>
          <w:p>
            <w:pPr>
              <w:spacing w:after="0"/>
              <w:rPr>
                <w:sz w:val="18"/>
                <w:szCs w:val="18"/>
                <w:color w:val="auto"/>
              </w:rPr>
            </w:pPr>
          </w:p>
        </w:tc>
        <w:tc>
          <w:tcPr>
            <w:tcW w:w="1060" w:type="dxa"/>
            <w:vAlign w:val="bottom"/>
            <w:shd w:val="clear" w:color="auto" w:fill="D8D8D8"/>
          </w:tcPr>
          <w:p>
            <w:pPr>
              <w:spacing w:after="0"/>
              <w:rPr>
                <w:sz w:val="18"/>
                <w:szCs w:val="18"/>
                <w:color w:val="auto"/>
              </w:rPr>
            </w:pPr>
          </w:p>
        </w:tc>
        <w:tc>
          <w:tcPr>
            <w:tcW w:w="132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shd w:val="clear" w:color="auto" w:fill="D8D8D8"/>
          </w:tcPr>
          <w:p>
            <w:pPr>
              <w:spacing w:after="0"/>
              <w:rPr>
                <w:sz w:val="9"/>
                <w:szCs w:val="9"/>
                <w:color w:val="auto"/>
              </w:rPr>
            </w:pPr>
          </w:p>
        </w:tc>
        <w:tc>
          <w:tcPr>
            <w:tcW w:w="2460" w:type="dxa"/>
            <w:vAlign w:val="bottom"/>
            <w:vMerge w:val="restart"/>
            <w:shd w:val="clear" w:color="auto" w:fill="D8D8D8"/>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0</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58,712</w:t>
            </w:r>
          </w:p>
        </w:tc>
        <w:tc>
          <w:tcPr>
            <w:tcW w:w="10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2,058</w:t>
            </w:r>
          </w:p>
        </w:tc>
        <w:tc>
          <w:tcPr>
            <w:tcW w:w="132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60,770</w:t>
            </w:r>
          </w:p>
        </w:tc>
        <w:tc>
          <w:tcPr>
            <w:tcW w:w="0" w:type="dxa"/>
            <w:vAlign w:val="bottom"/>
          </w:tcPr>
          <w:p>
            <w:pPr>
              <w:spacing w:after="0"/>
              <w:rPr>
                <w:sz w:val="1"/>
                <w:szCs w:val="1"/>
                <w:color w:val="auto"/>
              </w:rPr>
            </w:pPr>
          </w:p>
        </w:tc>
      </w:tr>
      <w:tr>
        <w:trPr>
          <w:trHeight w:val="110"/>
        </w:trPr>
        <w:tc>
          <w:tcPr>
            <w:tcW w:w="2460" w:type="dxa"/>
            <w:vAlign w:val="bottom"/>
            <w:shd w:val="clear" w:color="auto" w:fill="D8D8D8"/>
          </w:tcPr>
          <w:p>
            <w:pPr>
              <w:spacing w:after="0"/>
              <w:rPr>
                <w:sz w:val="9"/>
                <w:szCs w:val="9"/>
                <w:color w:val="auto"/>
              </w:rPr>
            </w:pPr>
          </w:p>
        </w:tc>
        <w:tc>
          <w:tcPr>
            <w:tcW w:w="24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060" w:type="dxa"/>
            <w:vAlign w:val="bottom"/>
            <w:vMerge w:val="continue"/>
            <w:shd w:val="clear" w:color="auto" w:fill="D8D8D8"/>
          </w:tcPr>
          <w:p>
            <w:pPr>
              <w:spacing w:after="0"/>
              <w:rPr>
                <w:sz w:val="9"/>
                <w:szCs w:val="9"/>
                <w:color w:val="auto"/>
              </w:rPr>
            </w:pPr>
          </w:p>
        </w:tc>
        <w:tc>
          <w:tcPr>
            <w:tcW w:w="1320" w:type="dxa"/>
            <w:vAlign w:val="bottom"/>
            <w:vMerge w:val="continue"/>
            <w:shd w:val="clear" w:color="auto" w:fill="D8D8D8"/>
          </w:tcPr>
          <w:p>
            <w:pPr>
              <w:spacing w:after="0"/>
              <w:rPr>
                <w:sz w:val="9"/>
                <w:szCs w:val="9"/>
                <w:color w:val="auto"/>
              </w:rPr>
            </w:pPr>
          </w:p>
        </w:tc>
        <w:tc>
          <w:tcPr>
            <w:tcW w:w="11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60" w:type="dxa"/>
            <w:vAlign w:val="bottom"/>
            <w:vMerge w:val="restart"/>
          </w:tcPr>
          <w:p>
            <w:pPr>
              <w:ind w:left="100"/>
              <w:spacing w:after="0"/>
              <w:rPr>
                <w:sz w:val="20"/>
                <w:szCs w:val="20"/>
                <w:color w:val="auto"/>
              </w:rPr>
            </w:pPr>
            <w:r>
              <w:rPr>
                <w:rFonts w:ascii="Arial" w:cs="Arial" w:eastAsia="Arial" w:hAnsi="Arial"/>
                <w:sz w:val="16"/>
                <w:szCs w:val="16"/>
                <w:color w:val="auto"/>
              </w:rPr>
              <w:t>Ivonne M. Cabrera</w:t>
            </w:r>
          </w:p>
        </w:tc>
        <w:tc>
          <w:tcPr>
            <w:tcW w:w="2460" w:type="dxa"/>
            <w:vAlign w:val="bottom"/>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2460" w:type="dxa"/>
            <w:vAlign w:val="bottom"/>
            <w:vMerge w:val="restart"/>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0</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34,324</w:t>
            </w:r>
          </w:p>
        </w:tc>
        <w:tc>
          <w:tcPr>
            <w:tcW w:w="1060" w:type="dxa"/>
            <w:vAlign w:val="bottom"/>
            <w:vMerge w:val="restart"/>
          </w:tcPr>
          <w:p>
            <w:pPr>
              <w:jc w:val="right"/>
              <w:ind w:right="103"/>
              <w:spacing w:after="0"/>
              <w:rPr>
                <w:sz w:val="20"/>
                <w:szCs w:val="20"/>
                <w:color w:val="auto"/>
              </w:rPr>
            </w:pPr>
            <w:r>
              <w:rPr>
                <w:rFonts w:ascii="Arial" w:cs="Arial" w:eastAsia="Arial" w:hAnsi="Arial"/>
                <w:sz w:val="16"/>
                <w:szCs w:val="16"/>
                <w:color w:val="auto"/>
              </w:rPr>
              <w:t>27,396</w:t>
            </w:r>
          </w:p>
        </w:tc>
        <w:tc>
          <w:tcPr>
            <w:tcW w:w="1320" w:type="dxa"/>
            <w:vAlign w:val="bottom"/>
            <w:vMerge w:val="restart"/>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292,953</w:t>
            </w:r>
          </w:p>
        </w:tc>
        <w:tc>
          <w:tcPr>
            <w:tcW w:w="0" w:type="dxa"/>
            <w:vAlign w:val="bottom"/>
          </w:tcPr>
          <w:p>
            <w:pPr>
              <w:spacing w:after="0"/>
              <w:rPr>
                <w:sz w:val="1"/>
                <w:szCs w:val="1"/>
                <w:color w:val="auto"/>
              </w:rPr>
            </w:pPr>
          </w:p>
        </w:tc>
      </w:tr>
      <w:tr>
        <w:trPr>
          <w:trHeight w:val="109"/>
        </w:trPr>
        <w:tc>
          <w:tcPr>
            <w:tcW w:w="246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Girish Juneja</w:t>
            </w:r>
          </w:p>
        </w:tc>
        <w:tc>
          <w:tcPr>
            <w:tcW w:w="2460" w:type="dxa"/>
            <w:vAlign w:val="bottom"/>
            <w:shd w:val="clear" w:color="auto" w:fill="D8D8D8"/>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8"/>
                <w:szCs w:val="18"/>
                <w:color w:val="auto"/>
              </w:rPr>
            </w:pPr>
          </w:p>
        </w:tc>
        <w:tc>
          <w:tcPr>
            <w:tcW w:w="1260" w:type="dxa"/>
            <w:vAlign w:val="bottom"/>
            <w:shd w:val="clear" w:color="auto" w:fill="D8D8D8"/>
          </w:tcPr>
          <w:p>
            <w:pPr>
              <w:spacing w:after="0"/>
              <w:rPr>
                <w:sz w:val="18"/>
                <w:szCs w:val="18"/>
                <w:color w:val="auto"/>
              </w:rPr>
            </w:pPr>
          </w:p>
        </w:tc>
        <w:tc>
          <w:tcPr>
            <w:tcW w:w="1060" w:type="dxa"/>
            <w:vAlign w:val="bottom"/>
            <w:shd w:val="clear" w:color="auto" w:fill="D8D8D8"/>
          </w:tcPr>
          <w:p>
            <w:pPr>
              <w:spacing w:after="0"/>
              <w:rPr>
                <w:sz w:val="18"/>
                <w:szCs w:val="18"/>
                <w:color w:val="auto"/>
              </w:rPr>
            </w:pPr>
          </w:p>
        </w:tc>
        <w:tc>
          <w:tcPr>
            <w:tcW w:w="132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shd w:val="clear" w:color="auto" w:fill="D8D8D8"/>
          </w:tcPr>
          <w:p>
            <w:pPr>
              <w:spacing w:after="0"/>
              <w:rPr>
                <w:sz w:val="9"/>
                <w:szCs w:val="9"/>
                <w:color w:val="auto"/>
              </w:rPr>
            </w:pPr>
          </w:p>
        </w:tc>
        <w:tc>
          <w:tcPr>
            <w:tcW w:w="2460" w:type="dxa"/>
            <w:vAlign w:val="bottom"/>
            <w:vMerge w:val="restart"/>
            <w:shd w:val="clear" w:color="auto" w:fill="D8D8D8"/>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741,358</w:t>
            </w:r>
          </w:p>
        </w:tc>
        <w:tc>
          <w:tcPr>
            <w:tcW w:w="12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25,713</w:t>
            </w:r>
          </w:p>
        </w:tc>
        <w:tc>
          <w:tcPr>
            <w:tcW w:w="106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296,451</w:t>
            </w:r>
          </w:p>
        </w:tc>
        <w:tc>
          <w:tcPr>
            <w:tcW w:w="132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5,833,817</w:t>
            </w:r>
          </w:p>
        </w:tc>
        <w:tc>
          <w:tcPr>
            <w:tcW w:w="0" w:type="dxa"/>
            <w:vAlign w:val="bottom"/>
          </w:tcPr>
          <w:p>
            <w:pPr>
              <w:spacing w:after="0"/>
              <w:rPr>
                <w:sz w:val="1"/>
                <w:szCs w:val="1"/>
                <w:color w:val="auto"/>
              </w:rPr>
            </w:pPr>
          </w:p>
        </w:tc>
      </w:tr>
      <w:tr>
        <w:trPr>
          <w:trHeight w:val="110"/>
        </w:trPr>
        <w:tc>
          <w:tcPr>
            <w:tcW w:w="2460" w:type="dxa"/>
            <w:vAlign w:val="bottom"/>
            <w:shd w:val="clear" w:color="auto" w:fill="D8D8D8"/>
          </w:tcPr>
          <w:p>
            <w:pPr>
              <w:spacing w:after="0"/>
              <w:rPr>
                <w:sz w:val="9"/>
                <w:szCs w:val="9"/>
                <w:color w:val="auto"/>
              </w:rPr>
            </w:pPr>
          </w:p>
        </w:tc>
        <w:tc>
          <w:tcPr>
            <w:tcW w:w="24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260" w:type="dxa"/>
            <w:vAlign w:val="bottom"/>
            <w:vMerge w:val="continue"/>
            <w:shd w:val="clear" w:color="auto" w:fill="D8D8D8"/>
          </w:tcPr>
          <w:p>
            <w:pPr>
              <w:spacing w:after="0"/>
              <w:rPr>
                <w:sz w:val="9"/>
                <w:szCs w:val="9"/>
                <w:color w:val="auto"/>
              </w:rPr>
            </w:pPr>
          </w:p>
        </w:tc>
        <w:tc>
          <w:tcPr>
            <w:tcW w:w="1060" w:type="dxa"/>
            <w:vAlign w:val="bottom"/>
            <w:vMerge w:val="continue"/>
            <w:shd w:val="clear" w:color="auto" w:fill="D8D8D8"/>
          </w:tcPr>
          <w:p>
            <w:pPr>
              <w:spacing w:after="0"/>
              <w:rPr>
                <w:sz w:val="9"/>
                <w:szCs w:val="9"/>
                <w:color w:val="auto"/>
              </w:rPr>
            </w:pPr>
          </w:p>
        </w:tc>
        <w:tc>
          <w:tcPr>
            <w:tcW w:w="1320" w:type="dxa"/>
            <w:vAlign w:val="bottom"/>
            <w:vMerge w:val="continue"/>
            <w:shd w:val="clear" w:color="auto" w:fill="D8D8D8"/>
          </w:tcPr>
          <w:p>
            <w:pPr>
              <w:spacing w:after="0"/>
              <w:rPr>
                <w:sz w:val="9"/>
                <w:szCs w:val="9"/>
                <w:color w:val="auto"/>
              </w:rPr>
            </w:pPr>
          </w:p>
        </w:tc>
        <w:tc>
          <w:tcPr>
            <w:tcW w:w="11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60" w:type="dxa"/>
            <w:vAlign w:val="bottom"/>
            <w:vMerge w:val="restart"/>
          </w:tcPr>
          <w:p>
            <w:pPr>
              <w:ind w:left="100"/>
              <w:spacing w:after="0"/>
              <w:rPr>
                <w:sz w:val="20"/>
                <w:szCs w:val="20"/>
                <w:color w:val="auto"/>
              </w:rPr>
            </w:pPr>
            <w:r>
              <w:rPr>
                <w:rFonts w:ascii="Arial" w:cs="Arial" w:eastAsia="Arial" w:hAnsi="Arial"/>
                <w:sz w:val="16"/>
                <w:szCs w:val="16"/>
                <w:color w:val="auto"/>
              </w:rPr>
              <w:t>Jeffrey C. Yehle</w:t>
            </w:r>
          </w:p>
        </w:tc>
        <w:tc>
          <w:tcPr>
            <w:tcW w:w="2460" w:type="dxa"/>
            <w:vAlign w:val="bottom"/>
          </w:tcPr>
          <w:p>
            <w:pPr>
              <w:ind w:left="920"/>
              <w:spacing w:after="0"/>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2460" w:type="dxa"/>
            <w:vAlign w:val="bottom"/>
            <w:vMerge w:val="restart"/>
          </w:tcPr>
          <w:p>
            <w:pPr>
              <w:ind w:left="92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16,050</w:t>
            </w:r>
          </w:p>
        </w:tc>
        <w:tc>
          <w:tcPr>
            <w:tcW w:w="1260" w:type="dxa"/>
            <w:vAlign w:val="bottom"/>
            <w:vMerge w:val="restart"/>
          </w:tcPr>
          <w:p>
            <w:pPr>
              <w:jc w:val="right"/>
              <w:ind w:right="103"/>
              <w:spacing w:after="0"/>
              <w:rPr>
                <w:sz w:val="20"/>
                <w:szCs w:val="20"/>
                <w:color w:val="auto"/>
              </w:rPr>
            </w:pPr>
            <w:r>
              <w:rPr>
                <w:rFonts w:ascii="Arial" w:cs="Arial" w:eastAsia="Arial" w:hAnsi="Arial"/>
                <w:sz w:val="16"/>
                <w:szCs w:val="16"/>
                <w:color w:val="auto"/>
              </w:rPr>
              <w:t>0</w:t>
            </w:r>
          </w:p>
        </w:tc>
        <w:tc>
          <w:tcPr>
            <w:tcW w:w="1060" w:type="dxa"/>
            <w:vAlign w:val="bottom"/>
            <w:vMerge w:val="restart"/>
          </w:tcPr>
          <w:p>
            <w:pPr>
              <w:jc w:val="right"/>
              <w:ind w:right="103"/>
              <w:spacing w:after="0"/>
              <w:rPr>
                <w:sz w:val="20"/>
                <w:szCs w:val="20"/>
                <w:color w:val="auto"/>
              </w:rPr>
            </w:pPr>
            <w:r>
              <w:rPr>
                <w:rFonts w:ascii="Arial" w:cs="Arial" w:eastAsia="Arial" w:hAnsi="Arial"/>
                <w:sz w:val="16"/>
                <w:szCs w:val="16"/>
                <w:color w:val="auto"/>
              </w:rPr>
              <w:t>1,724</w:t>
            </w:r>
          </w:p>
        </w:tc>
        <w:tc>
          <w:tcPr>
            <w:tcW w:w="1320" w:type="dxa"/>
            <w:vAlign w:val="bottom"/>
            <w:vMerge w:val="restart"/>
          </w:tcPr>
          <w:p>
            <w:pPr>
              <w:jc w:val="right"/>
              <w:ind w:right="83"/>
              <w:spacing w:after="0"/>
              <w:rPr>
                <w:sz w:val="20"/>
                <w:szCs w:val="20"/>
                <w:color w:val="auto"/>
              </w:rPr>
            </w:pPr>
            <w:r>
              <w:rPr>
                <w:rFonts w:ascii="Arial" w:cs="Arial" w:eastAsia="Arial" w:hAnsi="Arial"/>
                <w:sz w:val="16"/>
                <w:szCs w:val="16"/>
                <w:color w:val="auto"/>
              </w:rPr>
              <w:t>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17,774</w:t>
            </w:r>
          </w:p>
        </w:tc>
        <w:tc>
          <w:tcPr>
            <w:tcW w:w="0" w:type="dxa"/>
            <w:vAlign w:val="bottom"/>
          </w:tcPr>
          <w:p>
            <w:pPr>
              <w:spacing w:after="0"/>
              <w:rPr>
                <w:sz w:val="1"/>
                <w:szCs w:val="1"/>
                <w:color w:val="auto"/>
              </w:rPr>
            </w:pPr>
          </w:p>
        </w:tc>
      </w:tr>
      <w:tr>
        <w:trPr>
          <w:trHeight w:val="109"/>
        </w:trPr>
        <w:tc>
          <w:tcPr>
            <w:tcW w:w="2460" w:type="dxa"/>
            <w:vAlign w:val="bottom"/>
            <w:tcBorders>
              <w:bottom w:val="single" w:sz="8" w:color="021496"/>
            </w:tcBorders>
          </w:tcPr>
          <w:p>
            <w:pPr>
              <w:spacing w:after="0"/>
              <w:rPr>
                <w:sz w:val="9"/>
                <w:szCs w:val="9"/>
                <w:color w:val="auto"/>
              </w:rPr>
            </w:pPr>
          </w:p>
        </w:tc>
        <w:tc>
          <w:tcPr>
            <w:tcW w:w="2460" w:type="dxa"/>
            <w:vAlign w:val="bottom"/>
            <w:tcBorders>
              <w:bottom w:val="single" w:sz="8" w:color="021496"/>
            </w:tcBorders>
            <w:vMerge w:val="continue"/>
          </w:tcPr>
          <w:p>
            <w:pPr>
              <w:spacing w:after="0"/>
              <w:rPr>
                <w:sz w:val="9"/>
                <w:szCs w:val="9"/>
                <w:color w:val="auto"/>
              </w:rPr>
            </w:pPr>
          </w:p>
        </w:tc>
        <w:tc>
          <w:tcPr>
            <w:tcW w:w="1260" w:type="dxa"/>
            <w:vAlign w:val="bottom"/>
            <w:tcBorders>
              <w:bottom w:val="single" w:sz="8" w:color="021496"/>
            </w:tcBorders>
            <w:vMerge w:val="continue"/>
          </w:tcPr>
          <w:p>
            <w:pPr>
              <w:spacing w:after="0"/>
              <w:rPr>
                <w:sz w:val="9"/>
                <w:szCs w:val="9"/>
                <w:color w:val="auto"/>
              </w:rPr>
            </w:pPr>
          </w:p>
        </w:tc>
        <w:tc>
          <w:tcPr>
            <w:tcW w:w="1260" w:type="dxa"/>
            <w:vAlign w:val="bottom"/>
            <w:tcBorders>
              <w:bottom w:val="single" w:sz="8" w:color="021496"/>
            </w:tcBorders>
            <w:vMerge w:val="continue"/>
          </w:tcPr>
          <w:p>
            <w:pPr>
              <w:spacing w:after="0"/>
              <w:rPr>
                <w:sz w:val="9"/>
                <w:szCs w:val="9"/>
                <w:color w:val="auto"/>
              </w:rPr>
            </w:pPr>
          </w:p>
        </w:tc>
        <w:tc>
          <w:tcPr>
            <w:tcW w:w="1060" w:type="dxa"/>
            <w:vAlign w:val="bottom"/>
            <w:tcBorders>
              <w:bottom w:val="single" w:sz="8" w:color="021496"/>
            </w:tcBorders>
            <w:vMerge w:val="continue"/>
          </w:tcPr>
          <w:p>
            <w:pPr>
              <w:spacing w:after="0"/>
              <w:rPr>
                <w:sz w:val="9"/>
                <w:szCs w:val="9"/>
                <w:color w:val="auto"/>
              </w:rPr>
            </w:pPr>
          </w:p>
        </w:tc>
        <w:tc>
          <w:tcPr>
            <w:tcW w:w="1320" w:type="dxa"/>
            <w:vAlign w:val="bottom"/>
            <w:tcBorders>
              <w:bottom w:val="single" w:sz="8" w:color="021496"/>
            </w:tcBorders>
            <w:vMerge w:val="continue"/>
          </w:tcPr>
          <w:p>
            <w:pPr>
              <w:spacing w:after="0"/>
              <w:rPr>
                <w:sz w:val="9"/>
                <w:szCs w:val="9"/>
                <w:color w:val="auto"/>
              </w:rPr>
            </w:pPr>
          </w:p>
        </w:tc>
        <w:tc>
          <w:tcPr>
            <w:tcW w:w="1100" w:type="dxa"/>
            <w:vAlign w:val="bottom"/>
            <w:tcBorders>
              <w:bottom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right="460" w:hanging="426"/>
        <w:spacing w:after="0" w:line="253" w:lineRule="auto"/>
        <w:tabs>
          <w:tab w:leader="none" w:pos="54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If any amounts were shown as executive contributions in 2025, they would be included in the Summary Compensation Table in the salary or bonus columns, as appropriate, for the respective officers.</w:t>
      </w:r>
    </w:p>
    <w:p>
      <w:pPr>
        <w:ind w:left="540" w:hanging="426"/>
        <w:spacing w:after="0"/>
        <w:tabs>
          <w:tab w:leader="none" w:pos="54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Since Mr. Cerepak retired prior to December 31, 2025, he did not earn any non-elective contribution in the deferred compensation plan in 2025.</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Our deferred compensation plan is a nonqualified plan that permits select key management and highly compensated employees on a U.S. payroll with an annual salary equal to or greater than $250,000 for 2025 to irrevocably elect to defer a portion of their salary and bonus. The deferred compensation plan provides participants who are not eligible to participate in the PRP with the same level of matching and other employer contributions that they would have received if certain compensation limits under our Retirement Savings plan did not apply. Prior to the freeze of the PRP as of December 31, 2023,</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Mr. Cerepak and Ms. Cabrera participated in the PRP and were therefore not eligible to receive matching and other employer contributions under the deferred compensation plan. The plan, as amended effective January 1, 2022, operates similar to an “excess” deferred compensation plan in that it provides for employer contributions on salary and bonuses in excess of the compensation limit permitted under the tax-qualified retirement savings plan.</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Under the amended deferred compensation plan, an eligible participant’s account will be credited each year with automatic employer contributions equal to 4.5% of the amount by which the eligible participant’s salary and bonus exceed the limitation imposed under Internal Revenue Code Section 401(a)(17) for such year.</w:t>
      </w:r>
    </w:p>
    <w:p>
      <w:pPr>
        <w:spacing w:after="0" w:line="13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Amounts deferred under the plan are credited with hypothetical investment earnings based on the participant’s investment elections made from investment options designated under the plan. Participants are 100% vested in all amounts they defer, as adjusted for any earnings and losses on such deferred amounts. Effective as of January 1, 2010, a hypothetical investment option that tracks the value of Dover common stock, including any dividend payments, was added to the plan. This Dover stock unit fund does not actually hold any Dover stock, and participants who elect to participate in this option do not own any Dover common stock, or have any voting or other rights associated with the ownership of our common stock. Participants’ accounts are credited with the net returns of shares of our common stock equal to the number of stock units held by the participant. All distributions from the stock unit fund will be paid in cash. Balances allocated into the stock unit fund must remain in the stock unit fund for the remainder of the participant’s participation in the plan.</w:t>
      </w:r>
    </w:p>
    <w:p>
      <w:pPr>
        <w:spacing w:after="0" w:line="145"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Generally, deferred amounts will be distributed from the plan only on account of retirement at age 65 (or age 55 with 10 years of service), disability or other termination of service, or at a scheduled in-service withdrawal date chosen by the participant.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69</w:t>
      </w:r>
    </w:p>
    <w:p>
      <w:pPr>
        <w:sectPr>
          <w:pgSz w:w="11900" w:h="16838" w:orient="portrait"/>
          <w:cols w:equalWidth="0" w:num="1">
            <w:col w:w="10920"/>
          </w:cols>
          <w:pgMar w:left="480" w:top="299" w:right="49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Potential Payments upon Termination or Change in Control</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discussion and table below describe the incremental payments or values to which each of the NEOs would be entitled in the event of termination of such executive’s employment or a change in control. The only compensation plans under which an executive may be entitled to incremental payments are the severance plan, the CIC Severance Plan and the 2012 and 2021 LTIP. Mr. Tobin’s employment agreement provides for benefits similar to the severance plan, except as noted in the table below. No incremental values would be payable under the PRP, pension plan or deferred compensation plan as a result of a termination event or change in control.</w:t>
      </w:r>
    </w:p>
    <w:p>
      <w:pPr>
        <w:spacing w:after="0" w:line="140"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i w:val="1"/>
          <w:iCs w:val="1"/>
          <w:color w:val="021496"/>
        </w:rPr>
        <w:t xml:space="preserve">Voluntary termination. </w:t>
      </w:r>
      <w:r>
        <w:rPr>
          <w:rFonts w:ascii="Arial" w:cs="Arial" w:eastAsia="Arial" w:hAnsi="Arial"/>
          <w:sz w:val="16"/>
          <w:szCs w:val="16"/>
          <w:color w:val="000000"/>
        </w:rPr>
        <w:t>If an NEO voluntarily terminates his or her employment, he or she will not be entitled to any incremental payments and unvested</w:t>
      </w:r>
      <w:r>
        <w:rPr>
          <w:rFonts w:ascii="Arial" w:cs="Arial" w:eastAsia="Arial" w:hAnsi="Arial"/>
          <w:sz w:val="16"/>
          <w:szCs w:val="16"/>
          <w:i w:val="1"/>
          <w:iCs w:val="1"/>
          <w:color w:val="021496"/>
        </w:rPr>
        <w:t xml:space="preserve"> </w:t>
      </w:r>
      <w:r>
        <w:rPr>
          <w:rFonts w:ascii="Arial" w:cs="Arial" w:eastAsia="Arial" w:hAnsi="Arial"/>
          <w:sz w:val="16"/>
          <w:szCs w:val="16"/>
          <w:color w:val="000000"/>
        </w:rPr>
        <w:t>equity awards will be forfeited, unless the executive is eligible for normal or early retirement under the 2012 and 2021 LTIP as discussed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021496"/>
        </w:rPr>
        <w:t xml:space="preserve">Involuntary termination without cause. </w:t>
      </w:r>
      <w:r>
        <w:rPr>
          <w:rFonts w:ascii="Arial" w:cs="Arial" w:eastAsia="Arial" w:hAnsi="Arial"/>
          <w:sz w:val="16"/>
          <w:szCs w:val="16"/>
          <w:color w:val="000000"/>
        </w:rPr>
        <w:t>If Dover terminates the employment of an NEO without cause (excluding termination due to death or disability),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NEO will be entitled to a cash severance payment under the severance plan consisting of:</w:t>
      </w:r>
    </w:p>
    <w:p>
      <w:pPr>
        <w:spacing w:after="0" w:line="108" w:lineRule="exact"/>
        <w:rPr>
          <w:sz w:val="20"/>
          <w:szCs w:val="20"/>
          <w:color w:val="auto"/>
        </w:rPr>
      </w:pPr>
    </w:p>
    <w:p>
      <w:pPr>
        <w:ind w:left="860" w:hanging="318"/>
        <w:spacing w:after="0"/>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 amount equal to base salary plus target annual cash bonus for 12 months following the date of termination;</w:t>
      </w:r>
    </w:p>
    <w:p>
      <w:pPr>
        <w:spacing w:after="0" w:line="123" w:lineRule="exact"/>
        <w:rPr>
          <w:rFonts w:ascii="Arial" w:cs="Arial" w:eastAsia="Arial" w:hAnsi="Arial"/>
          <w:sz w:val="16"/>
          <w:szCs w:val="16"/>
          <w:color w:val="auto"/>
        </w:rPr>
      </w:pPr>
    </w:p>
    <w:p>
      <w:pPr>
        <w:ind w:left="860" w:right="120" w:hanging="318"/>
        <w:spacing w:after="0" w:line="262" w:lineRule="auto"/>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pro rata portion (based on the completed calendar months worked in the year of termination) of the NEO’s target annual incentive bonus payable for the year of termination, subject to potential reduction in the discretion of the Compensation Committee based upon attainment of the applicable performance criteria;</w:t>
      </w:r>
    </w:p>
    <w:p>
      <w:pPr>
        <w:spacing w:after="0" w:line="79" w:lineRule="exact"/>
        <w:rPr>
          <w:rFonts w:ascii="Arial" w:cs="Arial" w:eastAsia="Arial" w:hAnsi="Arial"/>
          <w:sz w:val="16"/>
          <w:szCs w:val="16"/>
          <w:color w:val="auto"/>
        </w:rPr>
      </w:pPr>
    </w:p>
    <w:p>
      <w:pPr>
        <w:ind w:left="860" w:right="200" w:hanging="318"/>
        <w:spacing w:after="0" w:line="262" w:lineRule="auto"/>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pro rata performance share award granted under the 2012 or 2021 LTIP having a scheduled payment date next following the date of termination (based on the completed calendar months worked in the year of termination) based upon attainment of the performance criteria applicable to the award as determined by the Compensation Committee;</w:t>
      </w:r>
    </w:p>
    <w:p>
      <w:pPr>
        <w:spacing w:after="0" w:line="79" w:lineRule="exact"/>
        <w:rPr>
          <w:rFonts w:ascii="Arial" w:cs="Arial" w:eastAsia="Arial" w:hAnsi="Arial"/>
          <w:sz w:val="16"/>
          <w:szCs w:val="16"/>
          <w:color w:val="auto"/>
        </w:rPr>
      </w:pPr>
    </w:p>
    <w:p>
      <w:pPr>
        <w:ind w:left="860" w:hanging="318"/>
        <w:spacing w:after="0"/>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Outplacement services, at the company’s discretion, for 12 months up to a maximum cost of $25,000; and</w:t>
      </w:r>
    </w:p>
    <w:p>
      <w:pPr>
        <w:spacing w:after="0" w:line="123" w:lineRule="exact"/>
        <w:rPr>
          <w:rFonts w:ascii="Arial" w:cs="Arial" w:eastAsia="Arial" w:hAnsi="Arial"/>
          <w:sz w:val="16"/>
          <w:szCs w:val="16"/>
          <w:color w:val="auto"/>
        </w:rPr>
      </w:pPr>
    </w:p>
    <w:p>
      <w:pPr>
        <w:ind w:left="860" w:right="140" w:hanging="318"/>
        <w:spacing w:after="0" w:line="279" w:lineRule="auto"/>
        <w:tabs>
          <w:tab w:leader="none" w:pos="8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for 12 months.</w:t>
      </w:r>
    </w:p>
    <w:p>
      <w:pPr>
        <w:spacing w:after="0" w:line="134"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Pursuant to a policy adopted by the Compensation Committee effective February 9, 2023, cash severance benefits will be limited to no more than 2.99 times the sum of the executive officer’s base salary plus target annual bonus, unless approved by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Unvested equity awards will be forfeited.</w:t>
      </w:r>
    </w:p>
    <w:p>
      <w:pPr>
        <w:spacing w:after="0" w:line="21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021496"/>
        </w:rPr>
        <w:t xml:space="preserve">Retirement (for awards made in 2020 and earlier). </w:t>
      </w:r>
      <w:r>
        <w:rPr>
          <w:rFonts w:ascii="Arial" w:cs="Arial" w:eastAsia="Arial" w:hAnsi="Arial"/>
          <w:sz w:val="16"/>
          <w:szCs w:val="16"/>
          <w:color w:val="000000"/>
        </w:rPr>
        <w:t>Under the 2012 LTIP, an NEO eligible for normal or early retirement will be entitled to continued vesting</w:t>
      </w:r>
      <w:r>
        <w:rPr>
          <w:rFonts w:ascii="Arial" w:cs="Arial" w:eastAsia="Arial" w:hAnsi="Arial"/>
          <w:sz w:val="16"/>
          <w:szCs w:val="16"/>
          <w:i w:val="1"/>
          <w:iCs w:val="1"/>
          <w:color w:val="021496"/>
        </w:rPr>
        <w:t xml:space="preserve"> </w:t>
      </w:r>
      <w:r>
        <w:rPr>
          <w:rFonts w:ascii="Arial" w:cs="Arial" w:eastAsia="Arial" w:hAnsi="Arial"/>
          <w:sz w:val="16"/>
          <w:szCs w:val="16"/>
          <w:color w:val="000000"/>
        </w:rPr>
        <w:t>of SSARs and restricted stock unit awards for 24 months in the case of early retirement under the Rule of 65, 36 months in the case of early retirement under the Rule of 70 and 60 months in the case of normal retirement at or after age 65. In the case of normal retirement, the outstanding performance share awards for the performance period ending the soonest will continue to vest, subject to the satisfaction of the applicable performance targets. In the case of early retirement under the Rule of 65 or 70, outstanding performance share awards are payable, subject to the satisfaction of the applicable performance targets, only at the Compensation Committee’s discretion.</w:t>
      </w:r>
    </w:p>
    <w:p>
      <w:pPr>
        <w:spacing w:after="0" w:line="183"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Early retirement under the 2012 LTIP is defined as termination for any reason other than normal retirement, death, disability or cause, under one of the following circumstances applicable to the NEOs:</w:t>
      </w:r>
    </w:p>
    <w:p>
      <w:pPr>
        <w:spacing w:after="0" w:line="67" w:lineRule="exact"/>
        <w:rPr>
          <w:sz w:val="20"/>
          <w:szCs w:val="20"/>
          <w:color w:val="auto"/>
        </w:rPr>
      </w:pPr>
    </w:p>
    <w:p>
      <w:pPr>
        <w:ind w:left="860" w:right="20" w:hanging="318"/>
        <w:spacing w:after="0" w:line="262" w:lineRule="auto"/>
        <w:tabs>
          <w:tab w:leader="none" w:pos="8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has at least 10 years of service with a Dover company, the sum of his or her age and years of service on the date of termination equals at least 65, and for awards granted on or after August 6, 2014, is at least 55 years old (the “Rule of 65”), and the executive complies with certain notice requirements; or</w:t>
      </w:r>
    </w:p>
    <w:p>
      <w:pPr>
        <w:spacing w:after="0" w:line="79" w:lineRule="exact"/>
        <w:rPr>
          <w:rFonts w:ascii="Arial" w:cs="Arial" w:eastAsia="Arial" w:hAnsi="Arial"/>
          <w:sz w:val="16"/>
          <w:szCs w:val="16"/>
          <w:color w:val="auto"/>
        </w:rPr>
      </w:pPr>
    </w:p>
    <w:p>
      <w:pPr>
        <w:ind w:left="860" w:right="20" w:hanging="318"/>
        <w:spacing w:after="0" w:line="262" w:lineRule="auto"/>
        <w:tabs>
          <w:tab w:leader="none" w:pos="8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has at least 15 years of service with a Dover company, the sum of his or her age and years of service on the date of termination equals at least 70, and for awards granted on or after August 6, 2014, is at least 60 years old (the “Rule of 70”), and the executive complies with certain notice requirements.</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Any person who takes early or normal retirement under the 2012 LTIP is deemed to have expressly agreed that he or she will not compete with us or any of our companies at which he or she was employed within the three years immediately prior to his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70</w:t>
      </w:r>
    </w:p>
    <w:p>
      <w:pPr>
        <w:sectPr>
          <w:pgSz w:w="11900" w:h="16838" w:orient="portrait"/>
          <w:cols w:equalWidth="0" w:num="1">
            <w:col w:w="10920"/>
          </w:cols>
          <w:pgMar w:left="480" w:top="299" w:right="49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or her termination, in the geographic areas in which we or that company actively carried on business at the end of the participant’s employment, for the period during which such retirement affords him or her enhanced benefits (24 months in the case of the Rule of 65, 36 months in the case of the Rule of 70 or 60 months in the case of normal retirement). If the participant fails to comply with the non-compete provision, he or she forfeits any enhanced benefits under the 2012 LTIP and must return to Dover the economic value previously realized by reason of such benefits.</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021496"/>
        </w:rPr>
        <w:t xml:space="preserve">Retirement (for awards made in 2021 onwards). </w:t>
      </w:r>
      <w:r>
        <w:rPr>
          <w:rFonts w:ascii="Arial" w:cs="Arial" w:eastAsia="Arial" w:hAnsi="Arial"/>
          <w:sz w:val="16"/>
          <w:szCs w:val="16"/>
          <w:color w:val="000000"/>
        </w:rPr>
        <w:t>Under the 2012 and 2021 LTIP, an NEO eligible for normal or early retirement will be entitled to continued</w:t>
      </w:r>
      <w:r>
        <w:rPr>
          <w:rFonts w:ascii="Arial" w:cs="Arial" w:eastAsia="Arial" w:hAnsi="Arial"/>
          <w:sz w:val="16"/>
          <w:szCs w:val="16"/>
          <w:i w:val="1"/>
          <w:iCs w:val="1"/>
          <w:color w:val="021496"/>
        </w:rPr>
        <w:t xml:space="preserve"> </w:t>
      </w:r>
      <w:r>
        <w:rPr>
          <w:rFonts w:ascii="Arial" w:cs="Arial" w:eastAsia="Arial" w:hAnsi="Arial"/>
          <w:sz w:val="16"/>
          <w:szCs w:val="16"/>
          <w:color w:val="000000"/>
        </w:rPr>
        <w:t>vesting of SSARs and restricted stock unit awards for 36 months in the case of early retirement and 60 months in the case of normal retirement at or after age 62. In the case of normal retirement, the outstanding performance share awards for the performance period ending the soonest will continue to vest, subject to the satisfaction of the applicable performance targets. In the case of early retirement, outstanding performance share awards are payable, subject to the satisfaction of the applicable performance targets, only at the Compensation Committee’s discretion.</w:t>
      </w:r>
    </w:p>
    <w:p>
      <w:pPr>
        <w:spacing w:after="0" w:line="154" w:lineRule="exact"/>
        <w:rPr>
          <w:sz w:val="20"/>
          <w:szCs w:val="20"/>
          <w:color w:val="auto"/>
        </w:rPr>
      </w:pPr>
    </w:p>
    <w:p>
      <w:pPr>
        <w:ind w:right="420"/>
        <w:spacing w:after="0" w:line="262" w:lineRule="auto"/>
        <w:rPr>
          <w:sz w:val="20"/>
          <w:szCs w:val="20"/>
          <w:color w:val="auto"/>
        </w:rPr>
      </w:pPr>
      <w:r>
        <w:rPr>
          <w:rFonts w:ascii="Arial" w:cs="Arial" w:eastAsia="Arial" w:hAnsi="Arial"/>
          <w:sz w:val="16"/>
          <w:szCs w:val="16"/>
          <w:color w:val="auto"/>
        </w:rPr>
        <w:t>Early retirement under the 2012 and 2021 LTIP is defined as any reason other than normal retirement, death, disability or cause, under the following circumstance: The executive has at least 10 years of service with a Dover company, is at least 55 years old, and complies with certain notice requirements.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Any person who takes early or normal retirement under the 2012 or 2021 LTIP is deemed to have expressly agreed that he or she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 (36 months in the case of early retirement or 60 months in the case of normal retirement). If the participant fails to comply with the non-compete provision, he or she forfeits any enhanced benefits under the 2012 and 2021 LTIP and must return to Dover the economic value previously realized by reason of such benefits.</w:t>
      </w:r>
    </w:p>
    <w:p>
      <w:pPr>
        <w:spacing w:after="0" w:line="14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i w:val="1"/>
          <w:iCs w:val="1"/>
          <w:color w:val="021496"/>
        </w:rPr>
        <w:t xml:space="preserve">Change in Control (without termination of employment). </w:t>
      </w:r>
      <w:r>
        <w:rPr>
          <w:rFonts w:ascii="Arial" w:cs="Arial" w:eastAsia="Arial" w:hAnsi="Arial"/>
          <w:sz w:val="16"/>
          <w:szCs w:val="16"/>
          <w:color w:val="000000"/>
        </w:rPr>
        <w:t>All the change in control provisions in Dover’s compensation plans are double-trigger.</w:t>
      </w:r>
      <w:r>
        <w:rPr>
          <w:rFonts w:ascii="Arial" w:cs="Arial" w:eastAsia="Arial" w:hAnsi="Arial"/>
          <w:sz w:val="16"/>
          <w:szCs w:val="16"/>
          <w:i w:val="1"/>
          <w:iCs w:val="1"/>
          <w:color w:val="021496"/>
        </w:rPr>
        <w:t xml:space="preserve"> </w:t>
      </w:r>
      <w:r>
        <w:rPr>
          <w:rFonts w:ascii="Arial" w:cs="Arial" w:eastAsia="Arial" w:hAnsi="Arial"/>
          <w:sz w:val="16"/>
          <w:szCs w:val="16"/>
          <w:color w:val="000000"/>
        </w:rPr>
        <w:t>Accordingly, an NEO’s compensation generally will not be affected by a change in control without termination of his or her employment. An executive will be entitled to incremental payments or values upon a change in control without termination of employment only if an executive’s outstanding awards under the 2012 or 2021 LTIP are impaired. In that circumstance, all unvested SSARs and restricted stock units will immediately vest on the date of the change in control and outstanding performance share awards will immediately vest and become payable on the date of the change in control on a pro-rata basis for a shortened performance period.</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Each person granted an award under the 2012 or 2021 LTIP is deemed to agree that, upon a tender or exchange offer, proxy solicitation or other action seeking to effect a change in control of Dover, he or she will not voluntarily terminate employment with us or any of our companies and, unless terminated by us, will continue to render services to us until the person seeking to effect a change in control of our Company has abandoned, terminated or succeeded in such person’s efforts to effect the change in control.</w:t>
      </w:r>
    </w:p>
    <w:p>
      <w:pPr>
        <w:spacing w:after="0" w:line="138"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Under the PRP, upon a change in control, each participant will become entitled to receive the actuarial value of the participant’s benefit accrued through the date of the change in control. No additional incremental amounts are payable under the PRP upon a change in control.</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i w:val="1"/>
          <w:iCs w:val="1"/>
          <w:color w:val="021496"/>
        </w:rPr>
        <w:t xml:space="preserve">Termination following a change in control. </w:t>
      </w:r>
      <w:r>
        <w:rPr>
          <w:rFonts w:ascii="Arial" w:cs="Arial" w:eastAsia="Arial" w:hAnsi="Arial"/>
          <w:sz w:val="16"/>
          <w:szCs w:val="16"/>
          <w:color w:val="000000"/>
        </w:rPr>
        <w:t>Upon the double-trigger events of a termination of employment following a change in control, an NEO may be</w:t>
      </w:r>
      <w:r>
        <w:rPr>
          <w:rFonts w:ascii="Arial" w:cs="Arial" w:eastAsia="Arial" w:hAnsi="Arial"/>
          <w:sz w:val="16"/>
          <w:szCs w:val="16"/>
          <w:i w:val="1"/>
          <w:iCs w:val="1"/>
          <w:color w:val="021496"/>
        </w:rPr>
        <w:t xml:space="preserve"> </w:t>
      </w:r>
      <w:r>
        <w:rPr>
          <w:rFonts w:ascii="Arial" w:cs="Arial" w:eastAsia="Arial" w:hAnsi="Arial"/>
          <w:sz w:val="16"/>
          <w:szCs w:val="16"/>
          <w:color w:val="000000"/>
        </w:rPr>
        <w:t>eligible for certain cash severance payments and accelerated vesting of equity awards as described below.</w:t>
      </w:r>
    </w:p>
    <w:p>
      <w:pPr>
        <w:spacing w:after="0" w:line="134"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An NEO will be entitled to receive severance payments if, within 24 months after the change in control, either his or her employment is terminated by Dover without “cause” or the executive terminates employment for “good reason,” under and as such terms are defined in the CIC Severance Plan. The severance payments will consist of the following:</w:t>
      </w:r>
    </w:p>
    <w:p>
      <w:pPr>
        <w:spacing w:after="0" w:line="39" w:lineRule="exact"/>
        <w:rPr>
          <w:sz w:val="20"/>
          <w:szCs w:val="20"/>
          <w:color w:val="auto"/>
        </w:rPr>
      </w:pPr>
    </w:p>
    <w:p>
      <w:pPr>
        <w:jc w:val="both"/>
        <w:ind w:left="860" w:right="240" w:hanging="318"/>
        <w:spacing w:after="0" w:line="262" w:lineRule="auto"/>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lump sum payment equal to 2.0 multiplied by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spacing w:after="0" w:line="39" w:lineRule="exact"/>
        <w:rPr>
          <w:rFonts w:ascii="Arial" w:cs="Arial" w:eastAsia="Arial" w:hAnsi="Arial"/>
          <w:sz w:val="16"/>
          <w:szCs w:val="16"/>
          <w:color w:val="auto"/>
        </w:rPr>
      </w:pPr>
    </w:p>
    <w:p>
      <w:pPr>
        <w:ind w:left="860" w:right="200" w:hanging="318"/>
        <w:spacing w:after="0" w:line="279" w:lineRule="auto"/>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lump sum payment equal to the pro rata portion (based on the completed days worked in the year in which the date of termination occurs divided by the number of days in such year) of the NEO’s target annual incentive bonus;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71</w:t>
      </w:r>
    </w:p>
    <w:p>
      <w:pPr>
        <w:sectPr>
          <w:pgSz w:w="11900" w:h="16838" w:orient="portrait"/>
          <w:cols w:equalWidth="0" w:num="1">
            <w:col w:w="10920"/>
          </w:cols>
          <w:pgMar w:left="480" w:top="299" w:right="49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0" w:lineRule="exact"/>
        <w:rPr>
          <w:sz w:val="20"/>
          <w:szCs w:val="20"/>
          <w:color w:val="auto"/>
        </w:rPr>
      </w:pPr>
    </w:p>
    <w:p>
      <w:pPr>
        <w:ind w:left="860" w:hanging="318"/>
        <w:spacing w:after="0"/>
        <w:tabs>
          <w:tab w:leader="none" w:pos="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12 months of outplacement services up to a maximum of $25,000, as adjusted upwards for inflation; and</w:t>
      </w:r>
    </w:p>
    <w:p>
      <w:pPr>
        <w:spacing w:after="0" w:line="83" w:lineRule="exact"/>
        <w:rPr>
          <w:rFonts w:ascii="Arial" w:cs="Arial" w:eastAsia="Arial" w:hAnsi="Arial"/>
          <w:sz w:val="16"/>
          <w:szCs w:val="16"/>
          <w:color w:val="auto"/>
        </w:rPr>
      </w:pPr>
    </w:p>
    <w:p>
      <w:pPr>
        <w:ind w:left="860" w:right="140" w:hanging="318"/>
        <w:spacing w:after="0" w:line="279" w:lineRule="auto"/>
        <w:tabs>
          <w:tab w:leader="none" w:pos="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if any, for 24 months.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Pursuant to a policy adopted by the Compensation Committee effective February 9, 2023, cash severance benefits will be limited to no more than 2.99 times the sum of the executive officer’s base salary plus target annual bonus, unless approved by shareholders.</w:t>
      </w:r>
    </w:p>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No executive may receive severance benefits under more than one plan or arrangement. If Dover determines that (i) any payment or distribution to an executive in connection with change in control, whether under the CIC Severance Plan or otherwise, would be subject to excise tax as an excess parachute payment under the Internal Revenue Code and (ii) the executive would receive a greater net-after-tax amount by reducing the amount of the severance payment, Dover will reduce the severance payments made under the CIC Severance Plan to the maximum amount that might be paid (but not less than zero) without the executive becoming subject to the excise tax. The CIC Severance Plan does not provide any gross-up for excise taxes.</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if, within 24 months following a change in control of Dover (as defined in the 2012 or 2021 LTIP) the executive is either involuntarily terminated other than for cause, death or disability or an event or condition that constitutes “good reason” occurs, and the executive subsequently resigns for good reason within applicable time limits and other requirements under the 2012 or 2021 LTIP:</w:t>
      </w:r>
    </w:p>
    <w:p>
      <w:pPr>
        <w:spacing w:after="0" w:line="80" w:lineRule="exact"/>
        <w:rPr>
          <w:sz w:val="20"/>
          <w:szCs w:val="20"/>
          <w:color w:val="auto"/>
        </w:rPr>
      </w:pPr>
    </w:p>
    <w:p>
      <w:pPr>
        <w:ind w:left="860" w:right="240" w:hanging="318"/>
        <w:spacing w:after="0" w:line="279" w:lineRule="auto"/>
        <w:tabs>
          <w:tab w:leader="none" w:pos="8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unvested SSARs and RSUs immediately vest upon the date of termination and become exercisable in accordance with the terms of the applicable award agreement; and</w:t>
      </w:r>
    </w:p>
    <w:p>
      <w:pPr>
        <w:spacing w:after="0" w:line="67" w:lineRule="exact"/>
        <w:rPr>
          <w:rFonts w:ascii="Arial" w:cs="Arial" w:eastAsia="Arial" w:hAnsi="Arial"/>
          <w:sz w:val="16"/>
          <w:szCs w:val="16"/>
          <w:color w:val="auto"/>
        </w:rPr>
      </w:pPr>
    </w:p>
    <w:p>
      <w:pPr>
        <w:ind w:left="860" w:right="440" w:hanging="318"/>
        <w:spacing w:after="0" w:line="279" w:lineRule="auto"/>
        <w:tabs>
          <w:tab w:leader="none" w:pos="8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performance share awards will be deemed to have been earned “at target” as if the performance target had been achieved and such awards will immediately vest and become immediately due and payable on the date of termination.</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021496"/>
        </w:rPr>
        <w:t xml:space="preserve">Potential Payments upon Termination or Change in Control Table. </w:t>
      </w:r>
      <w:r>
        <w:rPr>
          <w:rFonts w:ascii="Arial" w:cs="Arial" w:eastAsia="Arial" w:hAnsi="Arial"/>
          <w:sz w:val="16"/>
          <w:szCs w:val="16"/>
          <w:color w:val="000000"/>
        </w:rPr>
        <w:t>The table below shows the incremental amounts payable to each NEO if his or her</w:t>
      </w:r>
      <w:r>
        <w:rPr>
          <w:rFonts w:ascii="Arial" w:cs="Arial" w:eastAsia="Arial" w:hAnsi="Arial"/>
          <w:sz w:val="16"/>
          <w:szCs w:val="16"/>
          <w:i w:val="1"/>
          <w:iCs w:val="1"/>
          <w:color w:val="021496"/>
        </w:rPr>
        <w:t xml:space="preserve"> </w:t>
      </w:r>
      <w:r>
        <w:rPr>
          <w:rFonts w:ascii="Arial" w:cs="Arial" w:eastAsia="Arial" w:hAnsi="Arial"/>
          <w:sz w:val="16"/>
          <w:szCs w:val="16"/>
          <w:color w:val="000000"/>
        </w:rPr>
        <w:t>employment had terminated in certain circumstances on December 31, 2025. The amounts shown assume that termination was effective as of December 31, 2025. Mr. Cerepak retired from Dover as of January 31, 2025, and, accordingly has not been included in the table. The actual amounts to be paid out can only be determined at the time of each executive’s separation from Dover.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60" w:type="dxa"/>
            <w:vAlign w:val="bottom"/>
            <w:tcBorders>
              <w:top w:val="single" w:sz="8" w:color="021496"/>
            </w:tcBorders>
          </w:tcPr>
          <w:p>
            <w:pPr>
              <w:spacing w:after="0"/>
              <w:rPr>
                <w:sz w:val="14"/>
                <w:szCs w:val="14"/>
                <w:color w:val="auto"/>
              </w:rPr>
            </w:pPr>
          </w:p>
        </w:tc>
        <w:tc>
          <w:tcPr>
            <w:tcW w:w="1360" w:type="dxa"/>
            <w:vAlign w:val="bottom"/>
            <w:tcBorders>
              <w:top w:val="single" w:sz="8" w:color="021496"/>
            </w:tcBorders>
          </w:tcPr>
          <w:p>
            <w:pPr>
              <w:spacing w:after="0"/>
              <w:rPr>
                <w:sz w:val="14"/>
                <w:szCs w:val="14"/>
                <w:color w:val="auto"/>
              </w:rPr>
            </w:pPr>
          </w:p>
        </w:tc>
        <w:tc>
          <w:tcPr>
            <w:tcW w:w="1460" w:type="dxa"/>
            <w:vAlign w:val="bottom"/>
            <w:tcBorders>
              <w:top w:val="single" w:sz="8" w:color="021496"/>
            </w:tcBorders>
          </w:tcPr>
          <w:p>
            <w:pPr>
              <w:spacing w:after="0"/>
              <w:rPr>
                <w:sz w:val="14"/>
                <w:szCs w:val="14"/>
                <w:color w:val="auto"/>
              </w:rPr>
            </w:pPr>
          </w:p>
        </w:tc>
        <w:tc>
          <w:tcPr>
            <w:tcW w:w="540" w:type="dxa"/>
            <w:vAlign w:val="bottom"/>
            <w:tcBorders>
              <w:top w:val="single" w:sz="8" w:color="021496"/>
            </w:tcBorders>
          </w:tcPr>
          <w:p>
            <w:pPr>
              <w:spacing w:after="0"/>
              <w:rPr>
                <w:sz w:val="14"/>
                <w:szCs w:val="14"/>
                <w:color w:val="auto"/>
              </w:rPr>
            </w:pPr>
          </w:p>
        </w:tc>
        <w:tc>
          <w:tcPr>
            <w:tcW w:w="1320" w:type="dxa"/>
            <w:vAlign w:val="bottom"/>
            <w:tcBorders>
              <w:top w:val="single" w:sz="8" w:color="021496"/>
            </w:tcBorders>
          </w:tcPr>
          <w:p>
            <w:pPr>
              <w:spacing w:after="0"/>
              <w:rPr>
                <w:sz w:val="14"/>
                <w:szCs w:val="14"/>
                <w:color w:val="auto"/>
              </w:rPr>
            </w:pPr>
          </w:p>
        </w:tc>
        <w:tc>
          <w:tcPr>
            <w:tcW w:w="174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ind w:left="320"/>
              <w:spacing w:after="0"/>
              <w:rPr>
                <w:sz w:val="20"/>
                <w:szCs w:val="20"/>
                <w:color w:val="auto"/>
              </w:rPr>
            </w:pPr>
            <w:r>
              <w:rPr>
                <w:rFonts w:ascii="Arial" w:cs="Arial" w:eastAsia="Arial" w:hAnsi="Arial"/>
                <w:sz w:val="14"/>
                <w:szCs w:val="14"/>
                <w:b w:val="1"/>
                <w:bCs w:val="1"/>
                <w:color w:val="auto"/>
              </w:rPr>
              <w:t>Involuntary or</w:t>
            </w:r>
          </w:p>
        </w:tc>
        <w:tc>
          <w:tcPr>
            <w:tcW w:w="340" w:type="dxa"/>
            <w:vAlign w:val="bottom"/>
            <w:tcBorders>
              <w:top w:val="single" w:sz="8" w:color="021496"/>
            </w:tcBorders>
          </w:tcPr>
          <w:p>
            <w:pPr>
              <w:spacing w:after="0"/>
              <w:rPr>
                <w:sz w:val="14"/>
                <w:szCs w:val="14"/>
                <w:color w:val="auto"/>
              </w:rPr>
            </w:pPr>
          </w:p>
        </w:tc>
      </w:tr>
      <w:tr>
        <w:trPr>
          <w:trHeight w:val="160"/>
        </w:trPr>
        <w:tc>
          <w:tcPr>
            <w:tcW w:w="2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Good Reason</w:t>
            </w:r>
          </w:p>
        </w:tc>
        <w:tc>
          <w:tcPr>
            <w:tcW w:w="340" w:type="dxa"/>
            <w:vAlign w:val="bottom"/>
          </w:tcPr>
          <w:p>
            <w:pPr>
              <w:spacing w:after="0"/>
              <w:rPr>
                <w:sz w:val="13"/>
                <w:szCs w:val="13"/>
                <w:color w:val="auto"/>
              </w:rPr>
            </w:pPr>
          </w:p>
        </w:tc>
      </w:tr>
      <w:tr>
        <w:trPr>
          <w:trHeight w:val="160"/>
        </w:trPr>
        <w:tc>
          <w:tcPr>
            <w:tcW w:w="2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Normal</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3"/>
                <w:szCs w:val="13"/>
                <w:color w:val="auto"/>
              </w:rPr>
            </w:pPr>
          </w:p>
        </w:tc>
      </w:tr>
      <w:tr>
        <w:trPr>
          <w:trHeight w:val="160"/>
        </w:trPr>
        <w:tc>
          <w:tcPr>
            <w:tcW w:w="2860" w:type="dxa"/>
            <w:vAlign w:val="bottom"/>
          </w:tcPr>
          <w:p>
            <w:pPr>
              <w:spacing w:after="0"/>
              <w:rPr>
                <w:sz w:val="13"/>
                <w:szCs w:val="13"/>
                <w:color w:val="auto"/>
              </w:rPr>
            </w:pPr>
          </w:p>
        </w:tc>
        <w:tc>
          <w:tcPr>
            <w:tcW w:w="1360" w:type="dxa"/>
            <w:vAlign w:val="bottom"/>
          </w:tcPr>
          <w:p>
            <w:pPr>
              <w:ind w:left="500"/>
              <w:spacing w:after="0"/>
              <w:rPr>
                <w:sz w:val="20"/>
                <w:szCs w:val="20"/>
                <w:color w:val="auto"/>
              </w:rPr>
            </w:pPr>
            <w:r>
              <w:rPr>
                <w:rFonts w:ascii="Arial" w:cs="Arial" w:eastAsia="Arial" w:hAnsi="Arial"/>
                <w:sz w:val="14"/>
                <w:szCs w:val="14"/>
                <w:b w:val="1"/>
                <w:bCs w:val="1"/>
                <w:color w:val="auto"/>
              </w:rPr>
              <w:t>Voluntary</w:t>
            </w: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Involuntary Not for</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For Cause</w:t>
            </w: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Retirement or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following a</w:t>
            </w:r>
          </w:p>
        </w:tc>
        <w:tc>
          <w:tcPr>
            <w:tcW w:w="340" w:type="dxa"/>
            <w:vAlign w:val="bottom"/>
          </w:tcPr>
          <w:p>
            <w:pPr>
              <w:spacing w:after="0"/>
              <w:rPr>
                <w:sz w:val="13"/>
                <w:szCs w:val="13"/>
                <w:color w:val="auto"/>
              </w:rPr>
            </w:pPr>
          </w:p>
        </w:tc>
      </w:tr>
      <w:tr>
        <w:trPr>
          <w:trHeight w:val="160"/>
        </w:trPr>
        <w:tc>
          <w:tcPr>
            <w:tcW w:w="2860" w:type="dxa"/>
            <w:vAlign w:val="bottom"/>
          </w:tcPr>
          <w:p>
            <w:pPr>
              <w:spacing w:after="0"/>
              <w:rPr>
                <w:sz w:val="13"/>
                <w:szCs w:val="13"/>
                <w:color w:val="auto"/>
              </w:rPr>
            </w:pPr>
          </w:p>
        </w:tc>
        <w:tc>
          <w:tcPr>
            <w:tcW w:w="1360" w:type="dxa"/>
            <w:vAlign w:val="bottom"/>
          </w:tcPr>
          <w:p>
            <w:pPr>
              <w:ind w:left="500"/>
              <w:spacing w:after="0"/>
              <w:rPr>
                <w:sz w:val="20"/>
                <w:szCs w:val="20"/>
                <w:color w:val="auto"/>
              </w:rPr>
            </w:pPr>
            <w:r>
              <w:rPr>
                <w:rFonts w:ascii="Arial" w:cs="Arial" w:eastAsia="Arial" w:hAnsi="Arial"/>
                <w:sz w:val="14"/>
                <w:szCs w:val="14"/>
                <w:b w:val="1"/>
                <w:bCs w:val="1"/>
                <w:color w:val="auto"/>
              </w:rPr>
              <w:t>Termination</w:t>
            </w: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Cause Termination</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Early Retirement</w:t>
            </w: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Change-in-Control</w:t>
            </w:r>
          </w:p>
        </w:tc>
      </w:tr>
      <w:tr>
        <w:trPr>
          <w:trHeight w:val="208"/>
        </w:trPr>
        <w:tc>
          <w:tcPr>
            <w:tcW w:w="286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ind w:left="500"/>
              <w:spacing w:after="0"/>
              <w:rPr>
                <w:sz w:val="20"/>
                <w:szCs w:val="20"/>
                <w:color w:val="auto"/>
              </w:rPr>
            </w:pPr>
            <w:r>
              <w:rPr>
                <w:rFonts w:ascii="Arial" w:cs="Arial" w:eastAsia="Arial" w:hAnsi="Arial"/>
                <w:sz w:val="14"/>
                <w:szCs w:val="14"/>
                <w:b w:val="1"/>
                <w:bCs w:val="1"/>
                <w:color w:val="auto"/>
              </w:rPr>
              <w:t>($)(1)</w:t>
            </w:r>
          </w:p>
        </w:tc>
        <w:tc>
          <w:tcPr>
            <w:tcW w:w="1460" w:type="dxa"/>
            <w:vAlign w:val="bottom"/>
          </w:tcPr>
          <w:p>
            <w:pPr>
              <w:ind w:left="48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8"/>
                <w:szCs w:val="18"/>
                <w:color w:val="auto"/>
              </w:rPr>
            </w:pP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($)(3)</w:t>
            </w: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28"/>
        </w:trPr>
        <w:tc>
          <w:tcPr>
            <w:tcW w:w="2860" w:type="dxa"/>
            <w:vAlign w:val="bottom"/>
            <w:tcBorders>
              <w:bottom w:val="single" w:sz="8" w:color="021496"/>
            </w:tcBorders>
          </w:tcPr>
          <w:p>
            <w:pPr>
              <w:spacing w:after="0"/>
              <w:rPr>
                <w:sz w:val="2"/>
                <w:szCs w:val="2"/>
                <w:color w:val="auto"/>
              </w:rPr>
            </w:pPr>
          </w:p>
        </w:tc>
        <w:tc>
          <w:tcPr>
            <w:tcW w:w="1360" w:type="dxa"/>
            <w:vAlign w:val="bottom"/>
            <w:tcBorders>
              <w:bottom w:val="single" w:sz="8" w:color="021496"/>
            </w:tcBorders>
          </w:tcPr>
          <w:p>
            <w:pPr>
              <w:spacing w:after="0"/>
              <w:rPr>
                <w:sz w:val="2"/>
                <w:szCs w:val="2"/>
                <w:color w:val="auto"/>
              </w:rPr>
            </w:pPr>
          </w:p>
        </w:tc>
        <w:tc>
          <w:tcPr>
            <w:tcW w:w="1460" w:type="dxa"/>
            <w:vAlign w:val="bottom"/>
            <w:tcBorders>
              <w:bottom w:val="single" w:sz="8" w:color="021496"/>
            </w:tcBorders>
          </w:tcPr>
          <w:p>
            <w:pPr>
              <w:spacing w:after="0"/>
              <w:rPr>
                <w:sz w:val="2"/>
                <w:szCs w:val="2"/>
                <w:color w:val="auto"/>
              </w:rPr>
            </w:pPr>
          </w:p>
        </w:tc>
        <w:tc>
          <w:tcPr>
            <w:tcW w:w="540" w:type="dxa"/>
            <w:vAlign w:val="bottom"/>
            <w:tcBorders>
              <w:bottom w:val="single" w:sz="8" w:color="021496"/>
            </w:tcBorders>
          </w:tcPr>
          <w:p>
            <w:pPr>
              <w:spacing w:after="0"/>
              <w:rPr>
                <w:sz w:val="2"/>
                <w:szCs w:val="2"/>
                <w:color w:val="auto"/>
              </w:rPr>
            </w:pPr>
          </w:p>
        </w:tc>
        <w:tc>
          <w:tcPr>
            <w:tcW w:w="1320" w:type="dxa"/>
            <w:vAlign w:val="bottom"/>
            <w:tcBorders>
              <w:bottom w:val="single" w:sz="8" w:color="021496"/>
            </w:tcBorders>
          </w:tcPr>
          <w:p>
            <w:pPr>
              <w:spacing w:after="0"/>
              <w:rPr>
                <w:sz w:val="2"/>
                <w:szCs w:val="2"/>
                <w:color w:val="auto"/>
              </w:rPr>
            </w:pPr>
          </w:p>
        </w:tc>
        <w:tc>
          <w:tcPr>
            <w:tcW w:w="1740" w:type="dxa"/>
            <w:vAlign w:val="bottom"/>
            <w:tcBorders>
              <w:bottom w:val="single" w:sz="8" w:color="021496"/>
            </w:tcBorders>
          </w:tcPr>
          <w:p>
            <w:pPr>
              <w:spacing w:after="0"/>
              <w:rPr>
                <w:sz w:val="2"/>
                <w:szCs w:val="2"/>
                <w:color w:val="auto"/>
              </w:rPr>
            </w:pPr>
          </w:p>
        </w:tc>
        <w:tc>
          <w:tcPr>
            <w:tcW w:w="1300" w:type="dxa"/>
            <w:vAlign w:val="bottom"/>
            <w:tcBorders>
              <w:bottom w:val="single" w:sz="8" w:color="021496"/>
            </w:tcBorders>
          </w:tcPr>
          <w:p>
            <w:pPr>
              <w:spacing w:after="0"/>
              <w:rPr>
                <w:sz w:val="2"/>
                <w:szCs w:val="2"/>
                <w:color w:val="auto"/>
              </w:rPr>
            </w:pPr>
          </w:p>
        </w:tc>
        <w:tc>
          <w:tcPr>
            <w:tcW w:w="340" w:type="dxa"/>
            <w:vAlign w:val="bottom"/>
            <w:tcBorders>
              <w:bottom w:val="single" w:sz="8" w:color="021496"/>
            </w:tcBorders>
          </w:tcPr>
          <w:p>
            <w:pPr>
              <w:spacing w:after="0"/>
              <w:rPr>
                <w:sz w:val="2"/>
                <w:szCs w:val="2"/>
                <w:color w:val="auto"/>
              </w:rPr>
            </w:pPr>
          </w:p>
        </w:tc>
      </w:tr>
      <w:tr>
        <w:trPr>
          <w:trHeight w:val="254"/>
        </w:trPr>
        <w:tc>
          <w:tcPr>
            <w:tcW w:w="28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Richard J. Tobin</w:t>
            </w:r>
          </w:p>
        </w:tc>
        <w:tc>
          <w:tcPr>
            <w:tcW w:w="1360" w:type="dxa"/>
            <w:vAlign w:val="bottom"/>
            <w:shd w:val="clear" w:color="auto" w:fill="D8D8D8"/>
          </w:tcPr>
          <w:p>
            <w:pPr>
              <w:spacing w:after="0"/>
              <w:rPr>
                <w:sz w:val="22"/>
                <w:szCs w:val="22"/>
                <w:color w:val="auto"/>
              </w:rPr>
            </w:pPr>
          </w:p>
        </w:tc>
        <w:tc>
          <w:tcPr>
            <w:tcW w:w="1460" w:type="dxa"/>
            <w:vAlign w:val="bottom"/>
            <w:shd w:val="clear" w:color="auto" w:fill="D8D8D8"/>
          </w:tcPr>
          <w:p>
            <w:pPr>
              <w:spacing w:after="0"/>
              <w:rPr>
                <w:sz w:val="22"/>
                <w:szCs w:val="22"/>
                <w:color w:val="auto"/>
              </w:rPr>
            </w:pPr>
          </w:p>
        </w:tc>
        <w:tc>
          <w:tcPr>
            <w:tcW w:w="540" w:type="dxa"/>
            <w:vAlign w:val="bottom"/>
            <w:shd w:val="clear" w:color="auto" w:fill="D8D8D8"/>
          </w:tcPr>
          <w:p>
            <w:pPr>
              <w:spacing w:after="0"/>
              <w:rPr>
                <w:sz w:val="22"/>
                <w:szCs w:val="22"/>
                <w:color w:val="auto"/>
              </w:rPr>
            </w:pPr>
          </w:p>
        </w:tc>
        <w:tc>
          <w:tcPr>
            <w:tcW w:w="1320" w:type="dxa"/>
            <w:vAlign w:val="bottom"/>
            <w:shd w:val="clear" w:color="auto" w:fill="D8D8D8"/>
          </w:tcPr>
          <w:p>
            <w:pPr>
              <w:spacing w:after="0"/>
              <w:rPr>
                <w:sz w:val="22"/>
                <w:szCs w:val="22"/>
                <w:color w:val="auto"/>
              </w:rPr>
            </w:pPr>
          </w:p>
        </w:tc>
        <w:tc>
          <w:tcPr>
            <w:tcW w:w="1740" w:type="dxa"/>
            <w:vAlign w:val="bottom"/>
            <w:shd w:val="clear" w:color="auto" w:fill="D8D8D8"/>
          </w:tcPr>
          <w:p>
            <w:pPr>
              <w:spacing w:after="0"/>
              <w:rPr>
                <w:sz w:val="22"/>
                <w:szCs w:val="22"/>
                <w:color w:val="auto"/>
              </w:rPr>
            </w:pPr>
          </w:p>
        </w:tc>
        <w:tc>
          <w:tcPr>
            <w:tcW w:w="130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r>
      <w:tr>
        <w:trPr>
          <w:trHeight w:val="27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5,467,800</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(4)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7,290,400</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5,121,536</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(6)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5,121,536 (6)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9,464,064</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8,723,209</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(7)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8,723,209 (7) </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8,723,209 (11)</w:t>
            </w:r>
          </w:p>
        </w:tc>
      </w:tr>
      <w:tr>
        <w:trPr>
          <w:trHeight w:val="28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4,685,174</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(8)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4,685,174 (8)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4,685,174</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37,916</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(5)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0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50,555</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86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60" w:type="dxa"/>
            <w:vAlign w:val="bottom"/>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200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25,000      </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N/A       </w:t>
            </w:r>
          </w:p>
        </w:tc>
        <w:tc>
          <w:tcPr>
            <w:tcW w:w="164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4"/>
        </w:trPr>
        <w:tc>
          <w:tcPr>
            <w:tcW w:w="286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60" w:type="dxa"/>
            <w:vAlign w:val="bottom"/>
            <w:tcBorders>
              <w:bottom w:val="single" w:sz="8" w:color="021496"/>
            </w:tcBorders>
            <w:shd w:val="clear" w:color="auto" w:fill="D8D8D8"/>
          </w:tcPr>
          <w:p>
            <w:pPr>
              <w:ind w:left="1040"/>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021496"/>
            </w:tcBorders>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24,060,635      </w:t>
            </w:r>
          </w:p>
        </w:tc>
        <w:tc>
          <w:tcPr>
            <w:tcW w:w="1320" w:type="dxa"/>
            <w:vAlign w:val="bottom"/>
            <w:tcBorders>
              <w:bottom w:val="single" w:sz="8" w:color="021496"/>
            </w:tcBorders>
            <w:shd w:val="clear" w:color="auto" w:fill="D8D8D8"/>
          </w:tcPr>
          <w:p>
            <w:pPr>
              <w:jc w:val="right"/>
              <w:ind w:right="202"/>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021496"/>
            </w:tcBorders>
            <w:shd w:val="clear" w:color="auto" w:fill="D8D8D8"/>
          </w:tcPr>
          <w:p>
            <w:pPr>
              <w:jc w:val="right"/>
              <w:ind w:right="283"/>
              <w:spacing w:after="0"/>
              <w:rPr>
                <w:sz w:val="20"/>
                <w:szCs w:val="20"/>
                <w:color w:val="auto"/>
              </w:rPr>
            </w:pPr>
            <w:r>
              <w:rPr>
                <w:rFonts w:ascii="Arial" w:cs="Arial" w:eastAsia="Arial" w:hAnsi="Arial"/>
                <w:sz w:val="16"/>
                <w:szCs w:val="16"/>
                <w:color w:val="auto"/>
              </w:rPr>
              <w:t xml:space="preserve">18,529,919      </w:t>
            </w:r>
          </w:p>
        </w:tc>
        <w:tc>
          <w:tcPr>
            <w:tcW w:w="1640" w:type="dxa"/>
            <w:vAlign w:val="bottom"/>
            <w:tcBorders>
              <w:bottom w:val="single" w:sz="8" w:color="021496"/>
            </w:tcBorders>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30,238,402  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-186055</wp:posOffset>
            </wp:positionV>
            <wp:extent cx="51123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-364490</wp:posOffset>
            </wp:positionV>
            <wp:extent cx="51123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-542925</wp:posOffset>
            </wp:positionV>
            <wp:extent cx="51123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-721360</wp:posOffset>
            </wp:positionV>
            <wp:extent cx="51123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-899795</wp:posOffset>
            </wp:positionV>
            <wp:extent cx="51123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-1077595</wp:posOffset>
            </wp:positionV>
            <wp:extent cx="51123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1238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-1256030</wp:posOffset>
            </wp:positionV>
            <wp:extent cx="51123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12385" cy="825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72</w:t>
      </w:r>
    </w:p>
    <w:p>
      <w:pPr>
        <w:sectPr>
          <w:pgSz w:w="11900" w:h="16838" w:orient="portrait"/>
          <w:cols w:equalWidth="0" w:num="1">
            <w:col w:w="10920"/>
          </w:cols>
          <w:pgMar w:left="480" w:top="299" w:right="49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40" w:type="dxa"/>
            <w:vAlign w:val="bottom"/>
            <w:tcBorders>
              <w:top w:val="single" w:sz="8" w:color="021496"/>
            </w:tcBorders>
          </w:tcPr>
          <w:p>
            <w:pPr>
              <w:spacing w:after="0"/>
              <w:rPr>
                <w:sz w:val="14"/>
                <w:szCs w:val="14"/>
                <w:color w:val="auto"/>
              </w:rPr>
            </w:pPr>
          </w:p>
        </w:tc>
        <w:tc>
          <w:tcPr>
            <w:tcW w:w="1380" w:type="dxa"/>
            <w:vAlign w:val="bottom"/>
            <w:tcBorders>
              <w:top w:val="single" w:sz="8" w:color="021496"/>
            </w:tcBorders>
          </w:tcPr>
          <w:p>
            <w:pPr>
              <w:spacing w:after="0"/>
              <w:rPr>
                <w:sz w:val="14"/>
                <w:szCs w:val="14"/>
                <w:color w:val="auto"/>
              </w:rPr>
            </w:pPr>
          </w:p>
        </w:tc>
        <w:tc>
          <w:tcPr>
            <w:tcW w:w="1480" w:type="dxa"/>
            <w:vAlign w:val="bottom"/>
            <w:tcBorders>
              <w:top w:val="single" w:sz="8" w:color="021496"/>
            </w:tcBorders>
          </w:tcPr>
          <w:p>
            <w:pPr>
              <w:spacing w:after="0"/>
              <w:rPr>
                <w:sz w:val="14"/>
                <w:szCs w:val="14"/>
                <w:color w:val="auto"/>
              </w:rPr>
            </w:pPr>
          </w:p>
        </w:tc>
        <w:tc>
          <w:tcPr>
            <w:tcW w:w="540" w:type="dxa"/>
            <w:vAlign w:val="bottom"/>
            <w:tcBorders>
              <w:top w:val="single" w:sz="8" w:color="021496"/>
            </w:tcBorders>
          </w:tcPr>
          <w:p>
            <w:pPr>
              <w:spacing w:after="0"/>
              <w:rPr>
                <w:sz w:val="14"/>
                <w:szCs w:val="14"/>
                <w:color w:val="auto"/>
              </w:rPr>
            </w:pPr>
          </w:p>
        </w:tc>
        <w:tc>
          <w:tcPr>
            <w:tcW w:w="1360" w:type="dxa"/>
            <w:vAlign w:val="bottom"/>
            <w:tcBorders>
              <w:top w:val="single" w:sz="8" w:color="021496"/>
            </w:tcBorders>
          </w:tcPr>
          <w:p>
            <w:pPr>
              <w:spacing w:after="0"/>
              <w:rPr>
                <w:sz w:val="14"/>
                <w:szCs w:val="14"/>
                <w:color w:val="auto"/>
              </w:rPr>
            </w:pPr>
          </w:p>
        </w:tc>
        <w:tc>
          <w:tcPr>
            <w:tcW w:w="1760" w:type="dxa"/>
            <w:vAlign w:val="bottom"/>
            <w:tcBorders>
              <w:top w:val="single" w:sz="8" w:color="021496"/>
            </w:tcBorders>
          </w:tcPr>
          <w:p>
            <w:pPr>
              <w:spacing w:after="0"/>
              <w:rPr>
                <w:sz w:val="14"/>
                <w:szCs w:val="14"/>
                <w:color w:val="auto"/>
              </w:rPr>
            </w:pPr>
          </w:p>
        </w:tc>
        <w:tc>
          <w:tcPr>
            <w:tcW w:w="1320" w:type="dxa"/>
            <w:vAlign w:val="bottom"/>
            <w:tcBorders>
              <w:top w:val="single" w:sz="8" w:color="021496"/>
            </w:tcBorders>
          </w:tcPr>
          <w:p>
            <w:pPr>
              <w:ind w:left="340"/>
              <w:spacing w:after="0"/>
              <w:rPr>
                <w:sz w:val="20"/>
                <w:szCs w:val="20"/>
                <w:color w:val="auto"/>
              </w:rPr>
            </w:pPr>
            <w:r>
              <w:rPr>
                <w:rFonts w:ascii="Arial" w:cs="Arial" w:eastAsia="Arial" w:hAnsi="Arial"/>
                <w:sz w:val="14"/>
                <w:szCs w:val="14"/>
                <w:b w:val="1"/>
                <w:bCs w:val="1"/>
                <w:color w:val="auto"/>
              </w:rPr>
              <w:t>Involuntary or</w:t>
            </w:r>
          </w:p>
        </w:tc>
        <w:tc>
          <w:tcPr>
            <w:tcW w:w="340" w:type="dxa"/>
            <w:vAlign w:val="bottom"/>
            <w:tcBorders>
              <w:top w:val="single" w:sz="8" w:color="021496"/>
            </w:tcBorders>
          </w:tcPr>
          <w:p>
            <w:pPr>
              <w:spacing w:after="0"/>
              <w:rPr>
                <w:sz w:val="14"/>
                <w:szCs w:val="14"/>
                <w:color w:val="auto"/>
              </w:rPr>
            </w:pPr>
          </w:p>
        </w:tc>
      </w:tr>
      <w:tr>
        <w:trPr>
          <w:trHeight w:val="160"/>
        </w:trPr>
        <w:tc>
          <w:tcPr>
            <w:tcW w:w="2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Good Reason</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Normal</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Voluntary</w:t>
            </w:r>
          </w:p>
        </w:tc>
        <w:tc>
          <w:tcPr>
            <w:tcW w:w="2020" w:type="dxa"/>
            <w:vAlign w:val="bottom"/>
            <w:gridSpan w:val="2"/>
          </w:tcPr>
          <w:p>
            <w:pPr>
              <w:ind w:left="500"/>
              <w:spacing w:after="0"/>
              <w:rPr>
                <w:sz w:val="20"/>
                <w:szCs w:val="20"/>
                <w:color w:val="auto"/>
              </w:rPr>
            </w:pPr>
            <w:r>
              <w:rPr>
                <w:rFonts w:ascii="Arial" w:cs="Arial" w:eastAsia="Arial" w:hAnsi="Arial"/>
                <w:sz w:val="14"/>
                <w:szCs w:val="14"/>
                <w:b w:val="1"/>
                <w:bCs w:val="1"/>
                <w:color w:val="auto"/>
              </w:rPr>
              <w:t>Involuntary Not for</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For Cause</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Retirement or</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following a</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Termination</w:t>
            </w:r>
          </w:p>
        </w:tc>
        <w:tc>
          <w:tcPr>
            <w:tcW w:w="2020" w:type="dxa"/>
            <w:vAlign w:val="bottom"/>
            <w:gridSpan w:val="2"/>
          </w:tcPr>
          <w:p>
            <w:pPr>
              <w:ind w:left="500"/>
              <w:spacing w:after="0"/>
              <w:rPr>
                <w:sz w:val="20"/>
                <w:szCs w:val="20"/>
                <w:color w:val="auto"/>
              </w:rPr>
            </w:pPr>
            <w:r>
              <w:rPr>
                <w:rFonts w:ascii="Arial" w:cs="Arial" w:eastAsia="Arial" w:hAnsi="Arial"/>
                <w:sz w:val="14"/>
                <w:szCs w:val="14"/>
                <w:b w:val="1"/>
                <w:bCs w:val="1"/>
                <w:color w:val="auto"/>
              </w:rPr>
              <w:t>Cause Termination</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Early Retirement</w:t>
            </w: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Change-in-Control</w:t>
            </w:r>
          </w:p>
        </w:tc>
      </w:tr>
      <w:tr>
        <w:trPr>
          <w:trHeight w:val="208"/>
        </w:trPr>
        <w:tc>
          <w:tcPr>
            <w:tcW w:w="2740" w:type="dxa"/>
            <w:vAlign w:val="bottom"/>
          </w:tcPr>
          <w:p>
            <w:pPr>
              <w:ind w:left="1180"/>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($)(1)</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8"/>
                <w:szCs w:val="18"/>
                <w:color w:val="auto"/>
              </w:rPr>
            </w:pP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($)(3)</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28"/>
        </w:trPr>
        <w:tc>
          <w:tcPr>
            <w:tcW w:w="2740" w:type="dxa"/>
            <w:vAlign w:val="bottom"/>
            <w:tcBorders>
              <w:bottom w:val="single" w:sz="8" w:color="021496"/>
            </w:tcBorders>
          </w:tcPr>
          <w:p>
            <w:pPr>
              <w:spacing w:after="0"/>
              <w:rPr>
                <w:sz w:val="2"/>
                <w:szCs w:val="2"/>
                <w:color w:val="auto"/>
              </w:rPr>
            </w:pPr>
          </w:p>
        </w:tc>
        <w:tc>
          <w:tcPr>
            <w:tcW w:w="1380" w:type="dxa"/>
            <w:vAlign w:val="bottom"/>
            <w:tcBorders>
              <w:bottom w:val="single" w:sz="8" w:color="021496"/>
            </w:tcBorders>
          </w:tcPr>
          <w:p>
            <w:pPr>
              <w:spacing w:after="0"/>
              <w:rPr>
                <w:sz w:val="2"/>
                <w:szCs w:val="2"/>
                <w:color w:val="auto"/>
              </w:rPr>
            </w:pPr>
          </w:p>
        </w:tc>
        <w:tc>
          <w:tcPr>
            <w:tcW w:w="1480" w:type="dxa"/>
            <w:vAlign w:val="bottom"/>
            <w:tcBorders>
              <w:bottom w:val="single" w:sz="8" w:color="021496"/>
            </w:tcBorders>
          </w:tcPr>
          <w:p>
            <w:pPr>
              <w:spacing w:after="0"/>
              <w:rPr>
                <w:sz w:val="2"/>
                <w:szCs w:val="2"/>
                <w:color w:val="auto"/>
              </w:rPr>
            </w:pPr>
          </w:p>
        </w:tc>
        <w:tc>
          <w:tcPr>
            <w:tcW w:w="540" w:type="dxa"/>
            <w:vAlign w:val="bottom"/>
            <w:tcBorders>
              <w:bottom w:val="single" w:sz="8" w:color="021496"/>
            </w:tcBorders>
          </w:tcPr>
          <w:p>
            <w:pPr>
              <w:spacing w:after="0"/>
              <w:rPr>
                <w:sz w:val="2"/>
                <w:szCs w:val="2"/>
                <w:color w:val="auto"/>
              </w:rPr>
            </w:pPr>
          </w:p>
        </w:tc>
        <w:tc>
          <w:tcPr>
            <w:tcW w:w="1360" w:type="dxa"/>
            <w:vAlign w:val="bottom"/>
            <w:tcBorders>
              <w:bottom w:val="single" w:sz="8" w:color="021496"/>
            </w:tcBorders>
          </w:tcPr>
          <w:p>
            <w:pPr>
              <w:spacing w:after="0"/>
              <w:rPr>
                <w:sz w:val="2"/>
                <w:szCs w:val="2"/>
                <w:color w:val="auto"/>
              </w:rPr>
            </w:pPr>
          </w:p>
        </w:tc>
        <w:tc>
          <w:tcPr>
            <w:tcW w:w="1760" w:type="dxa"/>
            <w:vAlign w:val="bottom"/>
            <w:tcBorders>
              <w:bottom w:val="single" w:sz="8" w:color="021496"/>
            </w:tcBorders>
          </w:tcPr>
          <w:p>
            <w:pPr>
              <w:spacing w:after="0"/>
              <w:rPr>
                <w:sz w:val="2"/>
                <w:szCs w:val="2"/>
                <w:color w:val="auto"/>
              </w:rPr>
            </w:pPr>
          </w:p>
        </w:tc>
        <w:tc>
          <w:tcPr>
            <w:tcW w:w="1320" w:type="dxa"/>
            <w:vAlign w:val="bottom"/>
            <w:tcBorders>
              <w:bottom w:val="single" w:sz="8" w:color="021496"/>
            </w:tcBorders>
          </w:tcPr>
          <w:p>
            <w:pPr>
              <w:spacing w:after="0"/>
              <w:rPr>
                <w:sz w:val="2"/>
                <w:szCs w:val="2"/>
                <w:color w:val="auto"/>
              </w:rPr>
            </w:pPr>
          </w:p>
        </w:tc>
        <w:tc>
          <w:tcPr>
            <w:tcW w:w="340" w:type="dxa"/>
            <w:vAlign w:val="bottom"/>
            <w:tcBorders>
              <w:bottom w:val="single" w:sz="8" w:color="021496"/>
            </w:tcBorders>
          </w:tcPr>
          <w:p>
            <w:pPr>
              <w:spacing w:after="0"/>
              <w:rPr>
                <w:sz w:val="2"/>
                <w:szCs w:val="2"/>
                <w:color w:val="auto"/>
              </w:rPr>
            </w:pPr>
          </w:p>
        </w:tc>
      </w:tr>
      <w:tr>
        <w:trPr>
          <w:trHeight w:val="257"/>
        </w:trPr>
        <w:tc>
          <w:tcPr>
            <w:tcW w:w="2740" w:type="dxa"/>
            <w:vAlign w:val="bottom"/>
          </w:tcPr>
          <w:p>
            <w:pPr>
              <w:spacing w:after="0"/>
              <w:rPr>
                <w:sz w:val="20"/>
                <w:szCs w:val="20"/>
                <w:color w:val="auto"/>
              </w:rPr>
            </w:pPr>
            <w:r>
              <w:rPr>
                <w:rFonts w:ascii="Arial" w:cs="Arial" w:eastAsia="Arial" w:hAnsi="Arial"/>
                <w:sz w:val="16"/>
                <w:szCs w:val="16"/>
                <w:b w:val="1"/>
                <w:bCs w:val="1"/>
                <w:color w:val="auto"/>
              </w:rPr>
              <w:t>Chris B. Woenker</w:t>
            </w:r>
          </w:p>
        </w:tc>
        <w:tc>
          <w:tcPr>
            <w:tcW w:w="1380" w:type="dxa"/>
            <w:vAlign w:val="bottom"/>
            <w:tcBorders>
              <w:bottom w:val="single" w:sz="8" w:color="999999"/>
            </w:tcBorders>
          </w:tcPr>
          <w:p>
            <w:pPr>
              <w:spacing w:after="0"/>
              <w:rPr>
                <w:sz w:val="22"/>
                <w:szCs w:val="22"/>
                <w:color w:val="auto"/>
              </w:rPr>
            </w:pPr>
          </w:p>
        </w:tc>
        <w:tc>
          <w:tcPr>
            <w:tcW w:w="1480" w:type="dxa"/>
            <w:vAlign w:val="bottom"/>
            <w:tcBorders>
              <w:bottom w:val="single" w:sz="8" w:color="999999"/>
            </w:tcBorders>
          </w:tcPr>
          <w:p>
            <w:pPr>
              <w:spacing w:after="0"/>
              <w:rPr>
                <w:sz w:val="22"/>
                <w:szCs w:val="22"/>
                <w:color w:val="auto"/>
              </w:rPr>
            </w:pPr>
          </w:p>
        </w:tc>
        <w:tc>
          <w:tcPr>
            <w:tcW w:w="540" w:type="dxa"/>
            <w:vAlign w:val="bottom"/>
            <w:tcBorders>
              <w:bottom w:val="single" w:sz="8" w:color="999999"/>
            </w:tcBorders>
          </w:tcPr>
          <w:p>
            <w:pPr>
              <w:spacing w:after="0"/>
              <w:rPr>
                <w:sz w:val="22"/>
                <w:szCs w:val="22"/>
                <w:color w:val="auto"/>
              </w:rPr>
            </w:pPr>
          </w:p>
        </w:tc>
        <w:tc>
          <w:tcPr>
            <w:tcW w:w="1360" w:type="dxa"/>
            <w:vAlign w:val="bottom"/>
            <w:tcBorders>
              <w:bottom w:val="single" w:sz="8" w:color="999999"/>
            </w:tcBorders>
          </w:tcPr>
          <w:p>
            <w:pPr>
              <w:spacing w:after="0"/>
              <w:rPr>
                <w:sz w:val="22"/>
                <w:szCs w:val="22"/>
                <w:color w:val="auto"/>
              </w:rPr>
            </w:pPr>
          </w:p>
        </w:tc>
        <w:tc>
          <w:tcPr>
            <w:tcW w:w="1760" w:type="dxa"/>
            <w:vAlign w:val="bottom"/>
            <w:tcBorders>
              <w:bottom w:val="single" w:sz="8" w:color="999999"/>
            </w:tcBorders>
          </w:tcPr>
          <w:p>
            <w:pPr>
              <w:spacing w:after="0"/>
              <w:rPr>
                <w:sz w:val="22"/>
                <w:szCs w:val="22"/>
                <w:color w:val="auto"/>
              </w:rPr>
            </w:pPr>
          </w:p>
        </w:tc>
        <w:tc>
          <w:tcPr>
            <w:tcW w:w="1320" w:type="dxa"/>
            <w:vAlign w:val="bottom"/>
            <w:tcBorders>
              <w:bottom w:val="single" w:sz="8" w:color="999999"/>
            </w:tcBorders>
          </w:tcPr>
          <w:p>
            <w:pPr>
              <w:spacing w:after="0"/>
              <w:rPr>
                <w:sz w:val="22"/>
                <w:szCs w:val="22"/>
                <w:color w:val="auto"/>
              </w:rPr>
            </w:pPr>
          </w:p>
        </w:tc>
        <w:tc>
          <w:tcPr>
            <w:tcW w:w="340" w:type="dxa"/>
            <w:vAlign w:val="bottom"/>
            <w:tcBorders>
              <w:bottom w:val="single" w:sz="8" w:color="999999"/>
            </w:tcBorders>
          </w:tcPr>
          <w:p>
            <w:pPr>
              <w:spacing w:after="0"/>
              <w:rPr>
                <w:sz w:val="22"/>
                <w:szCs w:val="22"/>
                <w:color w:val="auto"/>
              </w:rPr>
            </w:pPr>
          </w:p>
        </w:tc>
      </w:tr>
      <w:tr>
        <w:trPr>
          <w:trHeight w:val="258"/>
        </w:trPr>
        <w:tc>
          <w:tcPr>
            <w:tcW w:w="2740" w:type="dxa"/>
            <w:vAlign w:val="bottom"/>
          </w:tcPr>
          <w:p>
            <w:pPr>
              <w:spacing w:after="0"/>
              <w:rPr>
                <w:sz w:val="20"/>
                <w:szCs w:val="20"/>
                <w:color w:val="auto"/>
              </w:rPr>
            </w:pPr>
            <w:r>
              <w:rPr>
                <w:rFonts w:ascii="Arial" w:cs="Arial" w:eastAsia="Arial" w:hAnsi="Arial"/>
                <w:sz w:val="16"/>
                <w:szCs w:val="16"/>
                <w:color w:val="auto"/>
              </w:rPr>
              <w:t>Cash severance</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906,100</w:t>
            </w:r>
          </w:p>
        </w:tc>
        <w:tc>
          <w:tcPr>
            <w:tcW w:w="540" w:type="dxa"/>
            <w:vAlign w:val="bottom"/>
            <w:tcBorders>
              <w:bottom w:val="single" w:sz="8" w:color="999999"/>
            </w:tcBorders>
          </w:tcPr>
          <w:p>
            <w:pPr>
              <w:jc w:val="right"/>
              <w:ind w:right="200"/>
              <w:spacing w:after="0"/>
              <w:rPr>
                <w:sz w:val="20"/>
                <w:szCs w:val="20"/>
                <w:color w:val="auto"/>
              </w:rPr>
            </w:pPr>
            <w:r>
              <w:rPr>
                <w:rFonts w:ascii="Arial" w:cs="Arial" w:eastAsia="Arial" w:hAnsi="Arial"/>
                <w:sz w:val="16"/>
                <w:szCs w:val="16"/>
                <w:color w:val="auto"/>
              </w:rPr>
              <w:t xml:space="preserve">(4)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1,812,200</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Performance share awards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556,824</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(10)</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282,640 (11)</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275,484</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(12)</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23,087</w:t>
            </w:r>
          </w:p>
        </w:tc>
        <w:tc>
          <w:tcPr>
            <w:tcW w:w="540" w:type="dxa"/>
            <w:vAlign w:val="bottom"/>
            <w:tcBorders>
              <w:bottom w:val="single" w:sz="8" w:color="999999"/>
            </w:tcBorders>
          </w:tcPr>
          <w:p>
            <w:pPr>
              <w:jc w:val="right"/>
              <w:ind w:right="200"/>
              <w:spacing w:after="0"/>
              <w:rPr>
                <w:sz w:val="20"/>
                <w:szCs w:val="20"/>
                <w:color w:val="auto"/>
              </w:rPr>
            </w:pPr>
            <w:r>
              <w:rPr>
                <w:rFonts w:ascii="Arial" w:cs="Arial" w:eastAsia="Arial" w:hAnsi="Arial"/>
                <w:sz w:val="16"/>
                <w:szCs w:val="16"/>
                <w:color w:val="auto"/>
              </w:rPr>
              <w:t xml:space="preserve">(5)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46,173</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Outplacement</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25,000  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64"/>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954,187      </w:t>
            </w: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2,998,322      </w:t>
            </w:r>
          </w:p>
        </w:tc>
      </w:tr>
      <w:tr>
        <w:trPr>
          <w:trHeight w:val="277"/>
        </w:trPr>
        <w:tc>
          <w:tcPr>
            <w:tcW w:w="27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Ivonne M. Cabrera</w:t>
            </w:r>
          </w:p>
        </w:tc>
        <w:tc>
          <w:tcPr>
            <w:tcW w:w="1380" w:type="dxa"/>
            <w:vAlign w:val="bottom"/>
            <w:shd w:val="clear" w:color="auto" w:fill="D8D8D8"/>
          </w:tcPr>
          <w:p>
            <w:pPr>
              <w:spacing w:after="0"/>
              <w:rPr>
                <w:sz w:val="24"/>
                <w:szCs w:val="24"/>
                <w:color w:val="auto"/>
              </w:rPr>
            </w:pPr>
          </w:p>
        </w:tc>
        <w:tc>
          <w:tcPr>
            <w:tcW w:w="1480" w:type="dxa"/>
            <w:vAlign w:val="bottom"/>
            <w:shd w:val="clear" w:color="auto" w:fill="D8D8D8"/>
          </w:tcPr>
          <w:p>
            <w:pPr>
              <w:spacing w:after="0"/>
              <w:rPr>
                <w:sz w:val="24"/>
                <w:szCs w:val="24"/>
                <w:color w:val="auto"/>
              </w:rPr>
            </w:pPr>
          </w:p>
        </w:tc>
        <w:tc>
          <w:tcPr>
            <w:tcW w:w="540" w:type="dxa"/>
            <w:vAlign w:val="bottom"/>
            <w:shd w:val="clear" w:color="auto" w:fill="D8D8D8"/>
          </w:tcPr>
          <w:p>
            <w:pPr>
              <w:spacing w:after="0"/>
              <w:rPr>
                <w:sz w:val="24"/>
                <w:szCs w:val="24"/>
                <w:color w:val="auto"/>
              </w:rPr>
            </w:pPr>
          </w:p>
        </w:tc>
        <w:tc>
          <w:tcPr>
            <w:tcW w:w="1360" w:type="dxa"/>
            <w:vAlign w:val="bottom"/>
            <w:shd w:val="clear" w:color="auto" w:fill="D8D8D8"/>
          </w:tcPr>
          <w:p>
            <w:pPr>
              <w:spacing w:after="0"/>
              <w:rPr>
                <w:sz w:val="24"/>
                <w:szCs w:val="24"/>
                <w:color w:val="auto"/>
              </w:rPr>
            </w:pPr>
          </w:p>
        </w:tc>
        <w:tc>
          <w:tcPr>
            <w:tcW w:w="176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r>
      <w:tr>
        <w:trPr>
          <w:trHeight w:val="27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1,168,200</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(4)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2,336,401</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487,710</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(6)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487,710 (6)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1,259,688</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877,174</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(7)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877,174 (7) </w:t>
            </w:r>
          </w:p>
        </w:tc>
        <w:tc>
          <w:tcPr>
            <w:tcW w:w="166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877,174 (11)</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633,554</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(8)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633,554 (8)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633,554</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25,277</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(5)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0  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50,555</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25,000  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8"/>
        </w:trPr>
        <w:tc>
          <w:tcPr>
            <w:tcW w:w="2740" w:type="dxa"/>
            <w:vAlign w:val="bottom"/>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3,216,915  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1,998,438      </w:t>
            </w:r>
          </w:p>
        </w:tc>
        <w:tc>
          <w:tcPr>
            <w:tcW w:w="166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5,182,372      </w:t>
            </w:r>
          </w:p>
        </w:tc>
      </w:tr>
      <w:tr>
        <w:trPr>
          <w:trHeight w:val="277"/>
        </w:trPr>
        <w:tc>
          <w:tcPr>
            <w:tcW w:w="2740" w:type="dxa"/>
            <w:vAlign w:val="bottom"/>
          </w:tcPr>
          <w:p>
            <w:pPr>
              <w:spacing w:after="0"/>
              <w:rPr>
                <w:sz w:val="20"/>
                <w:szCs w:val="20"/>
                <w:color w:val="auto"/>
              </w:rPr>
            </w:pPr>
            <w:r>
              <w:rPr>
                <w:rFonts w:ascii="Arial" w:cs="Arial" w:eastAsia="Arial" w:hAnsi="Arial"/>
                <w:sz w:val="16"/>
                <w:szCs w:val="16"/>
                <w:b w:val="1"/>
                <w:bCs w:val="1"/>
                <w:color w:val="auto"/>
              </w:rPr>
              <w:t>Girish Juneja</w:t>
            </w:r>
          </w:p>
        </w:tc>
        <w:tc>
          <w:tcPr>
            <w:tcW w:w="1380" w:type="dxa"/>
            <w:vAlign w:val="bottom"/>
            <w:tcBorders>
              <w:bottom w:val="single" w:sz="8" w:color="999999"/>
            </w:tcBorders>
          </w:tcPr>
          <w:p>
            <w:pPr>
              <w:spacing w:after="0"/>
              <w:rPr>
                <w:sz w:val="24"/>
                <w:szCs w:val="24"/>
                <w:color w:val="auto"/>
              </w:rPr>
            </w:pPr>
          </w:p>
        </w:tc>
        <w:tc>
          <w:tcPr>
            <w:tcW w:w="1480" w:type="dxa"/>
            <w:vAlign w:val="bottom"/>
            <w:tcBorders>
              <w:bottom w:val="single" w:sz="8" w:color="999999"/>
            </w:tcBorders>
          </w:tcPr>
          <w:p>
            <w:pPr>
              <w:spacing w:after="0"/>
              <w:rPr>
                <w:sz w:val="24"/>
                <w:szCs w:val="24"/>
                <w:color w:val="auto"/>
              </w:rPr>
            </w:pPr>
          </w:p>
        </w:tc>
        <w:tc>
          <w:tcPr>
            <w:tcW w:w="540" w:type="dxa"/>
            <w:vAlign w:val="bottom"/>
            <w:tcBorders>
              <w:bottom w:val="single" w:sz="8" w:color="999999"/>
            </w:tcBorders>
          </w:tcPr>
          <w:p>
            <w:pPr>
              <w:spacing w:after="0"/>
              <w:rPr>
                <w:sz w:val="24"/>
                <w:szCs w:val="24"/>
                <w:color w:val="auto"/>
              </w:rPr>
            </w:pPr>
          </w:p>
        </w:tc>
        <w:tc>
          <w:tcPr>
            <w:tcW w:w="1360" w:type="dxa"/>
            <w:vAlign w:val="bottom"/>
            <w:tcBorders>
              <w:bottom w:val="single" w:sz="8" w:color="999999"/>
            </w:tcBorders>
          </w:tcPr>
          <w:p>
            <w:pPr>
              <w:spacing w:after="0"/>
              <w:rPr>
                <w:sz w:val="24"/>
                <w:szCs w:val="24"/>
                <w:color w:val="auto"/>
              </w:rPr>
            </w:pPr>
          </w:p>
        </w:tc>
        <w:tc>
          <w:tcPr>
            <w:tcW w:w="1760" w:type="dxa"/>
            <w:vAlign w:val="bottom"/>
            <w:tcBorders>
              <w:bottom w:val="single" w:sz="8" w:color="999999"/>
            </w:tcBorders>
          </w:tcPr>
          <w:p>
            <w:pPr>
              <w:spacing w:after="0"/>
              <w:rPr>
                <w:sz w:val="24"/>
                <w:szCs w:val="24"/>
                <w:color w:val="auto"/>
              </w:rPr>
            </w:pPr>
          </w:p>
        </w:tc>
        <w:tc>
          <w:tcPr>
            <w:tcW w:w="1320" w:type="dxa"/>
            <w:vAlign w:val="bottom"/>
            <w:tcBorders>
              <w:bottom w:val="single" w:sz="8" w:color="999999"/>
            </w:tcBorders>
          </w:tcPr>
          <w:p>
            <w:pPr>
              <w:spacing w:after="0"/>
              <w:rPr>
                <w:sz w:val="24"/>
                <w:szCs w:val="24"/>
                <w:color w:val="auto"/>
              </w:rPr>
            </w:pPr>
          </w:p>
        </w:tc>
        <w:tc>
          <w:tcPr>
            <w:tcW w:w="340" w:type="dxa"/>
            <w:vAlign w:val="bottom"/>
            <w:tcBorders>
              <w:bottom w:val="single" w:sz="8" w:color="999999"/>
            </w:tcBorders>
          </w:tcPr>
          <w:p>
            <w:pPr>
              <w:spacing w:after="0"/>
              <w:rPr>
                <w:sz w:val="24"/>
                <w:szCs w:val="24"/>
                <w:color w:val="auto"/>
              </w:rPr>
            </w:pPr>
          </w:p>
        </w:tc>
      </w:tr>
      <w:tr>
        <w:trPr>
          <w:trHeight w:val="258"/>
        </w:trPr>
        <w:tc>
          <w:tcPr>
            <w:tcW w:w="2740" w:type="dxa"/>
            <w:vAlign w:val="bottom"/>
          </w:tcPr>
          <w:p>
            <w:pPr>
              <w:spacing w:after="0"/>
              <w:rPr>
                <w:sz w:val="20"/>
                <w:szCs w:val="20"/>
                <w:color w:val="auto"/>
              </w:rPr>
            </w:pPr>
            <w:r>
              <w:rPr>
                <w:rFonts w:ascii="Arial" w:cs="Arial" w:eastAsia="Arial" w:hAnsi="Arial"/>
                <w:sz w:val="16"/>
                <w:szCs w:val="16"/>
                <w:color w:val="auto"/>
              </w:rPr>
              <w:t>Cash severance</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1,013,565</w:t>
            </w:r>
          </w:p>
        </w:tc>
        <w:tc>
          <w:tcPr>
            <w:tcW w:w="540" w:type="dxa"/>
            <w:vAlign w:val="bottom"/>
            <w:tcBorders>
              <w:bottom w:val="single" w:sz="8" w:color="999999"/>
            </w:tcBorders>
          </w:tcPr>
          <w:p>
            <w:pPr>
              <w:jc w:val="right"/>
              <w:ind w:right="200"/>
              <w:spacing w:after="0"/>
              <w:rPr>
                <w:sz w:val="20"/>
                <w:szCs w:val="20"/>
                <w:color w:val="auto"/>
              </w:rPr>
            </w:pPr>
            <w:r>
              <w:rPr>
                <w:rFonts w:ascii="Arial" w:cs="Arial" w:eastAsia="Arial" w:hAnsi="Arial"/>
                <w:sz w:val="16"/>
                <w:szCs w:val="16"/>
                <w:color w:val="auto"/>
              </w:rPr>
              <w:t xml:space="preserve">(4)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2,027,130</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693,883</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(10)</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657,876 (11)</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349,870</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(12)</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21,024</w:t>
            </w:r>
          </w:p>
        </w:tc>
        <w:tc>
          <w:tcPr>
            <w:tcW w:w="540" w:type="dxa"/>
            <w:vAlign w:val="bottom"/>
            <w:tcBorders>
              <w:bottom w:val="single" w:sz="8" w:color="999999"/>
            </w:tcBorders>
          </w:tcPr>
          <w:p>
            <w:pPr>
              <w:jc w:val="right"/>
              <w:ind w:right="200"/>
              <w:spacing w:after="0"/>
              <w:rPr>
                <w:sz w:val="20"/>
                <w:szCs w:val="20"/>
                <w:color w:val="auto"/>
              </w:rPr>
            </w:pPr>
            <w:r>
              <w:rPr>
                <w:rFonts w:ascii="Arial" w:cs="Arial" w:eastAsia="Arial" w:hAnsi="Arial"/>
                <w:sz w:val="16"/>
                <w:szCs w:val="16"/>
                <w:color w:val="auto"/>
              </w:rPr>
              <w:t xml:space="preserve">(5)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42,048</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Outplacement</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20" w:type="dxa"/>
            <w:vAlign w:val="bottom"/>
            <w:tcBorders>
              <w:bottom w:val="single" w:sz="8" w:color="999999"/>
            </w:tcBorders>
            <w:gridSpan w:val="2"/>
          </w:tcPr>
          <w:p>
            <w:pPr>
              <w:jc w:val="right"/>
              <w:ind w:right="200"/>
              <w:spacing w:after="0"/>
              <w:rPr>
                <w:sz w:val="20"/>
                <w:szCs w:val="20"/>
                <w:color w:val="auto"/>
              </w:rPr>
            </w:pPr>
            <w:r>
              <w:rPr>
                <w:rFonts w:ascii="Arial" w:cs="Arial" w:eastAsia="Arial" w:hAnsi="Arial"/>
                <w:sz w:val="16"/>
                <w:szCs w:val="16"/>
                <w:color w:val="auto"/>
              </w:rPr>
              <w:t xml:space="preserve">25,000      </w:t>
            </w:r>
          </w:p>
        </w:tc>
        <w:tc>
          <w:tcPr>
            <w:tcW w:w="136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999999"/>
            </w:tcBorders>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64"/>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1,059,589      </w:t>
            </w: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3,795,807      </w:t>
            </w:r>
          </w:p>
        </w:tc>
      </w:tr>
      <w:tr>
        <w:trPr>
          <w:trHeight w:val="277"/>
        </w:trPr>
        <w:tc>
          <w:tcPr>
            <w:tcW w:w="27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Jeffrey C. Yehle</w:t>
            </w:r>
          </w:p>
        </w:tc>
        <w:tc>
          <w:tcPr>
            <w:tcW w:w="1380" w:type="dxa"/>
            <w:vAlign w:val="bottom"/>
            <w:shd w:val="clear" w:color="auto" w:fill="D8D8D8"/>
          </w:tcPr>
          <w:p>
            <w:pPr>
              <w:spacing w:after="0"/>
              <w:rPr>
                <w:sz w:val="24"/>
                <w:szCs w:val="24"/>
                <w:color w:val="auto"/>
              </w:rPr>
            </w:pPr>
          </w:p>
        </w:tc>
        <w:tc>
          <w:tcPr>
            <w:tcW w:w="1480" w:type="dxa"/>
            <w:vAlign w:val="bottom"/>
            <w:shd w:val="clear" w:color="auto" w:fill="D8D8D8"/>
          </w:tcPr>
          <w:p>
            <w:pPr>
              <w:spacing w:after="0"/>
              <w:rPr>
                <w:sz w:val="24"/>
                <w:szCs w:val="24"/>
                <w:color w:val="auto"/>
              </w:rPr>
            </w:pPr>
          </w:p>
        </w:tc>
        <w:tc>
          <w:tcPr>
            <w:tcW w:w="540" w:type="dxa"/>
            <w:vAlign w:val="bottom"/>
            <w:shd w:val="clear" w:color="auto" w:fill="D8D8D8"/>
          </w:tcPr>
          <w:p>
            <w:pPr>
              <w:spacing w:after="0"/>
              <w:rPr>
                <w:sz w:val="24"/>
                <w:szCs w:val="24"/>
                <w:color w:val="auto"/>
              </w:rPr>
            </w:pPr>
          </w:p>
        </w:tc>
        <w:tc>
          <w:tcPr>
            <w:tcW w:w="1360" w:type="dxa"/>
            <w:vAlign w:val="bottom"/>
            <w:shd w:val="clear" w:color="auto" w:fill="D8D8D8"/>
          </w:tcPr>
          <w:p>
            <w:pPr>
              <w:spacing w:after="0"/>
              <w:rPr>
                <w:sz w:val="24"/>
                <w:szCs w:val="24"/>
                <w:color w:val="auto"/>
              </w:rPr>
            </w:pPr>
          </w:p>
        </w:tc>
        <w:tc>
          <w:tcPr>
            <w:tcW w:w="176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r>
      <w:tr>
        <w:trPr>
          <w:trHeight w:val="27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936,250</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(4)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1,872,500</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392,823</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51,890 (11)</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354,361</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25,277</w:t>
            </w:r>
          </w:p>
        </w:tc>
        <w:tc>
          <w:tcPr>
            <w:tcW w:w="54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(5)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50,555</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20" w:type="dxa"/>
            <w:vAlign w:val="bottom"/>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25,000      </w:t>
            </w:r>
          </w:p>
        </w:tc>
        <w:tc>
          <w:tcPr>
            <w:tcW w:w="136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4"/>
        </w:trPr>
        <w:tc>
          <w:tcPr>
            <w:tcW w:w="274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021496"/>
            </w:tcBorders>
            <w:gridSpan w:val="2"/>
            <w:shd w:val="clear" w:color="auto" w:fill="D8D8D8"/>
          </w:tcPr>
          <w:p>
            <w:pPr>
              <w:jc w:val="right"/>
              <w:ind w:right="200"/>
              <w:spacing w:after="0"/>
              <w:rPr>
                <w:sz w:val="20"/>
                <w:szCs w:val="20"/>
                <w:color w:val="auto"/>
              </w:rPr>
            </w:pPr>
            <w:r>
              <w:rPr>
                <w:rFonts w:ascii="Arial" w:cs="Arial" w:eastAsia="Arial" w:hAnsi="Arial"/>
                <w:sz w:val="16"/>
                <w:szCs w:val="16"/>
                <w:color w:val="auto"/>
              </w:rPr>
              <w:t xml:space="preserve">986,527      </w:t>
            </w:r>
          </w:p>
        </w:tc>
        <w:tc>
          <w:tcPr>
            <w:tcW w:w="1360" w:type="dxa"/>
            <w:vAlign w:val="bottom"/>
            <w:tcBorders>
              <w:bottom w:val="single" w:sz="8" w:color="021496"/>
            </w:tcBorders>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021496"/>
            </w:tcBorders>
            <w:shd w:val="clear" w:color="auto" w:fill="D8D8D8"/>
          </w:tcPr>
          <w:p>
            <w:pPr>
              <w:jc w:val="right"/>
              <w:ind w:right="301"/>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021496"/>
            </w:tcBorders>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2,747,128  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-186055</wp:posOffset>
            </wp:positionV>
            <wp:extent cx="51974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-364490</wp:posOffset>
            </wp:positionV>
            <wp:extent cx="51974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-542925</wp:posOffset>
            </wp:positionV>
            <wp:extent cx="51974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-721360</wp:posOffset>
            </wp:positionV>
            <wp:extent cx="51974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-899795</wp:posOffset>
            </wp:positionV>
            <wp:extent cx="51974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-1077595</wp:posOffset>
            </wp:positionV>
            <wp:extent cx="51974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-1256030</wp:posOffset>
            </wp:positionV>
            <wp:extent cx="51974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-3039745</wp:posOffset>
            </wp:positionV>
            <wp:extent cx="51974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-3218180</wp:posOffset>
            </wp:positionV>
            <wp:extent cx="51974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-3396615</wp:posOffset>
            </wp:positionV>
            <wp:extent cx="51974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-3574415</wp:posOffset>
            </wp:positionV>
            <wp:extent cx="51974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-3752850</wp:posOffset>
            </wp:positionV>
            <wp:extent cx="51974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-3931285</wp:posOffset>
            </wp:positionV>
            <wp:extent cx="51974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9747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-4109720</wp:posOffset>
            </wp:positionV>
            <wp:extent cx="51974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97475" cy="8255"/>
                    </a:xfrm>
                    <a:prstGeom prst="rect">
                      <a:avLst/>
                    </a:prstGeom>
                    <a:noFill/>
                  </pic:spPr>
                </pic:pic>
              </a:graphicData>
            </a:graphic>
          </wp:anchor>
        </w:drawing>
      </w:r>
    </w:p>
    <w:p>
      <w:pPr>
        <w:spacing w:after="0" w:line="88" w:lineRule="exact"/>
        <w:rPr>
          <w:sz w:val="20"/>
          <w:szCs w:val="20"/>
          <w:color w:val="auto"/>
        </w:rPr>
      </w:pPr>
    </w:p>
    <w:p>
      <w:pPr>
        <w:ind w:left="540" w:right="160" w:hanging="426"/>
        <w:spacing w:after="0" w:line="277" w:lineRule="auto"/>
        <w:tabs>
          <w:tab w:leader="none" w:pos="54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Mr. Tobin is eligible for normal retirement under the 2021 LITP for awards granted in 2023-2025. Accordingly, we have assumed Mr. Tobin would take normal retirement, rather than voluntary termination. Ms. Cabrera is eligible for early</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p>
      <w:pPr>
        <w:sectPr>
          <w:pgSz w:w="11900" w:h="16838" w:orient="portrait"/>
          <w:cols w:equalWidth="0" w:num="1">
            <w:col w:w="10920"/>
          </w:cols>
          <w:pgMar w:left="480" w:top="299" w:right="49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52" w:lineRule="exact"/>
        <w:rPr>
          <w:sz w:val="20"/>
          <w:szCs w:val="20"/>
          <w:color w:val="auto"/>
        </w:rPr>
      </w:pPr>
    </w:p>
    <w:p>
      <w:pPr>
        <w:ind w:left="540" w:right="20"/>
        <w:spacing w:after="0" w:line="250" w:lineRule="auto"/>
        <w:rPr>
          <w:sz w:val="20"/>
          <w:szCs w:val="20"/>
          <w:color w:val="auto"/>
        </w:rPr>
      </w:pPr>
      <w:r>
        <w:rPr>
          <w:rFonts w:ascii="Arial" w:cs="Arial" w:eastAsia="Arial" w:hAnsi="Arial"/>
          <w:sz w:val="16"/>
          <w:szCs w:val="16"/>
          <w:i w:val="1"/>
          <w:iCs w:val="1"/>
          <w:color w:val="auto"/>
        </w:rPr>
        <w:t>retirement for grants under the 2012 and 2021 LTIP. Accordingly, we have assumed that Ms. Cabrera would take early retirement, rather than voluntary termination. Accordingly, their rows under “Voluntary Termination” have been marked “N/A”. Cash severance and outplacement services are not available in the event of voluntary termination; those rows have been marked “N/A” under the “Voluntary Termination” column for all NEOs.</w:t>
      </w:r>
    </w:p>
    <w:p>
      <w:pPr>
        <w:spacing w:after="0" w:line="1" w:lineRule="exact"/>
        <w:rPr>
          <w:sz w:val="20"/>
          <w:szCs w:val="20"/>
          <w:color w:val="auto"/>
        </w:rPr>
      </w:pPr>
    </w:p>
    <w:p>
      <w:pPr>
        <w:ind w:left="540" w:right="14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Dover anticipates allowing anyone eligible for normal retirement or early retirement under the 2012 and 2021 LTIP to take normal or early retirement in the event of involuntary termination. This column reflects the applicable early retirement treatment of Ms. Cabrera’s performance shares, RSUs, and SSARs that would vest within 24 months for grants awarded through 2020 and early retirement treatment of her performance shares, RSUs and SSARs that would vest within 36 months for grants awarded 2021 onwards. This column reflects the normal retirement treatment for Mr Tobin’s performance shares, RSUs and SSARs that would vest within 60 months.</w:t>
      </w:r>
    </w:p>
    <w:p>
      <w:pPr>
        <w:ind w:left="540" w:right="12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A NEO whose employment is terminated by us for cause will forfeit all outstanding cash and equity awards, whether or not vested or exercisable. The executive will also forfeit benefits under the PRP in accordance with the PRP terms.</w:t>
      </w:r>
    </w:p>
    <w:p>
      <w:pPr>
        <w:ind w:left="540" w:right="2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For Mr. Tobin, the amount is equal to 1.5 times the sum of his annual salary plus target bonus per his employment agreement; for the other NEOs, the amounts represent 12-month salary continuation and an annual incentive bonus at target.</w:t>
      </w:r>
    </w:p>
    <w:p>
      <w:pPr>
        <w:ind w:left="540" w:right="12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COBRA health continuation coverage costs under the severance plan or CIC Severance Plan as applicable. Under the Severance Plan, an executive is entitled to a lump sum payment equal to the then cost of COBRA health continuation coverage for 12 months. Mr. Tobin would receive 18 months COBRA per his employment agreement; under the CIC Severance Plan, the COBRA lump sum payments for Mr. Tobin and all the NEOs would receive 24 months.</w:t>
      </w:r>
    </w:p>
    <w:p>
      <w:pPr>
        <w:ind w:left="540" w:right="6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at target of performance share awards granted under the 2021 LTIP for the 2024-2026 performance period, using $195.24 per share, market closing price on December 31, 2025. This calculation assumes that the Compensation Committee approves payout for the performance period for Mr. Tobin and Ms. Cabrera.</w:t>
      </w:r>
    </w:p>
    <w:p>
      <w:pPr>
        <w:ind w:left="54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for Mr. Tobin the value of unvested SSARs that would vest within 60 months for SSARs granted in 2023, 2024 and 2025; for Ms. Cabrera, the value of unvested SSARs that would vest within 36 months for SSARs granted in 2023, 2024 and 2025.</w:t>
      </w:r>
    </w:p>
    <w:p>
      <w:pPr>
        <w:ind w:left="540" w:right="8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For Mr. Tobin the amount reflects the value of unvested RSUs as of December 31, 2025 that will vest within 60 months for RSUs granted in 2023, 2024 and 2025. For Ms. Cabrera the amount reflects the value of unvested RSUs as of December 31, 2025 that will vest within the following 36 months for RSUs granted in 2023, 2024 and 2025.</w:t>
      </w:r>
    </w:p>
    <w:p>
      <w:pPr>
        <w:ind w:left="540" w:right="46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 payment equal to 2 times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ind w:left="540" w:right="40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at target of performance share awards granted under the 2021 LTIP for the 2024-2026 performance period and under the 2021 LTIP for the 2025-2027 performance period, using $195.24 per share, market closing price on December 31, 2025.</w:t>
      </w:r>
    </w:p>
    <w:p>
      <w:pPr>
        <w:jc w:val="both"/>
        <w:ind w:left="540" w:hanging="426"/>
        <w:spacing w:after="0" w:line="244" w:lineRule="auto"/>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acceleration of vesting of unvested SSAR awards granted under the 2021 LTIP, calculated as the difference between the closing price of $195.24 per share of our common stock on December 31, 2025, and the exercise price of each unvested SSAR award multiplied by the number of shares covered by such award.</w:t>
      </w:r>
    </w:p>
    <w:p>
      <w:pPr>
        <w:ind w:left="540" w:hanging="426"/>
        <w:spacing w:after="0"/>
        <w:tabs>
          <w:tab w:leader="none" w:pos="54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acceleration of vesting of unvested RSUs granted under the 2021 LTIP.</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74</w:t>
      </w:r>
    </w:p>
    <w:p>
      <w:pPr>
        <w:sectPr>
          <w:pgSz w:w="11900" w:h="16838" w:orient="portrait"/>
          <w:cols w:equalWidth="0" w:num="1">
            <w:col w:w="10920"/>
          </w:cols>
          <w:pgMar w:left="480" w:top="299" w:right="49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Dover’s Equity Grant Practices for Senior Executives</w:t>
      </w:r>
    </w:p>
    <w:p>
      <w:pPr>
        <w:spacing w:after="0" w:line="8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Annual grants of equity awards, including SSARs, to our NEOs and other Section 16 officers are approved during the regularly scheduled meeting of our Compensation Committee in February after the release of our fiscal year-end earnings and upcoming fiscal year end guidance. We typically release such information in late January and our trading window period opens two business days after the release. We typically do not grant equity awards to executives during other times of the year except in the case of a new hire or promotion to executive officer. Neither our Board nor our Compensation Committee takes material non-public information into account when determining the timing of equity awards, nor do we time the disclosure of material non-public information for the purpose of impacting the value of executive compensation.</w:t>
      </w:r>
    </w:p>
    <w:p>
      <w:pPr>
        <w:spacing w:after="0" w:line="15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2025 SSAR grants made within four business days prior to the date on which we filed our 2025 Annual Report on Form 10-K with the SEC. The exercise price is the closing price of our common stock on the NYSE on the date of grant. All grants were made pursuant to the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99" w:right="499" w:bottom="1440" w:gutter="0" w:footer="0" w:header="0"/>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Number of</w:t>
            </w: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Exercise</w:t>
            </w:r>
          </w:p>
        </w:tc>
        <w:tc>
          <w:tcPr>
            <w:tcW w:w="980" w:type="dxa"/>
            <w:vAlign w:val="bottom"/>
          </w:tcPr>
          <w:p>
            <w:pPr>
              <w:ind w:left="3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price of</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67"/>
        </w:trPr>
        <w:tc>
          <w:tcPr>
            <w:tcW w:w="1280" w:type="dxa"/>
            <w:vAlign w:val="bottom"/>
          </w:tcPr>
          <w:p>
            <w:pPr>
              <w:spacing w:after="0"/>
              <w:rPr>
                <w:sz w:val="5"/>
                <w:szCs w:val="5"/>
                <w:color w:val="auto"/>
              </w:rPr>
            </w:pPr>
          </w:p>
        </w:tc>
        <w:tc>
          <w:tcPr>
            <w:tcW w:w="17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Grant</w:t>
            </w:r>
          </w:p>
        </w:tc>
        <w:tc>
          <w:tcPr>
            <w:tcW w:w="15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securities</w:t>
            </w:r>
          </w:p>
        </w:tc>
        <w:tc>
          <w:tcPr>
            <w:tcW w:w="12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  Name</w:t>
            </w:r>
          </w:p>
        </w:tc>
        <w:tc>
          <w:tcPr>
            <w:tcW w:w="17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the</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67"/>
        </w:trPr>
        <w:tc>
          <w:tcPr>
            <w:tcW w:w="1280" w:type="dxa"/>
            <w:vAlign w:val="bottom"/>
            <w:vMerge w:val="continue"/>
          </w:tcPr>
          <w:p>
            <w:pPr>
              <w:spacing w:after="0"/>
              <w:rPr>
                <w:sz w:val="5"/>
                <w:szCs w:val="5"/>
                <w:color w:val="auto"/>
              </w:rPr>
            </w:pPr>
          </w:p>
        </w:tc>
        <w:tc>
          <w:tcPr>
            <w:tcW w:w="17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date</w:t>
            </w:r>
          </w:p>
        </w:tc>
        <w:tc>
          <w:tcPr>
            <w:tcW w:w="15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underlying</w:t>
            </w:r>
          </w:p>
        </w:tc>
        <w:tc>
          <w:tcPr>
            <w:tcW w:w="12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award</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the award</w:t>
            </w:r>
          </w:p>
        </w:tc>
        <w:tc>
          <w:tcPr>
            <w:tcW w:w="0" w:type="dxa"/>
            <w:vAlign w:val="bottom"/>
          </w:tcPr>
          <w:p>
            <w:pPr>
              <w:spacing w:after="0"/>
              <w:rPr>
                <w:sz w:val="1"/>
                <w:szCs w:val="1"/>
                <w:color w:val="auto"/>
              </w:rPr>
            </w:pPr>
          </w:p>
        </w:tc>
      </w:tr>
      <w:tr>
        <w:trPr>
          <w:trHeight w:val="67"/>
        </w:trPr>
        <w:tc>
          <w:tcPr>
            <w:tcW w:w="1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5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the award</w:t>
            </w:r>
          </w:p>
        </w:tc>
        <w:tc>
          <w:tcPr>
            <w:tcW w:w="12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w:t>
            </w:r>
          </w:p>
        </w:tc>
        <w:tc>
          <w:tcPr>
            <w:tcW w:w="0" w:type="dxa"/>
            <w:vAlign w:val="bottom"/>
          </w:tcPr>
          <w:p>
            <w:pPr>
              <w:spacing w:after="0"/>
              <w:rPr>
                <w:sz w:val="1"/>
                <w:szCs w:val="1"/>
                <w:color w:val="auto"/>
              </w:rPr>
            </w:pPr>
          </w:p>
        </w:tc>
      </w:tr>
      <w:tr>
        <w:trPr>
          <w:trHeight w:val="80"/>
        </w:trPr>
        <w:tc>
          <w:tcPr>
            <w:tcW w:w="12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spacing w:after="0" w:line="4" w:lineRule="exact"/>
        <w:rPr>
          <w:sz w:val="20"/>
          <w:szCs w:val="20"/>
          <w:color w:val="auto"/>
        </w:rPr>
      </w:pPr>
    </w:p>
    <w:p>
      <w:pPr>
        <w:sectPr>
          <w:pgSz w:w="11900" w:h="16838" w:orient="portrait"/>
          <w:cols w:equalWidth="0" w:num="2">
            <w:col w:w="6880" w:space="720"/>
            <w:col w:w="3320"/>
          </w:cols>
          <w:pgMar w:left="480" w:top="299" w:right="49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1800" w:type="dxa"/>
            <w:vAlign w:val="bottom"/>
            <w:tcBorders>
              <w:top w:val="single" w:sz="8" w:color="021496"/>
            </w:tcBorders>
            <w:shd w:val="clear" w:color="auto" w:fill="D8D8D8"/>
          </w:tcPr>
          <w:p>
            <w:pPr>
              <w:ind w:left="100"/>
              <w:spacing w:after="0"/>
              <w:rPr>
                <w:sz w:val="20"/>
                <w:szCs w:val="20"/>
                <w:color w:val="auto"/>
              </w:rPr>
            </w:pPr>
            <w:r>
              <w:rPr>
                <w:rFonts w:ascii="Arial" w:cs="Arial" w:eastAsia="Arial" w:hAnsi="Arial"/>
                <w:sz w:val="16"/>
                <w:szCs w:val="16"/>
                <w:color w:val="auto"/>
              </w:rPr>
              <w:t>Richard J. Tobin</w:t>
            </w:r>
          </w:p>
        </w:tc>
        <w:tc>
          <w:tcPr>
            <w:tcW w:w="1500" w:type="dxa"/>
            <w:vAlign w:val="bottom"/>
            <w:tcBorders>
              <w:top w:val="single" w:sz="8" w:color="021496"/>
            </w:tcBorders>
            <w:shd w:val="clear" w:color="auto" w:fill="D8D8D8"/>
          </w:tcPr>
          <w:p>
            <w:pPr>
              <w:jc w:val="right"/>
              <w:ind w:right="360"/>
              <w:spacing w:after="0"/>
              <w:rPr>
                <w:sz w:val="20"/>
                <w:szCs w:val="20"/>
                <w:color w:val="auto"/>
              </w:rPr>
            </w:pPr>
            <w:r>
              <w:rPr>
                <w:rFonts w:ascii="Arial" w:cs="Arial" w:eastAsia="Arial" w:hAnsi="Arial"/>
                <w:sz w:val="16"/>
                <w:szCs w:val="16"/>
                <w:color w:val="auto"/>
              </w:rPr>
              <w:t>2/14/2025</w:t>
            </w:r>
          </w:p>
        </w:tc>
        <w:tc>
          <w:tcPr>
            <w:tcW w:w="1280" w:type="dxa"/>
            <w:vAlign w:val="bottom"/>
            <w:tcBorders>
              <w:top w:val="single" w:sz="8" w:color="021496"/>
            </w:tcBorders>
            <w:shd w:val="clear" w:color="auto" w:fill="D8D8D8"/>
          </w:tcPr>
          <w:p>
            <w:pPr>
              <w:jc w:val="right"/>
              <w:ind w:right="280"/>
              <w:spacing w:after="0"/>
              <w:rPr>
                <w:sz w:val="20"/>
                <w:szCs w:val="20"/>
                <w:color w:val="auto"/>
              </w:rPr>
            </w:pPr>
            <w:r>
              <w:rPr>
                <w:rFonts w:ascii="Arial" w:cs="Arial" w:eastAsia="Arial" w:hAnsi="Arial"/>
                <w:sz w:val="16"/>
                <w:szCs w:val="16"/>
                <w:color w:val="auto"/>
              </w:rPr>
              <w:t>98,848</w:t>
            </w:r>
          </w:p>
        </w:tc>
        <w:tc>
          <w:tcPr>
            <w:tcW w:w="1300" w:type="dxa"/>
            <w:vAlign w:val="bottom"/>
            <w:tcBorders>
              <w:top w:val="single" w:sz="8" w:color="021496"/>
            </w:tcBorders>
            <w:shd w:val="clear" w:color="auto" w:fill="D8D8D8"/>
          </w:tcPr>
          <w:p>
            <w:pPr>
              <w:jc w:val="right"/>
              <w:ind w:right="360"/>
              <w:spacing w:after="0"/>
              <w:rPr>
                <w:sz w:val="20"/>
                <w:szCs w:val="20"/>
                <w:color w:val="auto"/>
              </w:rPr>
            </w:pPr>
            <w:r>
              <w:rPr>
                <w:rFonts w:ascii="Arial" w:cs="Arial" w:eastAsia="Arial" w:hAnsi="Arial"/>
                <w:sz w:val="16"/>
                <w:szCs w:val="16"/>
                <w:color w:val="auto"/>
              </w:rPr>
              <w:t>202.33</w:t>
            </w:r>
          </w:p>
        </w:tc>
        <w:tc>
          <w:tcPr>
            <w:tcW w:w="2000" w:type="dxa"/>
            <w:vAlign w:val="bottom"/>
            <w:tcBorders>
              <w:top w:val="single" w:sz="8" w:color="021496"/>
            </w:tcBorders>
            <w:shd w:val="clear" w:color="auto" w:fill="D8D8D8"/>
          </w:tcPr>
          <w:p>
            <w:pPr>
              <w:jc w:val="right"/>
              <w:ind w:right="1060"/>
              <w:spacing w:after="0"/>
              <w:rPr>
                <w:sz w:val="20"/>
                <w:szCs w:val="20"/>
                <w:color w:val="auto"/>
              </w:rPr>
            </w:pPr>
            <w:r>
              <w:rPr>
                <w:rFonts w:ascii="Arial" w:cs="Arial" w:eastAsia="Arial" w:hAnsi="Arial"/>
                <w:sz w:val="16"/>
                <w:szCs w:val="16"/>
                <w:color w:val="auto"/>
              </w:rPr>
              <w:t>66.39</w:t>
            </w:r>
          </w:p>
        </w:tc>
        <w:tc>
          <w:tcPr>
            <w:tcW w:w="3040" w:type="dxa"/>
            <w:vAlign w:val="bottom"/>
            <w:tcBorders>
              <w:top w:val="single" w:sz="8" w:color="021496"/>
            </w:tcBorders>
            <w:shd w:val="clear" w:color="auto" w:fill="D8D8D8"/>
          </w:tcPr>
          <w:p>
            <w:pPr>
              <w:jc w:val="right"/>
              <w:ind w:right="1360"/>
              <w:spacing w:after="0"/>
              <w:rPr>
                <w:sz w:val="20"/>
                <w:szCs w:val="20"/>
                <w:color w:val="auto"/>
              </w:rPr>
            </w:pPr>
            <w:r>
              <w:rPr>
                <w:rFonts w:ascii="Arial" w:cs="Arial" w:eastAsia="Arial" w:hAnsi="Arial"/>
                <w:sz w:val="16"/>
                <w:szCs w:val="16"/>
                <w:color w:val="auto"/>
              </w:rPr>
              <w:t>0.49%</w:t>
            </w:r>
          </w:p>
        </w:tc>
      </w:tr>
      <w:tr>
        <w:trPr>
          <w:trHeight w:val="187"/>
        </w:trPr>
        <w:tc>
          <w:tcPr>
            <w:tcW w:w="1800" w:type="dxa"/>
            <w:vAlign w:val="bottom"/>
          </w:tcPr>
          <w:p>
            <w:pPr>
              <w:ind w:left="100"/>
              <w:spacing w:after="0"/>
              <w:rPr>
                <w:sz w:val="20"/>
                <w:szCs w:val="20"/>
                <w:color w:val="auto"/>
              </w:rPr>
            </w:pPr>
            <w:r>
              <w:rPr>
                <w:rFonts w:ascii="Arial" w:cs="Arial" w:eastAsia="Arial" w:hAnsi="Arial"/>
                <w:sz w:val="16"/>
                <w:szCs w:val="16"/>
                <w:color w:val="auto"/>
              </w:rPr>
              <w:t>Chris B. Woenker</w:t>
            </w:r>
          </w:p>
        </w:tc>
        <w:tc>
          <w:tcPr>
            <w:tcW w:w="1500" w:type="dxa"/>
            <w:vAlign w:val="bottom"/>
          </w:tcPr>
          <w:p>
            <w:pPr>
              <w:jc w:val="right"/>
              <w:ind w:right="360"/>
              <w:spacing w:after="0"/>
              <w:rPr>
                <w:sz w:val="20"/>
                <w:szCs w:val="20"/>
                <w:color w:val="auto"/>
              </w:rPr>
            </w:pPr>
            <w:r>
              <w:rPr>
                <w:rFonts w:ascii="Arial" w:cs="Arial" w:eastAsia="Arial" w:hAnsi="Arial"/>
                <w:sz w:val="16"/>
                <w:szCs w:val="16"/>
                <w:color w:val="auto"/>
              </w:rPr>
              <w:t>2/14/2025</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8,787</w:t>
            </w:r>
          </w:p>
        </w:tc>
        <w:tc>
          <w:tcPr>
            <w:tcW w:w="1300" w:type="dxa"/>
            <w:vAlign w:val="bottom"/>
          </w:tcPr>
          <w:p>
            <w:pPr>
              <w:jc w:val="right"/>
              <w:ind w:right="360"/>
              <w:spacing w:after="0"/>
              <w:rPr>
                <w:sz w:val="20"/>
                <w:szCs w:val="20"/>
                <w:color w:val="auto"/>
              </w:rPr>
            </w:pPr>
            <w:r>
              <w:rPr>
                <w:rFonts w:ascii="Arial" w:cs="Arial" w:eastAsia="Arial" w:hAnsi="Arial"/>
                <w:sz w:val="16"/>
                <w:szCs w:val="16"/>
                <w:color w:val="auto"/>
              </w:rPr>
              <w:t>202.33</w:t>
            </w:r>
          </w:p>
        </w:tc>
        <w:tc>
          <w:tcPr>
            <w:tcW w:w="2000" w:type="dxa"/>
            <w:vAlign w:val="bottom"/>
          </w:tcPr>
          <w:p>
            <w:pPr>
              <w:jc w:val="right"/>
              <w:ind w:right="1060"/>
              <w:spacing w:after="0"/>
              <w:rPr>
                <w:sz w:val="20"/>
                <w:szCs w:val="20"/>
                <w:color w:val="auto"/>
              </w:rPr>
            </w:pPr>
            <w:r>
              <w:rPr>
                <w:rFonts w:ascii="Arial" w:cs="Arial" w:eastAsia="Arial" w:hAnsi="Arial"/>
                <w:sz w:val="16"/>
                <w:szCs w:val="16"/>
                <w:color w:val="auto"/>
              </w:rPr>
              <w:t>66.39</w:t>
            </w:r>
          </w:p>
        </w:tc>
        <w:tc>
          <w:tcPr>
            <w:tcW w:w="3040" w:type="dxa"/>
            <w:vAlign w:val="bottom"/>
          </w:tcPr>
          <w:p>
            <w:pPr>
              <w:jc w:val="right"/>
              <w:ind w:right="1360"/>
              <w:spacing w:after="0"/>
              <w:rPr>
                <w:sz w:val="20"/>
                <w:szCs w:val="20"/>
                <w:color w:val="auto"/>
              </w:rPr>
            </w:pPr>
            <w:r>
              <w:rPr>
                <w:rFonts w:ascii="Arial" w:cs="Arial" w:eastAsia="Arial" w:hAnsi="Arial"/>
                <w:sz w:val="16"/>
                <w:szCs w:val="16"/>
                <w:color w:val="auto"/>
              </w:rPr>
              <w:t>0.49%</w:t>
            </w:r>
          </w:p>
        </w:tc>
      </w:tr>
      <w:tr>
        <w:trPr>
          <w:trHeight w:val="187"/>
        </w:trPr>
        <w:tc>
          <w:tcPr>
            <w:tcW w:w="1800" w:type="dxa"/>
            <w:vAlign w:val="bottom"/>
            <w:shd w:val="clear" w:color="auto" w:fill="D8D8D8"/>
          </w:tcPr>
          <w:p>
            <w:pPr>
              <w:ind w:left="100"/>
              <w:spacing w:after="0"/>
              <w:rPr>
                <w:sz w:val="20"/>
                <w:szCs w:val="20"/>
                <w:color w:val="auto"/>
              </w:rPr>
            </w:pPr>
            <w:r>
              <w:rPr>
                <w:rFonts w:ascii="Arial" w:cs="Arial" w:eastAsia="Arial" w:hAnsi="Arial"/>
                <w:sz w:val="16"/>
                <w:szCs w:val="16"/>
                <w:color w:val="auto"/>
              </w:rPr>
              <w:t>Ivonne M. Cabrera</w:t>
            </w:r>
          </w:p>
        </w:tc>
        <w:tc>
          <w:tcPr>
            <w:tcW w:w="1500" w:type="dxa"/>
            <w:vAlign w:val="bottom"/>
            <w:shd w:val="clear" w:color="auto" w:fill="D8D8D8"/>
          </w:tcPr>
          <w:p>
            <w:pPr>
              <w:jc w:val="right"/>
              <w:ind w:right="360"/>
              <w:spacing w:after="0"/>
              <w:rPr>
                <w:sz w:val="20"/>
                <w:szCs w:val="20"/>
                <w:color w:val="auto"/>
              </w:rPr>
            </w:pPr>
            <w:r>
              <w:rPr>
                <w:rFonts w:ascii="Arial" w:cs="Arial" w:eastAsia="Arial" w:hAnsi="Arial"/>
                <w:sz w:val="16"/>
                <w:szCs w:val="16"/>
                <w:color w:val="auto"/>
              </w:rPr>
              <w:t>2/14/2025</w:t>
            </w:r>
          </w:p>
        </w:tc>
        <w:tc>
          <w:tcPr>
            <w:tcW w:w="1280" w:type="dxa"/>
            <w:vAlign w:val="bottom"/>
            <w:shd w:val="clear" w:color="auto" w:fill="D8D8D8"/>
          </w:tcPr>
          <w:p>
            <w:pPr>
              <w:jc w:val="right"/>
              <w:ind w:right="280"/>
              <w:spacing w:after="0"/>
              <w:rPr>
                <w:sz w:val="20"/>
                <w:szCs w:val="20"/>
                <w:color w:val="auto"/>
              </w:rPr>
            </w:pPr>
            <w:r>
              <w:rPr>
                <w:rFonts w:ascii="Arial" w:cs="Arial" w:eastAsia="Arial" w:hAnsi="Arial"/>
                <w:sz w:val="16"/>
                <w:szCs w:val="16"/>
                <w:color w:val="auto"/>
              </w:rPr>
              <w:t>8,787</w:t>
            </w:r>
          </w:p>
        </w:tc>
        <w:tc>
          <w:tcPr>
            <w:tcW w:w="1300" w:type="dxa"/>
            <w:vAlign w:val="bottom"/>
            <w:shd w:val="clear" w:color="auto" w:fill="D8D8D8"/>
          </w:tcPr>
          <w:p>
            <w:pPr>
              <w:jc w:val="right"/>
              <w:ind w:right="360"/>
              <w:spacing w:after="0"/>
              <w:rPr>
                <w:sz w:val="20"/>
                <w:szCs w:val="20"/>
                <w:color w:val="auto"/>
              </w:rPr>
            </w:pPr>
            <w:r>
              <w:rPr>
                <w:rFonts w:ascii="Arial" w:cs="Arial" w:eastAsia="Arial" w:hAnsi="Arial"/>
                <w:sz w:val="16"/>
                <w:szCs w:val="16"/>
                <w:color w:val="auto"/>
              </w:rPr>
              <w:t>202.33</w:t>
            </w:r>
          </w:p>
        </w:tc>
        <w:tc>
          <w:tcPr>
            <w:tcW w:w="2000" w:type="dxa"/>
            <w:vAlign w:val="bottom"/>
            <w:shd w:val="clear" w:color="auto" w:fill="D8D8D8"/>
          </w:tcPr>
          <w:p>
            <w:pPr>
              <w:jc w:val="right"/>
              <w:ind w:right="1060"/>
              <w:spacing w:after="0"/>
              <w:rPr>
                <w:sz w:val="20"/>
                <w:szCs w:val="20"/>
                <w:color w:val="auto"/>
              </w:rPr>
            </w:pPr>
            <w:r>
              <w:rPr>
                <w:rFonts w:ascii="Arial" w:cs="Arial" w:eastAsia="Arial" w:hAnsi="Arial"/>
                <w:sz w:val="16"/>
                <w:szCs w:val="16"/>
                <w:color w:val="auto"/>
              </w:rPr>
              <w:t>66.39</w:t>
            </w:r>
          </w:p>
        </w:tc>
        <w:tc>
          <w:tcPr>
            <w:tcW w:w="3040" w:type="dxa"/>
            <w:vAlign w:val="bottom"/>
            <w:shd w:val="clear" w:color="auto" w:fill="D8D8D8"/>
          </w:tcPr>
          <w:p>
            <w:pPr>
              <w:jc w:val="right"/>
              <w:ind w:right="1360"/>
              <w:spacing w:after="0"/>
              <w:rPr>
                <w:sz w:val="20"/>
                <w:szCs w:val="20"/>
                <w:color w:val="auto"/>
              </w:rPr>
            </w:pPr>
            <w:r>
              <w:rPr>
                <w:rFonts w:ascii="Arial" w:cs="Arial" w:eastAsia="Arial" w:hAnsi="Arial"/>
                <w:sz w:val="16"/>
                <w:szCs w:val="16"/>
                <w:color w:val="auto"/>
              </w:rPr>
              <w:t>0.49%</w:t>
            </w:r>
          </w:p>
        </w:tc>
      </w:tr>
      <w:tr>
        <w:trPr>
          <w:trHeight w:val="187"/>
        </w:trPr>
        <w:tc>
          <w:tcPr>
            <w:tcW w:w="1800" w:type="dxa"/>
            <w:vAlign w:val="bottom"/>
          </w:tcPr>
          <w:p>
            <w:pPr>
              <w:ind w:left="100"/>
              <w:spacing w:after="0"/>
              <w:rPr>
                <w:sz w:val="20"/>
                <w:szCs w:val="20"/>
                <w:color w:val="auto"/>
              </w:rPr>
            </w:pPr>
            <w:r>
              <w:rPr>
                <w:rFonts w:ascii="Arial" w:cs="Arial" w:eastAsia="Arial" w:hAnsi="Arial"/>
                <w:sz w:val="16"/>
                <w:szCs w:val="16"/>
                <w:color w:val="auto"/>
              </w:rPr>
              <w:t>Girish Juneja</w:t>
            </w:r>
          </w:p>
        </w:tc>
        <w:tc>
          <w:tcPr>
            <w:tcW w:w="1500" w:type="dxa"/>
            <w:vAlign w:val="bottom"/>
          </w:tcPr>
          <w:p>
            <w:pPr>
              <w:jc w:val="right"/>
              <w:ind w:right="360"/>
              <w:spacing w:after="0"/>
              <w:rPr>
                <w:sz w:val="20"/>
                <w:szCs w:val="20"/>
                <w:color w:val="auto"/>
              </w:rPr>
            </w:pPr>
            <w:r>
              <w:rPr>
                <w:rFonts w:ascii="Arial" w:cs="Arial" w:eastAsia="Arial" w:hAnsi="Arial"/>
                <w:sz w:val="16"/>
                <w:szCs w:val="16"/>
                <w:color w:val="auto"/>
              </w:rPr>
              <w:t>2/14/2025</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7,469</w:t>
            </w:r>
          </w:p>
        </w:tc>
        <w:tc>
          <w:tcPr>
            <w:tcW w:w="1300" w:type="dxa"/>
            <w:vAlign w:val="bottom"/>
          </w:tcPr>
          <w:p>
            <w:pPr>
              <w:jc w:val="right"/>
              <w:ind w:right="360"/>
              <w:spacing w:after="0"/>
              <w:rPr>
                <w:sz w:val="20"/>
                <w:szCs w:val="20"/>
                <w:color w:val="auto"/>
              </w:rPr>
            </w:pPr>
            <w:r>
              <w:rPr>
                <w:rFonts w:ascii="Arial" w:cs="Arial" w:eastAsia="Arial" w:hAnsi="Arial"/>
                <w:sz w:val="16"/>
                <w:szCs w:val="16"/>
                <w:color w:val="auto"/>
              </w:rPr>
              <w:t>202.33</w:t>
            </w:r>
          </w:p>
        </w:tc>
        <w:tc>
          <w:tcPr>
            <w:tcW w:w="2000" w:type="dxa"/>
            <w:vAlign w:val="bottom"/>
          </w:tcPr>
          <w:p>
            <w:pPr>
              <w:jc w:val="right"/>
              <w:ind w:right="1060"/>
              <w:spacing w:after="0"/>
              <w:rPr>
                <w:sz w:val="20"/>
                <w:szCs w:val="20"/>
                <w:color w:val="auto"/>
              </w:rPr>
            </w:pPr>
            <w:r>
              <w:rPr>
                <w:rFonts w:ascii="Arial" w:cs="Arial" w:eastAsia="Arial" w:hAnsi="Arial"/>
                <w:sz w:val="16"/>
                <w:szCs w:val="16"/>
                <w:color w:val="auto"/>
              </w:rPr>
              <w:t>66.39</w:t>
            </w:r>
          </w:p>
        </w:tc>
        <w:tc>
          <w:tcPr>
            <w:tcW w:w="3040" w:type="dxa"/>
            <w:vAlign w:val="bottom"/>
          </w:tcPr>
          <w:p>
            <w:pPr>
              <w:jc w:val="right"/>
              <w:ind w:right="1360"/>
              <w:spacing w:after="0"/>
              <w:rPr>
                <w:sz w:val="20"/>
                <w:szCs w:val="20"/>
                <w:color w:val="auto"/>
              </w:rPr>
            </w:pPr>
            <w:r>
              <w:rPr>
                <w:rFonts w:ascii="Arial" w:cs="Arial" w:eastAsia="Arial" w:hAnsi="Arial"/>
                <w:sz w:val="16"/>
                <w:szCs w:val="16"/>
                <w:color w:val="auto"/>
              </w:rPr>
              <w:t>0.49%</w:t>
            </w:r>
          </w:p>
        </w:tc>
      </w:tr>
      <w:tr>
        <w:trPr>
          <w:trHeight w:val="187"/>
        </w:trPr>
        <w:tc>
          <w:tcPr>
            <w:tcW w:w="1800" w:type="dxa"/>
            <w:vAlign w:val="bottom"/>
            <w:tcBorders>
              <w:bottom w:val="single" w:sz="8" w:color="021496"/>
            </w:tcBorders>
            <w:shd w:val="clear" w:color="auto" w:fill="D8D8D8"/>
          </w:tcPr>
          <w:p>
            <w:pPr>
              <w:ind w:left="100"/>
              <w:spacing w:after="0"/>
              <w:rPr>
                <w:sz w:val="20"/>
                <w:szCs w:val="20"/>
                <w:color w:val="auto"/>
              </w:rPr>
            </w:pPr>
            <w:r>
              <w:rPr>
                <w:rFonts w:ascii="Arial" w:cs="Arial" w:eastAsia="Arial" w:hAnsi="Arial"/>
                <w:sz w:val="16"/>
                <w:szCs w:val="16"/>
                <w:color w:val="auto"/>
              </w:rPr>
              <w:t>Jeffrey C. Yehle</w:t>
            </w:r>
          </w:p>
        </w:tc>
        <w:tc>
          <w:tcPr>
            <w:tcW w:w="1500" w:type="dxa"/>
            <w:vAlign w:val="bottom"/>
            <w:tcBorders>
              <w:bottom w:val="single" w:sz="8" w:color="021496"/>
            </w:tcBorders>
            <w:shd w:val="clear" w:color="auto" w:fill="D8D8D8"/>
          </w:tcPr>
          <w:p>
            <w:pPr>
              <w:jc w:val="right"/>
              <w:ind w:right="360"/>
              <w:spacing w:after="0"/>
              <w:rPr>
                <w:sz w:val="20"/>
                <w:szCs w:val="20"/>
                <w:color w:val="auto"/>
              </w:rPr>
            </w:pPr>
            <w:r>
              <w:rPr>
                <w:rFonts w:ascii="Arial" w:cs="Arial" w:eastAsia="Arial" w:hAnsi="Arial"/>
                <w:sz w:val="16"/>
                <w:szCs w:val="16"/>
                <w:color w:val="auto"/>
              </w:rPr>
              <w:t>2/14/2025</w:t>
            </w:r>
          </w:p>
        </w:tc>
        <w:tc>
          <w:tcPr>
            <w:tcW w:w="1280" w:type="dxa"/>
            <w:vAlign w:val="bottom"/>
            <w:tcBorders>
              <w:bottom w:val="single" w:sz="8" w:color="021496"/>
            </w:tcBorders>
            <w:shd w:val="clear" w:color="auto" w:fill="D8D8D8"/>
          </w:tcPr>
          <w:p>
            <w:pPr>
              <w:jc w:val="right"/>
              <w:ind w:right="280"/>
              <w:spacing w:after="0"/>
              <w:rPr>
                <w:sz w:val="20"/>
                <w:szCs w:val="20"/>
                <w:color w:val="auto"/>
              </w:rPr>
            </w:pPr>
            <w:r>
              <w:rPr>
                <w:rFonts w:ascii="Arial" w:cs="Arial" w:eastAsia="Arial" w:hAnsi="Arial"/>
                <w:sz w:val="16"/>
                <w:szCs w:val="16"/>
                <w:color w:val="auto"/>
              </w:rPr>
              <w:t>5,711</w:t>
            </w:r>
          </w:p>
        </w:tc>
        <w:tc>
          <w:tcPr>
            <w:tcW w:w="1300" w:type="dxa"/>
            <w:vAlign w:val="bottom"/>
            <w:tcBorders>
              <w:bottom w:val="single" w:sz="8" w:color="021496"/>
            </w:tcBorders>
            <w:shd w:val="clear" w:color="auto" w:fill="D8D8D8"/>
          </w:tcPr>
          <w:p>
            <w:pPr>
              <w:jc w:val="right"/>
              <w:ind w:right="360"/>
              <w:spacing w:after="0"/>
              <w:rPr>
                <w:sz w:val="20"/>
                <w:szCs w:val="20"/>
                <w:color w:val="auto"/>
              </w:rPr>
            </w:pPr>
            <w:r>
              <w:rPr>
                <w:rFonts w:ascii="Arial" w:cs="Arial" w:eastAsia="Arial" w:hAnsi="Arial"/>
                <w:sz w:val="16"/>
                <w:szCs w:val="16"/>
                <w:color w:val="auto"/>
              </w:rPr>
              <w:t>202.33</w:t>
            </w:r>
          </w:p>
        </w:tc>
        <w:tc>
          <w:tcPr>
            <w:tcW w:w="2000" w:type="dxa"/>
            <w:vAlign w:val="bottom"/>
            <w:tcBorders>
              <w:bottom w:val="single" w:sz="8" w:color="021496"/>
            </w:tcBorders>
            <w:shd w:val="clear" w:color="auto" w:fill="D8D8D8"/>
          </w:tcPr>
          <w:p>
            <w:pPr>
              <w:jc w:val="right"/>
              <w:ind w:right="1060"/>
              <w:spacing w:after="0"/>
              <w:rPr>
                <w:sz w:val="20"/>
                <w:szCs w:val="20"/>
                <w:color w:val="auto"/>
              </w:rPr>
            </w:pPr>
            <w:r>
              <w:rPr>
                <w:rFonts w:ascii="Arial" w:cs="Arial" w:eastAsia="Arial" w:hAnsi="Arial"/>
                <w:sz w:val="16"/>
                <w:szCs w:val="16"/>
                <w:color w:val="auto"/>
              </w:rPr>
              <w:t>66.39</w:t>
            </w:r>
          </w:p>
        </w:tc>
        <w:tc>
          <w:tcPr>
            <w:tcW w:w="3040" w:type="dxa"/>
            <w:vAlign w:val="bottom"/>
            <w:tcBorders>
              <w:bottom w:val="single" w:sz="8" w:color="021496"/>
            </w:tcBorders>
            <w:shd w:val="clear" w:color="auto" w:fill="D8D8D8"/>
          </w:tcPr>
          <w:p>
            <w:pPr>
              <w:jc w:val="right"/>
              <w:ind w:right="1360"/>
              <w:spacing w:after="0"/>
              <w:rPr>
                <w:sz w:val="20"/>
                <w:szCs w:val="20"/>
                <w:color w:val="auto"/>
              </w:rPr>
            </w:pPr>
            <w:r>
              <w:rPr>
                <w:rFonts w:ascii="Arial" w:cs="Arial" w:eastAsia="Arial" w:hAnsi="Arial"/>
                <w:sz w:val="16"/>
                <w:szCs w:val="16"/>
                <w:color w:val="auto"/>
              </w:rPr>
              <w:t>0.49%</w:t>
            </w: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p>
      <w:pPr>
        <w:sectPr>
          <w:pgSz w:w="11900" w:h="16838" w:orient="portrait"/>
          <w:cols w:equalWidth="0" w:num="1">
            <w:col w:w="10920"/>
          </w:cols>
          <w:pgMar w:left="480" w:top="299" w:right="4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Pay versus Performance</w:t>
      </w:r>
    </w:p>
    <w:p>
      <w:pPr>
        <w:spacing w:after="0" w:line="23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The following table shows the total compensation for our NEOs for the past four fiscal years as set forth in the Summary Compensation Table, the “compensation actually paid” to our Principal Executive Officer (“PEO”) and, on an average basis, our other NEOs (in each case, as determined under Item 402(v) of Regulation S-K), our total shareholder return (“TSR”), the TSR of the S&amp;P 500 Industrials Index over the same period (which is the “Peer Group” in the Pay versus Performance Table below), our net income, and our adjusted earnings.</w:t>
      </w:r>
    </w:p>
    <w:p>
      <w:pPr>
        <w:spacing w:after="0" w:line="138"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For purposes of the Pay Versus Performance Table, Richard Tobin is the only principal executive officer represented. For fiscal 2025, Messrs. Woenker, Cerepak, Juneja, and Yehle and Ms. Cabrera are the other named officers reflected in the Pay versus Performance Table. For fiscal 2024, Messrs. Cerepak, Juneja, and Yehle and Mses. Cabrera and Bors are the other named officers reflected in the Pay versus Performance Table. For fiscal 2023 through 2021, Messrs. Cerepak and Juneja and Mses. Cabrera and Bors are the other named executive officers reflected in the Pay versus Performance Table.</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4"/>
                <w:szCs w:val="14"/>
                <w:color w:val="auto"/>
              </w:rPr>
            </w:pPr>
          </w:p>
        </w:tc>
      </w:tr>
      <w:tr>
        <w:trPr>
          <w:trHeight w:val="160"/>
        </w:trPr>
        <w:tc>
          <w:tcPr>
            <w:tcW w:w="1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Summary</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1080" w:type="dxa"/>
            <w:vAlign w:val="bottom"/>
          </w:tcPr>
          <w:p>
            <w:pPr>
              <w:spacing w:after="0"/>
              <w:rPr>
                <w:sz w:val="13"/>
                <w:szCs w:val="13"/>
                <w:color w:val="auto"/>
              </w:rPr>
            </w:pP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Summary</w:t>
            </w:r>
          </w:p>
        </w:tc>
        <w:tc>
          <w:tcPr>
            <w:tcW w:w="1260" w:type="dxa"/>
            <w:vAlign w:val="bottom"/>
          </w:tcPr>
          <w:p>
            <w:pPr>
              <w:spacing w:after="0"/>
              <w:rPr>
                <w:sz w:val="13"/>
                <w:szCs w:val="13"/>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w w:val="98"/>
              </w:rPr>
              <w:t>Compensation</w:t>
            </w:r>
          </w:p>
        </w:tc>
      </w:tr>
      <w:tr>
        <w:trPr>
          <w:trHeight w:val="160"/>
        </w:trPr>
        <w:tc>
          <w:tcPr>
            <w:tcW w:w="1080" w:type="dxa"/>
            <w:vAlign w:val="bottom"/>
          </w:tcPr>
          <w:p>
            <w:pPr>
              <w:spacing w:after="0"/>
              <w:rPr>
                <w:sz w:val="13"/>
                <w:szCs w:val="13"/>
                <w:color w:val="auto"/>
              </w:rPr>
            </w:pP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Table Total for</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Actually Paid</w:t>
            </w:r>
          </w:p>
        </w:tc>
      </w:tr>
      <w:tr>
        <w:trPr>
          <w:trHeight w:val="160"/>
        </w:trPr>
        <w:tc>
          <w:tcPr>
            <w:tcW w:w="1080" w:type="dxa"/>
            <w:vAlign w:val="bottom"/>
          </w:tcPr>
          <w:p>
            <w:pPr>
              <w:spacing w:after="0"/>
              <w:rPr>
                <w:sz w:val="13"/>
                <w:szCs w:val="13"/>
                <w:color w:val="auto"/>
              </w:rPr>
            </w:pP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Table Total</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Actually Paid</w:t>
            </w: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Non-PEO</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to Non-PEO</w:t>
            </w:r>
          </w:p>
        </w:tc>
      </w:tr>
      <w:tr>
        <w:trPr>
          <w:trHeight w:val="160"/>
        </w:trPr>
        <w:tc>
          <w:tcPr>
            <w:tcW w:w="1080" w:type="dxa"/>
            <w:vAlign w:val="bottom"/>
          </w:tcPr>
          <w:p>
            <w:pPr>
              <w:spacing w:after="0"/>
              <w:rPr>
                <w:sz w:val="13"/>
                <w:szCs w:val="13"/>
                <w:color w:val="auto"/>
              </w:rPr>
            </w:pP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for PEO</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to PEO</w:t>
            </w: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NEOs</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NEOs</w:t>
            </w:r>
          </w:p>
        </w:tc>
      </w:tr>
      <w:tr>
        <w:trPr>
          <w:trHeight w:val="208"/>
        </w:trPr>
        <w:tc>
          <w:tcPr>
            <w:tcW w:w="1080" w:type="dxa"/>
            <w:vAlign w:val="bottom"/>
          </w:tcPr>
          <w:p>
            <w:pPr>
              <w:spacing w:after="0"/>
              <w:rPr>
                <w:sz w:val="20"/>
                <w:szCs w:val="20"/>
                <w:color w:val="auto"/>
              </w:rPr>
            </w:pPr>
            <w:r>
              <w:rPr>
                <w:rFonts w:ascii="Arial" w:cs="Arial" w:eastAsia="Arial" w:hAnsi="Arial"/>
                <w:sz w:val="14"/>
                <w:szCs w:val="14"/>
                <w:b w:val="1"/>
                <w:bCs w:val="1"/>
                <w:color w:val="auto"/>
              </w:rPr>
              <w:t>   Year</w:t>
            </w:r>
          </w:p>
        </w:tc>
        <w:tc>
          <w:tcPr>
            <w:tcW w:w="1800" w:type="dxa"/>
            <w:vAlign w:val="bottom"/>
          </w:tcPr>
          <w:p>
            <w:pPr>
              <w:ind w:left="66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($)(1)</w:t>
            </w: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($)(1)</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Value of $100 Investment</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based 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280" w:type="dxa"/>
            <w:vAlign w:val="bottom"/>
            <w:tcBorders>
              <w:bottom w:val="single" w:sz="8" w:color="021496"/>
            </w:tcBorders>
          </w:tcPr>
          <w:p>
            <w:pPr>
              <w:spacing w:after="0"/>
              <w:rPr>
                <w:sz w:val="2"/>
                <w:szCs w:val="2"/>
                <w:color w:val="auto"/>
              </w:rPr>
            </w:pPr>
          </w:p>
        </w:tc>
        <w:tc>
          <w:tcPr>
            <w:tcW w:w="1060" w:type="dxa"/>
            <w:vAlign w:val="bottom"/>
            <w:tcBorders>
              <w:bottom w:val="single" w:sz="8" w:color="021496"/>
            </w:tcBorders>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1060" w:type="dxa"/>
            <w:vAlign w:val="bottom"/>
          </w:tcPr>
          <w:p>
            <w:pPr>
              <w:ind w:left="140"/>
              <w:spacing w:after="0" w:line="127" w:lineRule="exact"/>
              <w:rPr>
                <w:sz w:val="20"/>
                <w:szCs w:val="20"/>
                <w:color w:val="auto"/>
              </w:rPr>
            </w:pPr>
            <w:r>
              <w:rPr>
                <w:rFonts w:ascii="Arial" w:cs="Arial" w:eastAsia="Arial" w:hAnsi="Arial"/>
                <w:sz w:val="14"/>
                <w:szCs w:val="14"/>
                <w:b w:val="1"/>
                <w:bCs w:val="1"/>
                <w:color w:val="auto"/>
              </w:rPr>
              <w:t>Peer Group</w:t>
            </w:r>
          </w:p>
        </w:tc>
        <w:tc>
          <w:tcPr>
            <w:tcW w:w="1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60"/>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Shareholder</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Shareholder</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Net Income</w:t>
            </w: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 (in</w:t>
            </w:r>
          </w:p>
        </w:tc>
        <w:tc>
          <w:tcPr>
            <w:tcW w:w="0" w:type="dxa"/>
            <w:vAlign w:val="bottom"/>
          </w:tcPr>
          <w:p>
            <w:pPr>
              <w:spacing w:after="0"/>
              <w:rPr>
                <w:sz w:val="1"/>
                <w:szCs w:val="1"/>
                <w:color w:val="auto"/>
              </w:rPr>
            </w:pPr>
          </w:p>
        </w:tc>
      </w:tr>
      <w:tr>
        <w:trPr>
          <w:trHeight w:val="160"/>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Return</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Return</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 (in</w:t>
            </w: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9"/>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millions)</w:t>
            </w: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00" w:space="140"/>
            <w:col w:w="434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23"/>
        </w:trPr>
        <w:tc>
          <w:tcPr>
            <w:tcW w:w="1540" w:type="dxa"/>
            <w:vAlign w:val="bottom"/>
            <w:tcBorders>
              <w:top w:val="single" w:sz="8" w:color="021496"/>
            </w:tcBorders>
            <w:shd w:val="clear" w:color="auto" w:fill="D8D8D8"/>
          </w:tcPr>
          <w:p>
            <w:pPr>
              <w:jc w:val="right"/>
              <w:ind w:right="1000"/>
              <w:spacing w:after="0"/>
              <w:rPr>
                <w:sz w:val="20"/>
                <w:szCs w:val="20"/>
                <w:color w:val="auto"/>
              </w:rPr>
            </w:pPr>
            <w:r>
              <w:rPr>
                <w:rFonts w:ascii="Arial" w:cs="Arial" w:eastAsia="Arial" w:hAnsi="Arial"/>
                <w:sz w:val="16"/>
                <w:szCs w:val="16"/>
                <w:color w:val="auto"/>
              </w:rPr>
              <w:t>2025</w:t>
            </w:r>
          </w:p>
        </w:tc>
        <w:tc>
          <w:tcPr>
            <w:tcW w:w="1380" w:type="dxa"/>
            <w:vAlign w:val="bottom"/>
            <w:tcBorders>
              <w:top w:val="single" w:sz="8" w:color="021496"/>
            </w:tcBorders>
            <w:shd w:val="clear" w:color="auto" w:fill="D8D8D8"/>
          </w:tcPr>
          <w:p>
            <w:pPr>
              <w:ind w:left="320"/>
              <w:spacing w:after="0"/>
              <w:rPr>
                <w:sz w:val="20"/>
                <w:szCs w:val="20"/>
                <w:color w:val="auto"/>
              </w:rPr>
            </w:pPr>
            <w:r>
              <w:rPr>
                <w:rFonts w:ascii="Arial" w:cs="Arial" w:eastAsia="Arial" w:hAnsi="Arial"/>
                <w:sz w:val="16"/>
                <w:szCs w:val="16"/>
                <w:color w:val="auto"/>
              </w:rPr>
              <w:t>18,757,706 </w:t>
            </w:r>
          </w:p>
        </w:tc>
        <w:tc>
          <w:tcPr>
            <w:tcW w:w="1360" w:type="dxa"/>
            <w:vAlign w:val="bottom"/>
            <w:tcBorders>
              <w:top w:val="single" w:sz="8" w:color="021496"/>
            </w:tcBorders>
            <w:shd w:val="clear" w:color="auto" w:fill="D8D8D8"/>
          </w:tcPr>
          <w:p>
            <w:pPr>
              <w:ind w:left="240"/>
              <w:spacing w:after="0"/>
              <w:rPr>
                <w:sz w:val="20"/>
                <w:szCs w:val="20"/>
                <w:color w:val="auto"/>
              </w:rPr>
            </w:pPr>
            <w:r>
              <w:rPr>
                <w:rFonts w:ascii="Arial" w:cs="Arial" w:eastAsia="Arial" w:hAnsi="Arial"/>
                <w:sz w:val="16"/>
                <w:szCs w:val="16"/>
                <w:color w:val="auto"/>
              </w:rPr>
              <w:t>15,034,170  </w:t>
            </w:r>
          </w:p>
        </w:tc>
        <w:tc>
          <w:tcPr>
            <w:tcW w:w="1200" w:type="dxa"/>
            <w:vAlign w:val="bottom"/>
            <w:tcBorders>
              <w:top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rPr>
              <w:t>2,192,355 </w:t>
            </w:r>
          </w:p>
        </w:tc>
        <w:tc>
          <w:tcPr>
            <w:tcW w:w="1380" w:type="dxa"/>
            <w:vAlign w:val="bottom"/>
            <w:tcBorders>
              <w:top w:val="single" w:sz="8" w:color="021496"/>
            </w:tcBorders>
            <w:shd w:val="clear" w:color="auto" w:fill="D8D8D8"/>
          </w:tcPr>
          <w:p>
            <w:pPr>
              <w:jc w:val="center"/>
              <w:ind w:right="40"/>
              <w:spacing w:after="0"/>
              <w:rPr>
                <w:sz w:val="20"/>
                <w:szCs w:val="20"/>
                <w:color w:val="auto"/>
              </w:rPr>
            </w:pPr>
            <w:r>
              <w:rPr>
                <w:rFonts w:ascii="Arial" w:cs="Arial" w:eastAsia="Arial" w:hAnsi="Arial"/>
                <w:sz w:val="16"/>
                <w:szCs w:val="16"/>
                <w:color w:val="auto"/>
              </w:rPr>
              <w:t>1,771,947  </w:t>
            </w:r>
          </w:p>
        </w:tc>
        <w:tc>
          <w:tcPr>
            <w:tcW w:w="720" w:type="dxa"/>
            <w:vAlign w:val="bottom"/>
            <w:tcBorders>
              <w:top w:val="single" w:sz="8" w:color="021496"/>
            </w:tcBorders>
            <w:shd w:val="clear" w:color="auto" w:fill="D8D8D8"/>
          </w:tcPr>
          <w:p>
            <w:pPr>
              <w:ind w:left="360"/>
              <w:spacing w:after="0"/>
              <w:rPr>
                <w:sz w:val="20"/>
                <w:szCs w:val="20"/>
                <w:color w:val="auto"/>
              </w:rPr>
            </w:pPr>
            <w:r>
              <w:rPr>
                <w:rFonts w:ascii="Arial" w:cs="Arial" w:eastAsia="Arial" w:hAnsi="Arial"/>
                <w:sz w:val="16"/>
                <w:szCs w:val="16"/>
                <w:color w:val="auto"/>
                <w:w w:val="79"/>
              </w:rPr>
              <w:t>165 </w:t>
            </w:r>
          </w:p>
        </w:tc>
        <w:tc>
          <w:tcPr>
            <w:tcW w:w="48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tcBorders>
              <w:top w:val="single" w:sz="8" w:color="021496"/>
            </w:tcBorders>
            <w:shd w:val="clear" w:color="auto" w:fill="D8D8D8"/>
          </w:tcPr>
          <w:p>
            <w:pPr>
              <w:ind w:left="280"/>
              <w:spacing w:after="0"/>
              <w:rPr>
                <w:sz w:val="20"/>
                <w:szCs w:val="20"/>
                <w:color w:val="auto"/>
              </w:rPr>
            </w:pPr>
            <w:r>
              <w:rPr>
                <w:rFonts w:ascii="Arial" w:cs="Arial" w:eastAsia="Arial" w:hAnsi="Arial"/>
                <w:sz w:val="16"/>
                <w:szCs w:val="16"/>
                <w:color w:val="auto"/>
                <w:w w:val="84"/>
              </w:rPr>
              <w:t>190 </w:t>
            </w:r>
          </w:p>
        </w:tc>
        <w:tc>
          <w:tcPr>
            <w:tcW w:w="40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top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w w:val="85"/>
              </w:rPr>
              <w:t>1,097 </w:t>
            </w:r>
          </w:p>
        </w:tc>
        <w:tc>
          <w:tcPr>
            <w:tcW w:w="32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60" w:type="dxa"/>
            <w:vAlign w:val="bottom"/>
            <w:tcBorders>
              <w:top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rPr>
              <w:t>1,324 </w:t>
            </w:r>
          </w:p>
        </w:tc>
      </w:tr>
      <w:tr>
        <w:trPr>
          <w:trHeight w:val="232"/>
        </w:trPr>
        <w:tc>
          <w:tcPr>
            <w:tcW w:w="1540" w:type="dxa"/>
            <w:vAlign w:val="bottom"/>
          </w:tcPr>
          <w:p>
            <w:pPr>
              <w:jc w:val="right"/>
              <w:ind w:right="1000"/>
              <w:spacing w:after="0"/>
              <w:rPr>
                <w:sz w:val="20"/>
                <w:szCs w:val="20"/>
                <w:color w:val="auto"/>
              </w:rPr>
            </w:pPr>
            <w:r>
              <w:rPr>
                <w:rFonts w:ascii="Arial" w:cs="Arial" w:eastAsia="Arial" w:hAnsi="Arial"/>
                <w:sz w:val="16"/>
                <w:szCs w:val="16"/>
                <w:color w:val="auto"/>
              </w:rPr>
              <w:t>2024</w:t>
            </w:r>
          </w:p>
        </w:tc>
        <w:tc>
          <w:tcPr>
            <w:tcW w:w="1380" w:type="dxa"/>
            <w:vAlign w:val="bottom"/>
          </w:tcPr>
          <w:p>
            <w:pPr>
              <w:ind w:left="320"/>
              <w:spacing w:after="0"/>
              <w:rPr>
                <w:sz w:val="20"/>
                <w:szCs w:val="20"/>
                <w:color w:val="auto"/>
              </w:rPr>
            </w:pPr>
            <w:r>
              <w:rPr>
                <w:rFonts w:ascii="Arial" w:cs="Arial" w:eastAsia="Arial" w:hAnsi="Arial"/>
                <w:sz w:val="16"/>
                <w:szCs w:val="16"/>
                <w:color w:val="auto"/>
              </w:rPr>
              <w:t>19,230,530 </w:t>
            </w:r>
          </w:p>
        </w:tc>
        <w:tc>
          <w:tcPr>
            <w:tcW w:w="1360" w:type="dxa"/>
            <w:vAlign w:val="bottom"/>
          </w:tcPr>
          <w:p>
            <w:pPr>
              <w:ind w:left="240"/>
              <w:spacing w:after="0"/>
              <w:rPr>
                <w:sz w:val="20"/>
                <w:szCs w:val="20"/>
                <w:color w:val="auto"/>
              </w:rPr>
            </w:pPr>
            <w:r>
              <w:rPr>
                <w:rFonts w:ascii="Arial" w:cs="Arial" w:eastAsia="Arial" w:hAnsi="Arial"/>
                <w:sz w:val="16"/>
                <w:szCs w:val="16"/>
                <w:color w:val="auto"/>
              </w:rPr>
              <w:t>30,226,001  </w:t>
            </w:r>
          </w:p>
        </w:tc>
        <w:tc>
          <w:tcPr>
            <w:tcW w:w="1200" w:type="dxa"/>
            <w:vAlign w:val="bottom"/>
          </w:tcPr>
          <w:p>
            <w:pPr>
              <w:ind w:left="220"/>
              <w:spacing w:after="0"/>
              <w:rPr>
                <w:sz w:val="20"/>
                <w:szCs w:val="20"/>
                <w:color w:val="auto"/>
              </w:rPr>
            </w:pPr>
            <w:r>
              <w:rPr>
                <w:rFonts w:ascii="Arial" w:cs="Arial" w:eastAsia="Arial" w:hAnsi="Arial"/>
                <w:sz w:val="16"/>
                <w:szCs w:val="16"/>
                <w:color w:val="auto"/>
              </w:rPr>
              <w:t>2,777,531 </w:t>
            </w:r>
          </w:p>
        </w:tc>
        <w:tc>
          <w:tcPr>
            <w:tcW w:w="1380" w:type="dxa"/>
            <w:vAlign w:val="bottom"/>
          </w:tcPr>
          <w:p>
            <w:pPr>
              <w:jc w:val="center"/>
              <w:ind w:right="40"/>
              <w:spacing w:after="0"/>
              <w:rPr>
                <w:sz w:val="20"/>
                <w:szCs w:val="20"/>
                <w:color w:val="auto"/>
              </w:rPr>
            </w:pPr>
            <w:r>
              <w:rPr>
                <w:rFonts w:ascii="Arial" w:cs="Arial" w:eastAsia="Arial" w:hAnsi="Arial"/>
                <w:sz w:val="16"/>
                <w:szCs w:val="16"/>
                <w:color w:val="auto"/>
              </w:rPr>
              <w:t>3,718,086  </w:t>
            </w:r>
          </w:p>
        </w:tc>
        <w:tc>
          <w:tcPr>
            <w:tcW w:w="720" w:type="dxa"/>
            <w:vAlign w:val="bottom"/>
          </w:tcPr>
          <w:p>
            <w:pPr>
              <w:ind w:left="360"/>
              <w:spacing w:after="0"/>
              <w:rPr>
                <w:sz w:val="20"/>
                <w:szCs w:val="20"/>
                <w:color w:val="auto"/>
              </w:rPr>
            </w:pPr>
            <w:r>
              <w:rPr>
                <w:rFonts w:ascii="Arial" w:cs="Arial" w:eastAsia="Arial" w:hAnsi="Arial"/>
                <w:sz w:val="16"/>
                <w:szCs w:val="16"/>
                <w:color w:val="auto"/>
                <w:w w:val="79"/>
              </w:rPr>
              <w:t>175 </w:t>
            </w:r>
          </w:p>
        </w:tc>
        <w:tc>
          <w:tcPr>
            <w:tcW w:w="480" w:type="dxa"/>
            <w:vAlign w:val="bottom"/>
          </w:tcPr>
          <w:p>
            <w:pPr>
              <w:ind w:left="60"/>
              <w:spacing w:after="0"/>
              <w:rPr>
                <w:sz w:val="20"/>
                <w:szCs w:val="20"/>
                <w:color w:val="auto"/>
              </w:rPr>
            </w:pPr>
            <w:r>
              <w:rPr>
                <w:rFonts w:ascii="Arial" w:cs="Arial" w:eastAsia="Arial" w:hAnsi="Arial"/>
                <w:sz w:val="16"/>
                <w:szCs w:val="16"/>
                <w:color w:val="auto"/>
              </w:rPr>
              <w:t>    </w:t>
            </w:r>
          </w:p>
        </w:tc>
        <w:tc>
          <w:tcPr>
            <w:tcW w:w="660" w:type="dxa"/>
            <w:vAlign w:val="bottom"/>
          </w:tcPr>
          <w:p>
            <w:pPr>
              <w:ind w:left="280"/>
              <w:spacing w:after="0"/>
              <w:rPr>
                <w:sz w:val="20"/>
                <w:szCs w:val="20"/>
                <w:color w:val="auto"/>
              </w:rPr>
            </w:pPr>
            <w:r>
              <w:rPr>
                <w:rFonts w:ascii="Arial" w:cs="Arial" w:eastAsia="Arial" w:hAnsi="Arial"/>
                <w:sz w:val="16"/>
                <w:szCs w:val="16"/>
                <w:color w:val="auto"/>
                <w:w w:val="84"/>
              </w:rPr>
              <w:t>176 </w:t>
            </w:r>
          </w:p>
        </w:tc>
        <w:tc>
          <w:tcPr>
            <w:tcW w:w="40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ind w:left="220"/>
              <w:spacing w:after="0"/>
              <w:rPr>
                <w:sz w:val="20"/>
                <w:szCs w:val="20"/>
                <w:color w:val="auto"/>
              </w:rPr>
            </w:pPr>
            <w:r>
              <w:rPr>
                <w:rFonts w:ascii="Arial" w:cs="Arial" w:eastAsia="Arial" w:hAnsi="Arial"/>
                <w:sz w:val="16"/>
                <w:szCs w:val="16"/>
                <w:color w:val="auto"/>
                <w:w w:val="85"/>
              </w:rPr>
              <w:t>2,697 </w:t>
            </w:r>
          </w:p>
        </w:tc>
        <w:tc>
          <w:tcPr>
            <w:tcW w:w="320" w:type="dxa"/>
            <w:vAlign w:val="bottom"/>
          </w:tcPr>
          <w:p>
            <w:pPr>
              <w:ind w:left="60"/>
              <w:spacing w:after="0"/>
              <w:rPr>
                <w:sz w:val="20"/>
                <w:szCs w:val="20"/>
                <w:color w:val="auto"/>
              </w:rPr>
            </w:pPr>
            <w:r>
              <w:rPr>
                <w:rFonts w:ascii="Arial" w:cs="Arial" w:eastAsia="Arial" w:hAnsi="Arial"/>
                <w:sz w:val="16"/>
                <w:szCs w:val="16"/>
                <w:color w:val="auto"/>
              </w:rPr>
              <w:t>  </w:t>
            </w:r>
          </w:p>
        </w:tc>
        <w:tc>
          <w:tcPr>
            <w:tcW w:w="760" w:type="dxa"/>
            <w:vAlign w:val="bottom"/>
          </w:tcPr>
          <w:p>
            <w:pPr>
              <w:ind w:left="220"/>
              <w:spacing w:after="0"/>
              <w:rPr>
                <w:sz w:val="20"/>
                <w:szCs w:val="20"/>
                <w:color w:val="auto"/>
              </w:rPr>
            </w:pPr>
            <w:r>
              <w:rPr>
                <w:rFonts w:ascii="Arial" w:cs="Arial" w:eastAsia="Arial" w:hAnsi="Arial"/>
                <w:sz w:val="16"/>
                <w:szCs w:val="16"/>
                <w:color w:val="auto"/>
              </w:rPr>
              <w:t>2,806 </w:t>
            </w:r>
          </w:p>
        </w:tc>
      </w:tr>
      <w:tr>
        <w:trPr>
          <w:trHeight w:val="249"/>
        </w:trPr>
        <w:tc>
          <w:tcPr>
            <w:tcW w:w="1540" w:type="dxa"/>
            <w:vAlign w:val="bottom"/>
            <w:shd w:val="clear" w:color="auto" w:fill="D8D8D8"/>
          </w:tcPr>
          <w:p>
            <w:pPr>
              <w:jc w:val="right"/>
              <w:ind w:right="1000"/>
              <w:spacing w:after="0"/>
              <w:rPr>
                <w:sz w:val="20"/>
                <w:szCs w:val="20"/>
                <w:color w:val="auto"/>
              </w:rPr>
            </w:pPr>
            <w:r>
              <w:rPr>
                <w:rFonts w:ascii="Arial" w:cs="Arial" w:eastAsia="Arial" w:hAnsi="Arial"/>
                <w:sz w:val="16"/>
                <w:szCs w:val="16"/>
                <w:color w:val="auto"/>
              </w:rPr>
              <w:t>2023</w:t>
            </w:r>
          </w:p>
        </w:tc>
        <w:tc>
          <w:tcPr>
            <w:tcW w:w="1380" w:type="dxa"/>
            <w:vAlign w:val="bottom"/>
            <w:shd w:val="clear" w:color="auto" w:fill="D8D8D8"/>
          </w:tcPr>
          <w:p>
            <w:pPr>
              <w:ind w:left="320"/>
              <w:spacing w:after="0"/>
              <w:rPr>
                <w:sz w:val="20"/>
                <w:szCs w:val="20"/>
                <w:color w:val="auto"/>
              </w:rPr>
            </w:pPr>
            <w:r>
              <w:rPr>
                <w:rFonts w:ascii="Arial" w:cs="Arial" w:eastAsia="Arial" w:hAnsi="Arial"/>
                <w:sz w:val="16"/>
                <w:szCs w:val="16"/>
                <w:color w:val="auto"/>
              </w:rPr>
              <w:t>16,795,101 </w:t>
            </w:r>
          </w:p>
        </w:tc>
        <w:tc>
          <w:tcPr>
            <w:tcW w:w="1360" w:type="dxa"/>
            <w:vAlign w:val="bottom"/>
            <w:shd w:val="clear" w:color="auto" w:fill="D8D8D8"/>
          </w:tcPr>
          <w:p>
            <w:pPr>
              <w:ind w:left="240"/>
              <w:spacing w:after="0"/>
              <w:rPr>
                <w:sz w:val="20"/>
                <w:szCs w:val="20"/>
                <w:color w:val="auto"/>
              </w:rPr>
            </w:pPr>
            <w:r>
              <w:rPr>
                <w:rFonts w:ascii="Arial" w:cs="Arial" w:eastAsia="Arial" w:hAnsi="Arial"/>
                <w:sz w:val="16"/>
                <w:szCs w:val="16"/>
                <w:color w:val="auto"/>
              </w:rPr>
              <w:t>16,472,170  </w:t>
            </w:r>
          </w:p>
        </w:tc>
        <w:tc>
          <w:tcPr>
            <w:tcW w:w="1200" w:type="dxa"/>
            <w:vAlign w:val="bottom"/>
            <w:shd w:val="clear" w:color="auto" w:fill="D8D8D8"/>
          </w:tcPr>
          <w:p>
            <w:pPr>
              <w:ind w:left="220"/>
              <w:spacing w:after="0"/>
              <w:rPr>
                <w:sz w:val="20"/>
                <w:szCs w:val="20"/>
                <w:color w:val="auto"/>
              </w:rPr>
            </w:pPr>
            <w:r>
              <w:rPr>
                <w:rFonts w:ascii="Arial" w:cs="Arial" w:eastAsia="Arial" w:hAnsi="Arial"/>
                <w:sz w:val="16"/>
                <w:szCs w:val="16"/>
                <w:color w:val="auto"/>
              </w:rPr>
              <w:t>2,904,216 </w:t>
            </w:r>
          </w:p>
        </w:tc>
        <w:tc>
          <w:tcPr>
            <w:tcW w:w="1380" w:type="dxa"/>
            <w:vAlign w:val="bottom"/>
            <w:shd w:val="clear" w:color="auto" w:fill="D8D8D8"/>
          </w:tcPr>
          <w:p>
            <w:pPr>
              <w:jc w:val="center"/>
              <w:ind w:right="40"/>
              <w:spacing w:after="0"/>
              <w:rPr>
                <w:sz w:val="20"/>
                <w:szCs w:val="20"/>
                <w:color w:val="auto"/>
              </w:rPr>
            </w:pPr>
            <w:r>
              <w:rPr>
                <w:rFonts w:ascii="Arial" w:cs="Arial" w:eastAsia="Arial" w:hAnsi="Arial"/>
                <w:sz w:val="16"/>
                <w:szCs w:val="16"/>
                <w:color w:val="auto"/>
              </w:rPr>
              <w:t>2,784,284  </w:t>
            </w:r>
          </w:p>
        </w:tc>
        <w:tc>
          <w:tcPr>
            <w:tcW w:w="720" w:type="dxa"/>
            <w:vAlign w:val="bottom"/>
            <w:shd w:val="clear" w:color="auto" w:fill="D8D8D8"/>
          </w:tcPr>
          <w:p>
            <w:pPr>
              <w:ind w:left="360"/>
              <w:spacing w:after="0"/>
              <w:rPr>
                <w:sz w:val="20"/>
                <w:szCs w:val="20"/>
                <w:color w:val="auto"/>
              </w:rPr>
            </w:pPr>
            <w:r>
              <w:rPr>
                <w:rFonts w:ascii="Arial" w:cs="Arial" w:eastAsia="Arial" w:hAnsi="Arial"/>
                <w:sz w:val="16"/>
                <w:szCs w:val="16"/>
                <w:color w:val="auto"/>
                <w:w w:val="79"/>
              </w:rPr>
              <w:t>142 </w:t>
            </w:r>
          </w:p>
        </w:tc>
        <w:tc>
          <w:tcPr>
            <w:tcW w:w="48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shd w:val="clear" w:color="auto" w:fill="D8D8D8"/>
          </w:tcPr>
          <w:p>
            <w:pPr>
              <w:ind w:left="280"/>
              <w:spacing w:after="0"/>
              <w:rPr>
                <w:sz w:val="20"/>
                <w:szCs w:val="20"/>
                <w:color w:val="auto"/>
              </w:rPr>
            </w:pPr>
            <w:r>
              <w:rPr>
                <w:rFonts w:ascii="Arial" w:cs="Arial" w:eastAsia="Arial" w:hAnsi="Arial"/>
                <w:sz w:val="16"/>
                <w:szCs w:val="16"/>
                <w:color w:val="auto"/>
                <w:w w:val="84"/>
              </w:rPr>
              <w:t>150 </w:t>
            </w:r>
          </w:p>
        </w:tc>
        <w:tc>
          <w:tcPr>
            <w:tcW w:w="40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shd w:val="clear" w:color="auto" w:fill="D8D8D8"/>
          </w:tcPr>
          <w:p>
            <w:pPr>
              <w:ind w:left="220"/>
              <w:spacing w:after="0"/>
              <w:rPr>
                <w:sz w:val="20"/>
                <w:szCs w:val="20"/>
                <w:color w:val="auto"/>
              </w:rPr>
            </w:pPr>
            <w:r>
              <w:rPr>
                <w:rFonts w:ascii="Arial" w:cs="Arial" w:eastAsia="Arial" w:hAnsi="Arial"/>
                <w:sz w:val="16"/>
                <w:szCs w:val="16"/>
                <w:color w:val="auto"/>
                <w:w w:val="85"/>
              </w:rPr>
              <w:t>1,057 </w:t>
            </w:r>
          </w:p>
        </w:tc>
        <w:tc>
          <w:tcPr>
            <w:tcW w:w="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60" w:type="dxa"/>
            <w:vAlign w:val="bottom"/>
            <w:shd w:val="clear" w:color="auto" w:fill="D8D8D8"/>
          </w:tcPr>
          <w:p>
            <w:pPr>
              <w:ind w:left="220"/>
              <w:spacing w:after="0"/>
              <w:rPr>
                <w:sz w:val="20"/>
                <w:szCs w:val="20"/>
                <w:color w:val="auto"/>
              </w:rPr>
            </w:pPr>
            <w:r>
              <w:rPr>
                <w:rFonts w:ascii="Arial" w:cs="Arial" w:eastAsia="Arial" w:hAnsi="Arial"/>
                <w:sz w:val="16"/>
                <w:szCs w:val="16"/>
                <w:color w:val="auto"/>
              </w:rPr>
              <w:t>1,237 </w:t>
            </w:r>
          </w:p>
        </w:tc>
      </w:tr>
      <w:tr>
        <w:trPr>
          <w:trHeight w:val="232"/>
        </w:trPr>
        <w:tc>
          <w:tcPr>
            <w:tcW w:w="1540" w:type="dxa"/>
            <w:vAlign w:val="bottom"/>
          </w:tcPr>
          <w:p>
            <w:pPr>
              <w:jc w:val="right"/>
              <w:ind w:right="1000"/>
              <w:spacing w:after="0"/>
              <w:rPr>
                <w:sz w:val="20"/>
                <w:szCs w:val="20"/>
                <w:color w:val="auto"/>
              </w:rPr>
            </w:pPr>
            <w:r>
              <w:rPr>
                <w:rFonts w:ascii="Arial" w:cs="Arial" w:eastAsia="Arial" w:hAnsi="Arial"/>
                <w:sz w:val="16"/>
                <w:szCs w:val="16"/>
                <w:color w:val="auto"/>
              </w:rPr>
              <w:t>2022</w:t>
            </w:r>
          </w:p>
        </w:tc>
        <w:tc>
          <w:tcPr>
            <w:tcW w:w="1380" w:type="dxa"/>
            <w:vAlign w:val="bottom"/>
          </w:tcPr>
          <w:p>
            <w:pPr>
              <w:ind w:left="320"/>
              <w:spacing w:after="0"/>
              <w:rPr>
                <w:sz w:val="20"/>
                <w:szCs w:val="20"/>
                <w:color w:val="auto"/>
              </w:rPr>
            </w:pPr>
            <w:r>
              <w:rPr>
                <w:rFonts w:ascii="Arial" w:cs="Arial" w:eastAsia="Arial" w:hAnsi="Arial"/>
                <w:sz w:val="16"/>
                <w:szCs w:val="16"/>
                <w:color w:val="auto"/>
              </w:rPr>
              <w:t>14,143,252 </w:t>
            </w:r>
          </w:p>
        </w:tc>
        <w:tc>
          <w:tcPr>
            <w:tcW w:w="1360" w:type="dxa"/>
            <w:vAlign w:val="bottom"/>
          </w:tcPr>
          <w:p>
            <w:pPr>
              <w:ind w:left="180"/>
              <w:spacing w:after="0"/>
              <w:rPr>
                <w:sz w:val="20"/>
                <w:szCs w:val="20"/>
                <w:color w:val="auto"/>
              </w:rPr>
            </w:pPr>
            <w:r>
              <w:rPr>
                <w:rFonts w:ascii="Arial" w:cs="Arial" w:eastAsia="Arial" w:hAnsi="Arial"/>
                <w:sz w:val="16"/>
                <w:szCs w:val="16"/>
                <w:color w:val="auto"/>
              </w:rPr>
              <w:t>(13,748,922)</w:t>
            </w:r>
          </w:p>
        </w:tc>
        <w:tc>
          <w:tcPr>
            <w:tcW w:w="1200" w:type="dxa"/>
            <w:vAlign w:val="bottom"/>
          </w:tcPr>
          <w:p>
            <w:pPr>
              <w:ind w:left="220"/>
              <w:spacing w:after="0"/>
              <w:rPr>
                <w:sz w:val="20"/>
                <w:szCs w:val="20"/>
                <w:color w:val="auto"/>
              </w:rPr>
            </w:pPr>
            <w:r>
              <w:rPr>
                <w:rFonts w:ascii="Arial" w:cs="Arial" w:eastAsia="Arial" w:hAnsi="Arial"/>
                <w:sz w:val="16"/>
                <w:szCs w:val="16"/>
                <w:color w:val="auto"/>
              </w:rPr>
              <w:t>2,364,424 </w:t>
            </w:r>
          </w:p>
        </w:tc>
        <w:tc>
          <w:tcPr>
            <w:tcW w:w="1380" w:type="dxa"/>
            <w:vAlign w:val="bottom"/>
          </w:tcPr>
          <w:p>
            <w:pPr>
              <w:jc w:val="center"/>
              <w:ind w:right="20"/>
              <w:spacing w:after="0"/>
              <w:rPr>
                <w:sz w:val="20"/>
                <w:szCs w:val="20"/>
                <w:color w:val="auto"/>
              </w:rPr>
            </w:pPr>
            <w:r>
              <w:rPr>
                <w:rFonts w:ascii="Arial" w:cs="Arial" w:eastAsia="Arial" w:hAnsi="Arial"/>
                <w:sz w:val="16"/>
                <w:szCs w:val="16"/>
                <w:color w:val="auto"/>
                <w:w w:val="99"/>
              </w:rPr>
              <w:t>(619,414)</w:t>
            </w:r>
          </w:p>
        </w:tc>
        <w:tc>
          <w:tcPr>
            <w:tcW w:w="720" w:type="dxa"/>
            <w:vAlign w:val="bottom"/>
          </w:tcPr>
          <w:p>
            <w:pPr>
              <w:ind w:left="360"/>
              <w:spacing w:after="0"/>
              <w:rPr>
                <w:sz w:val="20"/>
                <w:szCs w:val="20"/>
                <w:color w:val="auto"/>
              </w:rPr>
            </w:pPr>
            <w:r>
              <w:rPr>
                <w:rFonts w:ascii="Arial" w:cs="Arial" w:eastAsia="Arial" w:hAnsi="Arial"/>
                <w:sz w:val="16"/>
                <w:szCs w:val="16"/>
                <w:color w:val="auto"/>
                <w:w w:val="79"/>
              </w:rPr>
              <w:t>123 </w:t>
            </w:r>
          </w:p>
        </w:tc>
        <w:tc>
          <w:tcPr>
            <w:tcW w:w="480" w:type="dxa"/>
            <w:vAlign w:val="bottom"/>
          </w:tcPr>
          <w:p>
            <w:pPr>
              <w:ind w:left="60"/>
              <w:spacing w:after="0"/>
              <w:rPr>
                <w:sz w:val="20"/>
                <w:szCs w:val="20"/>
                <w:color w:val="auto"/>
              </w:rPr>
            </w:pPr>
            <w:r>
              <w:rPr>
                <w:rFonts w:ascii="Arial" w:cs="Arial" w:eastAsia="Arial" w:hAnsi="Arial"/>
                <w:sz w:val="16"/>
                <w:szCs w:val="16"/>
                <w:color w:val="auto"/>
              </w:rPr>
              <w:t>    </w:t>
            </w:r>
          </w:p>
        </w:tc>
        <w:tc>
          <w:tcPr>
            <w:tcW w:w="660" w:type="dxa"/>
            <w:vAlign w:val="bottom"/>
          </w:tcPr>
          <w:p>
            <w:pPr>
              <w:ind w:left="280"/>
              <w:spacing w:after="0"/>
              <w:rPr>
                <w:sz w:val="20"/>
                <w:szCs w:val="20"/>
                <w:color w:val="auto"/>
              </w:rPr>
            </w:pPr>
            <w:r>
              <w:rPr>
                <w:rFonts w:ascii="Arial" w:cs="Arial" w:eastAsia="Arial" w:hAnsi="Arial"/>
                <w:sz w:val="16"/>
                <w:szCs w:val="16"/>
                <w:color w:val="auto"/>
                <w:w w:val="84"/>
              </w:rPr>
              <w:t>127 </w:t>
            </w:r>
          </w:p>
        </w:tc>
        <w:tc>
          <w:tcPr>
            <w:tcW w:w="40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ind w:left="220"/>
              <w:spacing w:after="0"/>
              <w:rPr>
                <w:sz w:val="20"/>
                <w:szCs w:val="20"/>
                <w:color w:val="auto"/>
              </w:rPr>
            </w:pPr>
            <w:r>
              <w:rPr>
                <w:rFonts w:ascii="Arial" w:cs="Arial" w:eastAsia="Arial" w:hAnsi="Arial"/>
                <w:sz w:val="16"/>
                <w:szCs w:val="16"/>
                <w:color w:val="auto"/>
                <w:w w:val="85"/>
              </w:rPr>
              <w:t>1,065 </w:t>
            </w:r>
          </w:p>
        </w:tc>
        <w:tc>
          <w:tcPr>
            <w:tcW w:w="320" w:type="dxa"/>
            <w:vAlign w:val="bottom"/>
          </w:tcPr>
          <w:p>
            <w:pPr>
              <w:ind w:left="60"/>
              <w:spacing w:after="0"/>
              <w:rPr>
                <w:sz w:val="20"/>
                <w:szCs w:val="20"/>
                <w:color w:val="auto"/>
              </w:rPr>
            </w:pPr>
            <w:r>
              <w:rPr>
                <w:rFonts w:ascii="Arial" w:cs="Arial" w:eastAsia="Arial" w:hAnsi="Arial"/>
                <w:sz w:val="16"/>
                <w:szCs w:val="16"/>
                <w:color w:val="auto"/>
              </w:rPr>
              <w:t>  </w:t>
            </w:r>
          </w:p>
        </w:tc>
        <w:tc>
          <w:tcPr>
            <w:tcW w:w="760" w:type="dxa"/>
            <w:vAlign w:val="bottom"/>
          </w:tcPr>
          <w:p>
            <w:pPr>
              <w:ind w:left="220"/>
              <w:spacing w:after="0"/>
              <w:rPr>
                <w:sz w:val="20"/>
                <w:szCs w:val="20"/>
                <w:color w:val="auto"/>
              </w:rPr>
            </w:pPr>
            <w:r>
              <w:rPr>
                <w:rFonts w:ascii="Arial" w:cs="Arial" w:eastAsia="Arial" w:hAnsi="Arial"/>
                <w:sz w:val="16"/>
                <w:szCs w:val="16"/>
                <w:color w:val="auto"/>
              </w:rPr>
              <w:t>1,213 </w:t>
            </w:r>
          </w:p>
        </w:tc>
      </w:tr>
      <w:tr>
        <w:trPr>
          <w:trHeight w:val="243"/>
        </w:trPr>
        <w:tc>
          <w:tcPr>
            <w:tcW w:w="1540" w:type="dxa"/>
            <w:vAlign w:val="bottom"/>
            <w:tcBorders>
              <w:bottom w:val="single" w:sz="8" w:color="021496"/>
            </w:tcBorders>
            <w:shd w:val="clear" w:color="auto" w:fill="D8D8D8"/>
          </w:tcPr>
          <w:p>
            <w:pPr>
              <w:jc w:val="right"/>
              <w:ind w:right="1000"/>
              <w:spacing w:after="0"/>
              <w:rPr>
                <w:sz w:val="20"/>
                <w:szCs w:val="20"/>
                <w:color w:val="auto"/>
              </w:rPr>
            </w:pPr>
            <w:r>
              <w:rPr>
                <w:rFonts w:ascii="Arial" w:cs="Arial" w:eastAsia="Arial" w:hAnsi="Arial"/>
                <w:sz w:val="16"/>
                <w:szCs w:val="16"/>
                <w:color w:val="auto"/>
              </w:rPr>
              <w:t>2021</w:t>
            </w:r>
          </w:p>
        </w:tc>
        <w:tc>
          <w:tcPr>
            <w:tcW w:w="1380" w:type="dxa"/>
            <w:vAlign w:val="bottom"/>
            <w:tcBorders>
              <w:bottom w:val="single" w:sz="8" w:color="021496"/>
            </w:tcBorders>
            <w:shd w:val="clear" w:color="auto" w:fill="D8D8D8"/>
          </w:tcPr>
          <w:p>
            <w:pPr>
              <w:ind w:left="320"/>
              <w:spacing w:after="0"/>
              <w:rPr>
                <w:sz w:val="20"/>
                <w:szCs w:val="20"/>
                <w:color w:val="auto"/>
              </w:rPr>
            </w:pPr>
            <w:r>
              <w:rPr>
                <w:rFonts w:ascii="Arial" w:cs="Arial" w:eastAsia="Arial" w:hAnsi="Arial"/>
                <w:sz w:val="16"/>
                <w:szCs w:val="16"/>
                <w:color w:val="auto"/>
              </w:rPr>
              <w:t>14,085,860 </w:t>
            </w:r>
          </w:p>
        </w:tc>
        <w:tc>
          <w:tcPr>
            <w:tcW w:w="1360" w:type="dxa"/>
            <w:vAlign w:val="bottom"/>
            <w:tcBorders>
              <w:bottom w:val="single" w:sz="8" w:color="021496"/>
            </w:tcBorders>
            <w:shd w:val="clear" w:color="auto" w:fill="D8D8D8"/>
          </w:tcPr>
          <w:p>
            <w:pPr>
              <w:ind w:left="240"/>
              <w:spacing w:after="0"/>
              <w:rPr>
                <w:sz w:val="20"/>
                <w:szCs w:val="20"/>
                <w:color w:val="auto"/>
              </w:rPr>
            </w:pPr>
            <w:r>
              <w:rPr>
                <w:rFonts w:ascii="Arial" w:cs="Arial" w:eastAsia="Arial" w:hAnsi="Arial"/>
                <w:sz w:val="16"/>
                <w:szCs w:val="16"/>
                <w:color w:val="auto"/>
              </w:rPr>
              <w:t>56,156,068  </w:t>
            </w:r>
          </w:p>
        </w:tc>
        <w:tc>
          <w:tcPr>
            <w:tcW w:w="1200" w:type="dxa"/>
            <w:vAlign w:val="bottom"/>
            <w:tcBorders>
              <w:bottom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rPr>
              <w:t>2,449,002 </w:t>
            </w:r>
          </w:p>
        </w:tc>
        <w:tc>
          <w:tcPr>
            <w:tcW w:w="1380" w:type="dxa"/>
            <w:vAlign w:val="bottom"/>
            <w:tcBorders>
              <w:bottom w:val="single" w:sz="8" w:color="021496"/>
            </w:tcBorders>
            <w:shd w:val="clear" w:color="auto" w:fill="D8D8D8"/>
          </w:tcPr>
          <w:p>
            <w:pPr>
              <w:jc w:val="center"/>
              <w:ind w:right="40"/>
              <w:spacing w:after="0"/>
              <w:rPr>
                <w:sz w:val="20"/>
                <w:szCs w:val="20"/>
                <w:color w:val="auto"/>
              </w:rPr>
            </w:pPr>
            <w:r>
              <w:rPr>
                <w:rFonts w:ascii="Arial" w:cs="Arial" w:eastAsia="Arial" w:hAnsi="Arial"/>
                <w:sz w:val="16"/>
                <w:szCs w:val="16"/>
                <w:color w:val="auto"/>
              </w:rPr>
              <w:t>6,425,459  </w:t>
            </w:r>
          </w:p>
        </w:tc>
        <w:tc>
          <w:tcPr>
            <w:tcW w:w="720" w:type="dxa"/>
            <w:vAlign w:val="bottom"/>
            <w:tcBorders>
              <w:bottom w:val="single" w:sz="8" w:color="021496"/>
            </w:tcBorders>
            <w:shd w:val="clear" w:color="auto" w:fill="D8D8D8"/>
          </w:tcPr>
          <w:p>
            <w:pPr>
              <w:ind w:left="360"/>
              <w:spacing w:after="0"/>
              <w:rPr>
                <w:sz w:val="20"/>
                <w:szCs w:val="20"/>
                <w:color w:val="auto"/>
              </w:rPr>
            </w:pPr>
            <w:r>
              <w:rPr>
                <w:rFonts w:ascii="Arial" w:cs="Arial" w:eastAsia="Arial" w:hAnsi="Arial"/>
                <w:sz w:val="16"/>
                <w:szCs w:val="16"/>
                <w:color w:val="auto"/>
                <w:w w:val="79"/>
              </w:rPr>
              <w:t>163 </w:t>
            </w:r>
          </w:p>
        </w:tc>
        <w:tc>
          <w:tcPr>
            <w:tcW w:w="48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021496"/>
            </w:tcBorders>
            <w:shd w:val="clear" w:color="auto" w:fill="D8D8D8"/>
          </w:tcPr>
          <w:p>
            <w:pPr>
              <w:ind w:left="280"/>
              <w:spacing w:after="0"/>
              <w:rPr>
                <w:sz w:val="20"/>
                <w:szCs w:val="20"/>
                <w:color w:val="auto"/>
              </w:rPr>
            </w:pPr>
            <w:r>
              <w:rPr>
                <w:rFonts w:ascii="Arial" w:cs="Arial" w:eastAsia="Arial" w:hAnsi="Arial"/>
                <w:sz w:val="16"/>
                <w:szCs w:val="16"/>
                <w:color w:val="auto"/>
                <w:w w:val="84"/>
              </w:rPr>
              <w:t>135 </w:t>
            </w:r>
          </w:p>
        </w:tc>
        <w:tc>
          <w:tcPr>
            <w:tcW w:w="40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w w:val="85"/>
              </w:rPr>
              <w:t>1,124 </w:t>
            </w:r>
          </w:p>
        </w:tc>
        <w:tc>
          <w:tcPr>
            <w:tcW w:w="32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021496"/>
            </w:tcBorders>
            <w:shd w:val="clear" w:color="auto" w:fill="D8D8D8"/>
          </w:tcPr>
          <w:p>
            <w:pPr>
              <w:ind w:left="220"/>
              <w:spacing w:after="0"/>
              <w:rPr>
                <w:sz w:val="20"/>
                <w:szCs w:val="20"/>
                <w:color w:val="auto"/>
              </w:rPr>
            </w:pPr>
            <w:r>
              <w:rPr>
                <w:rFonts w:ascii="Arial" w:cs="Arial" w:eastAsia="Arial" w:hAnsi="Arial"/>
                <w:sz w:val="16"/>
                <w:szCs w:val="16"/>
                <w:color w:val="auto"/>
              </w:rPr>
              <w:t>1,109 </w:t>
            </w:r>
          </w:p>
        </w:tc>
      </w:tr>
    </w:tbl>
    <w:p>
      <w:pPr>
        <w:spacing w:after="0" w:line="55" w:lineRule="exact"/>
        <w:rPr>
          <w:sz w:val="20"/>
          <w:szCs w:val="20"/>
          <w:color w:val="auto"/>
        </w:rPr>
      </w:pPr>
    </w:p>
    <w:p>
      <w:pPr>
        <w:ind w:left="700" w:right="20" w:hanging="426"/>
        <w:spacing w:after="0" w:line="260" w:lineRule="auto"/>
        <w:tabs>
          <w:tab w:leader="none" w:pos="70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The table below provides the adjustments required by Item 402(v) to be made to the Summary Compensation Table totals to determine “compensation actually paid” as reported in the Pay versus Performance Table. “Compensation actually paid” does not necessarily represent cash and/or equity value transferred to the applicable NEO without restriction, but rather is a value calculated under applicable SEC rules.</w:t>
      </w:r>
    </w:p>
    <w:p>
      <w:pPr>
        <w:spacing w:after="0" w:line="109"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76</w:t>
      </w:r>
    </w:p>
    <w:p>
      <w:pPr>
        <w:sectPr>
          <w:pgSz w:w="11900" w:h="16838" w:orient="portrait"/>
          <w:cols w:equalWidth="0" w:num="1">
            <w:col w:w="11080"/>
          </w:cols>
          <w:pgMar w:left="320" w:top="478" w:right="4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500" w:type="dxa"/>
            <w:vAlign w:val="bottom"/>
            <w:tcBorders>
              <w:top w:val="single" w:sz="8" w:color="021496"/>
            </w:tcBorders>
          </w:tcPr>
          <w:p>
            <w:pPr>
              <w:spacing w:after="0"/>
              <w:rPr>
                <w:sz w:val="14"/>
                <w:szCs w:val="14"/>
                <w:color w:val="auto"/>
              </w:rPr>
            </w:pPr>
          </w:p>
        </w:tc>
        <w:tc>
          <w:tcPr>
            <w:tcW w:w="1360" w:type="dxa"/>
            <w:vAlign w:val="bottom"/>
            <w:tcBorders>
              <w:top w:val="single" w:sz="8" w:color="021496"/>
            </w:tcBorders>
          </w:tcPr>
          <w:p>
            <w:pPr>
              <w:jc w:val="center"/>
              <w:spacing w:after="0"/>
              <w:rPr>
                <w:sz w:val="20"/>
                <w:szCs w:val="20"/>
                <w:color w:val="auto"/>
              </w:rPr>
            </w:pPr>
            <w:r>
              <w:rPr>
                <w:rFonts w:ascii="Arial" w:cs="Arial" w:eastAsia="Arial" w:hAnsi="Arial"/>
                <w:sz w:val="14"/>
                <w:szCs w:val="14"/>
                <w:b w:val="1"/>
                <w:bCs w:val="1"/>
                <w:color w:val="auto"/>
              </w:rPr>
              <w:t>Subtract</w:t>
            </w:r>
          </w:p>
        </w:tc>
        <w:tc>
          <w:tcPr>
            <w:tcW w:w="118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spacing w:after="0"/>
              <w:rPr>
                <w:sz w:val="14"/>
                <w:szCs w:val="14"/>
                <w:color w:val="auto"/>
              </w:rPr>
            </w:pPr>
          </w:p>
        </w:tc>
        <w:tc>
          <w:tcPr>
            <w:tcW w:w="1020" w:type="dxa"/>
            <w:vAlign w:val="bottom"/>
            <w:tcBorders>
              <w:top w:val="single" w:sz="8" w:color="021496"/>
            </w:tcBorders>
          </w:tcPr>
          <w:p>
            <w:pPr>
              <w:spacing w:after="0"/>
              <w:rPr>
                <w:sz w:val="14"/>
                <w:szCs w:val="14"/>
                <w:color w:val="auto"/>
              </w:rPr>
            </w:pPr>
          </w:p>
        </w:tc>
        <w:tc>
          <w:tcPr>
            <w:tcW w:w="1020" w:type="dxa"/>
            <w:vAlign w:val="bottom"/>
            <w:tcBorders>
              <w:top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rPr>
              <w:t>Increase</w:t>
            </w:r>
          </w:p>
        </w:tc>
        <w:tc>
          <w:tcPr>
            <w:tcW w:w="1240" w:type="dxa"/>
            <w:vAlign w:val="bottom"/>
            <w:tcBorders>
              <w:top w:val="single" w:sz="8" w:color="021496"/>
            </w:tcBorders>
          </w:tcPr>
          <w:p>
            <w:pPr>
              <w:spacing w:after="0"/>
              <w:rPr>
                <w:sz w:val="14"/>
                <w:szCs w:val="14"/>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for Service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reported in the</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Subtract</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Cost</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and, if</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 and</w:t>
            </w:r>
          </w:p>
        </w:tc>
        <w:tc>
          <w:tcPr>
            <w:tcW w:w="1180" w:type="dxa"/>
            <w:vAlign w:val="bottom"/>
          </w:tcPr>
          <w:p>
            <w:pPr>
              <w:spacing w:after="0"/>
              <w:rPr>
                <w:sz w:val="13"/>
                <w:szCs w:val="13"/>
                <w:color w:val="auto"/>
              </w:rPr>
            </w:pP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Change in</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Value as of</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Actuarial</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applicable,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“Option</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rPr>
              <w:t>YE Value of</w:t>
            </w: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Value as of YE</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Vesting Date</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Value of</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Prior</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rPr>
              <w:t>Current Year</w:t>
            </w: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for Prior Year</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for Prior Year</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Pension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Service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columns in</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w w:val="98"/>
              </w:rPr>
              <w:t>Awards</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Awards</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Awards That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Benefits</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Cost for</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the SCT for</w:t>
            </w:r>
          </w:p>
        </w:tc>
        <w:tc>
          <w:tcPr>
            <w:tcW w:w="1180" w:type="dxa"/>
            <w:vAlign w:val="bottom"/>
          </w:tcPr>
          <w:p>
            <w:pPr>
              <w:jc w:val="center"/>
              <w:ind w:right="23"/>
              <w:spacing w:after="0"/>
              <w:rPr>
                <w:sz w:val="20"/>
                <w:szCs w:val="20"/>
                <w:color w:val="auto"/>
              </w:rPr>
            </w:pPr>
            <w:r>
              <w:rPr>
                <w:rFonts w:ascii="Arial" w:cs="Arial" w:eastAsia="Arial" w:hAnsi="Arial"/>
                <w:sz w:val="14"/>
                <w:szCs w:val="14"/>
                <w:b w:val="1"/>
                <w:bCs w:val="1"/>
                <w:color w:val="auto"/>
              </w:rPr>
              <w:t>Outstanding</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Outstanding</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Vested During</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During</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pension</w:t>
            </w: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Total</w:t>
            </w:r>
          </w:p>
        </w:tc>
      </w:tr>
      <w:tr>
        <w:trPr>
          <w:trHeight w:val="183"/>
        </w:trPr>
        <w:tc>
          <w:tcPr>
            <w:tcW w:w="2500" w:type="dxa"/>
            <w:vAlign w:val="bottom"/>
            <w:tcBorders>
              <w:bottom w:val="single" w:sz="8" w:color="021496"/>
            </w:tcBorders>
          </w:tcPr>
          <w:p>
            <w:pPr>
              <w:spacing w:after="0"/>
              <w:rPr>
                <w:sz w:val="15"/>
                <w:szCs w:val="15"/>
                <w:color w:val="auto"/>
              </w:rPr>
            </w:pPr>
          </w:p>
        </w:tc>
        <w:tc>
          <w:tcPr>
            <w:tcW w:w="1360" w:type="dxa"/>
            <w:vAlign w:val="bottom"/>
            <w:tcBorders>
              <w:bottom w:val="single" w:sz="8" w:color="021496"/>
            </w:tcBorders>
          </w:tcPr>
          <w:p>
            <w:pPr>
              <w:jc w:val="center"/>
              <w:spacing w:after="0"/>
              <w:rPr>
                <w:sz w:val="20"/>
                <w:szCs w:val="20"/>
                <w:color w:val="auto"/>
              </w:rPr>
            </w:pPr>
            <w:r>
              <w:rPr>
                <w:rFonts w:ascii="Arial" w:cs="Arial" w:eastAsia="Arial" w:hAnsi="Arial"/>
                <w:sz w:val="14"/>
                <w:szCs w:val="14"/>
                <w:b w:val="1"/>
                <w:bCs w:val="1"/>
                <w:color w:val="auto"/>
              </w:rPr>
              <w:t>applicable FY</w:t>
            </w:r>
          </w:p>
        </w:tc>
        <w:tc>
          <w:tcPr>
            <w:tcW w:w="118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as of YE</w:t>
            </w:r>
          </w:p>
        </w:tc>
        <w:tc>
          <w:tcPr>
            <w:tcW w:w="130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as of YE</w:t>
            </w:r>
          </w:p>
        </w:tc>
        <w:tc>
          <w:tcPr>
            <w:tcW w:w="130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the Year</w:t>
            </w:r>
          </w:p>
        </w:tc>
        <w:tc>
          <w:tcPr>
            <w:tcW w:w="1020" w:type="dxa"/>
            <w:vAlign w:val="bottom"/>
            <w:tcBorders>
              <w:bottom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w w:val="98"/>
              </w:rPr>
              <w:t>Year</w:t>
            </w:r>
          </w:p>
        </w:tc>
        <w:tc>
          <w:tcPr>
            <w:tcW w:w="1020" w:type="dxa"/>
            <w:vAlign w:val="bottom"/>
            <w:tcBorders>
              <w:bottom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rPr>
              <w:t>plans</w:t>
            </w:r>
          </w:p>
        </w:tc>
        <w:tc>
          <w:tcPr>
            <w:tcW w:w="1240" w:type="dxa"/>
            <w:vAlign w:val="bottom"/>
            <w:tcBorders>
              <w:bottom w:val="single" w:sz="8" w:color="021496"/>
            </w:tcBorders>
          </w:tcPr>
          <w:p>
            <w:pPr>
              <w:jc w:val="right"/>
              <w:ind w:right="141"/>
              <w:spacing w:after="0"/>
              <w:rPr>
                <w:sz w:val="20"/>
                <w:szCs w:val="20"/>
                <w:color w:val="auto"/>
              </w:rPr>
            </w:pPr>
            <w:r>
              <w:rPr>
                <w:rFonts w:ascii="Arial" w:cs="Arial" w:eastAsia="Arial" w:hAnsi="Arial"/>
                <w:sz w:val="14"/>
                <w:szCs w:val="14"/>
                <w:b w:val="1"/>
                <w:bCs w:val="1"/>
                <w:color w:val="auto"/>
              </w:rPr>
              <w:t>Adjustments</w:t>
            </w:r>
          </w:p>
        </w:tc>
      </w:tr>
      <w:tr>
        <w:trPr>
          <w:trHeight w:val="181"/>
        </w:trPr>
        <w:tc>
          <w:tcPr>
            <w:tcW w:w="2500" w:type="dxa"/>
            <w:vAlign w:val="bottom"/>
            <w:shd w:val="clear" w:color="auto" w:fill="D8D8D8"/>
          </w:tcPr>
          <w:p>
            <w:pPr>
              <w:ind w:left="160"/>
              <w:spacing w:after="0" w:line="181" w:lineRule="exact"/>
              <w:rPr>
                <w:sz w:val="20"/>
                <w:szCs w:val="20"/>
                <w:color w:val="auto"/>
              </w:rPr>
            </w:pPr>
            <w:r>
              <w:rPr>
                <w:rFonts w:ascii="Arial" w:cs="Arial" w:eastAsia="Arial" w:hAnsi="Arial"/>
                <w:sz w:val="16"/>
                <w:szCs w:val="16"/>
                <w:b w:val="1"/>
                <w:bCs w:val="1"/>
                <w:color w:val="auto"/>
              </w:rPr>
              <w:t>CEO</w:t>
            </w:r>
          </w:p>
        </w:tc>
        <w:tc>
          <w:tcPr>
            <w:tcW w:w="1360" w:type="dxa"/>
            <w:vAlign w:val="bottom"/>
            <w:shd w:val="clear" w:color="auto" w:fill="D8D8D8"/>
          </w:tcPr>
          <w:p>
            <w:pPr>
              <w:spacing w:after="0"/>
              <w:rPr>
                <w:sz w:val="15"/>
                <w:szCs w:val="15"/>
                <w:color w:val="auto"/>
              </w:rPr>
            </w:pPr>
          </w:p>
        </w:tc>
        <w:tc>
          <w:tcPr>
            <w:tcW w:w="118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2025</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($14,603,244)</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$12,129,947</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($702,441)</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($547,799)</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($3,723,536)</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2024</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($14,162,208)</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$16,676,943</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$5,699,375</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$2,781,362</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$10,995,472</w:t>
            </w: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2023</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($13,295,490)</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$11,363,301</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$1,044,413</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$564,844</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($322,931)</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2022</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($10,414,752)</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$7,113,700</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($13,168,694)</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($11,422,428)</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($27,892,174)</w:t>
            </w:r>
          </w:p>
        </w:tc>
      </w:tr>
      <w:tr>
        <w:trPr>
          <w:trHeight w:val="22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2021</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($9,388,609)</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$20,394,184</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$20,486,457</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$10,578,176</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$42,070,208</w:t>
            </w:r>
          </w:p>
        </w:tc>
      </w:tr>
      <w:tr>
        <w:trPr>
          <w:trHeight w:val="70"/>
        </w:trPr>
        <w:tc>
          <w:tcPr>
            <w:tcW w:w="2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14"/>
        </w:trPr>
        <w:tc>
          <w:tcPr>
            <w:tcW w:w="2500" w:type="dxa"/>
            <w:vAlign w:val="bottom"/>
            <w:shd w:val="clear" w:color="auto" w:fill="D8D8D8"/>
          </w:tcPr>
          <w:p>
            <w:pPr>
              <w:ind w:left="160"/>
              <w:spacing w:after="0"/>
              <w:rPr>
                <w:sz w:val="20"/>
                <w:szCs w:val="20"/>
                <w:color w:val="auto"/>
              </w:rPr>
            </w:pPr>
            <w:r>
              <w:rPr>
                <w:rFonts w:ascii="Arial" w:cs="Arial" w:eastAsia="Arial" w:hAnsi="Arial"/>
                <w:sz w:val="16"/>
                <w:szCs w:val="16"/>
                <w:b w:val="1"/>
                <w:bCs w:val="1"/>
                <w:color w:val="auto"/>
              </w:rPr>
              <w:t>Avg. Other NEOs</w:t>
            </w:r>
          </w:p>
        </w:tc>
        <w:tc>
          <w:tcPr>
            <w:tcW w:w="1360" w:type="dxa"/>
            <w:vAlign w:val="bottom"/>
            <w:shd w:val="clear" w:color="auto" w:fill="D8D8D8"/>
          </w:tcPr>
          <w:p>
            <w:pPr>
              <w:spacing w:after="0"/>
              <w:rPr>
                <w:sz w:val="18"/>
                <w:szCs w:val="18"/>
                <w:color w:val="auto"/>
              </w:rPr>
            </w:pPr>
          </w:p>
        </w:tc>
        <w:tc>
          <w:tcPr>
            <w:tcW w:w="118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2025</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($1,168,333)</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$970,464</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($62,544)</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($45,113)</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($114,883)</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($420,409)</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2024</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($1,354,841)</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$1,563,051</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$547,013</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$268,211</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($82,880)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$940,555</w:t>
            </w: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2023</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($1,583,212)</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$1,353,124</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$120,430</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$70,125</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($181,806)</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$101,407</w:t>
            </w:r>
          </w:p>
        </w:tc>
        <w:tc>
          <w:tcPr>
            <w:tcW w:w="1240" w:type="dxa"/>
            <w:vAlign w:val="bottom"/>
          </w:tcPr>
          <w:p>
            <w:pPr>
              <w:jc w:val="right"/>
              <w:spacing w:after="0"/>
              <w:rPr>
                <w:sz w:val="20"/>
                <w:szCs w:val="20"/>
                <w:color w:val="auto"/>
              </w:rPr>
            </w:pPr>
            <w:r>
              <w:rPr>
                <w:rFonts w:ascii="Arial" w:cs="Arial" w:eastAsia="Arial" w:hAnsi="Arial"/>
                <w:sz w:val="16"/>
                <w:szCs w:val="16"/>
                <w:color w:val="auto"/>
              </w:rPr>
              <w:t>($119,932)</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2022</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($1,274,395)</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$870,461</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($1,541,476)</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($1,164,392)</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$125,964</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($2,983,839)</w:t>
            </w:r>
          </w:p>
        </w:tc>
      </w:tr>
      <w:tr>
        <w:trPr>
          <w:trHeight w:val="214"/>
        </w:trPr>
        <w:tc>
          <w:tcPr>
            <w:tcW w:w="2500" w:type="dxa"/>
            <w:vAlign w:val="bottom"/>
            <w:tcBorders>
              <w:bottom w:val="single" w:sz="8" w:color="021496"/>
            </w:tcBorders>
          </w:tcPr>
          <w:p>
            <w:pPr>
              <w:jc w:val="right"/>
              <w:ind w:right="1740"/>
              <w:spacing w:after="0"/>
              <w:rPr>
                <w:sz w:val="20"/>
                <w:szCs w:val="20"/>
                <w:color w:val="auto"/>
              </w:rPr>
            </w:pPr>
            <w:r>
              <w:rPr>
                <w:rFonts w:ascii="Arial" w:cs="Arial" w:eastAsia="Arial" w:hAnsi="Arial"/>
                <w:sz w:val="16"/>
                <w:szCs w:val="16"/>
                <w:color w:val="auto"/>
              </w:rPr>
              <w:t>2021</w:t>
            </w:r>
          </w:p>
        </w:tc>
        <w:tc>
          <w:tcPr>
            <w:tcW w:w="1360" w:type="dxa"/>
            <w:vAlign w:val="bottom"/>
            <w:tcBorders>
              <w:bottom w:val="single" w:sz="8" w:color="021496"/>
            </w:tcBorders>
          </w:tcPr>
          <w:p>
            <w:pPr>
              <w:jc w:val="right"/>
              <w:ind w:right="44"/>
              <w:spacing w:after="0"/>
              <w:rPr>
                <w:sz w:val="20"/>
                <w:szCs w:val="20"/>
                <w:color w:val="auto"/>
              </w:rPr>
            </w:pPr>
            <w:r>
              <w:rPr>
                <w:rFonts w:ascii="Arial" w:cs="Arial" w:eastAsia="Arial" w:hAnsi="Arial"/>
                <w:sz w:val="16"/>
                <w:szCs w:val="16"/>
                <w:color w:val="auto"/>
              </w:rPr>
              <w:t>($1,092,135)</w:t>
            </w:r>
          </w:p>
        </w:tc>
        <w:tc>
          <w:tcPr>
            <w:tcW w:w="1180" w:type="dxa"/>
            <w:vAlign w:val="bottom"/>
            <w:tcBorders>
              <w:bottom w:val="single" w:sz="8" w:color="021496"/>
            </w:tcBorders>
          </w:tcPr>
          <w:p>
            <w:pPr>
              <w:jc w:val="right"/>
              <w:ind w:right="43"/>
              <w:spacing w:after="0"/>
              <w:rPr>
                <w:sz w:val="20"/>
                <w:szCs w:val="20"/>
                <w:color w:val="auto"/>
              </w:rPr>
            </w:pPr>
            <w:r>
              <w:rPr>
                <w:rFonts w:ascii="Arial" w:cs="Arial" w:eastAsia="Arial" w:hAnsi="Arial"/>
                <w:sz w:val="16"/>
                <w:szCs w:val="16"/>
                <w:color w:val="auto"/>
              </w:rPr>
              <w:t>$2,372,348</w:t>
            </w:r>
          </w:p>
        </w:tc>
        <w:tc>
          <w:tcPr>
            <w:tcW w:w="1300" w:type="dxa"/>
            <w:vAlign w:val="bottom"/>
            <w:tcBorders>
              <w:bottom w:val="single" w:sz="8" w:color="021496"/>
            </w:tcBorders>
          </w:tcPr>
          <w:p>
            <w:pPr>
              <w:jc w:val="right"/>
              <w:ind w:right="43"/>
              <w:spacing w:after="0"/>
              <w:rPr>
                <w:sz w:val="20"/>
                <w:szCs w:val="20"/>
                <w:color w:val="auto"/>
              </w:rPr>
            </w:pPr>
            <w:r>
              <w:rPr>
                <w:rFonts w:ascii="Arial" w:cs="Arial" w:eastAsia="Arial" w:hAnsi="Arial"/>
                <w:sz w:val="16"/>
                <w:szCs w:val="16"/>
                <w:color w:val="auto"/>
              </w:rPr>
              <w:t>$2,192,026</w:t>
            </w:r>
          </w:p>
        </w:tc>
        <w:tc>
          <w:tcPr>
            <w:tcW w:w="1300" w:type="dxa"/>
            <w:vAlign w:val="bottom"/>
            <w:tcBorders>
              <w:bottom w:val="single" w:sz="8" w:color="021496"/>
            </w:tcBorders>
          </w:tcPr>
          <w:p>
            <w:pPr>
              <w:jc w:val="right"/>
              <w:ind w:right="63"/>
              <w:spacing w:after="0"/>
              <w:rPr>
                <w:sz w:val="20"/>
                <w:szCs w:val="20"/>
                <w:color w:val="auto"/>
              </w:rPr>
            </w:pPr>
            <w:r>
              <w:rPr>
                <w:rFonts w:ascii="Arial" w:cs="Arial" w:eastAsia="Arial" w:hAnsi="Arial"/>
                <w:sz w:val="16"/>
                <w:szCs w:val="16"/>
                <w:color w:val="auto"/>
              </w:rPr>
              <w:t>$417,286</w:t>
            </w:r>
          </w:p>
        </w:tc>
        <w:tc>
          <w:tcPr>
            <w:tcW w:w="1020" w:type="dxa"/>
            <w:vAlign w:val="bottom"/>
            <w:tcBorders>
              <w:bottom w:val="single" w:sz="8" w:color="021496"/>
            </w:tcBorders>
          </w:tcPr>
          <w:p>
            <w:pPr>
              <w:jc w:val="right"/>
              <w:ind w:right="24"/>
              <w:spacing w:after="0"/>
              <w:rPr>
                <w:sz w:val="20"/>
                <w:szCs w:val="20"/>
                <w:color w:val="auto"/>
              </w:rPr>
            </w:pPr>
            <w:r>
              <w:rPr>
                <w:rFonts w:ascii="Arial" w:cs="Arial" w:eastAsia="Arial" w:hAnsi="Arial"/>
                <w:sz w:val="16"/>
                <w:szCs w:val="16"/>
                <w:color w:val="auto"/>
              </w:rPr>
              <w:t>($45,668)</w:t>
            </w:r>
          </w:p>
        </w:tc>
        <w:tc>
          <w:tcPr>
            <w:tcW w:w="1020" w:type="dxa"/>
            <w:vAlign w:val="bottom"/>
            <w:tcBorders>
              <w:bottom w:val="single" w:sz="8" w:color="021496"/>
            </w:tcBorders>
          </w:tcPr>
          <w:p>
            <w:pPr>
              <w:jc w:val="right"/>
              <w:ind w:right="84"/>
              <w:spacing w:after="0"/>
              <w:rPr>
                <w:sz w:val="20"/>
                <w:szCs w:val="20"/>
                <w:color w:val="auto"/>
              </w:rPr>
            </w:pPr>
            <w:r>
              <w:rPr>
                <w:rFonts w:ascii="Arial" w:cs="Arial" w:eastAsia="Arial" w:hAnsi="Arial"/>
                <w:sz w:val="16"/>
                <w:szCs w:val="16"/>
                <w:color w:val="auto"/>
              </w:rPr>
              <w:t>$132,600</w:t>
            </w:r>
          </w:p>
        </w:tc>
        <w:tc>
          <w:tcPr>
            <w:tcW w:w="1240" w:type="dxa"/>
            <w:vAlign w:val="bottom"/>
            <w:tcBorders>
              <w:bottom w:val="single" w:sz="8" w:color="021496"/>
            </w:tcBorders>
          </w:tcPr>
          <w:p>
            <w:pPr>
              <w:jc w:val="right"/>
              <w:spacing w:after="0"/>
              <w:rPr>
                <w:sz w:val="20"/>
                <w:szCs w:val="20"/>
                <w:color w:val="auto"/>
              </w:rPr>
            </w:pPr>
            <w:r>
              <w:rPr>
                <w:rFonts w:ascii="Arial" w:cs="Arial" w:eastAsia="Arial" w:hAnsi="Arial"/>
                <w:sz w:val="16"/>
                <w:szCs w:val="16"/>
                <w:color w:val="auto"/>
              </w:rPr>
              <w:t>$3,976,457</w:t>
            </w:r>
          </w:p>
        </w:tc>
      </w:tr>
    </w:tbl>
    <w:p>
      <w:pPr>
        <w:spacing w:after="0" w:line="108" w:lineRule="exact"/>
        <w:rPr>
          <w:sz w:val="20"/>
          <w:szCs w:val="20"/>
          <w:color w:val="auto"/>
        </w:rPr>
      </w:pPr>
    </w:p>
    <w:p>
      <w:pPr>
        <w:ind w:left="700" w:hanging="426"/>
        <w:spacing w:after="0"/>
        <w:tabs>
          <w:tab w:leader="none" w:pos="700"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2020-2023 Adjusted Net Earnings have not been recast to reflect the impact of discontinued operations resulting from the sale of ESG in 2024.</w:t>
      </w:r>
    </w:p>
    <w:p>
      <w:pPr>
        <w:spacing w:after="0" w:line="17" w:lineRule="exact"/>
        <w:rPr>
          <w:rFonts w:ascii="Arial" w:cs="Arial" w:eastAsia="Arial" w:hAnsi="Arial"/>
          <w:sz w:val="16"/>
          <w:szCs w:val="16"/>
          <w:i w:val="1"/>
          <w:iCs w:val="1"/>
          <w:color w:val="auto"/>
        </w:rPr>
      </w:pPr>
    </w:p>
    <w:p>
      <w:pPr>
        <w:ind w:left="700" w:hanging="426"/>
        <w:spacing w:after="0"/>
        <w:tabs>
          <w:tab w:leader="none" w:pos="700"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Earnings for 2024 reflects the after-tax gain on sale for the De-Sta-Co and ESG dispositions which occurred in 2024.</w:t>
      </w:r>
    </w:p>
    <w:p>
      <w:pPr>
        <w:spacing w:after="0" w:line="16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table above reconciles Summary Compensation Table pay to Compensation Actually Paid in accordance with the required methodology, meaning that outstanding awards have been valued prior to vesting based on fair values. The change in fair values of RSUs across measurement dates is attributable to the change in stock prices. The change in the fair values of SSARs is measured using a Black-Scholes model and is driven by changes in stock price and the expected life of the SSARs as well as the prevailing stock price volatility, risk-free rate, and dividend yield at the measurement date.</w:t>
      </w:r>
    </w:p>
    <w:p>
      <w:pPr>
        <w:spacing w:after="0" w:line="138" w:lineRule="exact"/>
        <w:rPr>
          <w:sz w:val="20"/>
          <w:szCs w:val="20"/>
          <w:color w:val="auto"/>
        </w:rPr>
      </w:pPr>
    </w:p>
    <w:p>
      <w:pPr>
        <w:ind w:left="160" w:right="780"/>
        <w:spacing w:after="0" w:line="279" w:lineRule="auto"/>
        <w:rPr>
          <w:sz w:val="20"/>
          <w:szCs w:val="20"/>
          <w:color w:val="auto"/>
        </w:rPr>
      </w:pPr>
      <w:r>
        <w:rPr>
          <w:rFonts w:ascii="Arial" w:cs="Arial" w:eastAsia="Arial" w:hAnsi="Arial"/>
          <w:sz w:val="16"/>
          <w:szCs w:val="16"/>
          <w:color w:val="auto"/>
        </w:rPr>
        <w:t>The change in the fair values of the PSUs, for which the performance metric is internal TSR, reflects our projected payout factors relative to the performance metric and stock price as at fiscal year-end.</w:t>
      </w:r>
    </w:p>
    <w:p>
      <w:pPr>
        <w:spacing w:after="0" w:line="134"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The change in the fair values of PSUs, for which the performance metric is relative TSR, is measured using a Monte Carlo model and is driven by stock price volatility (for Dover and our peer group), the correlation coefficients between Dover and each peer company, and prevailing dividend yields and risk-free rates.</w:t>
      </w:r>
    </w:p>
    <w:p>
      <w:pPr>
        <w:spacing w:after="0" w:line="13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change in the fair values of PSUs, for which 50% of the performance metric is relative TSR and 50% is Tangible ROIC, is measured: (i) for the portion based on relative TSR, using a Monte Carlo model and is driven by stock price volatility (for Dover and our peer group), the correlation coefficients between Dover and each peer company, and prevailing dividend yields and risk-free rates; and (ii) for the portion based on Tangible ROIC, is driven by the change in adjusted net earnings over total tangibles.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Relationship Between Compensation Actually Paid and Performance Measures</w:t>
      </w:r>
    </w:p>
    <w:p>
      <w:pPr>
        <w:spacing w:after="0" w:line="74"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We believe the Pay versus Performance Table shows the alignment between compensation actually paid to the NEOs and the Company’s performance, consistent with our compensation philosophy. Specifically, a significant portion of target NEO pay opportunity is tied to Dover stock performance. Accordingly, the compensation actually paid to the NEOs for the past three fiscal years presented in the Pay versus Performance table was aligned with our TSR performance, increasing when our TSR performance increased and declining when our TSR performance declined.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77</w:t>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auto"/>
        </w:rPr>
        <w:t>The charts below illustrate, for the past three fiscal years, the relationship between compensation actually paid to the CEO and the average other NEOs and the financial metrics disclosed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128270</wp:posOffset>
            </wp:positionV>
            <wp:extent cx="3787775" cy="5494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87775"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78</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104775</wp:posOffset>
            </wp:positionV>
            <wp:extent cx="3787775" cy="26327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8777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2025 Most Important Performance Measure</w:t>
      </w:r>
    </w:p>
    <w:p>
      <w:pPr>
        <w:spacing w:after="0" w:line="100"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color w:val="auto"/>
        </w:rPr>
        <w:t>In addition to TSR, which is already included in the PVP table, we believe the following measure is the most important financial performance measure used to link compensation actually paid to the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38010" cy="169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38010" cy="169545"/>
                    </a:xfrm>
                    <a:prstGeom prst="rect">
                      <a:avLst/>
                    </a:prstGeom>
                    <a:noFill/>
                  </pic:spPr>
                </pic:pic>
              </a:graphicData>
            </a:graphic>
          </wp:anchor>
        </w:drawing>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Adjusted Earnings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sectPr>
          <w:pgSz w:w="11900" w:h="16838" w:orient="portrait"/>
          <w:cols w:equalWidth="0" w:num="1">
            <w:col w:w="11080"/>
          </w:cols>
          <w:pgMar w:left="320" w:top="478" w:right="499" w:bottom="1440" w:gutter="0" w:footer="0" w:header="0"/>
        </w:sectPr>
      </w:pPr>
    </w:p>
    <w:bookmarkStart w:id="84" w:name="page85"/>
    <w:bookmarkEnd w:id="84"/>
    <w:p>
      <w:pPr>
        <w:ind w:right="40"/>
        <w:spacing w:after="0" w:line="284" w:lineRule="auto"/>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3 — Advisory Resolution to Approve Named Executive Officer Compensation</w:t>
      </w:r>
    </w:p>
    <w:p>
      <w:pPr>
        <w:spacing w:after="0" w:line="87" w:lineRule="exact"/>
        <w:rPr>
          <w:sz w:val="20"/>
          <w:szCs w:val="20"/>
          <w:color w:val="auto"/>
        </w:rPr>
      </w:pPr>
    </w:p>
    <w:p>
      <w:pPr>
        <w:ind w:right="720"/>
        <w:spacing w:after="0" w:line="279" w:lineRule="auto"/>
        <w:rPr>
          <w:sz w:val="20"/>
          <w:szCs w:val="20"/>
          <w:color w:val="auto"/>
        </w:rPr>
      </w:pPr>
      <w:r>
        <w:rPr>
          <w:rFonts w:ascii="Arial" w:cs="Arial" w:eastAsia="Arial" w:hAnsi="Arial"/>
          <w:sz w:val="16"/>
          <w:szCs w:val="16"/>
          <w:color w:val="auto"/>
        </w:rPr>
        <w:t>Each year, we offer our shareholders an opportunity to vote to approve, on an advisory and nonbinding basis, the compensation of our NEOs as disclosed in this Proxy Statement in accordance with Section 14A of the Exchange Act.</w:t>
      </w:r>
    </w:p>
    <w:p>
      <w:pPr>
        <w:spacing w:after="0" w:line="54" w:lineRule="exact"/>
        <w:rPr>
          <w:sz w:val="20"/>
          <w:szCs w:val="20"/>
          <w:color w:val="auto"/>
        </w:rPr>
      </w:pPr>
    </w:p>
    <w:p>
      <w:pPr>
        <w:jc w:val="both"/>
        <w:ind w:right="460"/>
        <w:spacing w:after="0" w:line="262" w:lineRule="auto"/>
        <w:rPr>
          <w:sz w:val="20"/>
          <w:szCs w:val="20"/>
          <w:color w:val="auto"/>
        </w:rPr>
      </w:pPr>
      <w:r>
        <w:rPr>
          <w:rFonts w:ascii="Arial" w:cs="Arial" w:eastAsia="Arial" w:hAnsi="Arial"/>
          <w:sz w:val="16"/>
          <w:szCs w:val="16"/>
          <w:color w:val="auto"/>
        </w:rPr>
        <w:t>We are asking our shareholders to indicate their support for our NEO compensation as described in this Proxy Statement. This proposal, commonly known as a “Say on Pay” proposal, gives our shareholders the opportunity to express their views on our NEOs’ compensation. We believe that our compensation programs are well designed and reinforce our strategic focus on continued revenue and profit growth.</w:t>
      </w:r>
    </w:p>
    <w:p>
      <w:pPr>
        <w:spacing w:after="0" w:line="66"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 At our 2025 annual meeting, approximately 92% of the voting shareholders approved the compensation of the NEOs. At our 2024 annual meeting, approximately 94% of the voting shareholders approved the compensation of the NEOs. The Compensation Committee will continue to consider feedback from shareholders, as well as the results from future shareholder advisory votes, in its ongoing evaluation of executive compensation programs and practices at Dover.</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54" w:lineRule="exact"/>
        <w:rPr>
          <w:sz w:val="20"/>
          <w:szCs w:val="20"/>
          <w:color w:val="auto"/>
        </w:rPr>
      </w:pPr>
    </w:p>
    <w:p>
      <w:pPr>
        <w:ind w:left="440" w:right="120"/>
        <w:spacing w:after="0" w:line="256" w:lineRule="auto"/>
        <w:rPr>
          <w:sz w:val="20"/>
          <w:szCs w:val="20"/>
          <w:color w:val="auto"/>
        </w:rPr>
      </w:pPr>
      <w:r>
        <w:rPr>
          <w:rFonts w:ascii="Arial" w:cs="Arial" w:eastAsia="Arial" w:hAnsi="Arial"/>
          <w:sz w:val="16"/>
          <w:szCs w:val="16"/>
          <w:color w:val="auto"/>
        </w:rPr>
        <w:t>“RESOLVED, that Dover’s shareholders approve, on an advisory basis, the compensation of the named executive officers, as disclosed in Dover’s Proxy Statement for the 2026 Annual Meeting of Shareholders pursuant to the compensation disclosure rules of the Securities and Exchange Commission, including the Compensation Discussion and Analysis, the Summary Compensation Table and the other related tables and disclosures.”</w:t>
      </w:r>
    </w:p>
    <w:p>
      <w:pPr>
        <w:spacing w:after="0" w:line="71" w:lineRule="exact"/>
        <w:rPr>
          <w:sz w:val="20"/>
          <w:szCs w:val="20"/>
          <w:color w:val="auto"/>
        </w:rPr>
      </w:pPr>
    </w:p>
    <w:p>
      <w:pPr>
        <w:jc w:val="both"/>
        <w:ind w:right="440"/>
        <w:spacing w:after="0" w:line="256" w:lineRule="auto"/>
        <w:rPr>
          <w:sz w:val="20"/>
          <w:szCs w:val="20"/>
          <w:color w:val="auto"/>
        </w:rPr>
      </w:pPr>
      <w:r>
        <w:rPr>
          <w:rFonts w:ascii="Arial" w:cs="Arial" w:eastAsia="Arial" w:hAnsi="Arial"/>
          <w:sz w:val="16"/>
          <w:szCs w:val="16"/>
          <w:color w:val="auto"/>
        </w:rPr>
        <w:t>The Say on Pay vote is advisory and therefore not binding on Dover, our Compensation Committee or our Board. Our Board and our Compensation Committee value the opinions of our shareholders and, to the extent there is any significant vote against the NEO compensation as disclosed in this Proxy Statement, we will consider our shareholders’ concerns and the Compensation Committee will evaluate whether any actions are necessary to address those concerns.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THE BOARD RECOMMENDS A VOTE “FOR” THE APPROVAL OF THE COMPENSATION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OUR NEOs, AS DISCLOSED IN THIS PROXY STATEMENT.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p>
      <w:pPr>
        <w:sectPr>
          <w:pgSz w:w="11900" w:h="16838" w:orient="portrait"/>
          <w:cols w:equalWidth="0" w:num="1">
            <w:col w:w="10920"/>
          </w:cols>
          <w:pgMar w:left="480" w:top="276" w:right="499" w:bottom="1440" w:gutter="0" w:footer="0" w:header="0"/>
        </w:sectPr>
      </w:pPr>
    </w:p>
    <w:bookmarkStart w:id="85" w:name="page86"/>
    <w:bookmarkEnd w:id="85"/>
    <w:p>
      <w:pPr>
        <w:ind w:right="60"/>
        <w:spacing w:after="0" w:line="284" w:lineRule="auto"/>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4 — Shareholder Proposal Requesting an Independent Board Chair</w:t>
      </w:r>
    </w:p>
    <w:p>
      <w:pPr>
        <w:spacing w:after="0" w:line="8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John Chevedden, 2215 Nelson Avenue, No. 205, Redondo Beach, CA 90278, beneficial owner of no fewer than 70 shares of Dover’s common stock, has given notice that he intends to present a proposal for consideration at the Annual Meeting. In accordance with SEC rules, John Chevedden’s proposed resolution and supporting statement are printed verbatim below. The Board accepts no responsibility for the content or accuracy of the proposal and the supporting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4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163830</wp:posOffset>
            </wp:positionV>
            <wp:extent cx="1664335" cy="347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6433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shall be an Independent Director. An independent Lead Director shall not be a substitute for an independent Board Chairman.</w:t>
      </w:r>
    </w:p>
    <w:p>
      <w:pPr>
        <w:spacing w:after="0" w:line="110"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 to obtain the maximum benefit.</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5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5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An independent Board Chairman could help Dover Corporation deal with a relative plateau in the stock price. The Dover sock price was at $184 in 2022 and only at $180 in late 2025 despite a robust stock market.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An independent Board Chairman could also help Dover deal with headwinds like those that emerged in 2025:</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Climate &amp; Sustainability Technologies segment experienced reduced revenue, with declines in food retail cases and engineering services, attributed to industry-wide shipment lows and “tariff uncertainties.”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Engineered Products segment also saw a decline in revenue, specifically due to reduced volumes in vehicle services.</w:t>
      </w:r>
    </w:p>
    <w:p>
      <w:pPr>
        <w:spacing w:after="0" w:line="110"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Selling, general, and administrative expenses rose by 8% year-over-year in Q2 2025. Total debt also increased, resulting in a higher net debt to net capitalization ratio.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vote yes: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Board Chairman - Proposal 4</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81</w:t>
      </w:r>
    </w:p>
    <w:p>
      <w:pPr>
        <w:sectPr>
          <w:pgSz w:w="11900" w:h="16838" w:orient="portrait"/>
          <w:cols w:equalWidth="0" w:num="1">
            <w:col w:w="10920"/>
          </w:cols>
          <w:pgMar w:left="480" w:top="276" w:right="49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4 — SHAREHOLDER PROPOSAL REQUESTING AN INDEPENDENT BOARD CHAIR</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Opposition Statement of the Board of Directors</w:t>
      </w:r>
    </w:p>
    <w:p>
      <w:pPr>
        <w:spacing w:after="0" w:line="182" w:lineRule="exact"/>
        <w:rPr>
          <w:sz w:val="20"/>
          <w:szCs w:val="20"/>
          <w:color w:val="auto"/>
        </w:rPr>
      </w:pPr>
    </w:p>
    <w:p>
      <w:pPr>
        <w:ind w:right="1040"/>
        <w:spacing w:after="0" w:line="264" w:lineRule="auto"/>
        <w:rPr>
          <w:sz w:val="20"/>
          <w:szCs w:val="20"/>
          <w:color w:val="auto"/>
        </w:rPr>
      </w:pPr>
      <w:r>
        <w:rPr>
          <w:rFonts w:ascii="Arial" w:cs="Arial" w:eastAsia="Arial" w:hAnsi="Arial"/>
          <w:sz w:val="20"/>
          <w:szCs w:val="20"/>
          <w:b w:val="1"/>
          <w:bCs w:val="1"/>
          <w:color w:val="021496"/>
        </w:rPr>
        <w:t>THE BOARD OF DIRECTORS RECOMMENDS A VOTE “AGAINST” THE PROPOSAL FOR THE FOLLOWING REASONS:</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is committed to strong corporate governance and responsiveness to Dover’s shareholders and believes in maintaining policies and practices that serve the best interests of all shareholders. After careful consideration, the Board has determined that the proposal is not in the best interests of Dover and its shareholders. The Board believes it is critically important to maintain the flexibility to implement the leadership structure best suited to meet the needs of Dover and its shareholders at any given time. The Board does not believe that adopting a policy to separate the roles of Chairman and CEO is necessary or that such a mandatory separation would be in the best interests of Dover and its shareholders.</w:t>
      </w:r>
    </w:p>
    <w:p>
      <w:pPr>
        <w:spacing w:after="0" w:line="64" w:lineRule="exact"/>
        <w:rPr>
          <w:sz w:val="20"/>
          <w:szCs w:val="20"/>
          <w:color w:val="auto"/>
        </w:rPr>
      </w:pPr>
    </w:p>
    <w:p>
      <w:pPr>
        <w:ind w:right="300"/>
        <w:spacing w:after="0" w:line="264" w:lineRule="auto"/>
        <w:rPr>
          <w:sz w:val="20"/>
          <w:szCs w:val="20"/>
          <w:color w:val="auto"/>
        </w:rPr>
      </w:pPr>
      <w:r>
        <w:rPr>
          <w:rFonts w:ascii="Arial" w:cs="Arial" w:eastAsia="Arial" w:hAnsi="Arial"/>
          <w:sz w:val="20"/>
          <w:szCs w:val="20"/>
          <w:b w:val="1"/>
          <w:bCs w:val="1"/>
          <w:color w:val="021496"/>
        </w:rPr>
        <w:t>Flexibility to determine the most effective leadership structure as circumstances warrant is in the best interests of Dover and our shareholders.</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Board considers it critically important to maintain the flexibility to select the leadership structure best suited to meet the needs of Dover and our shareholders at any given time. Currently, our Corporate Governance Guidelines provide the Board with the flexibility to determine the optimal leadership structure, including separating the positions of Chair and CEO if circumstances warrant. In the event the Chair is not an independent director, the independent directors will appoint an independent director as Lead Independent Director. The Board generally will assess and review its leadership structure from time to time.</w:t>
      </w:r>
    </w:p>
    <w:p>
      <w:pPr>
        <w:spacing w:after="0" w:line="7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Board’s independent directors, with their diverse backgrounds and multi-industry experience, have deep knowledge about the company, our industry, and the functioning of the Board. Therefore, they are best positioned to evaluate the Board’s optimal leadership structure. The Board believes the leadership structure best suited to meet the needs of Dover and our shareholders should be based on the particular circumstances and challenges confronting the Board and the company at any given time, as well as the individual skills and experiences that may be required for an effective Chair. Given the dynamic and competitive environment in which we operate, the Board believes that the right leadership structure may vary as circumstances warrant, and it does not view any one particular Board leadership structure as preferred.</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Currently, Richard J. Tobin, our President and CEO, serves as our Board Chair. The Board believes that this leadership structure promotes efficient Board functioning, fosters a constructive and cooperative relationship between the Board and senior management and, together with an experienced Lead Independent Director, is the appropriate leadership structure for Dover at this time.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Our highly independent Board and Lead Independent Director provide strong, independent leadership.</w:t>
      </w:r>
    </w:p>
    <w:p>
      <w:pPr>
        <w:spacing w:after="0" w:line="100"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Apart from the Chairman and CEO, Mr. Tobin, the Board consists entirely of independent directors and exercises a strong, independent oversight function. This independence is further enhanced by the composition of our Audit, Compensation, Governance &amp; Nominating and Finance Committees, which are composed entirely of independent directors.</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When the Board appointed Mr. Tobin as Chair, the Board amended Dover’s Corporate Governance Guidelines to provide that whenever the Board Chair is not an independent director, the independent directors shall appoint an independent director to serve as Lead Independent Director. As such, the Board has had a Lead Independent Director since February 2024.</w:t>
      </w:r>
    </w:p>
    <w:p>
      <w:pPr>
        <w:spacing w:after="0" w:line="6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Keith E. Wandell has served as our Lead Independent Director since the 2025 annual meeting. In appointing Mr. Wandell to this role, the independent directors took into consideration Mr. Wandell’s tenure, knowledge of Dover’s business and strategy, and demonstrated independent voice in the boardroom. The Board concluded that Mr. Wandell, who has served on the Board since 2015 and who also has experience as lead independent director of another Fortune 500 company, is well positioned to provide independent leadership to the Board as it carries out its oversight responsibilities.</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As set forth in Dover’s Corporate Governance Guidelines, our Lead Independent Director has significant authority and well-defined responsibilities, which include:</w:t>
      </w:r>
    </w:p>
    <w:p>
      <w:pPr>
        <w:spacing w:after="0" w:line="67" w:lineRule="exact"/>
        <w:rPr>
          <w:sz w:val="20"/>
          <w:szCs w:val="20"/>
          <w:color w:val="auto"/>
        </w:rPr>
      </w:pPr>
    </w:p>
    <w:p>
      <w:pPr>
        <w:ind w:left="860" w:hanging="425"/>
        <w:spacing w:after="0"/>
        <w:tabs>
          <w:tab w:leader="none" w:pos="86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Presiding at all meetings of the Board at which the Board Chair is not present, including executive sessions of the independent directors;</w:t>
      </w:r>
    </w:p>
    <w:p>
      <w:pPr>
        <w:spacing w:after="0" w:line="136" w:lineRule="exact"/>
        <w:rPr>
          <w:rFonts w:ascii="MS PGothic" w:cs="MS PGothic" w:eastAsia="MS PGothic" w:hAnsi="MS PGothic"/>
          <w:sz w:val="16"/>
          <w:szCs w:val="16"/>
          <w:color w:val="021496"/>
        </w:rPr>
      </w:pPr>
    </w:p>
    <w:p>
      <w:pPr>
        <w:ind w:left="860" w:hanging="425"/>
        <w:spacing w:after="0"/>
        <w:tabs>
          <w:tab w:leader="none" w:pos="86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Coordinating the activities of the independent directors, including having the authority to call meetings of the independent directors;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82</w:t>
      </w:r>
    </w:p>
    <w:p>
      <w:pPr>
        <w:sectPr>
          <w:pgSz w:w="11900" w:h="16838" w:orient="portrait"/>
          <w:cols w:equalWidth="0" w:num="1">
            <w:col w:w="10920"/>
          </w:cols>
          <w:pgMar w:left="480" w:top="299" w:right="49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4 — SHAREHOLDER PROPOSAL REQUESTING AN INDEPENDENT BOARD CHAIR</w:t>
      </w:r>
    </w:p>
    <w:p>
      <w:pPr>
        <w:spacing w:after="0" w:line="150" w:lineRule="exact"/>
        <w:rPr>
          <w:sz w:val="20"/>
          <w:szCs w:val="20"/>
          <w:color w:val="auto"/>
        </w:rPr>
      </w:pPr>
    </w:p>
    <w:p>
      <w:pPr>
        <w:ind w:left="860" w:hanging="425"/>
        <w:spacing w:after="0"/>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Establishing the agenda for executive sessions of the independent directors;</w:t>
      </w:r>
    </w:p>
    <w:p>
      <w:pPr>
        <w:spacing w:after="0" w:line="136" w:lineRule="exact"/>
        <w:rPr>
          <w:rFonts w:ascii="MS PGothic" w:cs="MS PGothic" w:eastAsia="MS PGothic" w:hAnsi="MS PGothic"/>
          <w:sz w:val="16"/>
          <w:szCs w:val="16"/>
          <w:color w:val="021496"/>
        </w:rPr>
      </w:pPr>
    </w:p>
    <w:p>
      <w:pPr>
        <w:ind w:left="860" w:right="120" w:hanging="425"/>
        <w:spacing w:after="0" w:line="279" w:lineRule="auto"/>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In consultation with the Board Chair and senior management, establishing the agenda for each Board meeting and ensuring that information provided to the Board is timely and appropriate;</w:t>
      </w:r>
    </w:p>
    <w:p>
      <w:pPr>
        <w:spacing w:after="0" w:line="67" w:lineRule="exact"/>
        <w:rPr>
          <w:rFonts w:ascii="MS PGothic" w:cs="MS PGothic" w:eastAsia="MS PGothic" w:hAnsi="MS PGothic"/>
          <w:sz w:val="16"/>
          <w:szCs w:val="16"/>
          <w:color w:val="021496"/>
        </w:rPr>
      </w:pPr>
    </w:p>
    <w:p>
      <w:pPr>
        <w:ind w:left="860" w:right="40" w:hanging="425"/>
        <w:spacing w:after="0" w:line="279" w:lineRule="auto"/>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Facilitating communications between Board members, including serving as principal liaison between the independent directors and the Board Chair;</w:t>
      </w:r>
    </w:p>
    <w:p>
      <w:pPr>
        <w:spacing w:after="0" w:line="67" w:lineRule="exact"/>
        <w:rPr>
          <w:rFonts w:ascii="MS PGothic" w:cs="MS PGothic" w:eastAsia="MS PGothic" w:hAnsi="MS PGothic"/>
          <w:sz w:val="16"/>
          <w:szCs w:val="16"/>
          <w:color w:val="021496"/>
        </w:rPr>
      </w:pPr>
    </w:p>
    <w:p>
      <w:pPr>
        <w:ind w:left="860" w:hanging="425"/>
        <w:spacing w:after="0"/>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Consulting with the Board Chair on such other matters as are pertinent to the Board and the Company;</w:t>
      </w:r>
    </w:p>
    <w:p>
      <w:pPr>
        <w:spacing w:after="0" w:line="136" w:lineRule="exact"/>
        <w:rPr>
          <w:rFonts w:ascii="MS PGothic" w:cs="MS PGothic" w:eastAsia="MS PGothic" w:hAnsi="MS PGothic"/>
          <w:sz w:val="16"/>
          <w:szCs w:val="16"/>
          <w:color w:val="021496"/>
        </w:rPr>
      </w:pPr>
    </w:p>
    <w:p>
      <w:pPr>
        <w:ind w:left="860" w:right="380" w:hanging="425"/>
        <w:spacing w:after="0" w:line="279" w:lineRule="auto"/>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If appropriate, and in coordination with executive management, being available for consultation and direct communication with significant stakeholders; and</w:t>
      </w:r>
    </w:p>
    <w:p>
      <w:pPr>
        <w:spacing w:after="0" w:line="67" w:lineRule="exact"/>
        <w:rPr>
          <w:rFonts w:ascii="MS PGothic" w:cs="MS PGothic" w:eastAsia="MS PGothic" w:hAnsi="MS PGothic"/>
          <w:sz w:val="16"/>
          <w:szCs w:val="16"/>
          <w:color w:val="021496"/>
        </w:rPr>
      </w:pPr>
    </w:p>
    <w:p>
      <w:pPr>
        <w:ind w:left="860" w:hanging="425"/>
        <w:spacing w:after="0"/>
        <w:tabs>
          <w:tab w:leader="none" w:pos="860" w:val="left"/>
        </w:tabs>
        <w:numPr>
          <w:ilvl w:val="0"/>
          <w:numId w:val="96"/>
        </w:numPr>
        <w:rPr>
          <w:rFonts w:ascii="MS PGothic" w:cs="MS PGothic" w:eastAsia="MS PGothic" w:hAnsi="MS PGothic"/>
          <w:sz w:val="16"/>
          <w:szCs w:val="16"/>
          <w:color w:val="021496"/>
        </w:rPr>
      </w:pPr>
      <w:r>
        <w:rPr>
          <w:rFonts w:ascii="Arial" w:cs="Arial" w:eastAsia="Arial" w:hAnsi="Arial"/>
          <w:sz w:val="16"/>
          <w:szCs w:val="16"/>
          <w:color w:val="auto"/>
        </w:rPr>
        <w:t>Performing such other duties as may be specified by the Board.</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Furthermore, the Board’s independent oversight is enhanced by the Board’s ongoing refreshment. Since 2021, Dover has elected four new independent directors who bring fresh and varied perspectives to the Board.</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Dover’s strong shareholder rights and robust governance practices support independent Board oversight.</w:t>
      </w:r>
    </w:p>
    <w:p>
      <w:pPr>
        <w:spacing w:after="0" w:line="100"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auto"/>
        </w:rPr>
        <w:t>We believe that Dover’s existing shareholder rights and exemplary corporate governance policies, including the annual election of directors, a majority vote standard in uncontested director elections, special meeting rights and proxy access, already provide a strong structure for ensuring independent Board oversight of the Company and for effectively challenging and overseeing management, including the CEO.</w:t>
      </w:r>
    </w:p>
    <w:p>
      <w:pPr>
        <w:spacing w:after="0" w:line="66"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Our corporate governance policies are bolstered by the Board’s practices, including regular executive sessions of the independent directors, which are led by our Lead Independent Director and take place at least quarterly, to discuss matters that fall under their purview as independent directors.</w:t>
      </w:r>
    </w:p>
    <w:p>
      <w:pPr>
        <w:spacing w:after="0" w:line="44" w:lineRule="exact"/>
        <w:rPr>
          <w:sz w:val="20"/>
          <w:szCs w:val="20"/>
          <w:color w:val="auto"/>
        </w:rPr>
      </w:pPr>
    </w:p>
    <w:p>
      <w:pPr>
        <w:ind w:right="540"/>
        <w:spacing w:after="0" w:line="264" w:lineRule="auto"/>
        <w:rPr>
          <w:sz w:val="20"/>
          <w:szCs w:val="20"/>
          <w:color w:val="auto"/>
        </w:rPr>
      </w:pPr>
      <w:r>
        <w:rPr>
          <w:rFonts w:ascii="Arial" w:cs="Arial" w:eastAsia="Arial" w:hAnsi="Arial"/>
          <w:sz w:val="20"/>
          <w:szCs w:val="20"/>
          <w:b w:val="1"/>
          <w:bCs w:val="1"/>
          <w:color w:val="021496"/>
        </w:rPr>
        <w:t>The Board has a strong history of responsiveness to Dover’s shareholders, who rejected a substantially similar proposal presented at last year’s annual meeting.</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further discussed on page 29 of this proxy statement, in 2025, we reached out to holders of approximately 57% of our shares outstanding and engaged with governance professionals and/or portfolio managers at investors holding approximately 26% of our shares outstanding, receiving feedback from investors on a range of corporate governance topics, including the Board’s leadership structure. Through this shareholder engagement, we continued to hear strong support for our current Board leadership structure, maintaining flexibility for the Board to determine the best leadership structure as circumstances warrant, and appreciation for a robust and clearly defined Lead Independent Director role.</w:t>
      </w:r>
    </w:p>
    <w:p>
      <w:pPr>
        <w:spacing w:after="0" w:line="73"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auto"/>
        </w:rPr>
        <w:t>The Board is committed to being responsive to our shareholders, as demonstrated by the number of changes we have made over the years based on their input, including adopting and amending our special meeting right, adopting proxy access, and implementing meaningful changes to our executive compensation program.</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of Directors continues to believe it is best positioned to determine its optimal leadership structure to meet the needs of Dover and its shareholders at any given time. In light of our strong corporate governance structure and majority independent Board, the Board believes that adoption of the shareholder proposal is unnecessary and not in the best interests of Dover and its shareholders. Further, our shareholders affirmed this view during our 2025 shareholder engagement program and by rejecting a substantially similar proposal submitted by the same proponent at last year’s annual meeting of shareholders.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THE BOARD RECOMMENDS A VOTE “AGAINST” THE SHAREHOLDER PROPOSAL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1496"/>
        </w:rPr>
        <w:t>REQUESTING AN INDEPENDENT BOARD CHAIR.</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83</w:t>
      </w:r>
    </w:p>
    <w:p>
      <w:pPr>
        <w:sectPr>
          <w:pgSz w:w="11900" w:h="16838" w:orient="portrait"/>
          <w:cols w:equalWidth="0" w:num="1">
            <w:col w:w="10920"/>
          </w:cols>
          <w:pgMar w:left="480" w:top="299" w:right="499" w:bottom="1440" w:gutter="0" w:footer="0" w:header="0"/>
        </w:sectPr>
      </w:pPr>
    </w:p>
    <w:bookmarkStart w:id="88" w:name="page89"/>
    <w:bookmarkEnd w:id="88"/>
    <w:p>
      <w:pPr>
        <w:spacing w:after="0"/>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 Ownership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Security Ownership of Certain Beneficial Owners and Management</w:t>
      </w:r>
    </w:p>
    <w:p>
      <w:pPr>
        <w:spacing w:after="0" w:line="12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following table sets forth certain information regarding the beneficial ownership, as of March 10, 2025 (except as otherwise stated), of our common stock by the following:</w:t>
      </w:r>
    </w:p>
    <w:p>
      <w:pPr>
        <w:spacing w:after="0" w:line="67" w:lineRule="exact"/>
        <w:rPr>
          <w:sz w:val="20"/>
          <w:szCs w:val="20"/>
          <w:color w:val="auto"/>
        </w:rPr>
      </w:pPr>
    </w:p>
    <w:p>
      <w:pPr>
        <w:ind w:left="860" w:hanging="425"/>
        <w:spacing w:after="0"/>
        <w:tabs>
          <w:tab w:leader="none" w:pos="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director and each of our executive officers named in the Summary Compensation Table under “Executive Compensation Tables”;</w:t>
      </w:r>
    </w:p>
    <w:p>
      <w:pPr>
        <w:spacing w:after="0" w:line="123" w:lineRule="exact"/>
        <w:rPr>
          <w:rFonts w:ascii="Arial" w:cs="Arial" w:eastAsia="Arial" w:hAnsi="Arial"/>
          <w:sz w:val="16"/>
          <w:szCs w:val="16"/>
          <w:color w:val="auto"/>
        </w:rPr>
      </w:pPr>
    </w:p>
    <w:p>
      <w:pPr>
        <w:ind w:left="860" w:hanging="425"/>
        <w:spacing w:after="0"/>
        <w:tabs>
          <w:tab w:leader="none" w:pos="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of the directors and executive officers as a group including the NEOs; and</w:t>
      </w:r>
    </w:p>
    <w:p>
      <w:pPr>
        <w:spacing w:after="0" w:line="123" w:lineRule="exact"/>
        <w:rPr>
          <w:rFonts w:ascii="Arial" w:cs="Arial" w:eastAsia="Arial" w:hAnsi="Arial"/>
          <w:sz w:val="16"/>
          <w:szCs w:val="16"/>
          <w:color w:val="auto"/>
        </w:rPr>
      </w:pPr>
    </w:p>
    <w:p>
      <w:pPr>
        <w:ind w:left="860" w:hanging="425"/>
        <w:spacing w:after="0"/>
        <w:tabs>
          <w:tab w:leader="none" w:pos="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 of our outstanding common stock.</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beneficial ownership set forth in the table is determined in accordance with the rules of the SEC. The percentage of beneficial ownership for directors and executive officers is based on 134,796,450 shares of common stock outstanding on March 16, 2026. Unless otherwise indicated in the footnotes below, the persons and entities named in the table have sole voting and investment power as to all shares beneficially owned.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Borders>
              <w:top w:val="single" w:sz="8" w:color="021496"/>
            </w:tcBorders>
          </w:tcPr>
          <w:p>
            <w:pPr>
              <w:spacing w:after="0"/>
              <w:rPr>
                <w:sz w:val="19"/>
                <w:szCs w:val="19"/>
                <w:color w:val="auto"/>
              </w:rPr>
            </w:pPr>
          </w:p>
        </w:tc>
        <w:tc>
          <w:tcPr>
            <w:tcW w:w="160" w:type="dxa"/>
            <w:vAlign w:val="bottom"/>
            <w:tcBorders>
              <w:top w:val="single" w:sz="8" w:color="021496"/>
            </w:tcBorders>
          </w:tcPr>
          <w:p>
            <w:pPr>
              <w:spacing w:after="0"/>
              <w:rPr>
                <w:sz w:val="19"/>
                <w:szCs w:val="19"/>
                <w:color w:val="auto"/>
              </w:rPr>
            </w:pPr>
          </w:p>
        </w:tc>
        <w:tc>
          <w:tcPr>
            <w:tcW w:w="6980" w:type="dxa"/>
            <w:vAlign w:val="bottom"/>
            <w:tcBorders>
              <w:top w:val="single" w:sz="8" w:color="021496"/>
              <w:right w:val="single" w:sz="8" w:color="999999"/>
            </w:tcBorders>
          </w:tcPr>
          <w:p>
            <w:pPr>
              <w:spacing w:after="0"/>
              <w:rPr>
                <w:sz w:val="19"/>
                <w:szCs w:val="19"/>
                <w:color w:val="auto"/>
              </w:rPr>
            </w:pPr>
          </w:p>
        </w:tc>
        <w:tc>
          <w:tcPr>
            <w:tcW w:w="1800" w:type="dxa"/>
            <w:vAlign w:val="bottom"/>
            <w:tcBorders>
              <w:top w:val="single" w:sz="8" w:color="021496"/>
            </w:tcBorders>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780" w:type="dxa"/>
            <w:vAlign w:val="bottom"/>
            <w:tcBorders>
              <w:top w:val="single" w:sz="8" w:color="021496"/>
            </w:tcBorders>
          </w:tcPr>
          <w:p>
            <w:pPr>
              <w:spacing w:after="0"/>
              <w:rPr>
                <w:sz w:val="19"/>
                <w:szCs w:val="19"/>
                <w:color w:val="auto"/>
              </w:rPr>
            </w:pPr>
          </w:p>
        </w:tc>
      </w:tr>
      <w:tr>
        <w:trPr>
          <w:trHeight w:val="215"/>
        </w:trPr>
        <w:tc>
          <w:tcPr>
            <w:tcW w:w="7340" w:type="dxa"/>
            <w:vAlign w:val="bottom"/>
            <w:tcBorders>
              <w:bottom w:val="single" w:sz="8" w:color="021496"/>
              <w:right w:val="single" w:sz="8" w:color="999999"/>
            </w:tcBorders>
            <w:gridSpan w:val="3"/>
          </w:tcPr>
          <w:p>
            <w:pPr>
              <w:spacing w:after="0"/>
              <w:rPr>
                <w:sz w:val="20"/>
                <w:szCs w:val="20"/>
                <w:color w:val="auto"/>
              </w:rPr>
            </w:pPr>
            <w:r>
              <w:rPr>
                <w:rFonts w:ascii="Arial" w:cs="Arial" w:eastAsia="Arial" w:hAnsi="Arial"/>
                <w:sz w:val="16"/>
                <w:szCs w:val="16"/>
                <w:b w:val="1"/>
                <w:bCs w:val="1"/>
                <w:color w:val="auto"/>
              </w:rPr>
              <w:t>  NAME OF BENEFICIAL OWNER</w:t>
            </w:r>
          </w:p>
        </w:tc>
        <w:tc>
          <w:tcPr>
            <w:tcW w:w="1800" w:type="dxa"/>
            <w:vAlign w:val="bottom"/>
            <w:tcBorders>
              <w:bottom w:val="single" w:sz="8" w:color="021496"/>
            </w:tcBorders>
          </w:tcPr>
          <w:p>
            <w:pPr>
              <w:jc w:val="right"/>
              <w:ind w:right="360"/>
              <w:spacing w:after="0"/>
              <w:rPr>
                <w:sz w:val="20"/>
                <w:szCs w:val="20"/>
                <w:color w:val="auto"/>
              </w:rPr>
            </w:pPr>
            <w:r>
              <w:rPr>
                <w:rFonts w:ascii="Arial" w:cs="Arial" w:eastAsia="Arial" w:hAnsi="Arial"/>
                <w:sz w:val="16"/>
                <w:szCs w:val="16"/>
                <w:b w:val="1"/>
                <w:bCs w:val="1"/>
                <w:color w:val="auto"/>
              </w:rPr>
              <w:t>Shares(1)</w:t>
            </w:r>
          </w:p>
        </w:tc>
        <w:tc>
          <w:tcPr>
            <w:tcW w:w="1780" w:type="dxa"/>
            <w:vAlign w:val="bottom"/>
            <w:tcBorders>
              <w:bottom w:val="single" w:sz="8" w:color="021496"/>
            </w:tcBorders>
          </w:tcPr>
          <w:p>
            <w:pPr>
              <w:jc w:val="right"/>
              <w:ind w:right="60"/>
              <w:spacing w:after="0"/>
              <w:rPr>
                <w:sz w:val="20"/>
                <w:szCs w:val="20"/>
                <w:color w:val="auto"/>
              </w:rPr>
            </w:pPr>
            <w:r>
              <w:rPr>
                <w:rFonts w:ascii="Arial" w:cs="Arial" w:eastAsia="Arial" w:hAnsi="Arial"/>
                <w:sz w:val="16"/>
                <w:szCs w:val="16"/>
                <w:b w:val="1"/>
                <w:bCs w:val="1"/>
                <w:color w:val="auto"/>
              </w:rPr>
              <w:t xml:space="preserve">Percentage(1)    </w:t>
            </w:r>
          </w:p>
        </w:tc>
      </w:tr>
      <w:tr>
        <w:trPr>
          <w:trHeight w:val="221"/>
        </w:trPr>
        <w:tc>
          <w:tcPr>
            <w:tcW w:w="7340" w:type="dxa"/>
            <w:vAlign w:val="bottom"/>
            <w:tcBorders>
              <w:right w:val="single" w:sz="8" w:color="999999"/>
            </w:tcBorders>
            <w:gridSpan w:val="3"/>
            <w:shd w:val="clear" w:color="auto" w:fill="D8D8D8"/>
          </w:tcPr>
          <w:p>
            <w:pPr>
              <w:spacing w:after="0"/>
              <w:rPr>
                <w:sz w:val="20"/>
                <w:szCs w:val="20"/>
                <w:color w:val="auto"/>
              </w:rPr>
            </w:pPr>
            <w:r>
              <w:rPr>
                <w:rFonts w:ascii="Arial" w:cs="Arial" w:eastAsia="Arial" w:hAnsi="Arial"/>
                <w:sz w:val="16"/>
                <w:szCs w:val="16"/>
                <w:b w:val="1"/>
                <w:bCs w:val="1"/>
                <w:i w:val="1"/>
                <w:iCs w:val="1"/>
                <w:color w:val="auto"/>
              </w:rPr>
              <w:t>  DIRECTORS (EXCEPT MR. TOBIN):</w:t>
            </w:r>
          </w:p>
        </w:tc>
        <w:tc>
          <w:tcPr>
            <w:tcW w:w="1800" w:type="dxa"/>
            <w:vAlign w:val="bottom"/>
            <w:shd w:val="clear" w:color="auto" w:fill="D8D8D8"/>
          </w:tcPr>
          <w:p>
            <w:pPr>
              <w:spacing w:after="0"/>
              <w:rPr>
                <w:sz w:val="19"/>
                <w:szCs w:val="19"/>
                <w:color w:val="auto"/>
              </w:rPr>
            </w:pPr>
          </w:p>
        </w:tc>
        <w:tc>
          <w:tcPr>
            <w:tcW w:w="1780" w:type="dxa"/>
            <w:vAlign w:val="bottom"/>
            <w:shd w:val="clear" w:color="auto" w:fill="D8D8D8"/>
          </w:tcPr>
          <w:p>
            <w:pPr>
              <w:spacing w:after="0"/>
              <w:rPr>
                <w:sz w:val="19"/>
                <w:szCs w:val="19"/>
                <w:color w:val="auto"/>
              </w:rPr>
            </w:pP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DEBORAH L. DEHAAS (2)</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4,959</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H. JOHN GILBERTSON, JR.</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8,065</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00"/>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KRISTIANE C. GRAHAM (3)</w:t>
            </w:r>
          </w:p>
        </w:tc>
        <w:tc>
          <w:tcPr>
            <w:tcW w:w="1800" w:type="dxa"/>
            <w:vAlign w:val="bottom"/>
          </w:tcPr>
          <w:p>
            <w:pPr>
              <w:jc w:val="right"/>
              <w:ind w:right="320"/>
              <w:spacing w:after="0"/>
              <w:rPr>
                <w:sz w:val="20"/>
                <w:szCs w:val="20"/>
                <w:color w:val="auto"/>
              </w:rPr>
            </w:pPr>
            <w:r>
              <w:rPr>
                <w:rFonts w:ascii="Arial" w:cs="Arial" w:eastAsia="Arial" w:hAnsi="Arial"/>
                <w:sz w:val="16"/>
                <w:szCs w:val="16"/>
                <w:color w:val="auto"/>
              </w:rPr>
              <w:t xml:space="preserve">    </w:t>
            </w:r>
          </w:p>
        </w:tc>
        <w:tc>
          <w:tcPr>
            <w:tcW w:w="1780" w:type="dxa"/>
            <w:vAlign w:val="bottom"/>
          </w:tcPr>
          <w:p>
            <w:pPr>
              <w:spacing w:after="0"/>
              <w:rPr>
                <w:sz w:val="17"/>
                <w:szCs w:val="17"/>
                <w:color w:val="auto"/>
              </w:rPr>
            </w:pPr>
          </w:p>
        </w:tc>
      </w:tr>
      <w:tr>
        <w:trPr>
          <w:trHeight w:val="220"/>
        </w:trPr>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tcBorders>
              <w:right w:val="single" w:sz="8" w:color="999999"/>
            </w:tcBorders>
          </w:tcPr>
          <w:p>
            <w:pPr>
              <w:spacing w:after="0"/>
              <w:rPr>
                <w:sz w:val="19"/>
                <w:szCs w:val="19"/>
                <w:color w:val="auto"/>
              </w:rPr>
            </w:pP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198,200</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9"/>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MARC A. HOWZE (4)</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2,034</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MICHAEL MANLEY (5)</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2,904</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DANITA K. OSTLING</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2,334</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ERIC A. SPIEGEL (6)</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11,931</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KEITH E. WANDELL</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9,636</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7340" w:type="dxa"/>
            <w:vAlign w:val="bottom"/>
            <w:tcBorders>
              <w:right w:val="single" w:sz="8" w:color="999999"/>
            </w:tcBorders>
            <w:gridSpan w:val="3"/>
          </w:tcPr>
          <w:p>
            <w:pPr>
              <w:spacing w:after="0"/>
              <w:rPr>
                <w:sz w:val="20"/>
                <w:szCs w:val="20"/>
                <w:color w:val="auto"/>
              </w:rPr>
            </w:pPr>
            <w:r>
              <w:rPr>
                <w:rFonts w:ascii="Arial" w:cs="Arial" w:eastAsia="Arial" w:hAnsi="Arial"/>
                <w:sz w:val="16"/>
                <w:szCs w:val="16"/>
                <w:b w:val="1"/>
                <w:bCs w:val="1"/>
                <w:i w:val="1"/>
                <w:iCs w:val="1"/>
                <w:color w:val="auto"/>
              </w:rPr>
              <w:t>  NEOS: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i w:val="1"/>
                <w:i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i w:val="1"/>
                <w:i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i w:val="1"/>
                <w:iCs w:val="1"/>
                <w:color w:val="auto"/>
              </w:rPr>
              <w:t>RICHARD J. TOBIN (7)</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915,484</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CHRIS B. WOENKER (8)</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27,362</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BRAD M. CEREPAK (9)</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271,415</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IVONNE M. CABRERA (10)</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166,826</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GIRISH JUNEJA (11)</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64,844</w:t>
            </w:r>
          </w:p>
        </w:tc>
        <w:tc>
          <w:tcPr>
            <w:tcW w:w="1780" w:type="dxa"/>
            <w:vAlign w:val="bottom"/>
            <w:shd w:val="clear" w:color="auto" w:fill="D8D8D8"/>
          </w:tcPr>
          <w:p>
            <w:pPr>
              <w:jc w:val="right"/>
              <w:ind w:right="420"/>
              <w:spacing w:after="0"/>
              <w:rPr>
                <w:sz w:val="20"/>
                <w:szCs w:val="20"/>
                <w:color w:val="auto"/>
              </w:rPr>
            </w:pPr>
            <w:r>
              <w:rPr>
                <w:rFonts w:ascii="Arial" w:cs="Arial" w:eastAsia="Arial" w:hAnsi="Arial"/>
                <w:sz w:val="16"/>
                <w:szCs w:val="16"/>
                <w:color w:val="auto"/>
              </w:rPr>
              <w:t>   *</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JEFFREY C. YEHLE (12)</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717</w:t>
            </w:r>
          </w:p>
        </w:tc>
        <w:tc>
          <w:tcPr>
            <w:tcW w:w="1780" w:type="dxa"/>
            <w:vAlign w:val="bottom"/>
          </w:tcPr>
          <w:p>
            <w:pPr>
              <w:jc w:val="right"/>
              <w:ind w:right="420"/>
              <w:spacing w:after="0"/>
              <w:rPr>
                <w:sz w:val="20"/>
                <w:szCs w:val="20"/>
                <w:color w:val="auto"/>
              </w:rPr>
            </w:pPr>
            <w:r>
              <w:rPr>
                <w:rFonts w:ascii="Arial" w:cs="Arial" w:eastAsia="Arial" w:hAnsi="Arial"/>
                <w:sz w:val="16"/>
                <w:szCs w:val="16"/>
                <w:color w:val="auto"/>
              </w:rPr>
              <w:t>   *</w:t>
            </w:r>
          </w:p>
        </w:tc>
      </w:tr>
      <w:tr>
        <w:trPr>
          <w:trHeight w:val="244"/>
        </w:trPr>
        <w:tc>
          <w:tcPr>
            <w:tcW w:w="7340" w:type="dxa"/>
            <w:vAlign w:val="bottom"/>
            <w:tcBorders>
              <w:right w:val="single" w:sz="8" w:color="999999"/>
            </w:tcBorders>
            <w:gridSpan w:val="3"/>
            <w:shd w:val="clear" w:color="auto" w:fill="D8D8D8"/>
          </w:tcPr>
          <w:p>
            <w:pPr>
              <w:spacing w:after="0"/>
              <w:rPr>
                <w:sz w:val="20"/>
                <w:szCs w:val="20"/>
                <w:color w:val="auto"/>
              </w:rPr>
            </w:pPr>
            <w:r>
              <w:rPr>
                <w:rFonts w:ascii="Arial" w:cs="Arial" w:eastAsia="Arial" w:hAnsi="Arial"/>
                <w:sz w:val="16"/>
                <w:szCs w:val="16"/>
                <w:b w:val="1"/>
                <w:bCs w:val="1"/>
                <w:color w:val="auto"/>
              </w:rPr>
              <w:t>  DIRECTORS AND EXECUTIVE OFFICERS AS A GROUP (15 PERSONS) (13)</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1,477,686</w:t>
            </w:r>
          </w:p>
        </w:tc>
        <w:tc>
          <w:tcPr>
            <w:tcW w:w="1780" w:type="dxa"/>
            <w:vAlign w:val="bottom"/>
            <w:shd w:val="clear" w:color="auto" w:fill="D8D8D8"/>
          </w:tcPr>
          <w:p>
            <w:pPr>
              <w:jc w:val="right"/>
              <w:ind w:right="520"/>
              <w:spacing w:after="0"/>
              <w:rPr>
                <w:sz w:val="20"/>
                <w:szCs w:val="20"/>
                <w:color w:val="auto"/>
              </w:rPr>
            </w:pPr>
            <w:r>
              <w:rPr>
                <w:rFonts w:ascii="Arial" w:cs="Arial" w:eastAsia="Arial" w:hAnsi="Arial"/>
                <w:sz w:val="16"/>
                <w:szCs w:val="16"/>
                <w:color w:val="auto"/>
              </w:rPr>
              <w:t>   1.1</w:t>
            </w:r>
          </w:p>
        </w:tc>
      </w:tr>
      <w:tr>
        <w:trPr>
          <w:trHeight w:val="237"/>
        </w:trPr>
        <w:tc>
          <w:tcPr>
            <w:tcW w:w="7340" w:type="dxa"/>
            <w:vAlign w:val="bottom"/>
            <w:tcBorders>
              <w:right w:val="single" w:sz="8" w:color="999999"/>
            </w:tcBorders>
            <w:gridSpan w:val="3"/>
          </w:tcPr>
          <w:p>
            <w:pPr>
              <w:spacing w:after="0"/>
              <w:rPr>
                <w:sz w:val="20"/>
                <w:szCs w:val="20"/>
                <w:color w:val="auto"/>
              </w:rPr>
            </w:pPr>
            <w:r>
              <w:rPr>
                <w:rFonts w:ascii="Arial" w:cs="Arial" w:eastAsia="Arial" w:hAnsi="Arial"/>
                <w:sz w:val="16"/>
                <w:szCs w:val="16"/>
                <w:b w:val="1"/>
                <w:bCs w:val="1"/>
                <w:i w:val="1"/>
                <w:iCs w:val="1"/>
                <w:color w:val="auto"/>
              </w:rPr>
              <w:t>  5% BENEFICIAL OWNERS: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4"/>
        </w:trPr>
        <w:tc>
          <w:tcPr>
            <w:tcW w:w="2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BLACKROCK, INC. (14)</w:t>
            </w:r>
          </w:p>
        </w:tc>
        <w:tc>
          <w:tcPr>
            <w:tcW w:w="1800" w:type="dxa"/>
            <w:vAlign w:val="bottom"/>
            <w:shd w:val="clear" w:color="auto" w:fill="D8D8D8"/>
          </w:tcPr>
          <w:p>
            <w:pPr>
              <w:jc w:val="right"/>
              <w:ind w:right="300"/>
              <w:spacing w:after="0"/>
              <w:rPr>
                <w:sz w:val="20"/>
                <w:szCs w:val="20"/>
                <w:color w:val="auto"/>
              </w:rPr>
            </w:pPr>
            <w:r>
              <w:rPr>
                <w:rFonts w:ascii="Arial" w:cs="Arial" w:eastAsia="Arial" w:hAnsi="Arial"/>
                <w:sz w:val="16"/>
                <w:szCs w:val="16"/>
                <w:color w:val="auto"/>
              </w:rPr>
              <w:t>9,869,911</w:t>
            </w:r>
          </w:p>
        </w:tc>
        <w:tc>
          <w:tcPr>
            <w:tcW w:w="1780" w:type="dxa"/>
            <w:vAlign w:val="bottom"/>
            <w:shd w:val="clear" w:color="auto" w:fill="D8D8D8"/>
          </w:tcPr>
          <w:p>
            <w:pPr>
              <w:jc w:val="right"/>
              <w:ind w:right="520"/>
              <w:spacing w:after="0"/>
              <w:rPr>
                <w:sz w:val="20"/>
                <w:szCs w:val="20"/>
                <w:color w:val="auto"/>
              </w:rPr>
            </w:pPr>
            <w:r>
              <w:rPr>
                <w:rFonts w:ascii="Arial" w:cs="Arial" w:eastAsia="Arial" w:hAnsi="Arial"/>
                <w:sz w:val="16"/>
                <w:szCs w:val="16"/>
                <w:color w:val="auto"/>
              </w:rPr>
              <w:t>   7.3</w:t>
            </w:r>
          </w:p>
        </w:tc>
      </w:tr>
      <w:tr>
        <w:trPr>
          <w:trHeight w:val="237"/>
        </w:trPr>
        <w:tc>
          <w:tcPr>
            <w:tcW w:w="200" w:type="dxa"/>
            <w:vAlign w:val="bottom"/>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JPMORGAN CHASE &amp; CO. (15)</w:t>
            </w:r>
          </w:p>
        </w:tc>
        <w:tc>
          <w:tcPr>
            <w:tcW w:w="1800" w:type="dxa"/>
            <w:vAlign w:val="bottom"/>
          </w:tcPr>
          <w:p>
            <w:pPr>
              <w:jc w:val="right"/>
              <w:ind w:right="300"/>
              <w:spacing w:after="0"/>
              <w:rPr>
                <w:sz w:val="20"/>
                <w:szCs w:val="20"/>
                <w:color w:val="auto"/>
              </w:rPr>
            </w:pPr>
            <w:r>
              <w:rPr>
                <w:rFonts w:ascii="Arial" w:cs="Arial" w:eastAsia="Arial" w:hAnsi="Arial"/>
                <w:sz w:val="16"/>
                <w:szCs w:val="16"/>
                <w:color w:val="auto"/>
              </w:rPr>
              <w:t>10,028,407</w:t>
            </w:r>
          </w:p>
        </w:tc>
        <w:tc>
          <w:tcPr>
            <w:tcW w:w="1780" w:type="dxa"/>
            <w:vAlign w:val="bottom"/>
          </w:tcPr>
          <w:p>
            <w:pPr>
              <w:jc w:val="right"/>
              <w:ind w:right="520"/>
              <w:spacing w:after="0"/>
              <w:rPr>
                <w:sz w:val="20"/>
                <w:szCs w:val="20"/>
                <w:color w:val="auto"/>
              </w:rPr>
            </w:pPr>
            <w:r>
              <w:rPr>
                <w:rFonts w:ascii="Arial" w:cs="Arial" w:eastAsia="Arial" w:hAnsi="Arial"/>
                <w:sz w:val="16"/>
                <w:szCs w:val="16"/>
                <w:color w:val="auto"/>
              </w:rPr>
              <w:t>   7.4</w:t>
            </w:r>
          </w:p>
        </w:tc>
      </w:tr>
      <w:tr>
        <w:trPr>
          <w:trHeight w:val="241"/>
        </w:trPr>
        <w:tc>
          <w:tcPr>
            <w:tcW w:w="20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Borders>
              <w:bottom w:val="single" w:sz="8" w:color="021496"/>
            </w:tcBorders>
            <w:shd w:val="clear" w:color="auto" w:fill="D8D8D8"/>
          </w:tcPr>
          <w:p>
            <w:pPr>
              <w:ind w:left="40"/>
              <w:spacing w:after="0"/>
              <w:rPr>
                <w:sz w:val="20"/>
                <w:szCs w:val="20"/>
                <w:color w:val="auto"/>
              </w:rPr>
            </w:pPr>
            <w:r>
              <w:rPr>
                <w:rFonts w:ascii="Arial" w:cs="Arial" w:eastAsia="Arial" w:hAnsi="Arial"/>
                <w:sz w:val="14"/>
                <w:szCs w:val="14"/>
                <w:b w:val="1"/>
                <w:bCs w:val="1"/>
                <w:color w:val="auto"/>
                <w:w w:val="71"/>
              </w:rPr>
              <w:t> </w:t>
            </w:r>
          </w:p>
        </w:tc>
        <w:tc>
          <w:tcPr>
            <w:tcW w:w="6980" w:type="dxa"/>
            <w:vAlign w:val="bottom"/>
            <w:tcBorders>
              <w:bottom w:val="single" w:sz="8" w:color="021496"/>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THE VANGUARD GROUP (16)</w:t>
            </w:r>
          </w:p>
        </w:tc>
        <w:tc>
          <w:tcPr>
            <w:tcW w:w="1800" w:type="dxa"/>
            <w:vAlign w:val="bottom"/>
            <w:tcBorders>
              <w:bottom w:val="single" w:sz="8" w:color="021496"/>
            </w:tcBorders>
            <w:shd w:val="clear" w:color="auto" w:fill="D8D8D8"/>
          </w:tcPr>
          <w:p>
            <w:pPr>
              <w:jc w:val="right"/>
              <w:ind w:right="300"/>
              <w:spacing w:after="0"/>
              <w:rPr>
                <w:sz w:val="20"/>
                <w:szCs w:val="20"/>
                <w:color w:val="auto"/>
              </w:rPr>
            </w:pPr>
            <w:r>
              <w:rPr>
                <w:rFonts w:ascii="Arial" w:cs="Arial" w:eastAsia="Arial" w:hAnsi="Arial"/>
                <w:sz w:val="16"/>
                <w:szCs w:val="16"/>
                <w:color w:val="auto"/>
              </w:rPr>
              <w:t>16,496,972</w:t>
            </w:r>
          </w:p>
        </w:tc>
        <w:tc>
          <w:tcPr>
            <w:tcW w:w="1780" w:type="dxa"/>
            <w:vAlign w:val="bottom"/>
            <w:tcBorders>
              <w:bottom w:val="single" w:sz="8" w:color="021496"/>
            </w:tcBorders>
            <w:shd w:val="clear" w:color="auto" w:fill="D8D8D8"/>
          </w:tcPr>
          <w:p>
            <w:pPr>
              <w:jc w:val="right"/>
              <w:ind w:right="520"/>
              <w:spacing w:after="0"/>
              <w:rPr>
                <w:sz w:val="20"/>
                <w:szCs w:val="20"/>
                <w:color w:val="auto"/>
              </w:rPr>
            </w:pPr>
            <w:r>
              <w:rPr>
                <w:rFonts w:ascii="Arial" w:cs="Arial" w:eastAsia="Arial" w:hAnsi="Arial"/>
                <w:sz w:val="16"/>
                <w:szCs w:val="16"/>
                <w:color w:val="auto"/>
              </w:rPr>
              <w:t>12.2</w:t>
            </w:r>
          </w:p>
        </w:tc>
      </w:tr>
    </w:tbl>
    <w:p>
      <w:pPr>
        <w:spacing w:after="0" w:line="108" w:lineRule="exact"/>
        <w:rPr>
          <w:sz w:val="20"/>
          <w:szCs w:val="20"/>
          <w:color w:val="auto"/>
        </w:rPr>
      </w:pPr>
    </w:p>
    <w:p>
      <w:pPr>
        <w:ind w:left="1080" w:hanging="431"/>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Less than one percent.</w:t>
      </w:r>
    </w:p>
    <w:p>
      <w:pPr>
        <w:spacing w:after="0" w:line="148"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84</w:t>
      </w:r>
    </w:p>
    <w:p>
      <w:pPr>
        <w:sectPr>
          <w:pgSz w:w="11900" w:h="16838" w:orient="portrait"/>
          <w:cols w:equalWidth="0" w:num="1">
            <w:col w:w="10920"/>
          </w:cols>
          <w:pgMar w:left="480" w:top="276" w:right="49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 OWNERSHIP INFORMATION</w:t>
      </w:r>
    </w:p>
    <w:p>
      <w:pPr>
        <w:spacing w:after="0" w:line="152" w:lineRule="exact"/>
        <w:rPr>
          <w:sz w:val="20"/>
          <w:szCs w:val="20"/>
          <w:color w:val="auto"/>
        </w:rPr>
      </w:pPr>
    </w:p>
    <w:p>
      <w:pPr>
        <w:ind w:left="1080" w:right="20" w:hanging="431"/>
        <w:spacing w:after="0" w:line="248" w:lineRule="auto"/>
        <w:tabs>
          <w:tab w:leader="none" w:pos="10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In computing the number of shares beneficially owned by an executive officer and the percentage ownership of such executive officers, we have included shares of common stock subject to stock-settled appreciation rights (“SSARs”) held by that person that are currently exercisable or exercisable within 60 days of March 16, 2026. Such shares, however, are not deemed to be outstanding for purposes of computing the percentage ownership of any other person. Information about shares held through Dover’s 401(k) plan is as of March 16, 2026; fractional shares held in 401(k) accounts have been rounded down. In computing the number of shares beneficially owned by a director and the percentage ownership of such director, we have included shares of common stock subject to deferred stock units which become payable upon the director’s termination of service. Such shares, however, are not deemed to be outstanding for purposes of computing the percentage ownership of any other person.</w:t>
      </w:r>
    </w:p>
    <w:p>
      <w:pPr>
        <w:spacing w:after="0" w:line="97" w:lineRule="exact"/>
        <w:rPr>
          <w:rFonts w:ascii="Arial" w:cs="Arial" w:eastAsia="Arial" w:hAnsi="Arial"/>
          <w:sz w:val="16"/>
          <w:szCs w:val="16"/>
          <w:i w:val="1"/>
          <w:iCs w:val="1"/>
          <w:color w:val="auto"/>
        </w:rPr>
      </w:pPr>
    </w:p>
    <w:p>
      <w:pPr>
        <w:ind w:left="1080" w:hanging="431"/>
        <w:spacing w:after="0"/>
        <w:tabs>
          <w:tab w:leader="none" w:pos="10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Reflects 4,959 deferred stock units.</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18,319 deferred stock units and 29,288 shares held by a charitable foundation of which Ms. Graham is a director.</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Reflects 2,904 deferred stock units.</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9,566 deferred stock units.</w:t>
      </w:r>
    </w:p>
    <w:p>
      <w:pPr>
        <w:spacing w:after="0" w:line="124" w:lineRule="exact"/>
        <w:rPr>
          <w:sz w:val="20"/>
          <w:szCs w:val="20"/>
          <w:color w:val="auto"/>
        </w:rPr>
      </w:pPr>
    </w:p>
    <w:p>
      <w:pPr>
        <w:ind w:left="1080" w:hanging="431"/>
        <w:spacing w:after="0"/>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3,126 deferred stock units, 636,067 shares in respect of vested SSAR and 610 shares held in our 401(k) plan.</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23,697 shares in respect of vested SSARs and 1,191 shares held in our 401(k) plan.</w:t>
      </w:r>
    </w:p>
    <w:p>
      <w:pPr>
        <w:spacing w:after="0" w:line="123" w:lineRule="exact"/>
        <w:rPr>
          <w:rFonts w:ascii="Arial" w:cs="Arial" w:eastAsia="Arial" w:hAnsi="Arial"/>
          <w:sz w:val="16"/>
          <w:szCs w:val="16"/>
          <w:i w:val="1"/>
          <w:iCs w:val="1"/>
          <w:color w:val="auto"/>
        </w:rPr>
      </w:pPr>
    </w:p>
    <w:p>
      <w:pPr>
        <w:ind w:left="1080" w:right="40" w:hanging="431"/>
        <w:spacing w:after="0" w:line="260" w:lineRule="auto"/>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Reflects direct holdings, 266,941 shares in respect of vested SSARs, 2,693 shares in respect of restricted stock units scheduled to vest on March 15, 2025 and 4,474 shares held in our 401(k) plan, all as of January 31, 2025, the last day on which he served as an executive officer.</w:t>
      </w:r>
    </w:p>
    <w:p>
      <w:pPr>
        <w:spacing w:after="0" w:line="84" w:lineRule="exact"/>
        <w:rPr>
          <w:rFonts w:ascii="Arial" w:cs="Arial" w:eastAsia="Arial" w:hAnsi="Arial"/>
          <w:sz w:val="16"/>
          <w:szCs w:val="16"/>
          <w:i w:val="1"/>
          <w:iCs w:val="1"/>
          <w:color w:val="auto"/>
        </w:rPr>
      </w:pPr>
    </w:p>
    <w:p>
      <w:pPr>
        <w:ind w:left="1080" w:hanging="431"/>
        <w:spacing w:after="0"/>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119,318 shares in respect of vested SSARs and 2,179 shares held in our 401(k) plan.</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55,218 shares in respect of vested SSARs and 718 shares held in our 401(k) plan.</w:t>
      </w:r>
    </w:p>
    <w:p>
      <w:pPr>
        <w:spacing w:after="0" w:line="123" w:lineRule="exact"/>
        <w:rPr>
          <w:rFonts w:ascii="Arial" w:cs="Arial" w:eastAsia="Arial" w:hAnsi="Arial"/>
          <w:sz w:val="16"/>
          <w:szCs w:val="16"/>
          <w:i w:val="1"/>
          <w:iCs w:val="1"/>
          <w:color w:val="auto"/>
        </w:rPr>
      </w:pPr>
    </w:p>
    <w:p>
      <w:pPr>
        <w:ind w:left="1080" w:hanging="431"/>
        <w:spacing w:after="0"/>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153 shares held in our 401(k) plan.</w:t>
      </w:r>
    </w:p>
    <w:p>
      <w:pPr>
        <w:spacing w:after="0" w:line="123" w:lineRule="exact"/>
        <w:rPr>
          <w:rFonts w:ascii="Arial" w:cs="Arial" w:eastAsia="Arial" w:hAnsi="Arial"/>
          <w:sz w:val="16"/>
          <w:szCs w:val="16"/>
          <w:i w:val="1"/>
          <w:iCs w:val="1"/>
          <w:color w:val="auto"/>
        </w:rPr>
      </w:pPr>
    </w:p>
    <w:p>
      <w:pPr>
        <w:ind w:left="1080" w:right="80" w:hanging="431"/>
        <w:spacing w:after="0" w:line="277" w:lineRule="auto"/>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Excludes shares of Mr. Cerepak; includes 39,936 deferred stock units, 881,209 shares in respect of vested SSARs and 6,388 shares held in our 401(k) plan.</w:t>
      </w:r>
    </w:p>
    <w:p>
      <w:pPr>
        <w:spacing w:after="0" w:line="70" w:lineRule="exact"/>
        <w:rPr>
          <w:rFonts w:ascii="Arial" w:cs="Arial" w:eastAsia="Arial" w:hAnsi="Arial"/>
          <w:sz w:val="16"/>
          <w:szCs w:val="16"/>
          <w:i w:val="1"/>
          <w:iCs w:val="1"/>
          <w:color w:val="auto"/>
        </w:rPr>
      </w:pPr>
    </w:p>
    <w:p>
      <w:pPr>
        <w:ind w:left="1080" w:right="60" w:hanging="431"/>
        <w:spacing w:after="0" w:line="250" w:lineRule="auto"/>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based on information contained in a Schedule 13G/A filed with the SEC on January 26, 2024 by BlackRock, Inc. with respect to beneficial ownership of Dover common stock as of December 31, 2023. BlackRock reported sole voting power with regard to 8,894,175 of the shares and sole dispositive power with regard to 9,869,911 of such shares. BlackRock, Inc.’s offices are located at 50 Hudson Yards, New York, NY 10001. BlackRock, Inc. has not filed a further amendment to its Schedule 13G/A subsequent to that date. Percentage ownership assumes BlackRock, Inc. continues to own all shares reported on the Schedule 13G/A as of our record date.</w:t>
      </w:r>
    </w:p>
    <w:p>
      <w:pPr>
        <w:spacing w:after="0" w:line="93" w:lineRule="exact"/>
        <w:rPr>
          <w:rFonts w:ascii="Arial" w:cs="Arial" w:eastAsia="Arial" w:hAnsi="Arial"/>
          <w:sz w:val="16"/>
          <w:szCs w:val="16"/>
          <w:i w:val="1"/>
          <w:iCs w:val="1"/>
          <w:color w:val="auto"/>
        </w:rPr>
      </w:pPr>
    </w:p>
    <w:p>
      <w:pPr>
        <w:ind w:left="1080" w:hanging="431"/>
        <w:spacing w:after="0" w:line="249" w:lineRule="auto"/>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based on information contained in a Schedule 13G/A filed with the SEC on October 10, 2024 by JPMorgan Chase &amp; Co. with respect to beneficial ownership of Dover common stock as of September 30,2024. JPMorgan Chase &amp; Co. reported sole voting power with regard to 8,776,999 of the shares, shared voting power with regard to 33,049 of the shares, sole dispositive power with regard to 9,985,347 of the shares and shared dispositive power with regard to 36,901 of the shares. JPMorgan Chase &amp; Co.’s address is 383 Madison Avenue, New York, NY 100179. JPMorgan Chase &amp; Co. has not filed a further amendment to its Schedule 13G/A subsequent to that date. Percentage ownership assumes JPMorgan Chase &amp; Co. continues to own all shares reported on the Schedule 13G/A as of our record date.</w:t>
      </w:r>
    </w:p>
    <w:p>
      <w:pPr>
        <w:spacing w:after="0" w:line="94" w:lineRule="exact"/>
        <w:rPr>
          <w:rFonts w:ascii="Arial" w:cs="Arial" w:eastAsia="Arial" w:hAnsi="Arial"/>
          <w:sz w:val="16"/>
          <w:szCs w:val="16"/>
          <w:i w:val="1"/>
          <w:iCs w:val="1"/>
          <w:color w:val="auto"/>
        </w:rPr>
      </w:pPr>
    </w:p>
    <w:p>
      <w:pPr>
        <w:ind w:left="1080" w:right="120" w:hanging="431"/>
        <w:spacing w:after="0" w:line="249" w:lineRule="auto"/>
        <w:tabs>
          <w:tab w:leader="none" w:pos="10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based on information contained in a Schedule 13G/A filed with the SEC on February 13, 2024 by The Vanguard Group with respect to beneficial ownership of Dover common stock as of December 31, 2023. The Vanguard Group reported sole voting power with regard to none of the shares, shared voting power with regard to 176,131 of the shares, sole dispositive power with regard to 15,904,015 of the shares and shared dispositive power with regard to 592,957 of the shares. The Vanguard Group’s address is 100 Vanguard Blvd., Malvern, PA 19355. The Vanguard Group has not filed a further amendment to its Schedule 13G/A subsequent to that date. Percentage ownership assumes The Vanguard Group continues to own all shares reported on the Schedule 13G/A as of our record date.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85</w:t>
      </w:r>
    </w:p>
    <w:p>
      <w:pPr>
        <w:sectPr>
          <w:pgSz w:w="11900" w:h="16838" w:orient="portrait"/>
          <w:cols w:equalWidth="0" w:num="1">
            <w:col w:w="10920"/>
          </w:cols>
          <w:pgMar w:left="480" w:top="299" w:right="49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SHARE OWNERSHIP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Stock Ownership Guidelines</w:t>
      </w:r>
    </w:p>
    <w:p>
      <w:pPr>
        <w:spacing w:after="0" w:line="10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161"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auto"/>
        </w:rPr>
        <w:t>Executive officers are expected to hold a number of shares with a value at least equal to a multiple of their annual salary. For a discussion of the executive officer share ownership guidelines, see “Compensation Discussion and Analysis — Other Elements of Compensation” on page 57.</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86</w:t>
      </w:r>
    </w:p>
    <w:p>
      <w:pPr>
        <w:sectPr>
          <w:pgSz w:w="11900" w:h="16838" w:orient="portrait"/>
          <w:cols w:equalWidth="0" w:num="1">
            <w:col w:w="10920"/>
          </w:cols>
          <w:pgMar w:left="480" w:top="299" w:right="499" w:bottom="1440" w:gutter="0" w:footer="0" w:header="0"/>
        </w:sectPr>
      </w:pPr>
    </w:p>
    <w:bookmarkStart w:id="91" w:name="page92"/>
    <w:bookmarkEnd w:id="91"/>
    <w:p>
      <w:pPr>
        <w:spacing w:after="0"/>
        <w:rPr>
          <w:sz w:val="20"/>
          <w:szCs w:val="20"/>
          <w:color w:val="auto"/>
        </w:rPr>
      </w:pPr>
      <w:r>
        <w:rPr>
          <w:rFonts w:ascii="Arial" w:cs="Arial" w:eastAsia="Arial" w:hAnsi="Arial"/>
          <w:sz w:val="36"/>
          <w:szCs w:val="36"/>
          <w:b w:val="1"/>
          <w:bCs w:val="1"/>
          <w:color w:val="02149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38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We are providing this Proxy Statement to our shareholders in connection with the solicitation of proxies by the Board for use at the Annual Meeting. We are mailing this Notice of Annual Meeting and Proxy Statement beginning on or about March 24, 2026.</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Record Date</w:t>
      </w:r>
    </w:p>
    <w:p>
      <w:pPr>
        <w:spacing w:after="0" w:line="100"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record date for determining shareholders eligible to vote at the Annual Meeting is March 16, 2026. As of the close of business on that date, we had outstanding 134,796,450 shares of common stock. Each share of common stock is entitled to one vote on each matter.</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Electronic Delivery of Proxy Materials</w:t>
      </w:r>
    </w:p>
    <w:p>
      <w:pPr>
        <w:spacing w:after="0" w:line="100"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permitted under SEC rules, we are making this Proxy Statement and our Annual Report to Shareholders (which includes our Annual Report on Form 10-K for the year ended December 31, 2025) available to shareholders electronically via the internet. We believe electronic delivery expedites receipt of our proxy materials by shareholders, while lowering the costs and reducing the environmental impact of the Annual Meeting. If you receive a notice of internet availability of proxy materials by mail, you will not receive a printed copy of the proxy materials by mail unless you specifically request them. Instead, the notice of internet availability will provide instructions as to how you may review the proxy materials and submit your voting instructions over the internet. If you receive the notice by mail and would like to receive a printed copy of the proxy materials, you should follow the instructions in the notice of internet availability for requesting a printed copy. In addition, the proxy card contains instructions for electing to receive proxy materials over the internet or by mail in future years.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Shareholders of Record; Beneficial Owners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Most holders of our common stock hold their shares beneficially through a broker, bank or other nominee rather than of record directly in their own 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 summarized below, there are some differences in the way to vote shares held of record and those owned beneficially.</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your shares are registered directly in your name with our transfer agent, you are considered the shareholder of record of those shares, and the notice of internet availability or proxy materials are being sent directly to you. As a shareholder of record, you have the right to grant your voting proxy directly to the persons named as proxy holders or to vote in person at the Annual Meeting. If you received or requested printed copies of the proxy materials, Dover has enclosed a proxy card for you to use. You may also submit your proxy on the internet or by telephone as described in the proxy card.</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If your shares are held in a brokerage account or by a bank or other nominee, you are considered the beneficial owner of the shares held in “street name,” and these proxy materials are being forwarded to you by your broker or nominee who is considered the shareholder of record of those shares. As the beneficial owner, you generally have the right to direct your broker on how to vote and are also invited to attend the Annual Meeting. However, since you are not the shareholder of record, you may not vote those shares in person at the Annual Meeting unless you have a proxy, executed in your favor, from the holder of record of your shares. Your broker or nominee has enclosed a voting instruction card for you to use in directing your broker or nominee as to how to vote your shares. We strongly encourage you to instruct your broker or nominee how you wish to vote.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Vote Required; Abstentions and Broker Non-Votes; Quorum</w:t>
      </w:r>
    </w:p>
    <w:p>
      <w:pPr>
        <w:spacing w:after="0" w:line="10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For Proposal 1, a majority of the votes cast at the Annual Meeting is required to elect each of the directors. This means that the number of votes cast “FOR” a director must exceed the number of votes cast “AGAINST” that director in order for that director to be elected. Our organizational documents do not provide for cumulative voting.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Proposal 2 will require the affirmative vote of at least a majority of shares present in person or represented by proxy and entitled to vote thereon.</w:t>
      </w:r>
    </w:p>
    <w:p>
      <w:pPr>
        <w:spacing w:after="0" w:line="110"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Proposal 3 is a nonbinding, advisory resolution so its ultimate adoption is at the discretion of the Board. The affirmative vote of a majority of shares present in person or by proxy and entitled to vote at the Annual Meeting will be deemed to be approval by the shareholders of Proposal 3.</w:t>
      </w:r>
    </w:p>
    <w:p>
      <w:pPr>
        <w:spacing w:after="0" w:line="54"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Proposal 4 is a nonbinding, advisory resolution so its ultimate adoption is at the discretion of the Board. The affirmative vote of a majority of shares present in person or by proxy and entitled to vote at the Annual Meeting will be deemed to be approval by the shareholders of Proposal 4.</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87</w:t>
      </w:r>
    </w:p>
    <w:p>
      <w:pPr>
        <w:sectPr>
          <w:pgSz w:w="11900" w:h="16838" w:orient="portrait"/>
          <w:cols w:equalWidth="0" w:num="1">
            <w:col w:w="10920"/>
          </w:cols>
          <w:pgMar w:left="480" w:top="276" w:right="49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150"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If you are a shareholder of record and you sign and return your proxy card or vote electronically without making any specific selection, then your shares will be voted FOR all director nominees listed in Proposal 1, and FOR Proposals 2 and 3, and AGAINST Proposal 4.</w:t>
      </w:r>
    </w:p>
    <w:p>
      <w:pPr>
        <w:spacing w:after="0" w:line="5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If you specify that you wish to “ABSTAIN” from voting on an item, then your shares will not be voted on that particular item. Abstentions will not affect the outcome of the vote on Proposal 1. However, they will have the same effect as a vote against Proposals 2, 3, and 4.</w:t>
      </w:r>
    </w:p>
    <w:p>
      <w:pPr>
        <w:spacing w:after="0" w:line="5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For purposes of the Annual Meeting, there will be a quorum if the holders of a majority of the outstanding shares of our common stock entitled to vote at the Annual Meeting are present in person or represented by proxy. Abstentions and broker non-votes will be counted for purposes of determining if a quorum is present.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Voting Procedures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 are a shareholder of record, you may vote in person at the Annual Meeting or submit your proxy or voting instruction form over the internet, by telephone or by mail by following the instructions provided in our notice of internet availability, in the proxy materials or in the voting instruction form. If you hold your shares beneficially in “street name” through a broker or other nominee, you must follow the instructions provided by your broker or nominee to vote your shares.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Revoking Your Proxy/Changing Your Voting Instructions</w:t>
      </w:r>
    </w:p>
    <w:p>
      <w:pPr>
        <w:spacing w:after="0" w:line="10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If you are a shareholder of record, whether you give your proxy over the internet, by telephone or by mail, you may revoke it at any time before it is exercised. You may submit a new proxy by using the internet or the telephone or by mailing a new proxy card bearing a later date so long as it is received before the Annual Meeting. You may also revoke your proxy by attending the Annual Meeting and voting in person, although attendance at the Annual Meeting will not, by itself, revoke your proxy. If you hold your shares beneficially in “street name” through a broker or other nominee, you must follow the instructions provided by your broker or nominee as to how you may change your voting instructions.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Shareholders Sharing the Same Address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SEC rules permit us to deliver one copy of the Proxy Statement or a notice of internet availability of the Proxy Statement to multiple shareholders of record who share the same address and have the same last name, unless we have received contrary instructions from one or more of such shareholders. This delivery method, called “householding,” reduces our printing and mailing costs. Shareholders who participate in householding will continue to receive or have internet access to separate proxy cards.</w:t>
      </w:r>
    </w:p>
    <w:p>
      <w:pPr>
        <w:spacing w:after="0" w:line="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If you are a shareholder of record subject to householding and wish to receive a separate copy of the Proxy Statement or notice of internet availability of the proxy materials, now or in the future, at the same address or if you are currently receiving multiple copies of such materials at the same address and wish to receive only a single copy, please write to or call the Corporate Secretary, Dover Corporation, 3005 Highland Parkway, Downers Grove, Illinois 60515, telephone: (630) 541-1540.</w:t>
      </w:r>
    </w:p>
    <w:p>
      <w:pPr>
        <w:spacing w:after="0" w:line="7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Beneficial owners sharing an address who are currently receiving multiple copies of the proxy materials or notice of internet availability of the proxy materials and wish to receive only a single copy in the future, or who currently receive a single copy and wish to receive separate copies in the future, should contact their bank, broker or other holder of record to request that only a single copy or separate copies, as the case may be, be delivered to all shareholders at the shared address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Proxy Solicitation Costs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will pay the reasonable and actual costs of printing, mailing and soliciting proxies, but we will not pay a fee to any of our officers or employees or to officers or employees of any of our subsidiaries as compensation for soliciting proxies. We have retained Sodali &amp; Co. LLC to solicit brokerage houses and other custodians, nominees or fiduciaries, and to send proxies and proxy materials to the beneficial owners of such shares, for a fee of approximately $13,000 plus expenses.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Other Matters</w:t>
      </w:r>
    </w:p>
    <w:p>
      <w:pPr>
        <w:spacing w:after="0" w:line="10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Board and management have not received notice of, and are not aware of, any business to come before the Annual Meeting other than the agenda items referred to in this Proxy Statement. If, however, any other business properly comes before the meeting, the persons named as proxies will use their best judgment in voting the proxies.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88</w:t>
      </w:r>
    </w:p>
    <w:p>
      <w:pPr>
        <w:sectPr>
          <w:pgSz w:w="11900" w:h="16838" w:orient="portrait"/>
          <w:cols w:equalWidth="0" w:num="1">
            <w:col w:w="10920"/>
          </w:cols>
          <w:pgMar w:left="480" w:top="299" w:right="49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021496"/>
        </w:rPr>
        <w:t>Shareholder Proposals and Director Nominations for 2027 Annual Meeting</w:t>
      </w:r>
    </w:p>
    <w:p>
      <w:pPr>
        <w:spacing w:after="0" w:line="100"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In order for shareholder proposals to be included in our proxy statement for the Annual Meeting of Shareholders to be held in 2027 (the “2027 Annual Meeting”), they must be received by our Corporate Secretary at our principal executive offices, 3005 Highland Parkway, Downers Grove, Illinois, 60515, no later than the close of business on November 24, 2026.</w:t>
      </w:r>
    </w:p>
    <w:p>
      <w:pPr>
        <w:spacing w:after="0" w:line="6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2016, we adopted a proxy access right to permit a shareholder or a group of up to 20 shareholders owning 3% or more of our outstanding common stock continuously for at least three years to nominate and include in our proxy materials director candidates constituting up to the greater of two individuals or 20% of the Board, provided that the shareholder(s) and the nominee(s) satisfy the requirements specified in our by-laws. In order to be timely, notice of proxy access director nominees must be received by our Corporate Secretary at our principal executive offices at the address above no earlier than the open of business on October 25, 2026 and no later than the close of business on November 24, 2026 being, respectively, 150 days and 120 days prior to the first anniversary of the date we first distributed this proxy statement.</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All other shareholder nominations and proposals, in order to be voted on at the 2027 Annual Meeting, including any notice of director nominees submitted under the universal proxy card voting rules, must be received by us no earlier than the open of business on January 8, 2027, and no later than the close of business on February 7, 2027 being, respectively, 120 days and 90 days prior to the date of the first anniversary of the 2026 Annual Meeting.</w:t>
      </w:r>
    </w:p>
    <w:p>
      <w:pPr>
        <w:spacing w:after="0" w:line="56"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Where You Can Find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website is located at www.dovercorporation.com. You can view additional information on our website, such as:</w:t>
      </w:r>
    </w:p>
    <w:p>
      <w:pPr>
        <w:spacing w:after="0" w:line="124" w:lineRule="exact"/>
        <w:rPr>
          <w:sz w:val="20"/>
          <w:szCs w:val="20"/>
          <w:color w:val="auto"/>
        </w:rPr>
      </w:pPr>
    </w:p>
    <w:p>
      <w:pPr>
        <w:ind w:left="640" w:hanging="312"/>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Charters of our Board committees</w:t>
      </w:r>
    </w:p>
    <w:p>
      <w:pPr>
        <w:spacing w:after="0" w:line="123" w:lineRule="exact"/>
        <w:rPr>
          <w:rFonts w:ascii="Arial" w:cs="Arial" w:eastAsia="Arial" w:hAnsi="Arial"/>
          <w:sz w:val="16"/>
          <w:szCs w:val="16"/>
          <w:color w:val="auto"/>
        </w:rPr>
      </w:pPr>
    </w:p>
    <w:p>
      <w:pPr>
        <w:ind w:left="640" w:hanging="312"/>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123" w:lineRule="exact"/>
        <w:rPr>
          <w:rFonts w:ascii="Arial" w:cs="Arial" w:eastAsia="Arial" w:hAnsi="Arial"/>
          <w:sz w:val="16"/>
          <w:szCs w:val="16"/>
          <w:color w:val="auto"/>
        </w:rPr>
      </w:pPr>
    </w:p>
    <w:p>
      <w:pPr>
        <w:ind w:left="640" w:hanging="312"/>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Code of Conduct</w:t>
      </w:r>
    </w:p>
    <w:p>
      <w:pPr>
        <w:spacing w:after="0" w:line="123" w:lineRule="exact"/>
        <w:rPr>
          <w:rFonts w:ascii="Arial" w:cs="Arial" w:eastAsia="Arial" w:hAnsi="Arial"/>
          <w:sz w:val="16"/>
          <w:szCs w:val="16"/>
          <w:color w:val="auto"/>
        </w:rPr>
      </w:pPr>
    </w:p>
    <w:p>
      <w:pPr>
        <w:ind w:left="640" w:hanging="312"/>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Related Person Transactions Policy</w:t>
      </w:r>
    </w:p>
    <w:p>
      <w:pPr>
        <w:spacing w:after="0" w:line="123" w:lineRule="exact"/>
        <w:rPr>
          <w:rFonts w:ascii="Arial" w:cs="Arial" w:eastAsia="Arial" w:hAnsi="Arial"/>
          <w:sz w:val="16"/>
          <w:szCs w:val="16"/>
          <w:color w:val="auto"/>
        </w:rPr>
      </w:pPr>
    </w:p>
    <w:p>
      <w:pPr>
        <w:ind w:left="640" w:hanging="312"/>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Standards for Director Independence</w:t>
      </w:r>
    </w:p>
    <w:p>
      <w:pPr>
        <w:spacing w:after="0" w:line="123" w:lineRule="exact"/>
        <w:rPr>
          <w:rFonts w:ascii="Arial" w:cs="Arial" w:eastAsia="Arial" w:hAnsi="Arial"/>
          <w:sz w:val="16"/>
          <w:szCs w:val="16"/>
          <w:color w:val="auto"/>
        </w:rPr>
      </w:pPr>
    </w:p>
    <w:p>
      <w:pPr>
        <w:ind w:left="640" w:right="100" w:hanging="312"/>
        <w:spacing w:after="0" w:line="279" w:lineRule="auto"/>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Other governance materials and reports that we file with the SEC. Copies of these documents also may be obtained free of charge by writing or calling the Corporate Secretary, Dover Corporation, 3005 Highland Parkway, Downers Grove, Illinois 60515, telephone: (630) 541-1540.</w:t>
      </w:r>
    </w:p>
    <w:p>
      <w:pPr>
        <w:spacing w:after="0" w:line="54" w:lineRule="exact"/>
        <w:rPr>
          <w:sz w:val="20"/>
          <w:szCs w:val="20"/>
          <w:color w:val="auto"/>
        </w:rPr>
      </w:pPr>
    </w:p>
    <w:p>
      <w:pPr>
        <w:jc w:val="both"/>
        <w:ind w:right="320"/>
        <w:spacing w:after="0" w:line="279" w:lineRule="auto"/>
        <w:rPr>
          <w:sz w:val="20"/>
          <w:szCs w:val="20"/>
          <w:color w:val="auto"/>
        </w:rPr>
      </w:pPr>
      <w:r>
        <w:rPr>
          <w:rFonts w:ascii="Arial" w:cs="Arial" w:eastAsia="Arial" w:hAnsi="Arial"/>
          <w:sz w:val="16"/>
          <w:szCs w:val="16"/>
          <w:color w:val="auto"/>
        </w:rPr>
        <w:t>All Dover Corporation website addresses contained in this proxy statement are intended to be inactive, textual references only. The information on, or accessible through, any such website identified in this proxy statement is not a part of, and is not incorporated by reference into, this proxy statement.</w:t>
      </w:r>
    </w:p>
    <w:p>
      <w:pPr>
        <w:spacing w:after="0" w:line="43"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Caution Concerning Forward-Looking Statements</w:t>
      </w:r>
    </w:p>
    <w:p>
      <w:pPr>
        <w:spacing w:after="0" w:line="12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This proxy statement contains forward-looking statements that are inherently subject to uncertainties and risks. We caution investors to be guided in their analysis of Dover by referring to the documents we file with the SEC, including our Annual Report on Form 10-K for 2025, for a list of factors that could cause our results to differ from those anticipated in any such forward-looking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89</w:t>
      </w:r>
    </w:p>
    <w:p>
      <w:pPr>
        <w:sectPr>
          <w:pgSz w:w="11900" w:h="16838" w:orient="portrait"/>
          <w:cols w:equalWidth="0" w:num="1">
            <w:col w:w="10920"/>
          </w:cols>
          <w:pgMar w:left="480" w:top="299" w:right="49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21496"/>
        </w:rPr>
        <w:t>Non-GAAP Disclosures</w:t>
      </w:r>
    </w:p>
    <w:p>
      <w:pPr>
        <w:spacing w:after="0" w:line="12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accounting principles generally accepted in the United States of America (“GAAP”), we also disclose non-GAAP information that we believe provides useful information to investors. Adjusted net earnings from continuing operations, adjusted diluted earnings per share from continuing operations, total segment earnings margin, free cash flow, free cash flow as a percentage of revenue, and organic revenue growth are not financial measures under GAAP and should not be considered as a substitute for earnings from continuing operations, diluted net earnings per share from continuing operations, cash flows from operating activities, or revenue as determined in accordance with GAAP, and they may not be comparable to similarly titled measures reported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Diluted Earnings per Share from Continuing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5300" w:type="dxa"/>
            <w:vAlign w:val="bottom"/>
          </w:tcPr>
          <w:p>
            <w:pPr>
              <w:spacing w:after="0"/>
              <w:rPr>
                <w:sz w:val="20"/>
                <w:szCs w:val="20"/>
                <w:color w:val="auto"/>
              </w:rPr>
            </w:pPr>
            <w:r>
              <w:rPr>
                <w:rFonts w:ascii="Arial" w:cs="Arial" w:eastAsia="Arial" w:hAnsi="Arial"/>
                <w:sz w:val="16"/>
                <w:szCs w:val="16"/>
                <w:b w:val="1"/>
                <w:bCs w:val="1"/>
                <w:color w:val="auto"/>
              </w:rPr>
              <w:t>Adjusted earnings from continuing operations: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00" w:type="dxa"/>
            <w:vAlign w:val="bottom"/>
            <w:shd w:val="clear" w:color="auto" w:fill="D8D8D8"/>
          </w:tcPr>
          <w:p>
            <w:pPr>
              <w:spacing w:after="0"/>
              <w:rPr>
                <w:sz w:val="20"/>
                <w:szCs w:val="20"/>
                <w:color w:val="auto"/>
              </w:rPr>
            </w:pPr>
            <w:r>
              <w:rPr>
                <w:rFonts w:ascii="Arial" w:cs="Arial" w:eastAsia="Arial" w:hAnsi="Arial"/>
                <w:sz w:val="16"/>
                <w:szCs w:val="16"/>
                <w:color w:val="auto"/>
              </w:rPr>
              <w:t>Earnings from continuing operations</w:t>
            </w:r>
          </w:p>
        </w:tc>
        <w:tc>
          <w:tcPr>
            <w:tcW w:w="400" w:type="dxa"/>
            <w:vAlign w:val="bottom"/>
            <w:shd w:val="clear" w:color="auto" w:fill="D8D8D8"/>
          </w:tcPr>
          <w:p>
            <w:pPr>
              <w:ind w:lef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1,097</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1,400</w:t>
            </w:r>
          </w:p>
        </w:tc>
        <w:tc>
          <w:tcPr>
            <w:tcW w:w="320" w:type="dxa"/>
            <w:vAlign w:val="bottom"/>
            <w:shd w:val="clear" w:color="auto" w:fill="D8D8D8"/>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944</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990</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4"/>
                <w:szCs w:val="24"/>
                <w:color w:val="auto"/>
                <w:vertAlign w:val="superscript"/>
              </w:rPr>
              <w:t>1</w:t>
            </w:r>
          </w:p>
        </w:tc>
        <w:tc>
          <w:tcPr>
            <w:tcW w:w="40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218</w:t>
            </w:r>
          </w:p>
        </w:tc>
        <w:tc>
          <w:tcPr>
            <w:tcW w:w="34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186</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159</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4"/>
                <w:szCs w:val="24"/>
                <w:color w:val="auto"/>
                <w:vertAlign w:val="superscript"/>
              </w:rPr>
              <w:t>2</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(50)</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(35)</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(40)</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4"/>
                <w:szCs w:val="24"/>
                <w:color w:val="auto"/>
                <w:vertAlign w:val="superscript"/>
              </w:rPr>
              <w:t>3</w:t>
            </w:r>
          </w:p>
        </w:tc>
        <w:tc>
          <w:tcPr>
            <w:tcW w:w="40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85</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4"/>
                <w:szCs w:val="24"/>
                <w:color w:val="auto"/>
                <w:vertAlign w:val="superscript"/>
              </w:rPr>
              <w:t>2</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(15)</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(18)</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(13)</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4"/>
                <w:szCs w:val="24"/>
                <w:color w:val="auto"/>
                <w:vertAlign w:val="superscript"/>
              </w:rPr>
              <w:t>4</w:t>
            </w:r>
          </w:p>
        </w:tc>
        <w:tc>
          <w:tcPr>
            <w:tcW w:w="40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4"/>
                <w:szCs w:val="24"/>
                <w:color w:val="auto"/>
                <w:vertAlign w:val="superscript"/>
              </w:rPr>
              <w:t>2</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4"/>
                <w:szCs w:val="24"/>
                <w:color w:val="auto"/>
                <w:vertAlign w:val="superscript"/>
              </w:rPr>
              <w:t>5</w:t>
            </w:r>
          </w:p>
        </w:tc>
        <w:tc>
          <w:tcPr>
            <w:tcW w:w="40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(598)</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4"/>
                <w:szCs w:val="24"/>
                <w:color w:val="auto"/>
                <w:vertAlign w:val="superscript"/>
              </w:rPr>
              <w:t>2</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4"/>
        </w:trPr>
        <w:tc>
          <w:tcPr>
            <w:tcW w:w="5300" w:type="dxa"/>
            <w:vAlign w:val="bottom"/>
            <w:tcBorders>
              <w:bottom w:val="single" w:sz="8" w:color="D8D8D8"/>
            </w:tcBorders>
          </w:tcPr>
          <w:p>
            <w:pPr>
              <w:spacing w:after="0" w:line="253" w:lineRule="exact"/>
              <w:rPr>
                <w:sz w:val="20"/>
                <w:szCs w:val="20"/>
                <w:color w:val="auto"/>
              </w:rPr>
            </w:pPr>
            <w:r>
              <w:rPr>
                <w:rFonts w:ascii="Arial" w:cs="Arial" w:eastAsia="Arial" w:hAnsi="Arial"/>
                <w:sz w:val="16"/>
                <w:szCs w:val="16"/>
                <w:color w:val="auto"/>
              </w:rPr>
              <w:t xml:space="preserve">Tax Cuts and Jobs Act </w:t>
            </w:r>
            <w:r>
              <w:rPr>
                <w:rFonts w:ascii="Arial" w:cs="Arial" w:eastAsia="Arial" w:hAnsi="Arial"/>
                <w:sz w:val="24"/>
                <w:szCs w:val="24"/>
                <w:color w:val="auto"/>
                <w:vertAlign w:val="superscript"/>
              </w:rPr>
              <w:t>6</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53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Adjusted earnings from continuing operations</w:t>
            </w:r>
          </w:p>
        </w:tc>
        <w:tc>
          <w:tcPr>
            <w:tcW w:w="400" w:type="dxa"/>
            <w:vAlign w:val="bottom"/>
            <w:tcBorders>
              <w:bottom w:val="single" w:sz="8" w:color="auto"/>
            </w:tcBorders>
            <w:shd w:val="clear" w:color="auto" w:fill="D8D8D8"/>
          </w:tcPr>
          <w:p>
            <w:pPr>
              <w:ind w:left="200"/>
              <w:spacing w:after="0"/>
              <w:rPr>
                <w:sz w:val="20"/>
                <w:szCs w:val="20"/>
                <w:color w:val="auto"/>
              </w:rPr>
            </w:pPr>
            <w:r>
              <w:rPr>
                <w:rFonts w:ascii="Arial" w:cs="Arial" w:eastAsia="Arial" w:hAnsi="Arial"/>
                <w:sz w:val="16"/>
                <w:szCs w:val="16"/>
                <w:color w:val="auto"/>
              </w:rPr>
              <w:t xml:space="preserve">$  </w:t>
            </w:r>
          </w:p>
        </w:tc>
        <w:tc>
          <w:tcPr>
            <w:tcW w:w="82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w w:val="95"/>
              </w:rPr>
              <w:t>   1,324</w:t>
            </w:r>
          </w:p>
        </w:tc>
        <w:tc>
          <w:tcPr>
            <w:tcW w:w="3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820" w:type="dxa"/>
            <w:vAlign w:val="bottom"/>
            <w:tcBorders>
              <w:bottom w:val="single" w:sz="8" w:color="auto"/>
            </w:tcBorders>
            <w:shd w:val="clear" w:color="auto" w:fill="D8D8D8"/>
          </w:tcPr>
          <w:p>
            <w:pPr>
              <w:jc w:val="right"/>
              <w:ind w:right="120"/>
              <w:spacing w:after="0"/>
              <w:rPr>
                <w:sz w:val="20"/>
                <w:szCs w:val="20"/>
                <w:color w:val="auto"/>
              </w:rPr>
            </w:pPr>
            <w:r>
              <w:rPr>
                <w:rFonts w:ascii="Arial" w:cs="Arial" w:eastAsia="Arial" w:hAnsi="Arial"/>
                <w:sz w:val="16"/>
                <w:szCs w:val="16"/>
                <w:color w:val="auto"/>
                <w:w w:val="92"/>
              </w:rPr>
              <w:t>   1,150</w:t>
            </w:r>
          </w:p>
        </w:tc>
        <w:tc>
          <w:tcPr>
            <w:tcW w:w="32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6"/>
                <w:szCs w:val="16"/>
                <w:color w:val="auto"/>
              </w:rPr>
              <w:t xml:space="preserve">$ </w:t>
            </w:r>
          </w:p>
        </w:tc>
        <w:tc>
          <w:tcPr>
            <w:tcW w:w="80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w w:val="92"/>
              </w:rPr>
              <w:t>   1,118</w:t>
            </w:r>
          </w:p>
        </w:tc>
        <w:tc>
          <w:tcPr>
            <w:tcW w:w="3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760" w:type="dxa"/>
            <w:vAlign w:val="bottom"/>
            <w:tcBorders>
              <w:bottom w:val="single" w:sz="8" w:color="auto"/>
            </w:tcBorders>
            <w:shd w:val="clear" w:color="auto" w:fill="D8D8D8"/>
          </w:tcPr>
          <w:p>
            <w:pPr>
              <w:jc w:val="right"/>
              <w:ind w:right="40"/>
              <w:spacing w:after="0"/>
              <w:rPr>
                <w:sz w:val="20"/>
                <w:szCs w:val="20"/>
                <w:color w:val="auto"/>
              </w:rPr>
            </w:pPr>
            <w:r>
              <w:rPr>
                <w:rFonts w:ascii="Arial" w:cs="Arial" w:eastAsia="Arial" w:hAnsi="Arial"/>
                <w:sz w:val="16"/>
                <w:szCs w:val="16"/>
                <w:color w:val="auto"/>
                <w:w w:val="95"/>
              </w:rPr>
              <w:t>   1,130</w:t>
            </w:r>
          </w:p>
        </w:tc>
        <w:tc>
          <w:tcPr>
            <w:tcW w:w="2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6"/>
                <w:szCs w:val="16"/>
                <w:color w:val="auto"/>
              </w:rPr>
              <w:t xml:space="preserve">$  </w:t>
            </w:r>
          </w:p>
        </w:tc>
        <w:tc>
          <w:tcPr>
            <w:tcW w:w="74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6"/>
                <w:szCs w:val="16"/>
                <w:color w:val="auto"/>
                <w:w w:val="95"/>
              </w:rPr>
              <w:t>   1,046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Diluted average shares outstanding</w:t>
            </w: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139</w:t>
            </w:r>
          </w:p>
        </w:tc>
        <w:tc>
          <w:tcPr>
            <w:tcW w:w="3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141</w:t>
            </w:r>
          </w:p>
        </w:tc>
        <w:tc>
          <w:tcPr>
            <w:tcW w:w="3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7"/>
        </w:trPr>
        <w:tc>
          <w:tcPr>
            <w:tcW w:w="53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Adjusted diluted earnings per share from continuing operations*:</w:t>
            </w:r>
          </w:p>
        </w:tc>
        <w:tc>
          <w:tcPr>
            <w:tcW w:w="4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00" w:type="dxa"/>
            <w:vAlign w:val="bottom"/>
          </w:tcPr>
          <w:p>
            <w:pPr>
              <w:spacing w:after="0"/>
              <w:rPr>
                <w:sz w:val="20"/>
                <w:szCs w:val="20"/>
                <w:color w:val="auto"/>
              </w:rPr>
            </w:pPr>
            <w:r>
              <w:rPr>
                <w:rFonts w:ascii="Arial" w:cs="Arial" w:eastAsia="Arial" w:hAnsi="Arial"/>
                <w:sz w:val="16"/>
                <w:szCs w:val="16"/>
                <w:color w:val="auto"/>
              </w:rPr>
              <w:t>Diluted earnings per share from continuing operations</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7.97</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10.09</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6.71</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49"/>
        </w:trPr>
        <w:tc>
          <w:tcPr>
            <w:tcW w:w="5300" w:type="dxa"/>
            <w:vAlign w:val="bottom"/>
            <w:shd w:val="clear" w:color="auto" w:fill="D8D8D8"/>
          </w:tcPr>
          <w:p>
            <w:pPr>
              <w:spacing w:after="0" w:line="249"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4"/>
                <w:szCs w:val="24"/>
                <w:color w:val="auto"/>
                <w:vertAlign w:val="superscript"/>
              </w:rPr>
              <w:t>1</w:t>
            </w:r>
          </w:p>
        </w:tc>
        <w:tc>
          <w:tcPr>
            <w:tcW w:w="400" w:type="dxa"/>
            <w:vAlign w:val="bottom"/>
            <w:shd w:val="clear" w:color="auto" w:fill="D8D8D8"/>
          </w:tcPr>
          <w:p>
            <w:pPr>
              <w:spacing w:after="0"/>
              <w:rPr>
                <w:sz w:val="21"/>
                <w:szCs w:val="21"/>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1.59</w:t>
            </w:r>
          </w:p>
        </w:tc>
        <w:tc>
          <w:tcPr>
            <w:tcW w:w="340" w:type="dxa"/>
            <w:vAlign w:val="bottom"/>
            <w:shd w:val="clear" w:color="auto" w:fill="D8D8D8"/>
          </w:tcPr>
          <w:p>
            <w:pPr>
              <w:spacing w:after="0"/>
              <w:rPr>
                <w:sz w:val="21"/>
                <w:szCs w:val="21"/>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D8D8D8"/>
          </w:tcPr>
          <w:p>
            <w:pPr>
              <w:spacing w:after="0"/>
              <w:rPr>
                <w:sz w:val="21"/>
                <w:szCs w:val="21"/>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1.13</w:t>
            </w:r>
          </w:p>
        </w:tc>
        <w:tc>
          <w:tcPr>
            <w:tcW w:w="340" w:type="dxa"/>
            <w:vAlign w:val="bottom"/>
            <w:shd w:val="clear" w:color="auto" w:fill="D8D8D8"/>
          </w:tcPr>
          <w:p>
            <w:pPr>
              <w:spacing w:after="0"/>
              <w:rPr>
                <w:sz w:val="21"/>
                <w:szCs w:val="21"/>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D8D8D8"/>
          </w:tcPr>
          <w:p>
            <w:pPr>
              <w:spacing w:after="0"/>
              <w:rPr>
                <w:sz w:val="21"/>
                <w:szCs w:val="21"/>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4"/>
                <w:szCs w:val="24"/>
                <w:color w:val="auto"/>
                <w:vertAlign w:val="superscript"/>
              </w:rPr>
              <w:t>2</w:t>
            </w:r>
          </w:p>
        </w:tc>
        <w:tc>
          <w:tcPr>
            <w:tcW w:w="40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(0.37)</w:t>
            </w:r>
          </w:p>
        </w:tc>
        <w:tc>
          <w:tcPr>
            <w:tcW w:w="3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(0.30)</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(0.28)</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4"/>
                <w:szCs w:val="24"/>
                <w:color w:val="auto"/>
                <w:vertAlign w:val="superscript"/>
              </w:rPr>
              <w:t>3</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0.57</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0.61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0.45</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0.25</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4"/>
                <w:szCs w:val="24"/>
                <w:color w:val="auto"/>
                <w:vertAlign w:val="superscript"/>
              </w:rPr>
              <w:t>2</w:t>
            </w:r>
          </w:p>
        </w:tc>
        <w:tc>
          <w:tcPr>
            <w:tcW w:w="40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(0.11)</w:t>
            </w:r>
          </w:p>
        </w:tc>
        <w:tc>
          <w:tcPr>
            <w:tcW w:w="34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(0.13)</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(0.09)</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4"/>
                <w:szCs w:val="24"/>
                <w:color w:val="auto"/>
                <w:vertAlign w:val="superscript"/>
              </w:rPr>
              <w:t>4</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0.01</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4"/>
                <w:szCs w:val="24"/>
                <w:color w:val="auto"/>
                <w:vertAlign w:val="superscript"/>
              </w:rPr>
              <w:t>2</w:t>
            </w:r>
          </w:p>
        </w:tc>
        <w:tc>
          <w:tcPr>
            <w:tcW w:w="40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4"/>
                <w:szCs w:val="24"/>
                <w:color w:val="auto"/>
                <w:vertAlign w:val="superscript"/>
              </w:rPr>
              <w:t>5</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(0.03)</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(4.31)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1"/>
        </w:trPr>
        <w:tc>
          <w:tcPr>
            <w:tcW w:w="5300" w:type="dxa"/>
            <w:vAlign w:val="bottom"/>
          </w:tcPr>
          <w:p>
            <w:pPr>
              <w:spacing w:after="0" w:line="241"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4"/>
                <w:szCs w:val="24"/>
                <w:color w:val="auto"/>
                <w:vertAlign w:val="superscript"/>
              </w:rPr>
              <w:t>2</w:t>
            </w:r>
          </w:p>
        </w:tc>
        <w:tc>
          <w:tcPr>
            <w:tcW w:w="40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0.01</w:t>
            </w:r>
          </w:p>
        </w:tc>
        <w:tc>
          <w:tcPr>
            <w:tcW w:w="34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0.98</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41"/>
        </w:trPr>
        <w:tc>
          <w:tcPr>
            <w:tcW w:w="530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Tax Cuts and Jobs Act </w:t>
            </w:r>
            <w:r>
              <w:rPr>
                <w:rFonts w:ascii="Arial" w:cs="Arial" w:eastAsia="Arial" w:hAnsi="Arial"/>
                <w:sz w:val="24"/>
                <w:szCs w:val="24"/>
                <w:color w:val="auto"/>
                <w:vertAlign w:val="superscript"/>
              </w:rPr>
              <w:t>6</w:t>
            </w:r>
          </w:p>
        </w:tc>
        <w:tc>
          <w:tcPr>
            <w:tcW w:w="4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(0.16)</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Adjusted diluted earnings per share from continuing operations</w:t>
            </w: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00" w:type="dxa"/>
            <w:vAlign w:val="bottom"/>
            <w:vMerge w:val="continue"/>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9.61</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7.95</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40" w:hanging="433"/>
        <w:spacing w:after="0"/>
        <w:tabs>
          <w:tab w:leader="none" w:pos="440" w:val="left"/>
        </w:tabs>
        <w:numPr>
          <w:ilvl w:val="0"/>
          <w:numId w:val="102"/>
        </w:numPr>
        <w:rPr>
          <w:rFonts w:ascii="Arial" w:cs="Arial" w:eastAsia="Arial" w:hAnsi="Arial"/>
          <w:sz w:val="16"/>
          <w:szCs w:val="16"/>
          <w:i w:val="1"/>
          <w:iCs w:val="1"/>
          <w:color w:val="auto"/>
        </w:rPr>
      </w:pPr>
      <w:r>
        <w:rPr>
          <w:rFonts w:ascii="Arial" w:cs="Arial" w:eastAsia="Arial" w:hAnsi="Arial"/>
          <w:sz w:val="16"/>
          <w:szCs w:val="16"/>
          <w:i w:val="1"/>
          <w:iCs w:val="1"/>
          <w:color w:val="auto"/>
        </w:rPr>
        <w:t>Purchase accounting expenses are primarily comprised of amortization of acquired intangible assets and charges related to fair value step-ups for</w:t>
      </w:r>
    </w:p>
    <w:p>
      <w:pPr>
        <w:spacing w:after="0" w:line="17" w:lineRule="exact"/>
        <w:rPr>
          <w:sz w:val="20"/>
          <w:szCs w:val="20"/>
          <w:color w:val="auto"/>
        </w:rPr>
      </w:pPr>
    </w:p>
    <w:p>
      <w:pPr>
        <w:ind w:left="440" w:right="460"/>
        <w:spacing w:after="0" w:line="244" w:lineRule="auto"/>
        <w:rPr>
          <w:sz w:val="20"/>
          <w:szCs w:val="20"/>
          <w:color w:val="auto"/>
        </w:rPr>
      </w:pPr>
      <w:r>
        <w:rPr>
          <w:rFonts w:ascii="Arial" w:cs="Arial" w:eastAsia="Arial" w:hAnsi="Arial"/>
          <w:sz w:val="16"/>
          <w:szCs w:val="16"/>
          <w:i w:val="1"/>
          <w:iCs w:val="1"/>
          <w:color w:val="auto"/>
        </w:rPr>
        <w:t>acquired inventory sold during the period. FY 2022 includes $20.0 million of amortization of inventory step-up primarily related to the Q4 2021 acquisitions within our Clean Energy &amp; Fueling segment.</w:t>
      </w:r>
    </w:p>
    <w:p>
      <w:pPr>
        <w:jc w:val="right"/>
        <w:ind w:left="7120" w:hanging="7113"/>
        <w:spacing w:after="0" w:line="463" w:lineRule="auto"/>
        <w:tabs>
          <w:tab w:leader="none" w:pos="431"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Adjustments were tax effected using the statutory tax rates in the applicable jurisdictions or the effective tax rate, where applicable, for each period. </w:t>
      </w: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90</w:t>
      </w:r>
    </w:p>
    <w:p>
      <w:pPr>
        <w:sectPr>
          <w:pgSz w:w="11900" w:h="16838" w:orient="portrait"/>
          <w:cols w:equalWidth="0" w:num="1">
            <w:col w:w="10920"/>
          </w:cols>
          <w:pgMar w:left="480" w:top="299" w:right="49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152" w:lineRule="exact"/>
        <w:rPr>
          <w:sz w:val="20"/>
          <w:szCs w:val="20"/>
          <w:color w:val="auto"/>
        </w:rPr>
      </w:pPr>
    </w:p>
    <w:p>
      <w:pPr>
        <w:ind w:left="440" w:right="20" w:hanging="433"/>
        <w:spacing w:after="0" w:line="246" w:lineRule="auto"/>
        <w:tabs>
          <w:tab w:leader="none" w:pos="440" w:val="left"/>
        </w:tabs>
        <w:numPr>
          <w:ilvl w:val="0"/>
          <w:numId w:val="104"/>
        </w:numPr>
        <w:rPr>
          <w:rFonts w:ascii="Arial" w:cs="Arial" w:eastAsia="Arial" w:hAnsi="Arial"/>
          <w:sz w:val="16"/>
          <w:szCs w:val="16"/>
          <w:i w:val="1"/>
          <w:iCs w:val="1"/>
          <w:color w:val="auto"/>
        </w:rPr>
      </w:pPr>
      <w:r>
        <w:rPr>
          <w:rFonts w:ascii="Arial" w:cs="Arial" w:eastAsia="Arial" w:hAnsi="Arial"/>
          <w:sz w:val="16"/>
          <w:szCs w:val="16"/>
          <w:i w:val="1"/>
          <w:iCs w:val="1"/>
          <w:color w:val="auto"/>
        </w:rPr>
        <w:t>Restructuring and other costs relate to actions taken for headcount reductions, facility consolidations and site closures, product line exits, and other asset charges. FY 2025 include other costs of $6.3 million associated with a footprint reduction and $4.0 million associated with a product line exit within our Climate &amp; Sustainability Technologies segment. FY 2024 includes $3.4 million and FY 2023 includes $3.3 million of non-cash asset impairment charges for our Climate &amp; Sustainability Technologies segment. FY 2022 includes $5.5 million of non-cash foreign currency translation losses reclassified to earnings and $2.1 million related to the write-off of assets due to an exit from certain Latin America countries for our Climate &amp; Sustainability Technologies segment. FY 2021 includes a $12.1 million other-than-temporary impairment charge related to an equity method investment and a $6.1 million write-off of assets incurred in connection with an exit from certain Latin America countries for our Climate &amp;</w:t>
      </w:r>
    </w:p>
    <w:p>
      <w:pPr>
        <w:spacing w:after="0" w:line="5" w:lineRule="exact"/>
        <w:rPr>
          <w:sz w:val="20"/>
          <w:szCs w:val="20"/>
          <w:color w:val="auto"/>
        </w:rPr>
      </w:pPr>
    </w:p>
    <w:p>
      <w:pPr>
        <w:ind w:left="440" w:right="380"/>
        <w:spacing w:after="0" w:line="244" w:lineRule="auto"/>
        <w:rPr>
          <w:sz w:val="20"/>
          <w:szCs w:val="20"/>
          <w:color w:val="auto"/>
        </w:rPr>
      </w:pPr>
      <w:r>
        <w:rPr>
          <w:rFonts w:ascii="Arial" w:cs="Arial" w:eastAsia="Arial" w:hAnsi="Arial"/>
          <w:sz w:val="16"/>
          <w:szCs w:val="16"/>
          <w:i w:val="1"/>
          <w:iCs w:val="1"/>
          <w:color w:val="auto"/>
        </w:rPr>
        <w:t>Sustainability Technologies segment. Additionally, FY 2021 includes a $9.1 million payment received for previously incurred restructuring costs related to a product line exit in our Engineered Products segment.</w:t>
      </w:r>
    </w:p>
    <w:p>
      <w:pPr>
        <w:ind w:left="440" w:hanging="433"/>
        <w:spacing w:after="0"/>
        <w:tabs>
          <w:tab w:leader="none" w:pos="440" w:val="left"/>
        </w:tabs>
        <w:numPr>
          <w:ilvl w:val="0"/>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FY 2023 disposition costs relate to the sale of De-Sta-Co in our Engineered Products segment</w:t>
      </w:r>
    </w:p>
    <w:p>
      <w:pPr>
        <w:spacing w:after="0" w:line="3" w:lineRule="exact"/>
        <w:rPr>
          <w:sz w:val="20"/>
          <w:szCs w:val="20"/>
          <w:color w:val="auto"/>
        </w:rPr>
      </w:pPr>
    </w:p>
    <w:p>
      <w:pPr>
        <w:ind w:left="440" w:hanging="433"/>
        <w:spacing w:after="0"/>
        <w:tabs>
          <w:tab w:leader="none" w:pos="440" w:val="left"/>
        </w:tabs>
        <w:numPr>
          <w:ilvl w:val="0"/>
          <w:numId w:val="106"/>
        </w:numPr>
        <w:rPr>
          <w:rFonts w:ascii="Arial" w:cs="Arial" w:eastAsia="Arial" w:hAnsi="Arial"/>
          <w:sz w:val="16"/>
          <w:szCs w:val="16"/>
          <w:i w:val="1"/>
          <w:iCs w:val="1"/>
          <w:color w:val="auto"/>
        </w:rPr>
      </w:pPr>
      <w:r>
        <w:rPr>
          <w:rFonts w:ascii="Arial" w:cs="Arial" w:eastAsia="Arial" w:hAnsi="Arial"/>
          <w:sz w:val="16"/>
          <w:szCs w:val="16"/>
          <w:i w:val="1"/>
          <w:iCs w:val="1"/>
          <w:color w:val="auto"/>
        </w:rPr>
        <w:t>Gain on dispositions represents a gain of $530.3 million recorded in FY 2024 on the disposition of De-Sta-Co in the Engineered Products segment</w:t>
      </w:r>
    </w:p>
    <w:p>
      <w:pPr>
        <w:spacing w:after="0" w:line="3" w:lineRule="exact"/>
        <w:rPr>
          <w:sz w:val="20"/>
          <w:szCs w:val="20"/>
          <w:color w:val="auto"/>
        </w:rPr>
      </w:pPr>
    </w:p>
    <w:p>
      <w:pPr>
        <w:ind w:left="440"/>
        <w:spacing w:after="0" w:line="244" w:lineRule="auto"/>
        <w:rPr>
          <w:sz w:val="20"/>
          <w:szCs w:val="20"/>
          <w:color w:val="auto"/>
        </w:rPr>
      </w:pPr>
      <w:r>
        <w:rPr>
          <w:rFonts w:ascii="Arial" w:cs="Arial" w:eastAsia="Arial" w:hAnsi="Arial"/>
          <w:sz w:val="16"/>
          <w:szCs w:val="16"/>
          <w:i w:val="1"/>
          <w:iCs w:val="1"/>
          <w:color w:val="auto"/>
        </w:rPr>
        <w:t>and a gain of $67.5 million from a minority-owned equity method investment in the Climate &amp; Sustainability Technologies segment. This includes post-closing adjustments recorded throughout the year. FY 2021 represents gain on dispositions of $181.6 million and $24.7 million due to the sales of Unified Brands in our Climate &amp; Sustainability Technologies segment and Race Winning Brands equity method investment in our Engineered Products segment, respectively.</w:t>
      </w:r>
    </w:p>
    <w:p>
      <w:pPr>
        <w:spacing w:after="0" w:line="1" w:lineRule="exact"/>
        <w:rPr>
          <w:sz w:val="20"/>
          <w:szCs w:val="20"/>
          <w:color w:val="auto"/>
        </w:rPr>
      </w:pPr>
    </w:p>
    <w:p>
      <w:pPr>
        <w:ind w:left="440" w:hanging="433"/>
        <w:spacing w:after="0"/>
        <w:tabs>
          <w:tab w:leader="none" w:pos="440" w:val="left"/>
        </w:tabs>
        <w:numPr>
          <w:ilvl w:val="0"/>
          <w:numId w:val="107"/>
        </w:numPr>
        <w:rPr>
          <w:rFonts w:ascii="Arial" w:cs="Arial" w:eastAsia="Arial" w:hAnsi="Arial"/>
          <w:sz w:val="16"/>
          <w:szCs w:val="16"/>
          <w:i w:val="1"/>
          <w:iCs w:val="1"/>
          <w:color w:val="auto"/>
        </w:rPr>
      </w:pPr>
      <w:r>
        <w:rPr>
          <w:rFonts w:ascii="Arial" w:cs="Arial" w:eastAsia="Arial" w:hAnsi="Arial"/>
          <w:sz w:val="16"/>
          <w:szCs w:val="16"/>
          <w:i w:val="1"/>
          <w:iCs w:val="1"/>
          <w:color w:val="auto"/>
        </w:rPr>
        <w:t>FY 2022 represent a reduction to income taxes previously recorded related to the Tax Cuts and Jobs Act.</w:t>
      </w:r>
    </w:p>
    <w:p>
      <w:pPr>
        <w:spacing w:after="0" w:line="3"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*Per share data and totals may be impacted by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Segment Earnings Margin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r>
      <w:tr>
        <w:trPr>
          <w:trHeight w:val="221"/>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Earnings from continuing operations</w:t>
            </w:r>
          </w:p>
        </w:tc>
        <w:tc>
          <w:tcPr>
            <w:tcW w:w="9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$ 1,097</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$ 1,400</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944</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990</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$ 1,065</w:t>
            </w:r>
          </w:p>
        </w:tc>
      </w:tr>
      <w:tr>
        <w:trPr>
          <w:trHeight w:val="224"/>
        </w:trPr>
        <w:tc>
          <w:tcPr>
            <w:tcW w:w="6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277</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357</w:t>
            </w:r>
          </w:p>
        </w:tc>
        <w:tc>
          <w:tcPr>
            <w:tcW w:w="240" w:type="dxa"/>
            <w:vAlign w:val="bottom"/>
          </w:tcPr>
          <w:p>
            <w:pPr>
              <w:spacing w:after="0"/>
              <w:rPr>
                <w:sz w:val="19"/>
                <w:szCs w:val="19"/>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9"/>
                <w:szCs w:val="19"/>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200</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260</w:t>
            </w:r>
          </w:p>
        </w:tc>
      </w:tr>
      <w:tr>
        <w:trPr>
          <w:trHeight w:val="30"/>
        </w:trPr>
        <w:tc>
          <w:tcPr>
            <w:tcW w:w="6620" w:type="dxa"/>
            <w:vAlign w:val="bottom"/>
            <w:tcBorders>
              <w:bottom w:val="single" w:sz="8" w:color="D8D8D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1"/>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color w:val="auto"/>
              </w:rPr>
              <w:t>Earnings before provision for income taxes</w:t>
            </w:r>
          </w:p>
        </w:tc>
        <w:tc>
          <w:tcPr>
            <w:tcW w:w="9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1,374</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1,757</w:t>
            </w:r>
          </w:p>
        </w:tc>
        <w:tc>
          <w:tcPr>
            <w:tcW w:w="240" w:type="dxa"/>
            <w:vAlign w:val="bottom"/>
            <w:shd w:val="clear" w:color="auto" w:fill="D8D8D8"/>
          </w:tcPr>
          <w:p>
            <w:pPr>
              <w:spacing w:after="0"/>
              <w:rPr>
                <w:sz w:val="19"/>
                <w:szCs w:val="19"/>
                <w:color w:val="auto"/>
              </w:rPr>
            </w:pP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1,123</w:t>
            </w:r>
          </w:p>
        </w:tc>
        <w:tc>
          <w:tcPr>
            <w:tcW w:w="240" w:type="dxa"/>
            <w:vAlign w:val="bottom"/>
            <w:shd w:val="clear" w:color="auto" w:fill="D8D8D8"/>
          </w:tcPr>
          <w:p>
            <w:pPr>
              <w:spacing w:after="0"/>
              <w:rPr>
                <w:sz w:val="19"/>
                <w:szCs w:val="19"/>
                <w:color w:val="auto"/>
              </w:rPr>
            </w:pP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1,190</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1,325</w:t>
            </w:r>
          </w:p>
        </w:tc>
      </w:tr>
      <w:tr>
        <w:trPr>
          <w:trHeight w:val="232"/>
        </w:trPr>
        <w:tc>
          <w:tcPr>
            <w:tcW w:w="66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(73)</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9"/>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color w:val="auto"/>
              </w:rPr>
              <w:t>Interest expense</w:t>
            </w:r>
          </w:p>
        </w:tc>
        <w:tc>
          <w:tcPr>
            <w:tcW w:w="9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110</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131</w:t>
            </w:r>
          </w:p>
        </w:tc>
        <w:tc>
          <w:tcPr>
            <w:tcW w:w="240" w:type="dxa"/>
            <w:vAlign w:val="bottom"/>
            <w:shd w:val="clear" w:color="auto" w:fill="D8D8D8"/>
          </w:tcPr>
          <w:p>
            <w:pPr>
              <w:spacing w:after="0"/>
              <w:rPr>
                <w:sz w:val="21"/>
                <w:szCs w:val="21"/>
                <w:color w:val="auto"/>
              </w:rPr>
            </w:pP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131</w:t>
            </w:r>
          </w:p>
        </w:tc>
        <w:tc>
          <w:tcPr>
            <w:tcW w:w="240" w:type="dxa"/>
            <w:vAlign w:val="bottom"/>
            <w:shd w:val="clear" w:color="auto" w:fill="D8D8D8"/>
          </w:tcPr>
          <w:p>
            <w:pPr>
              <w:spacing w:after="0"/>
              <w:rPr>
                <w:sz w:val="21"/>
                <w:szCs w:val="21"/>
                <w:color w:val="auto"/>
              </w:rPr>
            </w:pP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116</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106</w:t>
            </w:r>
          </w:p>
        </w:tc>
      </w:tr>
      <w:tr>
        <w:trPr>
          <w:trHeight w:val="241"/>
        </w:trPr>
        <w:tc>
          <w:tcPr>
            <w:tcW w:w="6620" w:type="dxa"/>
            <w:vAlign w:val="bottom"/>
          </w:tcPr>
          <w:p>
            <w:pPr>
              <w:ind w:left="40"/>
              <w:spacing w:after="0" w:line="241"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4"/>
                <w:szCs w:val="24"/>
                <w:color w:val="auto"/>
                <w:vertAlign w:val="superscript"/>
              </w:rPr>
              <w:t>1</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165</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20"/>
                <w:szCs w:val="20"/>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136</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156</w:t>
            </w:r>
          </w:p>
        </w:tc>
      </w:tr>
      <w:tr>
        <w:trPr>
          <w:trHeight w:val="241"/>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color w:val="auto"/>
              </w:rPr>
              <w:t>Disposition Costs</w:t>
            </w:r>
          </w:p>
        </w:tc>
        <w:tc>
          <w:tcPr>
            <w:tcW w:w="9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8D8D8"/>
          </w:tcPr>
          <w:p>
            <w:pPr>
              <w:spacing w:after="0"/>
              <w:rPr>
                <w:sz w:val="20"/>
                <w:szCs w:val="20"/>
                <w:color w:val="auto"/>
              </w:rPr>
            </w:pP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w:t>
            </w:r>
          </w:p>
        </w:tc>
        <w:tc>
          <w:tcPr>
            <w:tcW w:w="240" w:type="dxa"/>
            <w:vAlign w:val="bottom"/>
            <w:shd w:val="clear" w:color="auto" w:fill="D8D8D8"/>
          </w:tcPr>
          <w:p>
            <w:pPr>
              <w:spacing w:after="0"/>
              <w:rPr>
                <w:sz w:val="20"/>
                <w:szCs w:val="20"/>
                <w:color w:val="auto"/>
              </w:rPr>
            </w:pP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r>
      <w:tr>
        <w:trPr>
          <w:trHeight w:val="241"/>
        </w:trPr>
        <w:tc>
          <w:tcPr>
            <w:tcW w:w="6620" w:type="dxa"/>
            <w:vAlign w:val="bottom"/>
          </w:tcPr>
          <w:p>
            <w:pPr>
              <w:ind w:left="40"/>
              <w:spacing w:after="0" w:line="241" w:lineRule="exact"/>
              <w:rPr>
                <w:sz w:val="20"/>
                <w:szCs w:val="20"/>
                <w:color w:val="auto"/>
              </w:rPr>
            </w:pPr>
            <w:r>
              <w:rPr>
                <w:rFonts w:ascii="Arial" w:cs="Arial" w:eastAsia="Arial" w:hAnsi="Arial"/>
                <w:sz w:val="16"/>
                <w:szCs w:val="16"/>
                <w:color w:val="auto"/>
              </w:rPr>
              <w:t xml:space="preserve">Gain on dispositions </w:t>
            </w:r>
            <w:r>
              <w:rPr>
                <w:rFonts w:ascii="Arial" w:cs="Arial" w:eastAsia="Arial" w:hAnsi="Arial"/>
                <w:sz w:val="24"/>
                <w:szCs w:val="24"/>
                <w:color w:val="auto"/>
                <w:vertAlign w:val="superscript"/>
              </w:rPr>
              <w:t>2</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(598)</w:t>
            </w:r>
          </w:p>
        </w:tc>
        <w:tc>
          <w:tcPr>
            <w:tcW w:w="24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1"/>
        </w:trPr>
        <w:tc>
          <w:tcPr>
            <w:tcW w:w="6620" w:type="dxa"/>
            <w:vAlign w:val="bottom"/>
            <w:shd w:val="clear" w:color="auto" w:fill="D8D8D8"/>
          </w:tcPr>
          <w:p>
            <w:pPr>
              <w:ind w:left="40"/>
              <w:spacing w:after="0" w:line="241"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4"/>
                <w:szCs w:val="24"/>
                <w:color w:val="auto"/>
                <w:vertAlign w:val="superscript"/>
              </w:rPr>
              <w:t>3</w:t>
            </w:r>
          </w:p>
        </w:tc>
        <w:tc>
          <w:tcPr>
            <w:tcW w:w="9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78</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85</w:t>
            </w:r>
          </w:p>
        </w:tc>
        <w:tc>
          <w:tcPr>
            <w:tcW w:w="240" w:type="dxa"/>
            <w:vAlign w:val="bottom"/>
            <w:shd w:val="clear" w:color="auto" w:fill="D8D8D8"/>
          </w:tcPr>
          <w:p>
            <w:pPr>
              <w:spacing w:after="0"/>
              <w:rPr>
                <w:sz w:val="20"/>
                <w:szCs w:val="20"/>
                <w:color w:val="auto"/>
              </w:rPr>
            </w:pP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63</w:t>
            </w:r>
          </w:p>
        </w:tc>
        <w:tc>
          <w:tcPr>
            <w:tcW w:w="240" w:type="dxa"/>
            <w:vAlign w:val="bottom"/>
            <w:shd w:val="clear" w:color="auto" w:fill="D8D8D8"/>
          </w:tcPr>
          <w:p>
            <w:pPr>
              <w:spacing w:after="0"/>
              <w:rPr>
                <w:sz w:val="20"/>
                <w:szCs w:val="20"/>
                <w:color w:val="auto"/>
              </w:rPr>
            </w:pP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36</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37</w:t>
            </w:r>
          </w:p>
        </w:tc>
      </w:tr>
      <w:tr>
        <w:trPr>
          <w:trHeight w:val="254"/>
        </w:trPr>
        <w:tc>
          <w:tcPr>
            <w:tcW w:w="6620" w:type="dxa"/>
            <w:vAlign w:val="bottom"/>
            <w:tcBorders>
              <w:bottom w:val="single" w:sz="8" w:color="D8D8D8"/>
            </w:tcBorders>
          </w:tcPr>
          <w:p>
            <w:pPr>
              <w:ind w:left="40"/>
              <w:spacing w:after="0" w:line="253" w:lineRule="exact"/>
              <w:rPr>
                <w:sz w:val="20"/>
                <w:szCs w:val="20"/>
                <w:color w:val="auto"/>
              </w:rPr>
            </w:pPr>
            <w:r>
              <w:rPr>
                <w:rFonts w:ascii="Arial" w:cs="Arial" w:eastAsia="Arial" w:hAnsi="Arial"/>
                <w:sz w:val="16"/>
                <w:szCs w:val="16"/>
                <w:color w:val="auto"/>
              </w:rPr>
              <w:t xml:space="preserve">Purchase accounting expenses </w:t>
            </w:r>
            <w:r>
              <w:rPr>
                <w:rFonts w:ascii="Arial" w:cs="Arial" w:eastAsia="Arial" w:hAnsi="Arial"/>
                <w:sz w:val="24"/>
                <w:szCs w:val="24"/>
                <w:color w:val="auto"/>
                <w:vertAlign w:val="superscript"/>
              </w:rPr>
              <w:t>4</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218</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186</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w:t>
            </w: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174</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w:t>
            </w:r>
          </w:p>
        </w:tc>
      </w:tr>
      <w:tr>
        <w:trPr>
          <w:trHeight w:val="221"/>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Total segment earnings</w:t>
            </w:r>
          </w:p>
        </w:tc>
        <w:tc>
          <w:tcPr>
            <w:tcW w:w="96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rPr>
              <w:t>$ 1,867</w:t>
            </w:r>
          </w:p>
        </w:tc>
        <w:tc>
          <w:tcPr>
            <w:tcW w:w="88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rPr>
              <w:t>$ 1,680</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rPr>
              <w:t>1,615</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8D8D8"/>
          </w:tcPr>
          <w:p>
            <w:pPr>
              <w:jc w:val="right"/>
              <w:ind w:right="60"/>
              <w:spacing w:after="0"/>
              <w:rPr>
                <w:sz w:val="20"/>
                <w:szCs w:val="20"/>
                <w:color w:val="auto"/>
              </w:rPr>
            </w:pPr>
            <w:r>
              <w:rPr>
                <w:rFonts w:ascii="Arial" w:cs="Arial" w:eastAsia="Arial" w:hAnsi="Arial"/>
                <w:sz w:val="16"/>
                <w:szCs w:val="16"/>
                <w:color w:val="auto"/>
              </w:rPr>
              <w:t>1,649</w:t>
            </w:r>
          </w:p>
        </w:tc>
        <w:tc>
          <w:tcPr>
            <w:tcW w:w="74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6"/>
                <w:szCs w:val="16"/>
                <w:color w:val="auto"/>
              </w:rPr>
              <w:t>$ 1,552</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1"/>
        </w:trPr>
        <w:tc>
          <w:tcPr>
            <w:tcW w:w="6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41"/>
        </w:trPr>
        <w:tc>
          <w:tcPr>
            <w:tcW w:w="6620" w:type="dxa"/>
            <w:vAlign w:val="bottom"/>
            <w:shd w:val="clear" w:color="auto" w:fill="D8D8D8"/>
          </w:tcPr>
          <w:p>
            <w:pPr>
              <w:ind w:left="40"/>
              <w:spacing w:after="0"/>
              <w:rPr>
                <w:sz w:val="20"/>
                <w:szCs w:val="20"/>
                <w:color w:val="auto"/>
              </w:rPr>
            </w:pPr>
            <w:r>
              <w:rPr>
                <w:rFonts w:ascii="Arial" w:cs="Arial" w:eastAsia="Arial" w:hAnsi="Arial"/>
                <w:sz w:val="16"/>
                <w:szCs w:val="16"/>
                <w:color w:val="auto"/>
              </w:rPr>
              <w:t>Total segment earnings margin</w:t>
            </w:r>
          </w:p>
        </w:tc>
        <w:tc>
          <w:tcPr>
            <w:tcW w:w="96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23.1%</w:t>
            </w:r>
          </w:p>
        </w:tc>
        <w:tc>
          <w:tcPr>
            <w:tcW w:w="88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D8D8D8"/>
          </w:tcPr>
          <w:p>
            <w:pPr>
              <w:spacing w:after="0"/>
              <w:rPr>
                <w:sz w:val="20"/>
                <w:szCs w:val="20"/>
                <w:color w:val="auto"/>
              </w:rPr>
            </w:pPr>
          </w:p>
        </w:tc>
        <w:tc>
          <w:tcPr>
            <w:tcW w:w="6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w w:val="96"/>
              </w:rPr>
              <w:t>21.0%</w:t>
            </w:r>
          </w:p>
        </w:tc>
        <w:tc>
          <w:tcPr>
            <w:tcW w:w="240" w:type="dxa"/>
            <w:vAlign w:val="bottom"/>
            <w:shd w:val="clear" w:color="auto" w:fill="D8D8D8"/>
          </w:tcPr>
          <w:p>
            <w:pPr>
              <w:spacing w:after="0"/>
              <w:rPr>
                <w:sz w:val="20"/>
                <w:szCs w:val="20"/>
                <w:color w:val="auto"/>
              </w:rPr>
            </w:pPr>
          </w:p>
        </w:tc>
        <w:tc>
          <w:tcPr>
            <w:tcW w:w="60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w w:val="96"/>
              </w:rPr>
              <w:t>21.0%</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21.1%</w:t>
            </w:r>
          </w:p>
        </w:tc>
      </w:tr>
    </w:tbl>
    <w:p>
      <w:pPr>
        <w:spacing w:after="0" w:line="68" w:lineRule="exact"/>
        <w:rPr>
          <w:sz w:val="20"/>
          <w:szCs w:val="20"/>
          <w:color w:val="auto"/>
        </w:rPr>
      </w:pPr>
    </w:p>
    <w:p>
      <w:pPr>
        <w:ind w:left="440" w:hanging="433"/>
        <w:spacing w:after="0"/>
        <w:tabs>
          <w:tab w:leader="none" w:pos="440" w:val="left"/>
        </w:tabs>
        <w:numPr>
          <w:ilvl w:val="0"/>
          <w:numId w:val="108"/>
        </w:numPr>
        <w:rPr>
          <w:rFonts w:ascii="Arial" w:cs="Arial" w:eastAsia="Arial" w:hAnsi="Arial"/>
          <w:sz w:val="16"/>
          <w:szCs w:val="16"/>
          <w:i w:val="1"/>
          <w:iCs w:val="1"/>
          <w:color w:val="auto"/>
        </w:rPr>
      </w:pPr>
      <w:r>
        <w:rPr>
          <w:rFonts w:ascii="Arial" w:cs="Arial" w:eastAsia="Arial" w:hAnsi="Arial"/>
          <w:sz w:val="16"/>
          <w:szCs w:val="16"/>
          <w:i w:val="1"/>
          <w:iCs w:val="1"/>
          <w:color w:val="auto"/>
        </w:rPr>
        <w:t>Certain expenses are maintained at the corporate level and not allocated to the segments. These expenses include executive and functional</w:t>
      </w:r>
    </w:p>
    <w:p>
      <w:pPr>
        <w:spacing w:after="0" w:line="17" w:lineRule="exact"/>
        <w:rPr>
          <w:sz w:val="20"/>
          <w:szCs w:val="20"/>
          <w:color w:val="auto"/>
        </w:rPr>
      </w:pPr>
    </w:p>
    <w:p>
      <w:pPr>
        <w:ind w:left="440" w:right="220"/>
        <w:spacing w:after="0" w:line="244" w:lineRule="auto"/>
        <w:rPr>
          <w:sz w:val="20"/>
          <w:szCs w:val="20"/>
          <w:color w:val="auto"/>
        </w:rPr>
      </w:pPr>
      <w:r>
        <w:rPr>
          <w:rFonts w:ascii="Arial" w:cs="Arial" w:eastAsia="Arial" w:hAnsi="Arial"/>
          <w:sz w:val="16"/>
          <w:szCs w:val="16"/>
          <w:i w:val="1"/>
          <w:iCs w:val="1"/>
          <w:color w:val="auto"/>
        </w:rPr>
        <w:t>compensation costs, non-service pension costs, non-operating insurance expenses, shared business services and digital and IT overhead costs, deal-related expenses and various administrative expenses relating to the corporate headquarters.</w:t>
      </w:r>
    </w:p>
    <w:p>
      <w:pPr>
        <w:ind w:left="440" w:hanging="433"/>
        <w:spacing w:after="0"/>
        <w:tabs>
          <w:tab w:leader="none" w:pos="440"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Gain on dispositions includes working capital adjustments related to dispositions.</w:t>
      </w:r>
    </w:p>
    <w:p>
      <w:pPr>
        <w:spacing w:after="0" w:line="3" w:lineRule="exact"/>
        <w:rPr>
          <w:sz w:val="20"/>
          <w:szCs w:val="20"/>
          <w:color w:val="auto"/>
        </w:rPr>
      </w:pPr>
    </w:p>
    <w:p>
      <w:pPr>
        <w:ind w:left="440" w:right="160" w:hanging="433"/>
        <w:spacing w:after="0" w:line="244" w:lineRule="auto"/>
        <w:tabs>
          <w:tab w:leader="none" w:pos="440" w:val="left"/>
        </w:tabs>
        <w:numPr>
          <w:ilvl w:val="0"/>
          <w:numId w:val="110"/>
        </w:numPr>
        <w:rPr>
          <w:rFonts w:ascii="Arial" w:cs="Arial" w:eastAsia="Arial" w:hAnsi="Arial"/>
          <w:sz w:val="16"/>
          <w:szCs w:val="16"/>
          <w:i w:val="1"/>
          <w:iCs w:val="1"/>
          <w:color w:val="auto"/>
        </w:rPr>
      </w:pPr>
      <w:r>
        <w:rPr>
          <w:rFonts w:ascii="Arial" w:cs="Arial" w:eastAsia="Arial" w:hAnsi="Arial"/>
          <w:sz w:val="16"/>
          <w:szCs w:val="16"/>
          <w:i w:val="1"/>
          <w:iCs w:val="1"/>
          <w:color w:val="auto"/>
        </w:rPr>
        <w:t>Restructuring and other costs relate to actions taken for headcount reductions, facility consolidations and site closures, exit costs, and other asset charges.</w:t>
      </w:r>
    </w:p>
    <w:p>
      <w:pPr>
        <w:ind w:left="440" w:right="140" w:hanging="433"/>
        <w:spacing w:after="0" w:line="258" w:lineRule="auto"/>
        <w:tabs>
          <w:tab w:leader="none" w:pos="440" w:val="left"/>
        </w:tabs>
        <w:numPr>
          <w:ilvl w:val="0"/>
          <w:numId w:val="111"/>
        </w:numPr>
        <w:rPr>
          <w:rFonts w:ascii="Arial" w:cs="Arial" w:eastAsia="Arial" w:hAnsi="Arial"/>
          <w:sz w:val="16"/>
          <w:szCs w:val="16"/>
          <w:i w:val="1"/>
          <w:iCs w:val="1"/>
          <w:color w:val="auto"/>
        </w:rPr>
      </w:pPr>
      <w:r>
        <w:rPr>
          <w:rFonts w:ascii="Arial" w:cs="Arial" w:eastAsia="Arial" w:hAnsi="Arial"/>
          <w:sz w:val="16"/>
          <w:szCs w:val="16"/>
          <w:i w:val="1"/>
          <w:iCs w:val="1"/>
          <w:color w:val="auto"/>
        </w:rPr>
        <w:t>Purchase accounting expenses are primarily comprised of amortization of intangible assets and charges related to fair value step-ups for acquired inventory sold during the period.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91</w:t>
      </w:r>
    </w:p>
    <w:p>
      <w:pPr>
        <w:sectPr>
          <w:pgSz w:w="11900" w:h="16838" w:orient="portrait"/>
          <w:cols w:equalWidth="0" w:num="1">
            <w:col w:w="10920"/>
          </w:cols>
          <w:pgMar w:left="480" w:top="299" w:right="49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GENERAL INFORMATION ABOUT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1"/>
        </w:trPr>
        <w:tc>
          <w:tcPr>
            <w:tcW w:w="7600" w:type="dxa"/>
            <w:vAlign w:val="bottom"/>
            <w:shd w:val="clear" w:color="auto" w:fill="D8D8D8"/>
          </w:tcPr>
          <w:p>
            <w:pPr>
              <w:ind w:left="40"/>
              <w:spacing w:after="0" w:line="221" w:lineRule="exact"/>
              <w:rPr>
                <w:sz w:val="20"/>
                <w:szCs w:val="20"/>
                <w:color w:val="auto"/>
              </w:rPr>
            </w:pPr>
            <w:r>
              <w:rPr>
                <w:rFonts w:ascii="Arial" w:cs="Arial" w:eastAsia="Arial" w:hAnsi="Arial"/>
                <w:sz w:val="16"/>
                <w:szCs w:val="16"/>
                <w:color w:val="auto"/>
              </w:rPr>
              <w:t>Cash flow from operating activities</w:t>
            </w:r>
            <w:r>
              <w:rPr>
                <w:rFonts w:ascii="Arial" w:cs="Arial" w:eastAsia="Arial" w:hAnsi="Arial"/>
                <w:sz w:val="24"/>
                <w:szCs w:val="24"/>
                <w:color w:val="auto"/>
                <w:vertAlign w:val="superscript"/>
              </w:rPr>
              <w:t>1</w:t>
            </w:r>
          </w:p>
        </w:tc>
        <w:tc>
          <w:tcPr>
            <w:tcW w:w="960" w:type="dxa"/>
            <w:vAlign w:val="bottom"/>
            <w:shd w:val="clear" w:color="auto" w:fill="D8D8D8"/>
          </w:tcPr>
          <w:p>
            <w:pPr>
              <w:jc w:val="right"/>
              <w:ind w:right="102"/>
              <w:spacing w:after="0"/>
              <w:rPr>
                <w:sz w:val="20"/>
                <w:szCs w:val="20"/>
                <w:color w:val="auto"/>
              </w:rPr>
            </w:pPr>
            <w:r>
              <w:rPr>
                <w:rFonts w:ascii="Arial" w:cs="Arial" w:eastAsia="Arial" w:hAnsi="Arial"/>
                <w:sz w:val="16"/>
                <w:szCs w:val="16"/>
                <w:color w:val="auto"/>
              </w:rPr>
              <w:t>$ 1,338</w:t>
            </w:r>
          </w:p>
        </w:tc>
        <w:tc>
          <w:tcPr>
            <w:tcW w:w="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8D8D8"/>
          </w:tcPr>
          <w:p>
            <w:pPr>
              <w:jc w:val="right"/>
              <w:ind w:right="122"/>
              <w:spacing w:after="0"/>
              <w:rPr>
                <w:sz w:val="20"/>
                <w:szCs w:val="20"/>
                <w:color w:val="auto"/>
              </w:rPr>
            </w:pPr>
            <w:r>
              <w:rPr>
                <w:rFonts w:ascii="Arial" w:cs="Arial" w:eastAsia="Arial" w:hAnsi="Arial"/>
                <w:sz w:val="16"/>
                <w:szCs w:val="16"/>
                <w:color w:val="auto"/>
              </w:rPr>
              <w:t>1,088</w:t>
            </w:r>
          </w:p>
        </w:tc>
        <w:tc>
          <w:tcPr>
            <w:tcW w:w="820" w:type="dxa"/>
            <w:vAlign w:val="bottom"/>
            <w:shd w:val="clear" w:color="auto" w:fill="D8D8D8"/>
          </w:tcPr>
          <w:p>
            <w:pPr>
              <w:jc w:val="right"/>
              <w:ind w:right="42"/>
              <w:spacing w:after="0"/>
              <w:rPr>
                <w:sz w:val="20"/>
                <w:szCs w:val="20"/>
                <w:color w:val="auto"/>
              </w:rPr>
            </w:pPr>
            <w:r>
              <w:rPr>
                <w:rFonts w:ascii="Arial" w:cs="Arial" w:eastAsia="Arial" w:hAnsi="Arial"/>
                <w:sz w:val="16"/>
                <w:szCs w:val="16"/>
                <w:color w:val="auto"/>
              </w:rPr>
              <w:t>$ 1,220</w:t>
            </w:r>
          </w:p>
        </w:tc>
        <w:tc>
          <w:tcPr>
            <w:tcW w:w="1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24"/>
        </w:trPr>
        <w:tc>
          <w:tcPr>
            <w:tcW w:w="760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(220)</w:t>
            </w:r>
          </w:p>
        </w:tc>
        <w:tc>
          <w:tcPr>
            <w:tcW w:w="240" w:type="dxa"/>
            <w:vAlign w:val="bottom"/>
          </w:tcPr>
          <w:p>
            <w:pPr>
              <w:spacing w:after="0"/>
              <w:rPr>
                <w:sz w:val="19"/>
                <w:szCs w:val="19"/>
                <w:color w:val="auto"/>
              </w:rPr>
            </w:pP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(168)</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0"/>
        </w:trPr>
        <w:tc>
          <w:tcPr>
            <w:tcW w:w="7600" w:type="dxa"/>
            <w:vAlign w:val="bottom"/>
            <w:tcBorders>
              <w:bottom w:val="single" w:sz="8" w:color="D8D8D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0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Free cash flow</w:t>
            </w:r>
          </w:p>
        </w:tc>
        <w:tc>
          <w:tcPr>
            <w:tcW w:w="960" w:type="dxa"/>
            <w:vAlign w:val="bottom"/>
            <w:tcBorders>
              <w:bottom w:val="single" w:sz="8" w:color="auto"/>
            </w:tcBorders>
            <w:shd w:val="clear" w:color="auto" w:fill="D8D8D8"/>
          </w:tcPr>
          <w:p>
            <w:pPr>
              <w:jc w:val="right"/>
              <w:ind w:right="102"/>
              <w:spacing w:after="0"/>
              <w:rPr>
                <w:sz w:val="20"/>
                <w:szCs w:val="20"/>
                <w:color w:val="auto"/>
              </w:rPr>
            </w:pPr>
            <w:r>
              <w:rPr>
                <w:rFonts w:ascii="Arial" w:cs="Arial" w:eastAsia="Arial" w:hAnsi="Arial"/>
                <w:sz w:val="16"/>
                <w:szCs w:val="16"/>
                <w:color w:val="auto"/>
              </w:rPr>
              <w:t>$ 1,118</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D8D8D8"/>
          </w:tcPr>
          <w:p>
            <w:pPr>
              <w:jc w:val="right"/>
              <w:ind w:right="122"/>
              <w:spacing w:after="0"/>
              <w:rPr>
                <w:sz w:val="20"/>
                <w:szCs w:val="20"/>
                <w:color w:val="auto"/>
              </w:rPr>
            </w:pPr>
            <w:r>
              <w:rPr>
                <w:rFonts w:ascii="Arial" w:cs="Arial" w:eastAsia="Arial" w:hAnsi="Arial"/>
                <w:sz w:val="16"/>
                <w:szCs w:val="16"/>
                <w:color w:val="auto"/>
              </w:rPr>
              <w:t>920</w:t>
            </w:r>
          </w:p>
        </w:tc>
        <w:tc>
          <w:tcPr>
            <w:tcW w:w="820" w:type="dxa"/>
            <w:vAlign w:val="bottom"/>
            <w:tcBorders>
              <w:bottom w:val="single" w:sz="8" w:color="auto"/>
            </w:tcBorders>
            <w:shd w:val="clear" w:color="auto" w:fill="D8D8D8"/>
          </w:tcPr>
          <w:p>
            <w:pPr>
              <w:jc w:val="right"/>
              <w:ind w:right="42"/>
              <w:spacing w:after="0"/>
              <w:rPr>
                <w:sz w:val="20"/>
                <w:szCs w:val="20"/>
                <w:color w:val="auto"/>
              </w:rPr>
            </w:pPr>
            <w:r>
              <w:rPr>
                <w:rFonts w:ascii="Arial" w:cs="Arial" w:eastAsia="Arial" w:hAnsi="Arial"/>
                <w:sz w:val="16"/>
                <w:szCs w:val="16"/>
                <w:color w:val="auto"/>
              </w:rPr>
              <w:t>$ 1,036</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00" w:type="dxa"/>
            <w:vAlign w:val="bottom"/>
            <w:shd w:val="clear" w:color="auto" w:fill="D8D8D8"/>
          </w:tcPr>
          <w:p>
            <w:pPr>
              <w:ind w:left="40"/>
              <w:spacing w:after="0"/>
              <w:rPr>
                <w:sz w:val="20"/>
                <w:szCs w:val="20"/>
                <w:color w:val="auto"/>
              </w:rPr>
            </w:pPr>
            <w:r>
              <w:rPr>
                <w:rFonts w:ascii="Arial" w:cs="Arial" w:eastAsia="Arial" w:hAnsi="Arial"/>
                <w:sz w:val="16"/>
                <w:szCs w:val="16"/>
                <w:color w:val="auto"/>
              </w:rPr>
              <w:t>Free cash flow as a percentage of revenue</w:t>
            </w:r>
          </w:p>
        </w:tc>
        <w:tc>
          <w:tcPr>
            <w:tcW w:w="960" w:type="dxa"/>
            <w:vAlign w:val="bottom"/>
            <w:shd w:val="clear" w:color="auto" w:fill="D8D8D8"/>
          </w:tcPr>
          <w:p>
            <w:pPr>
              <w:jc w:val="right"/>
              <w:ind w:right="102"/>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D8D8D8"/>
          </w:tcPr>
          <w:p>
            <w:pPr>
              <w:spacing w:after="0"/>
              <w:rPr>
                <w:sz w:val="21"/>
                <w:szCs w:val="21"/>
                <w:color w:val="auto"/>
              </w:rPr>
            </w:pPr>
          </w:p>
        </w:tc>
        <w:tc>
          <w:tcPr>
            <w:tcW w:w="640" w:type="dxa"/>
            <w:vAlign w:val="bottom"/>
            <w:shd w:val="clear" w:color="auto" w:fill="D8D8D8"/>
          </w:tcPr>
          <w:p>
            <w:pPr>
              <w:jc w:val="right"/>
              <w:ind w:right="122"/>
              <w:spacing w:after="0"/>
              <w:rPr>
                <w:sz w:val="20"/>
                <w:szCs w:val="20"/>
                <w:color w:val="auto"/>
              </w:rPr>
            </w:pPr>
            <w:r>
              <w:rPr>
                <w:rFonts w:ascii="Arial" w:cs="Arial" w:eastAsia="Arial" w:hAnsi="Arial"/>
                <w:sz w:val="16"/>
                <w:szCs w:val="16"/>
                <w:color w:val="auto"/>
                <w:w w:val="92"/>
              </w:rPr>
              <w:t>11.9%</w:t>
            </w:r>
          </w:p>
        </w:tc>
        <w:tc>
          <w:tcPr>
            <w:tcW w:w="820" w:type="dxa"/>
            <w:vAlign w:val="bottom"/>
            <w:shd w:val="clear" w:color="auto" w:fill="D8D8D8"/>
          </w:tcPr>
          <w:p>
            <w:pPr>
              <w:jc w:val="right"/>
              <w:ind w:right="42"/>
              <w:spacing w:after="0"/>
              <w:rPr>
                <w:sz w:val="20"/>
                <w:szCs w:val="20"/>
                <w:color w:val="auto"/>
              </w:rPr>
            </w:pPr>
            <w:r>
              <w:rPr>
                <w:rFonts w:ascii="Arial" w:cs="Arial" w:eastAsia="Arial" w:hAnsi="Arial"/>
                <w:sz w:val="16"/>
                <w:szCs w:val="16"/>
                <w:color w:val="auto"/>
              </w:rPr>
              <w:t>13.5%</w:t>
            </w:r>
          </w:p>
        </w:tc>
        <w:tc>
          <w:tcPr>
            <w:tcW w:w="180" w:type="dxa"/>
            <w:vAlign w:val="bottom"/>
            <w:shd w:val="clear" w:color="auto" w:fill="D8D8D8"/>
          </w:tcPr>
          <w:p>
            <w:pPr>
              <w:spacing w:after="0"/>
              <w:rPr>
                <w:sz w:val="21"/>
                <w:szCs w:val="21"/>
                <w:color w:val="auto"/>
              </w:rPr>
            </w:pPr>
          </w:p>
        </w:tc>
        <w:tc>
          <w:tcPr>
            <w:tcW w:w="48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w w:val="98"/>
              </w:rPr>
              <w:t>6.8%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40" w:right="260" w:hanging="433"/>
        <w:spacing w:after="0" w:line="253" w:lineRule="auto"/>
        <w:tabs>
          <w:tab w:leader="none" w:pos="440" w:val="left"/>
        </w:tabs>
        <w:numPr>
          <w:ilvl w:val="0"/>
          <w:numId w:val="112"/>
        </w:numPr>
        <w:rPr>
          <w:rFonts w:ascii="Arial" w:cs="Arial" w:eastAsia="Arial" w:hAnsi="Arial"/>
          <w:sz w:val="16"/>
          <w:szCs w:val="16"/>
          <w:i w:val="1"/>
          <w:iCs w:val="1"/>
          <w:color w:val="auto"/>
        </w:rPr>
      </w:pPr>
      <w:r>
        <w:rPr>
          <w:rFonts w:ascii="Arial" w:cs="Arial" w:eastAsia="Arial" w:hAnsi="Arial"/>
          <w:sz w:val="16"/>
          <w:szCs w:val="16"/>
          <w:i w:val="1"/>
          <w:iCs w:val="1"/>
          <w:color w:val="auto"/>
        </w:rPr>
        <w:t>FY 2024 includes income tax payments of $103.4 million and $20.4 million, related to the gain on disposition of De-Sta-Co and a minority owned equity method investment, respectively.</w:t>
      </w:r>
    </w:p>
    <w:p>
      <w:pPr>
        <w:spacing w:after="0" w:line="1" w:lineRule="exact"/>
        <w:rPr>
          <w:sz w:val="20"/>
          <w:szCs w:val="20"/>
          <w:color w:val="auto"/>
        </w:rPr>
      </w:pPr>
    </w:p>
    <w:p>
      <w:pPr>
        <w:ind w:left="440" w:hanging="433"/>
        <w:spacing w:after="0"/>
        <w:tabs>
          <w:tab w:leader="none" w:pos="440" w:val="left"/>
        </w:tabs>
        <w:numPr>
          <w:ilvl w:val="0"/>
          <w:numId w:val="113"/>
        </w:numPr>
        <w:rPr>
          <w:rFonts w:ascii="Arial" w:cs="Arial" w:eastAsia="Arial" w:hAnsi="Arial"/>
          <w:sz w:val="16"/>
          <w:szCs w:val="16"/>
          <w:i w:val="1"/>
          <w:iCs w:val="1"/>
          <w:color w:val="auto"/>
        </w:rPr>
      </w:pPr>
      <w:r>
        <w:rPr>
          <w:rFonts w:ascii="Arial" w:cs="Arial" w:eastAsia="Arial" w:hAnsi="Arial"/>
          <w:sz w:val="16"/>
          <w:szCs w:val="16"/>
          <w:i w:val="1"/>
          <w:iCs w:val="1"/>
          <w:color w:val="auto"/>
        </w:rPr>
        <w:t>Totals may be impacted by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Organic Revenue Growth Factor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00" w:type="dxa"/>
            <w:vAlign w:val="bottom"/>
          </w:tcPr>
          <w:p>
            <w:pPr>
              <w:spacing w:after="0"/>
              <w:rPr>
                <w:sz w:val="15"/>
                <w:szCs w:val="15"/>
                <w:color w:val="auto"/>
              </w:rPr>
            </w:pPr>
          </w:p>
        </w:tc>
        <w:tc>
          <w:tcPr>
            <w:tcW w:w="102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2025</w:t>
            </w:r>
          </w:p>
        </w:tc>
      </w:tr>
      <w:tr>
        <w:trPr>
          <w:trHeight w:val="196"/>
        </w:trPr>
        <w:tc>
          <w:tcPr>
            <w:tcW w:w="9900" w:type="dxa"/>
            <w:vAlign w:val="bottom"/>
            <w:tcBorders>
              <w:bottom w:val="single" w:sz="8" w:color="D8D8D8"/>
            </w:tcBorders>
          </w:tcPr>
          <w:p>
            <w:pPr>
              <w:spacing w:after="0"/>
              <w:rPr>
                <w:sz w:val="17"/>
                <w:szCs w:val="17"/>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Full Year</w:t>
            </w:r>
          </w:p>
        </w:tc>
      </w:tr>
      <w:tr>
        <w:trPr>
          <w:trHeight w:val="221"/>
        </w:trPr>
        <w:tc>
          <w:tcPr>
            <w:tcW w:w="9900" w:type="dxa"/>
            <w:vAlign w:val="bottom"/>
            <w:shd w:val="clear" w:color="auto" w:fill="D8D8D8"/>
          </w:tcPr>
          <w:p>
            <w:pPr>
              <w:spacing w:after="0"/>
              <w:rPr>
                <w:sz w:val="20"/>
                <w:szCs w:val="20"/>
                <w:color w:val="auto"/>
              </w:rPr>
            </w:pPr>
            <w:r>
              <w:rPr>
                <w:rFonts w:ascii="Arial" w:cs="Arial" w:eastAsia="Arial" w:hAnsi="Arial"/>
                <w:sz w:val="16"/>
                <w:szCs w:val="16"/>
                <w:color w:val="auto"/>
              </w:rPr>
              <w:t>Organic</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color w:val="auto"/>
              </w:rPr>
              <w:t>1.6%</w:t>
            </w:r>
          </w:p>
        </w:tc>
      </w:tr>
      <w:tr>
        <w:trPr>
          <w:trHeight w:val="232"/>
        </w:trPr>
        <w:tc>
          <w:tcPr>
            <w:tcW w:w="9900" w:type="dxa"/>
            <w:vAlign w:val="bottom"/>
          </w:tcPr>
          <w:p>
            <w:pPr>
              <w:spacing w:after="0"/>
              <w:rPr>
                <w:sz w:val="20"/>
                <w:szCs w:val="20"/>
                <w:color w:val="auto"/>
              </w:rPr>
            </w:pPr>
            <w:r>
              <w:rPr>
                <w:rFonts w:ascii="Arial" w:cs="Arial" w:eastAsia="Arial" w:hAnsi="Arial"/>
                <w:sz w:val="16"/>
                <w:szCs w:val="16"/>
                <w:color w:val="auto"/>
              </w:rPr>
              <w:t>Acquisitions</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2.6%</w:t>
            </w:r>
          </w:p>
        </w:tc>
      </w:tr>
      <w:tr>
        <w:trPr>
          <w:trHeight w:val="249"/>
        </w:trPr>
        <w:tc>
          <w:tcPr>
            <w:tcW w:w="9900" w:type="dxa"/>
            <w:vAlign w:val="bottom"/>
            <w:shd w:val="clear" w:color="auto" w:fill="D8D8D8"/>
          </w:tcPr>
          <w:p>
            <w:pPr>
              <w:spacing w:after="0"/>
              <w:rPr>
                <w:sz w:val="20"/>
                <w:szCs w:val="20"/>
                <w:color w:val="auto"/>
              </w:rPr>
            </w:pPr>
            <w:r>
              <w:rPr>
                <w:rFonts w:ascii="Arial" w:cs="Arial" w:eastAsia="Arial" w:hAnsi="Arial"/>
                <w:sz w:val="16"/>
                <w:szCs w:val="16"/>
                <w:color w:val="auto"/>
              </w:rPr>
              <w:t>Dispositions</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color w:val="auto"/>
              </w:rPr>
              <w:t>(0.7)%</w:t>
            </w:r>
          </w:p>
        </w:tc>
      </w:tr>
      <w:tr>
        <w:trPr>
          <w:trHeight w:val="224"/>
        </w:trPr>
        <w:tc>
          <w:tcPr>
            <w:tcW w:w="9900" w:type="dxa"/>
            <w:vAlign w:val="bottom"/>
          </w:tcPr>
          <w:p>
            <w:pPr>
              <w:spacing w:after="0"/>
              <w:rPr>
                <w:sz w:val="20"/>
                <w:szCs w:val="20"/>
                <w:color w:val="auto"/>
              </w:rPr>
            </w:pPr>
            <w:r>
              <w:rPr>
                <w:rFonts w:ascii="Arial" w:cs="Arial" w:eastAsia="Arial" w:hAnsi="Arial"/>
                <w:sz w:val="16"/>
                <w:szCs w:val="16"/>
                <w:color w:val="auto"/>
              </w:rPr>
              <w:t>Currency translation</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1.0%</w:t>
            </w:r>
          </w:p>
        </w:tc>
      </w:tr>
      <w:tr>
        <w:trPr>
          <w:trHeight w:val="30"/>
        </w:trPr>
        <w:tc>
          <w:tcPr>
            <w:tcW w:w="9900" w:type="dxa"/>
            <w:vAlign w:val="bottom"/>
            <w:tcBorders>
              <w:bottom w:val="single" w:sz="8" w:color="D8D8D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99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b w:val="1"/>
                <w:bCs w:val="1"/>
                <w:color w:val="auto"/>
              </w:rPr>
              <w:t>4.5%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Disclosures</w:t>
      </w:r>
    </w:p>
    <w:p>
      <w:pPr>
        <w:spacing w:after="0" w:line="11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Adjusted earnings from continuing operations represents earnings from continuing operations adjusted for the effect of purchase accounting expenses, restructuring and other costs/benefits, disposition costs, gain on dispositions and Tax Cuts and Jobs Act.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7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Adjusted diluted earnings per share from continuing operations or adjusted earnings per share from continuing operations represents diluted earnings per share from continuing operations adjusted for the effect of purchase accounting expenses, restructuring and other costs/benefits, disposition costs, gain/loss on disposition, and Tax Cuts and Jobs Act.</w:t>
      </w:r>
    </w:p>
    <w:p>
      <w:pPr>
        <w:spacing w:after="0" w:line="6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Total segment earnings is defined as the sum of earnings before purchase accounting expenses, restructuring and other costs/benefits, disposition costs, gain on dispositions, corporate expenses/other, interest expense, interest income and provision for income taxes for all segments. Total segment earnings margin is defined as total segment earnings divided by revenue.</w:t>
      </w:r>
    </w:p>
    <w:p>
      <w:pPr>
        <w:spacing w:after="0" w:line="66"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auto"/>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spacing w:after="0" w:line="5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Free cash flow represents net cash provided by operating activities minus capital expenditures. Free cash flow as a percentage of revenue equals free cash flow divided by revenue.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71" w:lineRule="exact"/>
        <w:rPr>
          <w:sz w:val="20"/>
          <w:szCs w:val="20"/>
          <w:color w:val="auto"/>
        </w:rPr>
      </w:pPr>
    </w:p>
    <w:p>
      <w:pPr>
        <w:ind w:right="880"/>
        <w:spacing w:after="0" w:line="279" w:lineRule="auto"/>
        <w:rPr>
          <w:sz w:val="20"/>
          <w:szCs w:val="20"/>
          <w:color w:val="auto"/>
        </w:rPr>
      </w:pPr>
      <w:r>
        <w:rPr>
          <w:rFonts w:ascii="Arial" w:cs="Arial" w:eastAsia="Arial" w:hAnsi="Arial"/>
          <w:sz w:val="16"/>
          <w:szCs w:val="16"/>
          <w:color w:val="auto"/>
        </w:rPr>
        <w:t>Management believes that reporting organic revenue growth, which excludes the impact of foreign currency exchange rates and the impact of acquisitions and dispositions, provides a useful comparison of our revenue performance and trends between periods.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2026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92</w:t>
      </w:r>
    </w:p>
    <w:p>
      <w:pPr>
        <w:sectPr>
          <w:pgSz w:w="11900" w:h="16838" w:orient="portrait"/>
          <w:cols w:equalWidth="0" w:num="1">
            <w:col w:w="10920"/>
          </w:cols>
          <w:pgMar w:left="480" w:top="299"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-119380</wp:posOffset>
            </wp:positionV>
            <wp:extent cx="1299210" cy="4756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99210" cy="4756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9"/>
          <w:szCs w:val="9"/>
          <w:i w:val="1"/>
          <w:iCs w:val="1"/>
          <w:color w:val="auto"/>
        </w:rPr>
        <w:t>DOVER CORPORATION</w:t>
      </w:r>
    </w:p>
    <w:p>
      <w:pPr>
        <w:ind w:left="560"/>
        <w:spacing w:after="0" w:line="217" w:lineRule="auto"/>
        <w:rPr>
          <w:sz w:val="20"/>
          <w:szCs w:val="20"/>
          <w:color w:val="auto"/>
        </w:rPr>
      </w:pPr>
      <w:r>
        <w:rPr>
          <w:rFonts w:ascii="Times New Roman" w:cs="Times New Roman" w:eastAsia="Times New Roman" w:hAnsi="Times New Roman"/>
          <w:sz w:val="9"/>
          <w:szCs w:val="9"/>
          <w:i w:val="1"/>
          <w:iCs w:val="1"/>
          <w:color w:val="auto"/>
        </w:rPr>
        <w:t>3005 HIGHLAND PARKWAY</w:t>
      </w:r>
    </w:p>
    <w:p>
      <w:pPr>
        <w:ind w:left="560"/>
        <w:spacing w:after="0"/>
        <w:rPr>
          <w:sz w:val="20"/>
          <w:szCs w:val="20"/>
          <w:color w:val="auto"/>
        </w:rPr>
      </w:pPr>
      <w:r>
        <w:rPr>
          <w:rFonts w:ascii="Times New Roman" w:cs="Times New Roman" w:eastAsia="Times New Roman" w:hAnsi="Times New Roman"/>
          <w:sz w:val="8"/>
          <w:szCs w:val="8"/>
          <w:i w:val="1"/>
          <w:iCs w:val="1"/>
          <w:color w:val="auto"/>
        </w:rPr>
        <w:t>DOWNERS GROVE, IL 60515</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-229235</wp:posOffset>
            </wp:positionV>
            <wp:extent cx="717613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-119380</wp:posOffset>
            </wp:positionV>
            <wp:extent cx="1724025" cy="4248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24025" cy="42481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w:t>
      </w:r>
    </w:p>
    <w:p>
      <w:pPr>
        <w:spacing w:after="0" w:line="4" w:lineRule="exact"/>
        <w:rPr>
          <w:sz w:val="20"/>
          <w:szCs w:val="20"/>
          <w:color w:val="auto"/>
        </w:rPr>
      </w:pPr>
    </w:p>
    <w:p>
      <w:pPr>
        <w:ind w:right="660"/>
        <w:spacing w:after="0" w:line="224"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Vote by 11:59 p.m. Eastern Time on May 7, 2026 for shares held directly and by 11:59 p.m. Eastern Time on May 5, 2026 for shares held in a Plan. Have your proxy card in hand when you access the website and follow the instructions to obtain your records and to create an electronic voting instruction form.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8" w:lineRule="exact"/>
        <w:rPr>
          <w:sz w:val="20"/>
          <w:szCs w:val="20"/>
          <w:color w:val="auto"/>
        </w:rPr>
      </w:pPr>
    </w:p>
    <w:p>
      <w:pPr>
        <w:ind w:right="540"/>
        <w:spacing w:after="0" w:line="224"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any touch-tone telephone to transmit your voting instructions. Vote by 11:59</w:t>
      </w:r>
    </w:p>
    <w:p>
      <w:pPr>
        <w:spacing w:after="0" w:line="219" w:lineRule="auto"/>
        <w:rPr>
          <w:sz w:val="20"/>
          <w:szCs w:val="20"/>
          <w:color w:val="auto"/>
        </w:rPr>
      </w:pPr>
      <w:r>
        <w:rPr>
          <w:rFonts w:ascii="Times New Roman" w:cs="Times New Roman" w:eastAsia="Times New Roman" w:hAnsi="Times New Roman"/>
          <w:sz w:val="14"/>
          <w:szCs w:val="14"/>
          <w:color w:val="auto"/>
        </w:rPr>
        <w:t>p.m. Eastern Time on May 7, 2026 for shares held directly and by 11:59 p.m.</w:t>
      </w:r>
    </w:p>
    <w:p>
      <w:pPr>
        <w:spacing w:after="0" w:line="219" w:lineRule="auto"/>
        <w:rPr>
          <w:sz w:val="20"/>
          <w:szCs w:val="20"/>
          <w:color w:val="auto"/>
        </w:rPr>
      </w:pPr>
      <w:r>
        <w:rPr>
          <w:rFonts w:ascii="Times New Roman" w:cs="Times New Roman" w:eastAsia="Times New Roman" w:hAnsi="Times New Roman"/>
          <w:sz w:val="14"/>
          <w:szCs w:val="14"/>
          <w:color w:val="auto"/>
        </w:rPr>
        <w:t>Eastern Time on May 5, 2026 for shares held in a Plan. Have your proxy card in</w:t>
      </w:r>
    </w:p>
    <w:p>
      <w:pPr>
        <w:spacing w:after="0"/>
        <w:rPr>
          <w:sz w:val="20"/>
          <w:szCs w:val="20"/>
          <w:color w:val="auto"/>
        </w:rPr>
      </w:pPr>
      <w:r>
        <w:rPr>
          <w:rFonts w:ascii="Times New Roman" w:cs="Times New Roman" w:eastAsia="Times New Roman" w:hAnsi="Times New Roman"/>
          <w:sz w:val="14"/>
          <w:szCs w:val="14"/>
          <w:color w:val="auto"/>
        </w:rPr>
        <w:t>hand when you call and then follow the instructions.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4" w:lineRule="exact"/>
        <w:rPr>
          <w:sz w:val="20"/>
          <w:szCs w:val="20"/>
          <w:color w:val="auto"/>
        </w:rPr>
      </w:pPr>
    </w:p>
    <w:p>
      <w:pPr>
        <w:ind w:right="660"/>
        <w:spacing w:after="0" w:line="230"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860" w:space="720"/>
            <w:col w:w="534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VOTE, MARK BLOCKS BELOW IN BLUE OR BLACK INK AS FOLLOWS:</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2"/>
          <w:szCs w:val="12"/>
          <w:color w:val="auto"/>
        </w:rPr>
        <w:t>V83572-P46323-Z92063               KEEP THIS PORTION FOR YOUR RECORDS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 —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DETACH AND RETURN THIS PORTION ONLY</w:t>
      </w:r>
    </w:p>
    <w:p>
      <w:pPr>
        <w:jc w:val="cente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67945</wp:posOffset>
            </wp:positionV>
            <wp:extent cx="6938010" cy="30232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38010" cy="3023235"/>
                    </a:xfrm>
                    <a:prstGeom prst="rect">
                      <a:avLst/>
                    </a:prstGeom>
                    <a:noFill/>
                  </pic:spPr>
                </pic:pic>
              </a:graphicData>
            </a:graphic>
          </wp:anchor>
        </w:drawing>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   DOVER CORPORATION</w:t>
      </w:r>
    </w:p>
    <w:p>
      <w:pPr>
        <w:sectPr>
          <w:pgSz w:w="11900" w:h="16838" w:orient="portrait"/>
          <w:cols w:equalWidth="0" w:num="1">
            <w:col w:w="10920"/>
          </w:cols>
          <w:pgMar w:left="480" w:top="295" w:right="499" w:bottom="1440" w:gutter="0" w:footer="0" w:header="0"/>
          <w:type w:val="continuous"/>
        </w:sectPr>
      </w:pP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recommends a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each</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director under Item 1:</w:t>
      </w:r>
    </w:p>
    <w:p>
      <w:pPr>
        <w:spacing w:after="0" w:line="10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1.    Election of Directors</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 </w:t>
            </w:r>
          </w:p>
        </w:tc>
        <w:tc>
          <w:tcPr>
            <w:tcW w:w="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Abstain  </w:t>
            </w:r>
            <w:r>
              <w:rPr>
                <w:rFonts w:ascii="Times New Roman" w:cs="Times New Roman" w:eastAsia="Times New Roman" w:hAnsi="Times New Roman"/>
                <w:sz w:val="12"/>
                <w:szCs w:val="12"/>
                <w:color w:val="auto"/>
              </w:rPr>
              <w:t xml:space="preserve"> </w:t>
            </w:r>
          </w:p>
        </w:tc>
        <w:tc>
          <w:tcPr>
            <w:tcW w:w="24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xml:space="preserve">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43"/>
        </w:trPr>
        <w:tc>
          <w:tcPr>
            <w:tcW w:w="182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1a.    D. L. DeHaas</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 </w:t>
            </w:r>
          </w:p>
        </w:tc>
        <w:tc>
          <w:tcPr>
            <w:tcW w:w="3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The Board of Directors recommends a vote FOR Items 2 and 3:</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8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1b.   H. J. Gilbertson, Jr.</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2.    To ratify the appointment of PricewaterhouseCoopers LLP as our independent</w:t>
            </w:r>
          </w:p>
        </w:tc>
        <w:tc>
          <w:tcPr>
            <w:tcW w:w="0" w:type="dxa"/>
            <w:vAlign w:val="bottom"/>
          </w:tcPr>
          <w:p>
            <w:pPr>
              <w:spacing w:after="0"/>
              <w:rPr>
                <w:sz w:val="1"/>
                <w:szCs w:val="1"/>
                <w:color w:val="auto"/>
              </w:rPr>
            </w:pPr>
          </w:p>
        </w:tc>
      </w:tr>
      <w:tr>
        <w:trPr>
          <w:trHeight w:val="178"/>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1c.    K. C. Graham</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registered public accounting firm for 2026.</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1d.   M. A. Howze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3.    To approve, on an advisory basis, named executive officer compensation.</w:t>
            </w:r>
          </w:p>
        </w:tc>
        <w:tc>
          <w:tcPr>
            <w:tcW w:w="0" w:type="dxa"/>
            <w:vAlign w:val="bottom"/>
          </w:tcPr>
          <w:p>
            <w:pPr>
              <w:spacing w:after="0"/>
              <w:rPr>
                <w:sz w:val="1"/>
                <w:szCs w:val="1"/>
                <w:color w:val="auto"/>
              </w:rPr>
            </w:pPr>
          </w:p>
        </w:tc>
      </w:tr>
      <w:tr>
        <w:trPr>
          <w:trHeight w:val="161"/>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1e.    M. Manley</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The Board of Directors recommends a vote</w:t>
            </w: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1f.    D. K. Ostling</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4.    To consider a shareholder proposal requesting an independent board chair.</w:t>
            </w:r>
          </w:p>
        </w:tc>
        <w:tc>
          <w:tcPr>
            <w:tcW w:w="0" w:type="dxa"/>
            <w:vAlign w:val="bottom"/>
          </w:tcPr>
          <w:p>
            <w:pPr>
              <w:spacing w:after="0"/>
              <w:rPr>
                <w:sz w:val="1"/>
                <w:szCs w:val="1"/>
                <w:color w:val="auto"/>
              </w:rPr>
            </w:pPr>
          </w:p>
        </w:tc>
      </w:tr>
      <w:tr>
        <w:trPr>
          <w:trHeight w:val="174"/>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1g.   E. A. Spiegel</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1h.   R. J. Tobin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Such other business as may properly come before the meeting or any</w:t>
            </w:r>
          </w:p>
        </w:tc>
        <w:tc>
          <w:tcPr>
            <w:tcW w:w="0" w:type="dxa"/>
            <w:vAlign w:val="bottom"/>
          </w:tcPr>
          <w:p>
            <w:pPr>
              <w:spacing w:after="0"/>
              <w:rPr>
                <w:sz w:val="1"/>
                <w:szCs w:val="1"/>
                <w:color w:val="auto"/>
              </w:rPr>
            </w:pPr>
          </w:p>
        </w:tc>
      </w:tr>
      <w:tr>
        <w:trPr>
          <w:trHeight w:val="238"/>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1i.    K. E. Wandell</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adjournment thereof.</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w:t>
      </w:r>
    </w:p>
    <w:p>
      <w:pPr>
        <w:spacing w:after="0" w:line="10" w:lineRule="exact"/>
        <w:rPr>
          <w:sz w:val="20"/>
          <w:szCs w:val="20"/>
          <w:color w:val="auto"/>
        </w:rPr>
      </w:pPr>
    </w:p>
    <w:p>
      <w:pPr>
        <w:ind w:left="300" w:right="540"/>
        <w:spacing w:after="0" w:line="252" w:lineRule="auto"/>
        <w:rPr>
          <w:sz w:val="20"/>
          <w:szCs w:val="20"/>
          <w:color w:val="auto"/>
        </w:rPr>
      </w:pPr>
      <w:r>
        <w:rPr>
          <w:rFonts w:ascii="Times New Roman" w:cs="Times New Roman" w:eastAsia="Times New Roman" w:hAnsi="Times New Roman"/>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70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4"/>
                <w:szCs w:val="14"/>
                <w:color w:val="auto"/>
              </w:rPr>
            </w:pPr>
          </w:p>
        </w:tc>
        <w:tc>
          <w:tcPr>
            <w:tcW w:w="1400" w:type="dxa"/>
            <w:vAlign w:val="bottom"/>
            <w:vMerge w:val="restart"/>
          </w:tcPr>
          <w:p>
            <w:pPr>
              <w:jc w:val="center"/>
              <w:ind w:left="678"/>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200"/>
              <w:spacing w:after="0"/>
              <w:rPr>
                <w:sz w:val="20"/>
                <w:szCs w:val="20"/>
                <w:color w:val="auto"/>
              </w:rPr>
            </w:pPr>
            <w:r>
              <w:rPr>
                <w:rFonts w:ascii="Times New Roman" w:cs="Times New Roman" w:eastAsia="Times New Roman" w:hAnsi="Times New Roman"/>
                <w:sz w:val="1"/>
                <w:szCs w:val="1"/>
                <w:color w:val="auto"/>
                <w:w w:val="4294967291"/>
              </w:rPr>
              <w:t> </w:t>
            </w:r>
          </w:p>
        </w:tc>
        <w:tc>
          <w:tcPr>
            <w:tcW w:w="0" w:type="dxa"/>
            <w:vAlign w:val="bottom"/>
          </w:tcPr>
          <w:p>
            <w:pPr>
              <w:spacing w:after="0"/>
              <w:rPr>
                <w:sz w:val="1"/>
                <w:szCs w:val="1"/>
                <w:color w:val="auto"/>
              </w:rPr>
            </w:pPr>
          </w:p>
        </w:tc>
      </w:tr>
      <w:tr>
        <w:trPr>
          <w:trHeight w:val="83"/>
        </w:trPr>
        <w:tc>
          <w:tcPr>
            <w:tcW w:w="3700" w:type="dxa"/>
            <w:vAlign w:val="bottom"/>
            <w:vMerge w:val="continue"/>
          </w:tcPr>
          <w:p>
            <w:pPr>
              <w:spacing w:after="0"/>
              <w:rPr>
                <w:sz w:val="7"/>
                <w:szCs w:val="7"/>
                <w:color w:val="auto"/>
              </w:rPr>
            </w:pPr>
          </w:p>
        </w:tc>
        <w:tc>
          <w:tcPr>
            <w:tcW w:w="3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     Signature  [PLEASE  SIGN  WITHIN  Date</w:t>
            </w:r>
          </w:p>
        </w:tc>
        <w:tc>
          <w:tcPr>
            <w:tcW w:w="3220" w:type="dxa"/>
            <w:vAlign w:val="bottom"/>
          </w:tcPr>
          <w:p>
            <w:pPr>
              <w:ind w:left="1060"/>
              <w:spacing w:after="0"/>
              <w:rPr>
                <w:sz w:val="20"/>
                <w:szCs w:val="20"/>
                <w:color w:val="auto"/>
              </w:rPr>
            </w:pPr>
            <w:r>
              <w:rPr>
                <w:rFonts w:ascii="Times New Roman" w:cs="Times New Roman" w:eastAsia="Times New Roman" w:hAnsi="Times New Roman"/>
                <w:sz w:val="12"/>
                <w:szCs w:val="12"/>
                <w:color w:val="auto"/>
              </w:rPr>
              <w:t>Signature (Joint Owners)</w:t>
            </w:r>
          </w:p>
        </w:tc>
        <w:tc>
          <w:tcPr>
            <w:tcW w:w="1400" w:type="dxa"/>
            <w:vAlign w:val="bottom"/>
          </w:tcPr>
          <w:p>
            <w:pPr>
              <w:jc w:val="center"/>
              <w:ind w:left="658"/>
              <w:spacing w:after="0"/>
              <w:rPr>
                <w:sz w:val="20"/>
                <w:szCs w:val="20"/>
                <w:color w:val="auto"/>
              </w:rPr>
            </w:pPr>
            <w:r>
              <w:rPr>
                <w:rFonts w:ascii="Times New Roman" w:cs="Times New Roman" w:eastAsia="Times New Roman" w:hAnsi="Times New Roman"/>
                <w:sz w:val="12"/>
                <w:szCs w:val="12"/>
                <w:color w:val="auto"/>
                <w:w w:val="94"/>
              </w:rPr>
              <w:t>  Date</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BOX]</w:t>
            </w:r>
          </w:p>
        </w:tc>
        <w:tc>
          <w:tcPr>
            <w:tcW w:w="3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 </w:t>
      </w:r>
    </w:p>
    <w:p>
      <w:pPr>
        <w:spacing w:after="0" w:line="341" w:lineRule="exact"/>
        <w:rPr>
          <w:sz w:val="20"/>
          <w:szCs w:val="20"/>
          <w:color w:val="auto"/>
        </w:rPr>
      </w:pPr>
    </w:p>
    <w:p>
      <w:pPr>
        <w:spacing w:after="0"/>
        <w:tabs>
          <w:tab w:leader="none" w:pos="300" w:val="left"/>
          <w:tab w:leader="none" w:pos="840" w:val="left"/>
        </w:tabs>
        <w:rPr>
          <w:sz w:val="20"/>
          <w:szCs w:val="20"/>
          <w:color w:val="auto"/>
        </w:rPr>
      </w:pPr>
      <w:r>
        <w:rPr>
          <w:rFonts w:ascii="Times New Roman" w:cs="Times New Roman" w:eastAsia="Times New Roman" w:hAnsi="Times New Roman"/>
          <w:sz w:val="12"/>
          <w:szCs w:val="12"/>
          <w:b w:val="1"/>
          <w:bCs w:val="1"/>
          <w:color w:val="auto"/>
        </w:rPr>
        <w:t>For</w:t>
        <w:tab/>
        <w:t>Against</w:t>
        <w:tab/>
        <w:t>Abstain</w:t>
      </w:r>
    </w:p>
    <w:p>
      <w:pPr>
        <w:spacing w:after="0" w:line="17"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66"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48" w:lineRule="exact"/>
        <w:rPr>
          <w:sz w:val="20"/>
          <w:szCs w:val="20"/>
          <w:color w:val="auto"/>
        </w:rPr>
      </w:pPr>
    </w:p>
    <w:p>
      <w:pPr>
        <w:spacing w:after="0"/>
        <w:tabs>
          <w:tab w:leader="none" w:pos="300" w:val="left"/>
          <w:tab w:leader="none" w:pos="840" w:val="left"/>
        </w:tabs>
        <w:rPr>
          <w:sz w:val="20"/>
          <w:szCs w:val="20"/>
          <w:color w:val="auto"/>
        </w:rPr>
      </w:pPr>
      <w:r>
        <w:rPr>
          <w:rFonts w:ascii="Times New Roman" w:cs="Times New Roman" w:eastAsia="Times New Roman" w:hAnsi="Times New Roman"/>
          <w:sz w:val="12"/>
          <w:szCs w:val="12"/>
          <w:b w:val="1"/>
          <w:bCs w:val="1"/>
          <w:color w:val="auto"/>
        </w:rPr>
        <w:t>For</w:t>
        <w:tab/>
        <w:t>Against</w:t>
        <w:tab/>
        <w:t>Abstain</w:t>
      </w:r>
    </w:p>
    <w:p>
      <w:pPr>
        <w:spacing w:after="0" w:line="17"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ectPr>
          <w:pgSz w:w="11900" w:h="16838" w:orient="portrait"/>
          <w:cols w:equalWidth="0" w:num="2">
            <w:col w:w="9080" w:space="360"/>
            <w:col w:w="1480"/>
          </w:cols>
          <w:pgMar w:left="480" w:top="295" w:right="499" w:bottom="1440" w:gutter="0" w:footer="0" w:header="0"/>
          <w:type w:val="continuous"/>
        </w:sectPr>
      </w:pPr>
    </w:p>
    <w:bookmarkStart w:id="98" w:name="page99"/>
    <w:bookmarkEnd w:id="98"/>
    <w:p>
      <w:pPr>
        <w:jc w:val="center"/>
        <w:ind w:left="600" w:right="860"/>
        <w:spacing w:after="0" w:line="280" w:lineRule="auto"/>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WE ENCOURAGE YOU TO TAKE ADVANTAGE OF INTERNET OR TELEPHONE VOTING, BOTH ARE AVAILABLE 24 HOURS A DAY, 7 DAYS A WEEK.</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Internet and telephone voting are available through 11:59 PM Eastern Time</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day before the annual meeting date.</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Your Internet or telephone vote authorizes the named proxies to vote these shares in the</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72390</wp:posOffset>
            </wp:positionV>
            <wp:extent cx="1800225" cy="806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00225" cy="806450"/>
                    </a:xfrm>
                    <a:prstGeom prst="rect">
                      <a:avLst/>
                    </a:prstGeom>
                    <a:noFill/>
                  </pic:spPr>
                </pic:pic>
              </a:graphicData>
            </a:graphic>
          </wp:anchor>
        </w:drawing>
      </w:r>
    </w:p>
    <w:p>
      <w:pPr>
        <w:spacing w:after="0" w:line="87" w:lineRule="exact"/>
        <w:rPr>
          <w:sz w:val="20"/>
          <w:szCs w:val="20"/>
          <w:color w:val="auto"/>
        </w:rPr>
      </w:pPr>
    </w:p>
    <w:tbl>
      <w:tblPr>
        <w:tblLayout w:type="fixed"/>
        <w:tblInd w:w="2520" w:type="dxa"/>
        <w:tblCellMar>
          <w:top w:w="0" w:type="dxa"/>
          <w:left w:w="0" w:type="dxa"/>
          <w:bottom w:w="0" w:type="dxa"/>
          <w:right w:w="0" w:type="dxa"/>
        </w:tblCellMar>
      </w:tblPr>
      <w:tr>
        <w:trPr>
          <w:trHeight w:val="280"/>
        </w:trPr>
        <w:tc>
          <w:tcPr>
            <w:tcW w:w="280" w:type="dxa"/>
            <w:vAlign w:val="bottom"/>
          </w:tcPr>
          <w:p>
            <w:pPr>
              <w:spacing w:after="0"/>
              <w:rPr>
                <w:sz w:val="24"/>
                <w:szCs w:val="24"/>
                <w:color w:val="auto"/>
              </w:rPr>
            </w:pP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INTERNET</w:t>
            </w:r>
          </w:p>
        </w:tc>
        <w:tc>
          <w:tcPr>
            <w:tcW w:w="9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OR</w:t>
            </w: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TELEPHONE</w:t>
            </w:r>
          </w:p>
        </w:tc>
      </w:tr>
      <w:tr>
        <w:trPr>
          <w:trHeight w:val="174"/>
        </w:trPr>
        <w:tc>
          <w:tcPr>
            <w:tcW w:w="280" w:type="dxa"/>
            <w:vAlign w:val="bottom"/>
          </w:tcPr>
          <w:p>
            <w:pPr>
              <w:spacing w:after="0"/>
              <w:rPr>
                <w:sz w:val="15"/>
                <w:szCs w:val="15"/>
                <w:color w:val="auto"/>
              </w:rPr>
            </w:pPr>
          </w:p>
        </w:tc>
        <w:tc>
          <w:tcPr>
            <w:tcW w:w="17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http://www.proxyvote.com</w:t>
            </w:r>
          </w:p>
        </w:tc>
        <w:tc>
          <w:tcPr>
            <w:tcW w:w="58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1-800-690-6903</w:t>
            </w:r>
          </w:p>
        </w:tc>
      </w:tr>
      <w:tr>
        <w:trPr>
          <w:trHeight w:val="207"/>
        </w:trPr>
        <w:tc>
          <w:tcPr>
            <w:tcW w:w="26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Use the Internet to vote your proxy.</w:t>
            </w:r>
          </w:p>
        </w:tc>
        <w:tc>
          <w:tcPr>
            <w:tcW w:w="98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Use any touch-tone telephone to</w:t>
            </w:r>
          </w:p>
        </w:tc>
      </w:tr>
      <w:tr>
        <w:trPr>
          <w:trHeight w:val="201"/>
        </w:trPr>
        <w:tc>
          <w:tcPr>
            <w:tcW w:w="26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Have your proxy card in hand when</w:t>
            </w:r>
          </w:p>
        </w:tc>
        <w:tc>
          <w:tcPr>
            <w:tcW w:w="98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vote your proxy. Have your proxy</w:t>
            </w:r>
          </w:p>
        </w:tc>
      </w:tr>
      <w:tr>
        <w:trPr>
          <w:trHeight w:val="209"/>
        </w:trPr>
        <w:tc>
          <w:tcPr>
            <w:tcW w:w="280" w:type="dxa"/>
            <w:vAlign w:val="bottom"/>
          </w:tcPr>
          <w:p>
            <w:pPr>
              <w:spacing w:after="0"/>
              <w:rPr>
                <w:sz w:val="18"/>
                <w:szCs w:val="18"/>
                <w:color w:val="auto"/>
              </w:rPr>
            </w:pP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you access the website.</w:t>
            </w:r>
          </w:p>
        </w:tc>
        <w:tc>
          <w:tcPr>
            <w:tcW w:w="9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card in hand when you call.</w:t>
            </w:r>
          </w:p>
        </w:tc>
      </w:tr>
      <w:tr>
        <w:trPr>
          <w:trHeight w:val="133"/>
        </w:trPr>
        <w:tc>
          <w:tcPr>
            <w:tcW w:w="2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bl>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If you vote your proxy by Internet or telephone, you do NOT need to mail back your proxy card.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To vote by mail, sign and date your proxy card and return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307340</wp:posOffset>
            </wp:positionV>
            <wp:extent cx="5553710" cy="433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53710" cy="4330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 — — — — — — — — — — — — — — — — — — — — — — — — — — — — — — — — — — — — — — — — — — — — — — — — — — — — —</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V83573-P46323-Z92063 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6938010" cy="38131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38010" cy="38131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PROXY</w:t>
      </w:r>
    </w:p>
    <w:p>
      <w:pPr>
        <w:spacing w:after="0" w:line="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DOVER CORPORATION</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PROXY SOLICITED BY BOARD OF DIRECTORS FOR ANNUAL MEETING</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May 8, 2026</w:t>
      </w:r>
    </w:p>
    <w:p>
      <w:pPr>
        <w:spacing w:after="0" w:line="171" w:lineRule="exact"/>
        <w:rPr>
          <w:sz w:val="20"/>
          <w:szCs w:val="20"/>
          <w:color w:val="auto"/>
        </w:rPr>
      </w:pPr>
    </w:p>
    <w:p>
      <w:pPr>
        <w:jc w:val="both"/>
        <w:ind w:left="260" w:right="160"/>
        <w:spacing w:after="0" w:line="254" w:lineRule="auto"/>
        <w:rPr>
          <w:sz w:val="20"/>
          <w:szCs w:val="20"/>
          <w:color w:val="auto"/>
        </w:rPr>
      </w:pPr>
      <w:r>
        <w:rPr>
          <w:rFonts w:ascii="Times New Roman" w:cs="Times New Roman" w:eastAsia="Times New Roman" w:hAnsi="Times New Roman"/>
          <w:sz w:val="18"/>
          <w:szCs w:val="18"/>
          <w:color w:val="auto"/>
        </w:rPr>
        <w:t>The undersigned hereby appoints Richard J. Tobin, Christopher B. Woenker, Ivonne M. Cabrera and John C. Nelson, and each of them, as the undersigned’s proxy or proxies, each with full power of substitution, to vote all shares of Common Stock of Dover Corporation which the undersigned is entitled to vote at the Annual Meeting of Shareholders to be held in Richmond, VA on May 8, 2026 at 9:00 A.M., local time, and any adjournments thereof, as fully as the undersigned could if personally present, upon the proposals set forth on the reverse side hereof, revoking any proxy or proxies heretofore given. For participants in the Company’s Retirement Savings Plan, this proxy will govern the voting of stock held for the account of the undersigned in the Plan.</w:t>
      </w:r>
    </w:p>
    <w:p>
      <w:pPr>
        <w:spacing w:after="0" w:line="143" w:lineRule="exact"/>
        <w:rPr>
          <w:sz w:val="20"/>
          <w:szCs w:val="20"/>
          <w:color w:val="auto"/>
        </w:rPr>
      </w:pPr>
    </w:p>
    <w:p>
      <w:pPr>
        <w:jc w:val="both"/>
        <w:ind w:left="260" w:right="160"/>
        <w:spacing w:after="0" w:line="258" w:lineRule="auto"/>
        <w:rPr>
          <w:sz w:val="20"/>
          <w:szCs w:val="20"/>
          <w:color w:val="auto"/>
        </w:rPr>
      </w:pPr>
      <w:r>
        <w:rPr>
          <w:rFonts w:ascii="Times New Roman" w:cs="Times New Roman" w:eastAsia="Times New Roman" w:hAnsi="Times New Roman"/>
          <w:sz w:val="18"/>
          <w:szCs w:val="18"/>
          <w:color w:val="auto"/>
        </w:rPr>
        <w:t>IMPORTANT - You have the option of voting these shares by returning the enclosed proxy card, voting via Internet or by using a toll-free telephone number above and on the reverse side. On the reverse side of this proxy card are instructions on how to vote via the Internet or by telephone. If you vote by either of these methods, your vote will be recorded as if you mailed in your proxy card. If you vote by returning this proxy card, you must sign and date this proxy on the reverse side.</w:t>
      </w:r>
    </w:p>
    <w:p>
      <w:pPr>
        <w:spacing w:after="0" w:line="136" w:lineRule="exact"/>
        <w:rPr>
          <w:sz w:val="20"/>
          <w:szCs w:val="20"/>
          <w:color w:val="auto"/>
        </w:rPr>
      </w:pPr>
    </w:p>
    <w:p>
      <w:pPr>
        <w:jc w:val="both"/>
        <w:ind w:left="260" w:right="160"/>
        <w:spacing w:after="0" w:line="265" w:lineRule="auto"/>
        <w:rPr>
          <w:sz w:val="20"/>
          <w:szCs w:val="20"/>
          <w:color w:val="auto"/>
        </w:rPr>
      </w:pPr>
      <w:r>
        <w:rPr>
          <w:rFonts w:ascii="Times New Roman" w:cs="Times New Roman" w:eastAsia="Times New Roman" w:hAnsi="Times New Roman"/>
          <w:sz w:val="18"/>
          <w:szCs w:val="18"/>
          <w:b w:val="1"/>
          <w:bCs w:val="1"/>
          <w:color w:val="auto"/>
        </w:rPr>
        <w:t>THIS PROXY WILL BE VOTED IN ACCORDANCE WITH THE SPECIFICATIONS MADE ON THE REVERSE SIDE, BUT IF NO CHOICES ARE INDICATED, THIS PROXY WILL BE VOTED FOR ALL NOMINEES LISTED ON THE REVERSE SIDE AND FOR PROPOSALS 2 AND 3, AND AGAINST PROPOSAL 4.</w:t>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 </w:t>
      </w:r>
    </w:p>
    <w:sectPr>
      <w:pgSz w:w="11900" w:h="16838" w:orient="portrait"/>
      <w:cols w:equalWidth="0" w:num="1">
        <w:col w:w="10820"/>
      </w:cols>
      <w:pgMar w:left="480" w:top="28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lvl w:ilvl="1">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lvl w:ilvl="1">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lvl w:ilvl="1">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
      <w:numFmt w:val="bullet"/>
      <w:start w:val="1"/>
    </w:lvl>
    <w:lvl w:ilvl="1">
      <w:lvlJc w:val="left"/>
      <w:lvlText w:val="(%2)"/>
      <w:numFmt w:val="decimal"/>
      <w:start w:val="1"/>
    </w:lvl>
  </w:abstractNum>
  <w:abstractNum w:abstractNumId="76">
    <w:nsid w:val="7F01579B"/>
    <w:multiLevelType w:val="hybridMultilevel"/>
    <w:lvl w:ilvl="0">
      <w:lvlJc w:val="left"/>
      <w:lvlText w:val=" "/>
      <w:numFmt w:val="bullet"/>
      <w:start w:val="1"/>
    </w:lvl>
  </w:abstractNum>
  <w:abstractNum w:abstractNumId="77">
    <w:nsid w:val="49DA307D"/>
    <w:multiLevelType w:val="hybridMultilevel"/>
    <w:lvl w:ilvl="0">
      <w:lvlJc w:val="left"/>
      <w:lvlText w:val="(%1)"/>
      <w:numFmt w:val="decimal"/>
      <w:start w:val="3"/>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decimal"/>
      <w:start w:val="5"/>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3"/>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decimal"/>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2"/>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decimal"/>
      <w:start w:val="2"/>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decimal"/>
      <w:start w:val="7"/>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1"/>
      <w:numFmt w:val="bullet"/>
      <w:start w:val="1"/>
    </w:lvl>
  </w:abstractNum>
  <w:abstractNum w:abstractNumId="102">
    <w:nsid w:val="288F1A34"/>
    <w:multiLevelType w:val="hybridMultilevel"/>
    <w:lvl w:ilvl="0">
      <w:lvlJc w:val="left"/>
      <w:lvlText w:val="2"/>
      <w:numFmt w:val="bullet"/>
      <w:start w:val="1"/>
    </w:lvl>
  </w:abstractNum>
  <w:abstractNum w:abstractNumId="103">
    <w:nsid w:val="2A155DBC"/>
    <w:multiLevelType w:val="hybridMultilevel"/>
    <w:lvl w:ilvl="0">
      <w:lvlJc w:val="left"/>
      <w:lvlText w:val="3"/>
      <w:numFmt w:val="bullet"/>
      <w:start w:val="1"/>
    </w:lvl>
  </w:abstractNum>
  <w:abstractNum w:abstractNumId="104">
    <w:nsid w:val="1D9F6E5F"/>
    <w:multiLevelType w:val="hybridMultilevel"/>
    <w:lvl w:ilvl="0">
      <w:lvlJc w:val="left"/>
      <w:lvlText w:val="4"/>
      <w:numFmt w:val="bullet"/>
      <w:start w:val="1"/>
    </w:lvl>
  </w:abstractNum>
  <w:abstractNum w:abstractNumId="105">
    <w:nsid w:val="97E1B4E"/>
    <w:multiLevelType w:val="hybridMultilevel"/>
    <w:lvl w:ilvl="0">
      <w:lvlJc w:val="left"/>
      <w:lvlText w:val="5"/>
      <w:numFmt w:val="bullet"/>
      <w:start w:val="1"/>
    </w:lvl>
  </w:abstractNum>
  <w:abstractNum w:abstractNumId="106">
    <w:nsid w:val="51088277"/>
    <w:multiLevelType w:val="hybridMultilevel"/>
    <w:lvl w:ilvl="0">
      <w:lvlJc w:val="left"/>
      <w:lvlText w:val="6"/>
      <w:numFmt w:val="bullet"/>
      <w:start w:val="1"/>
    </w:lvl>
  </w:abstractNum>
  <w:abstractNum w:abstractNumId="107">
    <w:nsid w:val="1CA0C5FA"/>
    <w:multiLevelType w:val="hybridMultilevel"/>
    <w:lvl w:ilvl="0">
      <w:lvlJc w:val="left"/>
      <w:lvlText w:val="1"/>
      <w:numFmt w:val="bullet"/>
      <w:start w:val="1"/>
    </w:lvl>
  </w:abstractNum>
  <w:abstractNum w:abstractNumId="108">
    <w:nsid w:val="53584BCB"/>
    <w:multiLevelType w:val="hybridMultilevel"/>
    <w:lvl w:ilvl="0">
      <w:lvlJc w:val="left"/>
      <w:lvlText w:val="2"/>
      <w:numFmt w:val="bullet"/>
      <w:start w:val="1"/>
    </w:lvl>
  </w:abstractNum>
  <w:abstractNum w:abstractNumId="109">
    <w:nsid w:val="415E286C"/>
    <w:multiLevelType w:val="hybridMultilevel"/>
    <w:lvl w:ilvl="0">
      <w:lvlJc w:val="left"/>
      <w:lvlText w:val="3"/>
      <w:numFmt w:val="bullet"/>
      <w:start w:val="1"/>
    </w:lvl>
  </w:abstractNum>
  <w:abstractNum w:abstractNumId="110">
    <w:nsid w:val="7C58FD05"/>
    <w:multiLevelType w:val="hybridMultilevel"/>
    <w:lvl w:ilvl="0">
      <w:lvlJc w:val="left"/>
      <w:lvlText w:val="4"/>
      <w:numFmt w:val="bullet"/>
      <w:start w:val="1"/>
    </w:lvl>
  </w:abstractNum>
  <w:abstractNum w:abstractNumId="111">
    <w:nsid w:val="23D86AAC"/>
    <w:multiLevelType w:val="hybridMultilevel"/>
    <w:lvl w:ilvl="0">
      <w:lvlJc w:val="left"/>
      <w:lvlText w:val="1"/>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2026-03-24T06:33:31Z</dcterms:created>
  <dcterms:modified xsi:type="dcterms:W3CDTF">2026-03-24T06:33:31Z</dcterms:modified>
</cp:coreProperties>
</file>