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4"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9" w:lineRule="exact"/>
        <w:rPr>
          <w:sz w:val="24"/>
          <w:szCs w:val="24"/>
          <w:color w:val="auto"/>
        </w:rPr>
      </w:pPr>
    </w:p>
    <w:p>
      <w:pPr>
        <w:ind w:left="3880" w:right="2020" w:hanging="3872"/>
        <w:spacing w:after="0" w:line="400" w:lineRule="auto"/>
        <w:tabs>
          <w:tab w:leader="none" w:pos="21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OF 1934</w:t>
      </w:r>
    </w:p>
    <w:p>
      <w:pPr>
        <w:spacing w:after="0" w:line="2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For the transition period from to</w:t>
      </w:r>
    </w:p>
    <w:p>
      <w:pPr>
        <w:spacing w:after="0" w:line="99"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Commission File Number: 1-4018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1685290</wp:posOffset>
            </wp:positionH>
            <wp:positionV relativeFrom="paragraph">
              <wp:posOffset>17145</wp:posOffset>
            </wp:positionV>
            <wp:extent cx="3771900"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7190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p>
        </w:tc>
        <w:tc>
          <w:tcPr>
            <w:tcW w:w="8640" w:type="dxa"/>
            <w:vAlign w:val="bottom"/>
            <w:gridSpan w:val="3"/>
          </w:tcPr>
          <w:p>
            <w:pPr>
              <w:jc w:val="center"/>
              <w:ind w:right="251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257"/>
        </w:trPr>
        <w:tc>
          <w:tcPr>
            <w:tcW w:w="2600" w:type="dxa"/>
            <w:vAlign w:val="bottom"/>
          </w:tcPr>
          <w:p>
            <w:pPr>
              <w:spacing w:after="0"/>
              <w:rPr>
                <w:sz w:val="22"/>
                <w:szCs w:val="22"/>
                <w:color w:val="auto"/>
              </w:rPr>
            </w:pPr>
          </w:p>
        </w:tc>
        <w:tc>
          <w:tcPr>
            <w:tcW w:w="3800" w:type="dxa"/>
            <w:vAlign w:val="bottom"/>
            <w:gridSpan w:val="2"/>
          </w:tcPr>
          <w:p>
            <w:pPr>
              <w:jc w:val="center"/>
              <w:ind w:right="2980"/>
              <w:spacing w:after="0"/>
              <w:rPr>
                <w:sz w:val="20"/>
                <w:szCs w:val="20"/>
                <w:color w:val="auto"/>
              </w:rPr>
            </w:pPr>
            <w:r>
              <w:rPr>
                <w:rFonts w:ascii="Arial" w:cs="Arial" w:eastAsia="Arial" w:hAnsi="Arial"/>
                <w:sz w:val="18"/>
                <w:szCs w:val="18"/>
                <w:b w:val="1"/>
                <w:bCs w:val="1"/>
                <w:color w:val="auto"/>
                <w:w w:val="93"/>
              </w:rPr>
              <w:t>Delaware</w:t>
            </w:r>
          </w:p>
        </w:tc>
        <w:tc>
          <w:tcPr>
            <w:tcW w:w="4840" w:type="dxa"/>
            <w:vAlign w:val="bottom"/>
          </w:tcPr>
          <w:p>
            <w:pPr>
              <w:jc w:val="right"/>
              <w:ind w:right="2090"/>
              <w:spacing w:after="0"/>
              <w:rPr>
                <w:sz w:val="20"/>
                <w:szCs w:val="20"/>
                <w:color w:val="auto"/>
              </w:rPr>
            </w:pPr>
            <w:r>
              <w:rPr>
                <w:rFonts w:ascii="Arial" w:cs="Arial" w:eastAsia="Arial" w:hAnsi="Arial"/>
                <w:sz w:val="18"/>
                <w:szCs w:val="18"/>
                <w:b w:val="1"/>
                <w:bCs w:val="1"/>
                <w:color w:val="auto"/>
              </w:rPr>
              <w:t>53-0257888</w:t>
            </w:r>
          </w:p>
        </w:tc>
      </w:tr>
      <w:tr>
        <w:trPr>
          <w:trHeight w:val="243"/>
        </w:trPr>
        <w:tc>
          <w:tcPr>
            <w:tcW w:w="6400" w:type="dxa"/>
            <w:vAlign w:val="bottom"/>
            <w:gridSpan w:val="3"/>
          </w:tcPr>
          <w:p>
            <w:pPr>
              <w:jc w:val="center"/>
              <w:ind w:right="38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840" w:type="dxa"/>
            <w:vAlign w:val="bottom"/>
          </w:tcPr>
          <w:p>
            <w:pPr>
              <w:jc w:val="center"/>
              <w:ind w:right="290"/>
              <w:spacing w:after="0"/>
              <w:rPr>
                <w:sz w:val="20"/>
                <w:szCs w:val="20"/>
                <w:color w:val="auto"/>
              </w:rPr>
            </w:pPr>
            <w:r>
              <w:rPr>
                <w:rFonts w:ascii="Arial" w:cs="Arial" w:eastAsia="Arial" w:hAnsi="Arial"/>
                <w:sz w:val="18"/>
                <w:szCs w:val="18"/>
                <w:color w:val="auto"/>
                <w:w w:val="94"/>
              </w:rPr>
              <w:t>(I.R.S. Employer Identification No.)</w:t>
            </w:r>
          </w:p>
        </w:tc>
      </w:tr>
      <w:tr>
        <w:trPr>
          <w:trHeight w:val="459"/>
        </w:trPr>
        <w:tc>
          <w:tcPr>
            <w:tcW w:w="64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3005 Highland Parkway</w:t>
            </w:r>
          </w:p>
        </w:tc>
        <w:tc>
          <w:tcPr>
            <w:tcW w:w="4840" w:type="dxa"/>
            <w:vAlign w:val="bottom"/>
          </w:tcPr>
          <w:p>
            <w:pPr>
              <w:spacing w:after="0"/>
              <w:rPr>
                <w:sz w:val="24"/>
                <w:szCs w:val="24"/>
                <w:color w:val="auto"/>
              </w:rPr>
            </w:pPr>
          </w:p>
        </w:tc>
      </w:tr>
      <w:tr>
        <w:trPr>
          <w:trHeight w:val="242"/>
        </w:trPr>
        <w:tc>
          <w:tcPr>
            <w:tcW w:w="64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Downers Grove, Illinois</w:t>
            </w:r>
          </w:p>
        </w:tc>
        <w:tc>
          <w:tcPr>
            <w:tcW w:w="4840" w:type="dxa"/>
            <w:vAlign w:val="bottom"/>
          </w:tcPr>
          <w:p>
            <w:pPr>
              <w:jc w:val="right"/>
              <w:ind w:right="2290"/>
              <w:spacing w:after="0"/>
              <w:rPr>
                <w:sz w:val="20"/>
                <w:szCs w:val="20"/>
                <w:color w:val="auto"/>
              </w:rPr>
            </w:pPr>
            <w:r>
              <w:rPr>
                <w:rFonts w:ascii="Arial" w:cs="Arial" w:eastAsia="Arial" w:hAnsi="Arial"/>
                <w:sz w:val="18"/>
                <w:szCs w:val="18"/>
                <w:b w:val="1"/>
                <w:bCs w:val="1"/>
                <w:color w:val="auto"/>
              </w:rPr>
              <w:t>60515</w:t>
            </w:r>
          </w:p>
        </w:tc>
      </w:tr>
      <w:tr>
        <w:trPr>
          <w:trHeight w:val="230"/>
        </w:trPr>
        <w:tc>
          <w:tcPr>
            <w:tcW w:w="6400" w:type="dxa"/>
            <w:vAlign w:val="bottom"/>
            <w:gridSpan w:val="3"/>
          </w:tcPr>
          <w:p>
            <w:pPr>
              <w:jc w:val="center"/>
              <w:ind w:right="380"/>
              <w:spacing w:after="0"/>
              <w:rPr>
                <w:sz w:val="20"/>
                <w:szCs w:val="20"/>
                <w:color w:val="auto"/>
              </w:rPr>
            </w:pPr>
            <w:r>
              <w:rPr>
                <w:rFonts w:ascii="Arial" w:cs="Arial" w:eastAsia="Arial" w:hAnsi="Arial"/>
                <w:sz w:val="18"/>
                <w:szCs w:val="18"/>
                <w:color w:val="auto"/>
                <w:w w:val="92"/>
              </w:rPr>
              <w:t>(Address of principal executive offices)</w:t>
            </w:r>
          </w:p>
        </w:tc>
        <w:tc>
          <w:tcPr>
            <w:tcW w:w="4840" w:type="dxa"/>
            <w:vAlign w:val="bottom"/>
          </w:tcPr>
          <w:p>
            <w:pPr>
              <w:jc w:val="center"/>
              <w:ind w:right="310"/>
              <w:spacing w:after="0"/>
              <w:rPr>
                <w:sz w:val="20"/>
                <w:szCs w:val="20"/>
                <w:color w:val="auto"/>
              </w:rPr>
            </w:pPr>
            <w:r>
              <w:rPr>
                <w:rFonts w:ascii="Arial" w:cs="Arial" w:eastAsia="Arial" w:hAnsi="Arial"/>
                <w:sz w:val="18"/>
                <w:szCs w:val="18"/>
                <w:color w:val="auto"/>
                <w:w w:val="94"/>
              </w:rPr>
              <w:t>(Zip Code)</w:t>
            </w:r>
          </w:p>
        </w:tc>
      </w:tr>
      <w:tr>
        <w:trPr>
          <w:trHeight w:val="296"/>
        </w:trPr>
        <w:tc>
          <w:tcPr>
            <w:tcW w:w="2600" w:type="dxa"/>
            <w:vAlign w:val="bottom"/>
          </w:tcPr>
          <w:p>
            <w:pPr>
              <w:spacing w:after="0"/>
              <w:rPr>
                <w:sz w:val="24"/>
                <w:szCs w:val="24"/>
                <w:color w:val="auto"/>
              </w:rPr>
            </w:pPr>
          </w:p>
        </w:tc>
        <w:tc>
          <w:tcPr>
            <w:tcW w:w="3800" w:type="dxa"/>
            <w:vAlign w:val="bottom"/>
            <w:gridSpan w:val="2"/>
          </w:tcPr>
          <w:p>
            <w:pPr>
              <w:jc w:val="center"/>
              <w:ind w:left="2150"/>
              <w:spacing w:after="0"/>
              <w:rPr>
                <w:sz w:val="20"/>
                <w:szCs w:val="20"/>
                <w:color w:val="auto"/>
              </w:rPr>
            </w:pPr>
            <w:r>
              <w:rPr>
                <w:rFonts w:ascii="Arial" w:cs="Arial" w:eastAsia="Arial" w:hAnsi="Arial"/>
                <w:sz w:val="18"/>
                <w:szCs w:val="18"/>
                <w:b w:val="1"/>
                <w:bCs w:val="1"/>
                <w:color w:val="auto"/>
                <w:w w:val="90"/>
              </w:rPr>
              <w:t>(630) 541-1540</w:t>
            </w:r>
          </w:p>
        </w:tc>
        <w:tc>
          <w:tcPr>
            <w:tcW w:w="4840" w:type="dxa"/>
            <w:vAlign w:val="bottom"/>
          </w:tcPr>
          <w:p>
            <w:pPr>
              <w:spacing w:after="0"/>
              <w:rPr>
                <w:sz w:val="24"/>
                <w:szCs w:val="24"/>
                <w:color w:val="auto"/>
              </w:rPr>
            </w:pPr>
          </w:p>
        </w:tc>
      </w:tr>
      <w:tr>
        <w:trPr>
          <w:trHeight w:val="230"/>
        </w:trPr>
        <w:tc>
          <w:tcPr>
            <w:tcW w:w="2600" w:type="dxa"/>
            <w:vAlign w:val="bottom"/>
          </w:tcPr>
          <w:p>
            <w:pPr>
              <w:spacing w:after="0"/>
              <w:rPr>
                <w:sz w:val="20"/>
                <w:szCs w:val="20"/>
                <w:color w:val="auto"/>
              </w:rPr>
            </w:pPr>
          </w:p>
        </w:tc>
        <w:tc>
          <w:tcPr>
            <w:tcW w:w="8640" w:type="dxa"/>
            <w:vAlign w:val="bottom"/>
            <w:gridSpan w:val="3"/>
          </w:tcPr>
          <w:p>
            <w:pPr>
              <w:jc w:val="center"/>
              <w:ind w:right="251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324"/>
        </w:trPr>
        <w:tc>
          <w:tcPr>
            <w:tcW w:w="64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840" w:type="dxa"/>
            <w:vAlign w:val="bottom"/>
          </w:tcPr>
          <w:p>
            <w:pPr>
              <w:spacing w:after="0"/>
              <w:rPr>
                <w:sz w:val="24"/>
                <w:szCs w:val="24"/>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r>
      <w:tr>
        <w:trPr>
          <w:trHeight w:val="223"/>
        </w:trPr>
        <w:tc>
          <w:tcPr>
            <w:tcW w:w="2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1240" w:type="dxa"/>
            <w:vAlign w:val="bottom"/>
            <w:tcBorders>
              <w:bottom w:val="single" w:sz="8" w:color="auto"/>
            </w:tcBorders>
          </w:tcPr>
          <w:p>
            <w:pPr>
              <w:spacing w:after="0"/>
              <w:rPr>
                <w:sz w:val="19"/>
                <w:szCs w:val="19"/>
                <w:color w:val="auto"/>
              </w:rPr>
            </w:pPr>
          </w:p>
        </w:tc>
        <w:tc>
          <w:tcPr>
            <w:tcW w:w="4840" w:type="dxa"/>
            <w:vAlign w:val="bottom"/>
            <w:tcBorders>
              <w:bottom w:val="single" w:sz="8" w:color="auto"/>
              <w:right w:val="single" w:sz="8" w:color="auto"/>
            </w:tcBorders>
          </w:tcPr>
          <w:p>
            <w:pPr>
              <w:jc w:val="center"/>
              <w:ind w:right="1170"/>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2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DOV</w:t>
            </w:r>
          </w:p>
        </w:tc>
        <w:tc>
          <w:tcPr>
            <w:tcW w:w="1240" w:type="dxa"/>
            <w:vAlign w:val="bottom"/>
            <w:tcBorders>
              <w:bottom w:val="single" w:sz="8" w:color="auto"/>
            </w:tcBorders>
          </w:tcPr>
          <w:p>
            <w:pPr>
              <w:spacing w:after="0"/>
              <w:rPr>
                <w:sz w:val="20"/>
                <w:szCs w:val="20"/>
                <w:color w:val="auto"/>
              </w:rPr>
            </w:pPr>
          </w:p>
        </w:tc>
        <w:tc>
          <w:tcPr>
            <w:tcW w:w="4840" w:type="dxa"/>
            <w:vAlign w:val="bottom"/>
            <w:tcBorders>
              <w:bottom w:val="single" w:sz="8" w:color="auto"/>
              <w:right w:val="single" w:sz="8" w:color="auto"/>
            </w:tcBorders>
          </w:tcPr>
          <w:p>
            <w:pPr>
              <w:jc w:val="center"/>
              <w:ind w:right="1170"/>
              <w:spacing w:after="0"/>
              <w:rPr>
                <w:sz w:val="20"/>
                <w:szCs w:val="20"/>
                <w:color w:val="auto"/>
              </w:rPr>
            </w:pPr>
            <w:r>
              <w:rPr>
                <w:rFonts w:ascii="Arial" w:cs="Arial" w:eastAsia="Arial" w:hAnsi="Arial"/>
                <w:sz w:val="18"/>
                <w:szCs w:val="18"/>
                <w:color w:val="auto"/>
                <w:w w:val="91"/>
              </w:rPr>
              <w:t>New York Stock Exchange</w:t>
            </w:r>
          </w:p>
        </w:tc>
      </w:tr>
      <w:tr>
        <w:trPr>
          <w:trHeight w:val="229"/>
        </w:trPr>
        <w:tc>
          <w:tcPr>
            <w:tcW w:w="2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1.250% Notes due 2026</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DOV 26</w:t>
            </w:r>
          </w:p>
        </w:tc>
        <w:tc>
          <w:tcPr>
            <w:tcW w:w="1240" w:type="dxa"/>
            <w:vAlign w:val="bottom"/>
            <w:tcBorders>
              <w:bottom w:val="single" w:sz="8" w:color="auto"/>
            </w:tcBorders>
          </w:tcPr>
          <w:p>
            <w:pPr>
              <w:spacing w:after="0"/>
              <w:rPr>
                <w:sz w:val="19"/>
                <w:szCs w:val="19"/>
                <w:color w:val="auto"/>
              </w:rPr>
            </w:pPr>
          </w:p>
        </w:tc>
        <w:tc>
          <w:tcPr>
            <w:tcW w:w="4840" w:type="dxa"/>
            <w:vAlign w:val="bottom"/>
            <w:tcBorders>
              <w:bottom w:val="single" w:sz="8" w:color="auto"/>
              <w:right w:val="single" w:sz="8" w:color="auto"/>
            </w:tcBorders>
          </w:tcPr>
          <w:p>
            <w:pPr>
              <w:jc w:val="center"/>
              <w:ind w:right="1170"/>
              <w:spacing w:after="0"/>
              <w:rPr>
                <w:sz w:val="20"/>
                <w:szCs w:val="20"/>
                <w:color w:val="auto"/>
              </w:rPr>
            </w:pPr>
            <w:r>
              <w:rPr>
                <w:rFonts w:ascii="Arial" w:cs="Arial" w:eastAsia="Arial" w:hAnsi="Arial"/>
                <w:sz w:val="18"/>
                <w:szCs w:val="18"/>
                <w:color w:val="auto"/>
                <w:w w:val="91"/>
              </w:rPr>
              <w:t>New York Stock Exchange</w:t>
            </w:r>
          </w:p>
        </w:tc>
      </w:tr>
      <w:tr>
        <w:trPr>
          <w:trHeight w:val="223"/>
        </w:trPr>
        <w:tc>
          <w:tcPr>
            <w:tcW w:w="2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0.750% Notes due 2027</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DOV 27</w:t>
            </w:r>
          </w:p>
        </w:tc>
        <w:tc>
          <w:tcPr>
            <w:tcW w:w="1240" w:type="dxa"/>
            <w:vAlign w:val="bottom"/>
            <w:tcBorders>
              <w:bottom w:val="single" w:sz="8" w:color="auto"/>
            </w:tcBorders>
          </w:tcPr>
          <w:p>
            <w:pPr>
              <w:spacing w:after="0"/>
              <w:rPr>
                <w:sz w:val="19"/>
                <w:szCs w:val="19"/>
                <w:color w:val="auto"/>
              </w:rPr>
            </w:pPr>
          </w:p>
        </w:tc>
        <w:tc>
          <w:tcPr>
            <w:tcW w:w="4840" w:type="dxa"/>
            <w:vAlign w:val="bottom"/>
            <w:tcBorders>
              <w:bottom w:val="single" w:sz="8" w:color="auto"/>
              <w:right w:val="single" w:sz="8" w:color="auto"/>
            </w:tcBorders>
          </w:tcPr>
          <w:p>
            <w:pPr>
              <w:jc w:val="center"/>
              <w:ind w:right="1170"/>
              <w:spacing w:after="0"/>
              <w:rPr>
                <w:sz w:val="20"/>
                <w:szCs w:val="20"/>
                <w:color w:val="auto"/>
              </w:rPr>
            </w:pPr>
            <w:r>
              <w:rPr>
                <w:rFonts w:ascii="Arial" w:cs="Arial" w:eastAsia="Arial" w:hAnsi="Arial"/>
                <w:sz w:val="18"/>
                <w:szCs w:val="18"/>
                <w:color w:val="auto"/>
                <w:w w:val="91"/>
              </w:rPr>
              <w:t>New York Stock Exchange</w:t>
            </w:r>
          </w:p>
        </w:tc>
      </w:tr>
    </w:tbl>
    <w:p>
      <w:pPr>
        <w:spacing w:after="0" w:line="242"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62" w:lineRule="exact"/>
        <w:rPr>
          <w:sz w:val="24"/>
          <w:szCs w:val="24"/>
          <w:color w:val="auto"/>
        </w:rPr>
      </w:pPr>
    </w:p>
    <w:p>
      <w:pPr>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2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spacing w:after="0" w:line="125"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8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33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3840" w:type="dxa"/>
            <w:vAlign w:val="bottom"/>
          </w:tcPr>
          <w:p>
            <w:pPr>
              <w:ind w:left="1260"/>
              <w:spacing w:after="0" w:line="170" w:lineRule="exact"/>
              <w:rPr>
                <w:sz w:val="20"/>
                <w:szCs w:val="20"/>
                <w:color w:val="auto"/>
              </w:rPr>
            </w:pPr>
            <w:r>
              <w:rPr>
                <w:rFonts w:ascii="Arial" w:cs="Arial" w:eastAsia="Arial" w:hAnsi="Arial"/>
                <w:sz w:val="18"/>
                <w:szCs w:val="18"/>
                <w:color w:val="auto"/>
              </w:rPr>
              <w:t>Accelerated Filer</w:t>
            </w:r>
          </w:p>
        </w:tc>
        <w:tc>
          <w:tcPr>
            <w:tcW w:w="940" w:type="dxa"/>
            <w:vAlign w:val="bottom"/>
            <w:vMerge w:val="restart"/>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280"/>
              <w:spacing w:after="0" w:line="170" w:lineRule="exact"/>
              <w:rPr>
                <w:sz w:val="20"/>
                <w:szCs w:val="20"/>
                <w:color w:val="auto"/>
              </w:rPr>
            </w:pPr>
            <w:r>
              <w:rPr>
                <w:rFonts w:ascii="Arial" w:cs="Arial" w:eastAsia="Arial" w:hAnsi="Arial"/>
                <w:sz w:val="18"/>
                <w:szCs w:val="18"/>
                <w:color w:val="auto"/>
              </w:rPr>
              <w:t>Emerging Growth Company</w:t>
            </w:r>
          </w:p>
        </w:tc>
        <w:tc>
          <w:tcPr>
            <w:tcW w:w="0" w:type="dxa"/>
            <w:vAlign w:val="bottom"/>
          </w:tcPr>
          <w:p>
            <w:pPr>
              <w:spacing w:after="0"/>
              <w:rPr>
                <w:sz w:val="1"/>
                <w:szCs w:val="1"/>
                <w:color w:val="auto"/>
              </w:rPr>
            </w:pPr>
          </w:p>
        </w:tc>
      </w:tr>
      <w:tr>
        <w:trPr>
          <w:trHeight w:val="221"/>
        </w:trPr>
        <w:tc>
          <w:tcPr>
            <w:tcW w:w="216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38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40" w:type="dxa"/>
            <w:vAlign w:val="bottom"/>
            <w:vMerge w:val="continue"/>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vMerge w:val="continue"/>
          </w:tcPr>
          <w:p>
            <w:pPr>
              <w:spacing w:after="0"/>
              <w:rPr>
                <w:sz w:val="20"/>
                <w:szCs w:val="20"/>
                <w:color w:val="auto"/>
              </w:rPr>
            </w:pPr>
          </w:p>
        </w:tc>
        <w:tc>
          <w:tcPr>
            <w:tcW w:w="3840" w:type="dxa"/>
            <w:vAlign w:val="bottom"/>
          </w:tcPr>
          <w:p>
            <w:pPr>
              <w:ind w:left="1260"/>
              <w:spacing w:after="0"/>
              <w:rPr>
                <w:sz w:val="20"/>
                <w:szCs w:val="20"/>
                <w:color w:val="auto"/>
              </w:rPr>
            </w:pPr>
            <w:r>
              <w:rPr>
                <w:rFonts w:ascii="Arial" w:cs="Arial" w:eastAsia="Arial" w:hAnsi="Arial"/>
                <w:sz w:val="18"/>
                <w:szCs w:val="18"/>
                <w:color w:val="auto"/>
              </w:rPr>
              <w:t>Smaller Reporting Company</w:t>
            </w:r>
          </w:p>
        </w:tc>
        <w:tc>
          <w:tcPr>
            <w:tcW w:w="9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5" w:lineRule="exact"/>
        <w:rPr>
          <w:sz w:val="24"/>
          <w:szCs w:val="24"/>
          <w:color w:val="auto"/>
        </w:rPr>
      </w:pPr>
    </w:p>
    <w:p>
      <w:pPr>
        <w:ind w:right="2000"/>
        <w:spacing w:after="0" w:line="32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outstanding of the Registrant’s common stock as of July 18, 2023 was 139,873,825.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4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b w:val="1"/>
                <w:bCs w:val="1"/>
                <w:color w:val="0000FF"/>
              </w:rPr>
              <w:t>PART I — FINANCIAL INFORMATION</w:t>
            </w:r>
          </w:p>
        </w:tc>
        <w:tc>
          <w:tcPr>
            <w:tcW w:w="7380" w:type="dxa"/>
            <w:vAlign w:val="bottom"/>
            <w:gridSpan w:val="17"/>
          </w:tcPr>
          <w:p>
            <w:pPr>
              <w:spacing w:after="0"/>
              <w:rPr>
                <w:sz w:val="17"/>
                <w:szCs w:val="17"/>
                <w:color w:val="auto"/>
              </w:rPr>
            </w:pPr>
          </w:p>
        </w:tc>
        <w:tc>
          <w:tcPr>
            <w:tcW w:w="600" w:type="dxa"/>
            <w:vAlign w:val="bottom"/>
            <w:gridSpan w:val="3"/>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vMerge w:val="restart"/>
          </w:tcPr>
          <w:p>
            <w:pPr>
              <w:spacing w:after="0"/>
              <w:rPr>
                <w:sz w:val="20"/>
                <w:szCs w:val="20"/>
                <w:color w:val="auto"/>
              </w:rPr>
            </w:pPr>
            <w:r>
              <w:rPr>
                <w:rFonts w:ascii="Arial" w:cs="Arial" w:eastAsia="Arial" w:hAnsi="Arial"/>
                <w:sz w:val="18"/>
                <w:szCs w:val="18"/>
                <w:color w:val="0000FF"/>
                <w:w w:val="90"/>
              </w:rPr>
              <w:t>Item 1.</w:t>
            </w:r>
          </w:p>
        </w:tc>
        <w:tc>
          <w:tcPr>
            <w:tcW w:w="420" w:type="dxa"/>
            <w:vAlign w:val="bottom"/>
            <w:gridSpan w:val="2"/>
            <w:vMerge w:val="restart"/>
          </w:tcPr>
          <w:p>
            <w:pPr>
              <w:spacing w:after="0" w:line="20" w:lineRule="exact"/>
              <w:rPr>
                <w:sz w:val="1"/>
                <w:szCs w:val="1"/>
                <w:color w:val="auto"/>
              </w:rPr>
            </w:pPr>
          </w:p>
        </w:tc>
        <w:tc>
          <w:tcPr>
            <w:tcW w:w="9680" w:type="dxa"/>
            <w:vAlign w:val="bottom"/>
            <w:gridSpan w:val="32"/>
            <w:vMerge w:val="restart"/>
          </w:tcPr>
          <w:p>
            <w:pPr>
              <w:spacing w:after="0"/>
              <w:rPr>
                <w:sz w:val="20"/>
                <w:szCs w:val="20"/>
                <w:color w:val="auto"/>
              </w:rPr>
            </w:pPr>
            <w:r>
              <w:rPr>
                <w:rFonts w:ascii="Arial" w:cs="Arial" w:eastAsia="Arial" w:hAnsi="Arial"/>
                <w:sz w:val="18"/>
                <w:szCs w:val="18"/>
                <w:color w:val="0000FF"/>
              </w:rPr>
              <w:t>Financial Statements (unaudited)</w:t>
            </w: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9680" w:type="dxa"/>
            <w:vAlign w:val="bottom"/>
            <w:gridSpan w:val="32"/>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80" w:type="dxa"/>
            <w:vAlign w:val="bottom"/>
            <w:gridSpan w:val="32"/>
          </w:tcPr>
          <w:p>
            <w:pPr>
              <w:spacing w:after="0"/>
              <w:rPr>
                <w:sz w:val="20"/>
                <w:szCs w:val="20"/>
                <w:color w:val="auto"/>
              </w:rPr>
            </w:pPr>
            <w:r>
              <w:rPr>
                <w:rFonts w:ascii="Arial" w:cs="Arial" w:eastAsia="Arial" w:hAnsi="Arial"/>
                <w:sz w:val="18"/>
                <w:szCs w:val="18"/>
                <w:color w:val="0000FF"/>
              </w:rPr>
              <w:t>Condensed Consolidated Statements of Earnings for the three and six months ended June 30, 2023 and 2022</w:t>
            </w:r>
          </w:p>
        </w:tc>
        <w:tc>
          <w:tcPr>
            <w:tcW w:w="340" w:type="dxa"/>
            <w:vAlign w:val="bottom"/>
            <w:gridSpan w:val="2"/>
          </w:tcPr>
          <w:p>
            <w:pPr>
              <w:jc w:val="center"/>
              <w:ind w:left="150"/>
              <w:spacing w:after="0"/>
              <w:rPr>
                <w:sz w:val="20"/>
                <w:szCs w:val="20"/>
                <w:color w:val="auto"/>
              </w:rPr>
            </w:pPr>
            <w:r>
              <w:rPr>
                <w:rFonts w:ascii="Arial" w:cs="Arial" w:eastAsia="Arial" w:hAnsi="Arial"/>
                <w:sz w:val="18"/>
                <w:szCs w:val="18"/>
                <w:color w:val="0000FF"/>
                <w:w w:val="99"/>
              </w:rPr>
              <w:t>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980" w:type="dxa"/>
            <w:vAlign w:val="bottom"/>
            <w:tcBorders>
              <w:bottom w:val="single" w:sz="8" w:color="0000FF"/>
            </w:tcBorders>
            <w:gridSpan w:val="31"/>
          </w:tcPr>
          <w:p>
            <w:pPr>
              <w:spacing w:after="0"/>
              <w:rPr>
                <w:sz w:val="20"/>
                <w:szCs w:val="20"/>
                <w:color w:val="auto"/>
              </w:rPr>
            </w:pPr>
            <w:r>
              <w:rPr>
                <w:rFonts w:ascii="Arial" w:cs="Arial" w:eastAsia="Arial" w:hAnsi="Arial"/>
                <w:sz w:val="18"/>
                <w:szCs w:val="18"/>
                <w:color w:val="0000FF"/>
                <w:w w:val="88"/>
              </w:rPr>
              <w:t>Condensed Consolidated Statements of Comprehensive Earnings for the three and six months ended June 30, 2023 and 2022</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80" w:type="dxa"/>
            <w:vAlign w:val="bottom"/>
            <w:gridSpan w:val="32"/>
          </w:tcPr>
          <w:p>
            <w:pPr>
              <w:spacing w:after="0"/>
              <w:rPr>
                <w:sz w:val="20"/>
                <w:szCs w:val="20"/>
                <w:color w:val="auto"/>
              </w:rPr>
            </w:pPr>
            <w:r>
              <w:rPr>
                <w:rFonts w:ascii="Arial" w:cs="Arial" w:eastAsia="Arial" w:hAnsi="Arial"/>
                <w:sz w:val="18"/>
                <w:szCs w:val="18"/>
                <w:color w:val="0000FF"/>
              </w:rPr>
              <w:t>Condensed Consolidated Balance Sheets at June 30, 2023 and December 31, 2022</w:t>
            </w:r>
          </w:p>
        </w:tc>
        <w:tc>
          <w:tcPr>
            <w:tcW w:w="340" w:type="dxa"/>
            <w:vAlign w:val="bottom"/>
            <w:gridSpan w:val="2"/>
          </w:tcPr>
          <w:p>
            <w:pPr>
              <w:jc w:val="center"/>
              <w:ind w:left="150"/>
              <w:spacing w:after="0"/>
              <w:rPr>
                <w:sz w:val="20"/>
                <w:szCs w:val="20"/>
                <w:color w:val="auto"/>
              </w:rPr>
            </w:pPr>
            <w:r>
              <w:rPr>
                <w:rFonts w:ascii="Arial" w:cs="Arial" w:eastAsia="Arial" w:hAnsi="Arial"/>
                <w:sz w:val="18"/>
                <w:szCs w:val="18"/>
                <w:color w:val="0000FF"/>
                <w:w w:val="99"/>
              </w:rPr>
              <w:t>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80" w:type="dxa"/>
            <w:vAlign w:val="bottom"/>
            <w:tcBorders>
              <w:bottom w:val="single" w:sz="8" w:color="0000FF"/>
            </w:tcBorders>
            <w:gridSpan w:val="30"/>
          </w:tcPr>
          <w:p>
            <w:pPr>
              <w:spacing w:after="0"/>
              <w:rPr>
                <w:sz w:val="20"/>
                <w:szCs w:val="20"/>
                <w:color w:val="auto"/>
              </w:rPr>
            </w:pPr>
            <w:r>
              <w:rPr>
                <w:rFonts w:ascii="Arial" w:cs="Arial" w:eastAsia="Arial" w:hAnsi="Arial"/>
                <w:sz w:val="18"/>
                <w:szCs w:val="18"/>
                <w:color w:val="0000FF"/>
                <w:w w:val="89"/>
              </w:rPr>
              <w:t>Condensed Consolidated Statements of Stockholders’ Equity for the three and six months ended June 30, 2023 and 2022</w:t>
            </w:r>
          </w:p>
        </w:tc>
        <w:tc>
          <w:tcPr>
            <w:tcW w:w="10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30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color w:val="0000FF"/>
                <w:w w:val="88"/>
              </w:rPr>
              <w:t>Condensed Consolidated Statements of Cash Flows for the six months ended June 30, 2023 and 2022</w:t>
            </w:r>
          </w:p>
        </w:tc>
        <w:tc>
          <w:tcPr>
            <w:tcW w:w="2380" w:type="dxa"/>
            <w:vAlign w:val="bottom"/>
            <w:gridSpan w:val="4"/>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Note 1 — Basis of Presentation</w:t>
            </w:r>
          </w:p>
        </w:tc>
        <w:tc>
          <w:tcPr>
            <w:tcW w:w="7400" w:type="dxa"/>
            <w:vAlign w:val="bottom"/>
            <w:gridSpan w:val="18"/>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80" w:type="dxa"/>
            <w:vAlign w:val="bottom"/>
            <w:gridSpan w:val="32"/>
          </w:tcPr>
          <w:p>
            <w:pPr>
              <w:spacing w:after="0"/>
              <w:rPr>
                <w:sz w:val="20"/>
                <w:szCs w:val="20"/>
                <w:color w:val="auto"/>
              </w:rPr>
            </w:pPr>
            <w:r>
              <w:rPr>
                <w:rFonts w:ascii="Arial" w:cs="Arial" w:eastAsia="Arial" w:hAnsi="Arial"/>
                <w:sz w:val="18"/>
                <w:szCs w:val="18"/>
                <w:color w:val="0000FF"/>
              </w:rPr>
              <w:t>Note 2 — Revenue</w:t>
            </w:r>
          </w:p>
        </w:tc>
        <w:tc>
          <w:tcPr>
            <w:tcW w:w="340" w:type="dxa"/>
            <w:vAlign w:val="bottom"/>
            <w:gridSpan w:val="2"/>
          </w:tcPr>
          <w:p>
            <w:pPr>
              <w:jc w:val="center"/>
              <w:ind w:left="150"/>
              <w:spacing w:after="0"/>
              <w:rPr>
                <w:sz w:val="20"/>
                <w:szCs w:val="20"/>
                <w:color w:val="auto"/>
              </w:rPr>
            </w:pPr>
            <w:r>
              <w:rPr>
                <w:rFonts w:ascii="Arial" w:cs="Arial" w:eastAsia="Arial" w:hAnsi="Arial"/>
                <w:sz w:val="18"/>
                <w:szCs w:val="18"/>
                <w:color w:val="0000FF"/>
                <w:w w:val="99"/>
              </w:rPr>
              <w:t>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2"/>
              </w:rPr>
              <w:t>Note 3 — Acquisitions</w:t>
            </w:r>
          </w:p>
        </w:tc>
        <w:tc>
          <w:tcPr>
            <w:tcW w:w="8020" w:type="dxa"/>
            <w:vAlign w:val="bottom"/>
            <w:gridSpan w:val="25"/>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1"/>
              </w:rPr>
              <w:t>Note 4 — Inventories, net</w:t>
            </w:r>
          </w:p>
        </w:tc>
        <w:tc>
          <w:tcPr>
            <w:tcW w:w="7800" w:type="dxa"/>
            <w:vAlign w:val="bottom"/>
            <w:gridSpan w:val="22"/>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0"/>
              </w:rPr>
              <w:t>Note 5 — Property, Plant and Equipment, net</w:t>
            </w:r>
          </w:p>
        </w:tc>
        <w:tc>
          <w:tcPr>
            <w:tcW w:w="6400" w:type="dxa"/>
            <w:vAlign w:val="bottom"/>
            <w:gridSpan w:val="11"/>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80" w:type="dxa"/>
            <w:vAlign w:val="bottom"/>
            <w:gridSpan w:val="32"/>
          </w:tcPr>
          <w:p>
            <w:pPr>
              <w:spacing w:after="0"/>
              <w:rPr>
                <w:sz w:val="20"/>
                <w:szCs w:val="20"/>
                <w:color w:val="auto"/>
              </w:rPr>
            </w:pPr>
            <w:r>
              <w:rPr>
                <w:rFonts w:ascii="Arial" w:cs="Arial" w:eastAsia="Arial" w:hAnsi="Arial"/>
                <w:sz w:val="18"/>
                <w:szCs w:val="18"/>
                <w:color w:val="0000FF"/>
              </w:rPr>
              <w:t>Note 6 — Credit Losses</w:t>
            </w:r>
          </w:p>
        </w:tc>
        <w:tc>
          <w:tcPr>
            <w:tcW w:w="340" w:type="dxa"/>
            <w:vAlign w:val="bottom"/>
            <w:gridSpan w:val="2"/>
          </w:tcPr>
          <w:p>
            <w:pPr>
              <w:jc w:val="center"/>
              <w:ind w:left="150"/>
              <w:spacing w:after="0"/>
              <w:rPr>
                <w:sz w:val="20"/>
                <w:szCs w:val="20"/>
                <w:color w:val="auto"/>
              </w:rPr>
            </w:pPr>
            <w:r>
              <w:rPr>
                <w:rFonts w:ascii="Arial" w:cs="Arial" w:eastAsia="Arial" w:hAnsi="Arial"/>
                <w:sz w:val="18"/>
                <w:szCs w:val="18"/>
                <w:color w:val="0000FF"/>
                <w:w w:val="99"/>
              </w:rPr>
              <w:t>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8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1"/>
              </w:rPr>
              <w:t>Note 7 — Goodwill and Other Intangible Assets</w:t>
            </w:r>
          </w:p>
        </w:tc>
        <w:tc>
          <w:tcPr>
            <w:tcW w:w="6200" w:type="dxa"/>
            <w:vAlign w:val="bottom"/>
            <w:gridSpan w:val="9"/>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80" w:type="dxa"/>
            <w:vAlign w:val="bottom"/>
            <w:gridSpan w:val="32"/>
          </w:tcPr>
          <w:p>
            <w:pPr>
              <w:spacing w:after="0"/>
              <w:rPr>
                <w:sz w:val="20"/>
                <w:szCs w:val="20"/>
                <w:color w:val="auto"/>
              </w:rPr>
            </w:pPr>
            <w:r>
              <w:rPr>
                <w:rFonts w:ascii="Arial" w:cs="Arial" w:eastAsia="Arial" w:hAnsi="Arial"/>
                <w:sz w:val="18"/>
                <w:szCs w:val="18"/>
                <w:color w:val="0000FF"/>
              </w:rPr>
              <w:t>Note 8 — Restructuring Activities</w:t>
            </w:r>
          </w:p>
        </w:tc>
        <w:tc>
          <w:tcPr>
            <w:tcW w:w="600" w:type="dxa"/>
            <w:vAlign w:val="bottom"/>
            <w:gridSpan w:val="3"/>
          </w:tcPr>
          <w:p>
            <w:pPr>
              <w:jc w:val="center"/>
              <w:ind w:right="20"/>
              <w:spacing w:after="0"/>
              <w:rPr>
                <w:sz w:val="20"/>
                <w:szCs w:val="20"/>
                <w:color w:val="auto"/>
              </w:rPr>
            </w:pPr>
            <w:r>
              <w:rPr>
                <w:rFonts w:ascii="Arial" w:cs="Arial" w:eastAsia="Arial" w:hAnsi="Arial"/>
                <w:sz w:val="18"/>
                <w:szCs w:val="18"/>
                <w:color w:val="0000FF"/>
                <w:w w:val="89"/>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60" w:type="dxa"/>
            <w:vAlign w:val="bottom"/>
            <w:tcBorders>
              <w:top w:val="single" w:sz="8" w:color="0000FF"/>
            </w:tcBorders>
            <w:gridSpan w:val="18"/>
          </w:tcPr>
          <w:p>
            <w:pPr>
              <w:spacing w:after="0"/>
              <w:rPr>
                <w:sz w:val="20"/>
                <w:szCs w:val="20"/>
                <w:color w:val="auto"/>
              </w:rPr>
            </w:pPr>
            <w:r>
              <w:rPr>
                <w:rFonts w:ascii="Arial" w:cs="Arial" w:eastAsia="Arial" w:hAnsi="Arial"/>
                <w:sz w:val="18"/>
                <w:szCs w:val="18"/>
                <w:color w:val="0000FF"/>
              </w:rPr>
              <w:t>Note 9 — Borrowings</w:t>
            </w:r>
          </w:p>
        </w:tc>
        <w:tc>
          <w:tcPr>
            <w:tcW w:w="7220" w:type="dxa"/>
            <w:vAlign w:val="bottom"/>
            <w:gridSpan w:val="14"/>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7"/>
                <w:szCs w:val="17"/>
                <w:color w:val="0000FF"/>
                <w:w w:val="73"/>
              </w:rPr>
              <w:t>11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80" w:type="dxa"/>
            <w:vAlign w:val="bottom"/>
            <w:gridSpan w:val="32"/>
          </w:tcPr>
          <w:p>
            <w:pPr>
              <w:spacing w:after="0"/>
              <w:rPr>
                <w:sz w:val="20"/>
                <w:szCs w:val="20"/>
                <w:color w:val="auto"/>
              </w:rPr>
            </w:pPr>
            <w:r>
              <w:rPr>
                <w:rFonts w:ascii="Arial" w:cs="Arial" w:eastAsia="Arial" w:hAnsi="Arial"/>
                <w:sz w:val="18"/>
                <w:szCs w:val="18"/>
                <w:color w:val="0000FF"/>
              </w:rPr>
              <w:t>Note 10 — Financial Instruments</w:t>
            </w:r>
          </w:p>
        </w:tc>
        <w:tc>
          <w:tcPr>
            <w:tcW w:w="600" w:type="dxa"/>
            <w:vAlign w:val="bottom"/>
            <w:gridSpan w:val="3"/>
          </w:tcPr>
          <w:p>
            <w:pPr>
              <w:jc w:val="center"/>
              <w:ind w:right="20"/>
              <w:spacing w:after="0"/>
              <w:rPr>
                <w:sz w:val="20"/>
                <w:szCs w:val="20"/>
                <w:color w:val="auto"/>
              </w:rPr>
            </w:pPr>
            <w:r>
              <w:rPr>
                <w:rFonts w:ascii="Arial" w:cs="Arial" w:eastAsia="Arial" w:hAnsi="Arial"/>
                <w:sz w:val="18"/>
                <w:szCs w:val="18"/>
                <w:color w:val="0000FF"/>
                <w:w w:val="89"/>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9"/>
          </w:tcPr>
          <w:p>
            <w:pPr>
              <w:spacing w:after="0"/>
              <w:rPr>
                <w:sz w:val="20"/>
                <w:szCs w:val="20"/>
                <w:color w:val="auto"/>
              </w:rPr>
            </w:pPr>
            <w:r>
              <w:rPr>
                <w:rFonts w:ascii="Arial" w:cs="Arial" w:eastAsia="Arial" w:hAnsi="Arial"/>
                <w:sz w:val="18"/>
                <w:szCs w:val="18"/>
                <w:color w:val="0000FF"/>
                <w:w w:val="85"/>
              </w:rPr>
              <w:t>Note 11 — Income Taxes</w:t>
            </w:r>
          </w:p>
        </w:tc>
        <w:tc>
          <w:tcPr>
            <w:tcW w:w="620" w:type="dxa"/>
            <w:vAlign w:val="bottom"/>
            <w:gridSpan w:val="8"/>
          </w:tcPr>
          <w:p>
            <w:pPr>
              <w:spacing w:after="0"/>
              <w:rPr>
                <w:sz w:val="18"/>
                <w:szCs w:val="18"/>
                <w:color w:val="auto"/>
              </w:rPr>
            </w:pPr>
          </w:p>
        </w:tc>
        <w:tc>
          <w:tcPr>
            <w:tcW w:w="7280" w:type="dxa"/>
            <w:vAlign w:val="bottom"/>
            <w:gridSpan w:val="15"/>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jc w:val="center"/>
              <w:ind w:right="220"/>
              <w:spacing w:after="0"/>
              <w:rPr>
                <w:sz w:val="20"/>
                <w:szCs w:val="20"/>
                <w:color w:val="auto"/>
              </w:rPr>
            </w:pPr>
            <w:r>
              <w:rPr>
                <w:rFonts w:ascii="Arial" w:cs="Arial" w:eastAsia="Arial" w:hAnsi="Arial"/>
                <w:sz w:val="17"/>
                <w:szCs w:val="17"/>
                <w:color w:val="0000FF"/>
                <w:w w:val="73"/>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80" w:type="dxa"/>
            <w:vAlign w:val="bottom"/>
            <w:gridSpan w:val="32"/>
          </w:tcPr>
          <w:p>
            <w:pPr>
              <w:spacing w:after="0"/>
              <w:rPr>
                <w:sz w:val="20"/>
                <w:szCs w:val="20"/>
                <w:color w:val="auto"/>
              </w:rPr>
            </w:pPr>
            <w:r>
              <w:rPr>
                <w:rFonts w:ascii="Arial" w:cs="Arial" w:eastAsia="Arial" w:hAnsi="Arial"/>
                <w:sz w:val="18"/>
                <w:szCs w:val="18"/>
                <w:color w:val="0000FF"/>
              </w:rPr>
              <w:t>Note 12 — Equity Incentive Program</w:t>
            </w:r>
          </w:p>
        </w:tc>
        <w:tc>
          <w:tcPr>
            <w:tcW w:w="600" w:type="dxa"/>
            <w:vAlign w:val="bottom"/>
            <w:gridSpan w:val="3"/>
          </w:tcPr>
          <w:p>
            <w:pPr>
              <w:jc w:val="center"/>
              <w:ind w:right="20"/>
              <w:spacing w:after="0"/>
              <w:rPr>
                <w:sz w:val="20"/>
                <w:szCs w:val="20"/>
                <w:color w:val="auto"/>
              </w:rPr>
            </w:pPr>
            <w:r>
              <w:rPr>
                <w:rFonts w:ascii="Arial" w:cs="Arial" w:eastAsia="Arial" w:hAnsi="Arial"/>
                <w:sz w:val="18"/>
                <w:szCs w:val="18"/>
                <w:color w:val="0000FF"/>
                <w:w w:val="89"/>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80" w:type="dxa"/>
            <w:vAlign w:val="bottom"/>
            <w:gridSpan w:val="32"/>
          </w:tcPr>
          <w:p>
            <w:pPr>
              <w:spacing w:after="0"/>
              <w:rPr>
                <w:sz w:val="20"/>
                <w:szCs w:val="20"/>
                <w:color w:val="auto"/>
              </w:rPr>
            </w:pPr>
            <w:r>
              <w:rPr>
                <w:rFonts w:ascii="Arial" w:cs="Arial" w:eastAsia="Arial" w:hAnsi="Arial"/>
                <w:sz w:val="18"/>
                <w:szCs w:val="18"/>
                <w:color w:val="0000FF"/>
              </w:rPr>
              <w:t>Note 13 — Commitments and Contingent Liabilities</w:t>
            </w:r>
          </w:p>
        </w:tc>
        <w:tc>
          <w:tcPr>
            <w:tcW w:w="600" w:type="dxa"/>
            <w:vAlign w:val="bottom"/>
            <w:gridSpan w:val="3"/>
          </w:tcPr>
          <w:p>
            <w:pPr>
              <w:jc w:val="center"/>
              <w:ind w:right="20"/>
              <w:spacing w:after="0"/>
              <w:rPr>
                <w:sz w:val="20"/>
                <w:szCs w:val="20"/>
                <w:color w:val="auto"/>
              </w:rPr>
            </w:pPr>
            <w:r>
              <w:rPr>
                <w:rFonts w:ascii="Arial" w:cs="Arial" w:eastAsia="Arial" w:hAnsi="Arial"/>
                <w:sz w:val="18"/>
                <w:szCs w:val="18"/>
                <w:color w:val="0000FF"/>
                <w:w w:val="89"/>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20" w:type="dxa"/>
            <w:vAlign w:val="bottom"/>
            <w:gridSpan w:val="20"/>
          </w:tcPr>
          <w:p>
            <w:pPr>
              <w:spacing w:after="0"/>
              <w:rPr>
                <w:sz w:val="20"/>
                <w:szCs w:val="20"/>
                <w:color w:val="auto"/>
              </w:rPr>
            </w:pPr>
            <w:r>
              <w:rPr>
                <w:rFonts w:ascii="Arial" w:cs="Arial" w:eastAsia="Arial" w:hAnsi="Arial"/>
                <w:sz w:val="18"/>
                <w:szCs w:val="18"/>
                <w:color w:val="0000FF"/>
                <w:w w:val="90"/>
              </w:rPr>
              <w:t>Note 14 — Other Comprehensive Earnings</w:t>
            </w:r>
          </w:p>
        </w:tc>
        <w:tc>
          <w:tcPr>
            <w:tcW w:w="660" w:type="dxa"/>
            <w:vAlign w:val="bottom"/>
            <w:gridSpan w:val="4"/>
          </w:tcPr>
          <w:p>
            <w:pPr>
              <w:spacing w:after="0"/>
              <w:rPr>
                <w:sz w:val="18"/>
                <w:szCs w:val="18"/>
                <w:color w:val="auto"/>
              </w:rPr>
            </w:pPr>
          </w:p>
        </w:tc>
        <w:tc>
          <w:tcPr>
            <w:tcW w:w="5900" w:type="dxa"/>
            <w:vAlign w:val="bottom"/>
            <w:gridSpan w:val="8"/>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jc w:val="center"/>
              <w:ind w:right="220"/>
              <w:spacing w:after="0"/>
              <w:rPr>
                <w:sz w:val="20"/>
                <w:szCs w:val="20"/>
                <w:color w:val="auto"/>
              </w:rPr>
            </w:pPr>
            <w:r>
              <w:rPr>
                <w:rFonts w:ascii="Arial" w:cs="Arial" w:eastAsia="Arial" w:hAnsi="Arial"/>
                <w:sz w:val="17"/>
                <w:szCs w:val="17"/>
                <w:color w:val="0000FF"/>
                <w:w w:val="73"/>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16"/>
          </w:tcPr>
          <w:p>
            <w:pPr>
              <w:spacing w:after="0"/>
              <w:rPr>
                <w:sz w:val="20"/>
                <w:szCs w:val="20"/>
                <w:color w:val="auto"/>
              </w:rPr>
            </w:pPr>
            <w:r>
              <w:rPr>
                <w:rFonts w:ascii="Arial" w:cs="Arial" w:eastAsia="Arial" w:hAnsi="Arial"/>
                <w:sz w:val="18"/>
                <w:szCs w:val="18"/>
                <w:color w:val="0000FF"/>
                <w:w w:val="88"/>
              </w:rPr>
              <w:t>Note 15 — Segment Information</w:t>
            </w:r>
          </w:p>
        </w:tc>
        <w:tc>
          <w:tcPr>
            <w:tcW w:w="800" w:type="dxa"/>
            <w:vAlign w:val="bottom"/>
            <w:gridSpan w:val="4"/>
          </w:tcPr>
          <w:p>
            <w:pPr>
              <w:spacing w:after="0"/>
              <w:rPr>
                <w:sz w:val="18"/>
                <w:szCs w:val="18"/>
                <w:color w:val="auto"/>
              </w:rPr>
            </w:pPr>
          </w:p>
        </w:tc>
        <w:tc>
          <w:tcPr>
            <w:tcW w:w="6560" w:type="dxa"/>
            <w:vAlign w:val="bottom"/>
            <w:gridSpan w:val="12"/>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jc w:val="center"/>
              <w:ind w:right="220"/>
              <w:spacing w:after="0"/>
              <w:rPr>
                <w:sz w:val="20"/>
                <w:szCs w:val="20"/>
                <w:color w:val="auto"/>
              </w:rPr>
            </w:pPr>
            <w:r>
              <w:rPr>
                <w:rFonts w:ascii="Arial" w:cs="Arial" w:eastAsia="Arial" w:hAnsi="Arial"/>
                <w:sz w:val="17"/>
                <w:szCs w:val="17"/>
                <w:color w:val="0000FF"/>
                <w:w w:val="73"/>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1140" w:type="dxa"/>
            <w:vAlign w:val="bottom"/>
            <w:tcBorders>
              <w:left w:val="single" w:sz="8" w:color="0000FF"/>
            </w:tcBorders>
            <w:gridSpan w:val="6"/>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20" w:type="dxa"/>
            <w:vAlign w:val="bottom"/>
            <w:gridSpan w:val="16"/>
          </w:tcPr>
          <w:p>
            <w:pPr>
              <w:spacing w:after="0"/>
              <w:rPr>
                <w:sz w:val="20"/>
                <w:szCs w:val="20"/>
                <w:color w:val="auto"/>
              </w:rPr>
            </w:pPr>
            <w:r>
              <w:rPr>
                <w:rFonts w:ascii="Arial" w:cs="Arial" w:eastAsia="Arial" w:hAnsi="Arial"/>
                <w:sz w:val="18"/>
                <w:szCs w:val="18"/>
                <w:color w:val="0000FF"/>
                <w:w w:val="91"/>
              </w:rPr>
              <w:t>Note 16 — Share Repurchases</w:t>
            </w:r>
          </w:p>
        </w:tc>
        <w:tc>
          <w:tcPr>
            <w:tcW w:w="7360" w:type="dxa"/>
            <w:vAlign w:val="bottom"/>
            <w:gridSpan w:val="16"/>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gridSpan w:val="2"/>
          </w:tcPr>
          <w:p>
            <w:pPr>
              <w:jc w:val="center"/>
              <w:ind w:right="220"/>
              <w:spacing w:after="0"/>
              <w:rPr>
                <w:sz w:val="20"/>
                <w:szCs w:val="20"/>
                <w:color w:val="auto"/>
              </w:rPr>
            </w:pPr>
            <w:r>
              <w:rPr>
                <w:rFonts w:ascii="Arial" w:cs="Arial" w:eastAsia="Arial" w:hAnsi="Arial"/>
                <w:sz w:val="17"/>
                <w:szCs w:val="17"/>
                <w:color w:val="0000FF"/>
                <w:w w:val="73"/>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gridSpan w:val="13"/>
          </w:tcPr>
          <w:p>
            <w:pPr>
              <w:spacing w:after="0"/>
              <w:rPr>
                <w:sz w:val="20"/>
                <w:szCs w:val="20"/>
                <w:color w:val="auto"/>
              </w:rPr>
            </w:pPr>
            <w:r>
              <w:rPr>
                <w:rFonts w:ascii="Arial" w:cs="Arial" w:eastAsia="Arial" w:hAnsi="Arial"/>
                <w:sz w:val="18"/>
                <w:szCs w:val="18"/>
                <w:color w:val="0000FF"/>
                <w:w w:val="89"/>
              </w:rPr>
              <w:t>Note 17 — Earnings per Share</w:t>
            </w:r>
          </w:p>
        </w:tc>
        <w:tc>
          <w:tcPr>
            <w:tcW w:w="7460" w:type="dxa"/>
            <w:vAlign w:val="bottom"/>
            <w:gridSpan w:val="19"/>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jc w:val="center"/>
              <w:ind w:right="220"/>
              <w:spacing w:after="0"/>
              <w:rPr>
                <w:sz w:val="20"/>
                <w:szCs w:val="20"/>
                <w:color w:val="auto"/>
              </w:rPr>
            </w:pPr>
            <w:r>
              <w:rPr>
                <w:rFonts w:ascii="Arial" w:cs="Arial" w:eastAsia="Arial" w:hAnsi="Arial"/>
                <w:sz w:val="17"/>
                <w:szCs w:val="17"/>
                <w:color w:val="0000FF"/>
                <w:w w:val="73"/>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80" w:type="dxa"/>
            <w:vAlign w:val="bottom"/>
            <w:gridSpan w:val="32"/>
          </w:tcPr>
          <w:p>
            <w:pPr>
              <w:spacing w:after="0"/>
              <w:rPr>
                <w:sz w:val="20"/>
                <w:szCs w:val="20"/>
                <w:color w:val="auto"/>
              </w:rPr>
            </w:pPr>
            <w:r>
              <w:rPr>
                <w:rFonts w:ascii="Arial" w:cs="Arial" w:eastAsia="Arial" w:hAnsi="Arial"/>
                <w:sz w:val="18"/>
                <w:szCs w:val="18"/>
                <w:color w:val="0000FF"/>
              </w:rPr>
              <w:t>Note 18 — Recent Accounting Pronouncements</w:t>
            </w:r>
          </w:p>
        </w:tc>
        <w:tc>
          <w:tcPr>
            <w:tcW w:w="600" w:type="dxa"/>
            <w:vAlign w:val="bottom"/>
            <w:gridSpan w:val="3"/>
          </w:tcPr>
          <w:p>
            <w:pPr>
              <w:jc w:val="center"/>
              <w:ind w:right="20"/>
              <w:spacing w:after="0"/>
              <w:rPr>
                <w:sz w:val="20"/>
                <w:szCs w:val="20"/>
                <w:color w:val="auto"/>
              </w:rPr>
            </w:pPr>
            <w:r>
              <w:rPr>
                <w:rFonts w:ascii="Arial" w:cs="Arial" w:eastAsia="Arial" w:hAnsi="Arial"/>
                <w:sz w:val="18"/>
                <w:szCs w:val="18"/>
                <w:color w:val="0000FF"/>
                <w:w w:val="89"/>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5"/>
            <w:shd w:val="clear" w:color="auto" w:fill="0000FF"/>
          </w:tcPr>
          <w:p>
            <w:pPr>
              <w:spacing w:after="0" w:line="20" w:lineRule="exact"/>
              <w:rPr>
                <w:sz w:val="1"/>
                <w:szCs w:val="1"/>
                <w:color w:val="auto"/>
              </w:rPr>
            </w:pPr>
          </w:p>
        </w:tc>
        <w:tc>
          <w:tcPr>
            <w:tcW w:w="1140" w:type="dxa"/>
            <w:vAlign w:val="bottom"/>
            <w:tcBorders>
              <w:left w:val="single" w:sz="8" w:color="0000FF"/>
            </w:tcBorders>
            <w:gridSpan w:val="6"/>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2.</w:t>
            </w:r>
          </w:p>
        </w:tc>
        <w:tc>
          <w:tcPr>
            <w:tcW w:w="420" w:type="dxa"/>
            <w:vAlign w:val="bottom"/>
            <w:gridSpan w:val="2"/>
          </w:tcPr>
          <w:p>
            <w:pPr>
              <w:spacing w:after="0"/>
              <w:rPr>
                <w:sz w:val="19"/>
                <w:szCs w:val="19"/>
                <w:color w:val="auto"/>
              </w:rPr>
            </w:pPr>
          </w:p>
        </w:tc>
        <w:tc>
          <w:tcPr>
            <w:tcW w:w="9680" w:type="dxa"/>
            <w:vAlign w:val="bottom"/>
            <w:gridSpan w:val="32"/>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00" w:type="dxa"/>
            <w:vAlign w:val="bottom"/>
            <w:gridSpan w:val="3"/>
          </w:tcPr>
          <w:p>
            <w:pPr>
              <w:jc w:val="center"/>
              <w:ind w:right="20"/>
              <w:spacing w:after="0"/>
              <w:rPr>
                <w:sz w:val="20"/>
                <w:szCs w:val="20"/>
                <w:color w:val="auto"/>
              </w:rPr>
            </w:pPr>
            <w:r>
              <w:rPr>
                <w:rFonts w:ascii="Arial" w:cs="Arial" w:eastAsia="Arial" w:hAnsi="Arial"/>
                <w:sz w:val="18"/>
                <w:szCs w:val="18"/>
                <w:color w:val="0000FF"/>
                <w:w w:val="89"/>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5"/>
            <w:shd w:val="clear" w:color="auto" w:fill="0000FF"/>
          </w:tcPr>
          <w:p>
            <w:pPr>
              <w:spacing w:after="0" w:line="20" w:lineRule="exact"/>
              <w:rPr>
                <w:sz w:val="1"/>
                <w:szCs w:val="1"/>
                <w:color w:val="auto"/>
              </w:rPr>
            </w:pPr>
          </w:p>
        </w:tc>
        <w:tc>
          <w:tcPr>
            <w:tcW w:w="2020" w:type="dxa"/>
            <w:vAlign w:val="bottom"/>
            <w:tcBorders>
              <w:left w:val="single" w:sz="8" w:color="0000FF"/>
            </w:tcBorders>
            <w:gridSpan w:val="9"/>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3.</w:t>
            </w:r>
          </w:p>
        </w:tc>
        <w:tc>
          <w:tcPr>
            <w:tcW w:w="420" w:type="dxa"/>
            <w:vAlign w:val="bottom"/>
            <w:gridSpan w:val="2"/>
          </w:tcPr>
          <w:p>
            <w:pPr>
              <w:spacing w:after="0"/>
              <w:rPr>
                <w:sz w:val="18"/>
                <w:szCs w:val="18"/>
                <w:color w:val="auto"/>
              </w:rPr>
            </w:pPr>
          </w:p>
        </w:tc>
        <w:tc>
          <w:tcPr>
            <w:tcW w:w="9680" w:type="dxa"/>
            <w:vAlign w:val="bottom"/>
            <w:gridSpan w:val="32"/>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600" w:type="dxa"/>
            <w:vAlign w:val="bottom"/>
            <w:gridSpan w:val="3"/>
          </w:tcPr>
          <w:p>
            <w:pPr>
              <w:jc w:val="center"/>
              <w:ind w:right="20"/>
              <w:spacing w:after="0"/>
              <w:rPr>
                <w:sz w:val="20"/>
                <w:szCs w:val="20"/>
                <w:color w:val="auto"/>
              </w:rPr>
            </w:pPr>
            <w:r>
              <w:rPr>
                <w:rFonts w:ascii="Arial" w:cs="Arial" w:eastAsia="Arial" w:hAnsi="Arial"/>
                <w:sz w:val="18"/>
                <w:szCs w:val="18"/>
                <w:color w:val="0000FF"/>
                <w:w w:val="89"/>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5"/>
            <w:shd w:val="clear" w:color="auto" w:fill="0000FF"/>
          </w:tcPr>
          <w:p>
            <w:pPr>
              <w:spacing w:after="0" w:line="20" w:lineRule="exact"/>
              <w:rPr>
                <w:sz w:val="1"/>
                <w:szCs w:val="1"/>
                <w:color w:val="auto"/>
              </w:rPr>
            </w:pPr>
          </w:p>
        </w:tc>
        <w:tc>
          <w:tcPr>
            <w:tcW w:w="2020" w:type="dxa"/>
            <w:vAlign w:val="bottom"/>
            <w:tcBorders>
              <w:left w:val="single" w:sz="8" w:color="0000FF"/>
            </w:tcBorders>
            <w:gridSpan w:val="9"/>
            <w:shd w:val="clear" w:color="auto" w:fill="0000FF"/>
          </w:tcPr>
          <w:p>
            <w:pPr>
              <w:spacing w:after="0" w:line="20" w:lineRule="exact"/>
              <w:rPr>
                <w:sz w:val="1"/>
                <w:szCs w:val="1"/>
                <w:color w:val="auto"/>
              </w:rPr>
            </w:pPr>
          </w:p>
        </w:tc>
        <w:tc>
          <w:tcPr>
            <w:tcW w:w="5340" w:type="dxa"/>
            <w:vAlign w:val="bottom"/>
            <w:tcBorders>
              <w:left w:val="single" w:sz="8" w:color="0000FF"/>
            </w:tcBorders>
            <w:gridSpan w:val="7"/>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4.</w:t>
            </w:r>
          </w:p>
        </w:tc>
        <w:tc>
          <w:tcPr>
            <w:tcW w:w="420" w:type="dxa"/>
            <w:vAlign w:val="bottom"/>
            <w:gridSpan w:val="2"/>
          </w:tcPr>
          <w:p>
            <w:pPr>
              <w:spacing w:after="0"/>
              <w:rPr>
                <w:sz w:val="18"/>
                <w:szCs w:val="18"/>
                <w:color w:val="auto"/>
              </w:rPr>
            </w:pPr>
          </w:p>
        </w:tc>
        <w:tc>
          <w:tcPr>
            <w:tcW w:w="9680" w:type="dxa"/>
            <w:vAlign w:val="bottom"/>
            <w:gridSpan w:val="32"/>
          </w:tcPr>
          <w:p>
            <w:pPr>
              <w:spacing w:after="0"/>
              <w:rPr>
                <w:sz w:val="20"/>
                <w:szCs w:val="20"/>
                <w:color w:val="auto"/>
              </w:rPr>
            </w:pPr>
            <w:r>
              <w:rPr>
                <w:rFonts w:ascii="Arial" w:cs="Arial" w:eastAsia="Arial" w:hAnsi="Arial"/>
                <w:sz w:val="18"/>
                <w:szCs w:val="18"/>
                <w:color w:val="0000FF"/>
              </w:rPr>
              <w:t>Controls and Procedures</w:t>
            </w:r>
          </w:p>
        </w:tc>
        <w:tc>
          <w:tcPr>
            <w:tcW w:w="600" w:type="dxa"/>
            <w:vAlign w:val="bottom"/>
            <w:gridSpan w:val="3"/>
          </w:tcPr>
          <w:p>
            <w:pPr>
              <w:jc w:val="center"/>
              <w:ind w:right="20"/>
              <w:spacing w:after="0"/>
              <w:rPr>
                <w:sz w:val="20"/>
                <w:szCs w:val="20"/>
                <w:color w:val="auto"/>
              </w:rPr>
            </w:pPr>
            <w:r>
              <w:rPr>
                <w:rFonts w:ascii="Arial" w:cs="Arial" w:eastAsia="Arial" w:hAnsi="Arial"/>
                <w:sz w:val="18"/>
                <w:szCs w:val="18"/>
                <w:color w:val="0000FF"/>
                <w:w w:val="89"/>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10620" w:type="dxa"/>
            <w:vAlign w:val="bottom"/>
            <w:gridSpan w:val="35"/>
          </w:tcPr>
          <w:p>
            <w:pPr>
              <w:spacing w:after="0"/>
              <w:rPr>
                <w:sz w:val="20"/>
                <w:szCs w:val="20"/>
                <w:color w:val="auto"/>
              </w:rPr>
            </w:pPr>
            <w:r>
              <w:rPr>
                <w:rFonts w:ascii="Arial" w:cs="Arial" w:eastAsia="Arial" w:hAnsi="Arial"/>
                <w:sz w:val="18"/>
                <w:szCs w:val="18"/>
                <w:b w:val="1"/>
                <w:bCs w:val="1"/>
                <w:color w:val="0000FF"/>
              </w:rPr>
              <w:t>PART II — OTHER INFORMATION</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rPr>
              <w:t>Item 1.</w:t>
            </w:r>
          </w:p>
        </w:tc>
        <w:tc>
          <w:tcPr>
            <w:tcW w:w="300" w:type="dxa"/>
            <w:vAlign w:val="bottom"/>
            <w:tcBorders>
              <w:top w:val="single" w:sz="8" w:color="0000FF"/>
            </w:tcBorders>
          </w:tcPr>
          <w:p>
            <w:pPr>
              <w:spacing w:after="0"/>
              <w:rPr>
                <w:sz w:val="18"/>
                <w:szCs w:val="18"/>
                <w:color w:val="auto"/>
              </w:rPr>
            </w:pPr>
          </w:p>
        </w:tc>
        <w:tc>
          <w:tcPr>
            <w:tcW w:w="200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Legal Proceedings</w:t>
            </w:r>
          </w:p>
        </w:tc>
        <w:tc>
          <w:tcPr>
            <w:tcW w:w="7680" w:type="dxa"/>
            <w:vAlign w:val="bottom"/>
            <w:gridSpan w:val="21"/>
          </w:tcPr>
          <w:p>
            <w:pPr>
              <w:spacing w:after="0"/>
              <w:rPr>
                <w:sz w:val="18"/>
                <w:szCs w:val="18"/>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8"/>
                <w:szCs w:val="18"/>
                <w:color w:val="0000FF"/>
                <w:w w:val="89"/>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gridSpan w:val="11"/>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Item 1A.</w:t>
            </w:r>
          </w:p>
        </w:tc>
        <w:tc>
          <w:tcPr>
            <w:tcW w:w="9680" w:type="dxa"/>
            <w:vAlign w:val="bottom"/>
            <w:gridSpan w:val="32"/>
          </w:tcPr>
          <w:p>
            <w:pPr>
              <w:spacing w:after="0"/>
              <w:rPr>
                <w:sz w:val="20"/>
                <w:szCs w:val="20"/>
                <w:color w:val="auto"/>
              </w:rPr>
            </w:pPr>
            <w:r>
              <w:rPr>
                <w:rFonts w:ascii="Arial" w:cs="Arial" w:eastAsia="Arial" w:hAnsi="Arial"/>
                <w:sz w:val="18"/>
                <w:szCs w:val="18"/>
                <w:color w:val="0000FF"/>
              </w:rPr>
              <w:t>Risk Factors</w:t>
            </w:r>
          </w:p>
        </w:tc>
        <w:tc>
          <w:tcPr>
            <w:tcW w:w="600" w:type="dxa"/>
            <w:vAlign w:val="bottom"/>
            <w:gridSpan w:val="3"/>
          </w:tcPr>
          <w:p>
            <w:pPr>
              <w:jc w:val="center"/>
              <w:ind w:right="20"/>
              <w:spacing w:after="0"/>
              <w:rPr>
                <w:sz w:val="20"/>
                <w:szCs w:val="20"/>
                <w:color w:val="auto"/>
              </w:rPr>
            </w:pPr>
            <w:r>
              <w:rPr>
                <w:rFonts w:ascii="Arial" w:cs="Arial" w:eastAsia="Arial" w:hAnsi="Arial"/>
                <w:sz w:val="18"/>
                <w:szCs w:val="18"/>
                <w:color w:val="0000FF"/>
                <w:w w:val="89"/>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11"/>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300" w:type="dxa"/>
            <w:vAlign w:val="bottom"/>
          </w:tcPr>
          <w:p>
            <w:pPr>
              <w:spacing w:after="0"/>
              <w:rPr>
                <w:sz w:val="18"/>
                <w:szCs w:val="18"/>
                <w:color w:val="auto"/>
              </w:rPr>
            </w:pPr>
          </w:p>
        </w:tc>
        <w:tc>
          <w:tcPr>
            <w:tcW w:w="9680" w:type="dxa"/>
            <w:vAlign w:val="bottom"/>
            <w:gridSpan w:val="32"/>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600" w:type="dxa"/>
            <w:vAlign w:val="bottom"/>
            <w:gridSpan w:val="3"/>
          </w:tcPr>
          <w:p>
            <w:pPr>
              <w:jc w:val="center"/>
              <w:ind w:right="20"/>
              <w:spacing w:after="0"/>
              <w:rPr>
                <w:sz w:val="20"/>
                <w:szCs w:val="20"/>
                <w:color w:val="auto"/>
              </w:rPr>
            </w:pPr>
            <w:r>
              <w:rPr>
                <w:rFonts w:ascii="Arial" w:cs="Arial" w:eastAsia="Arial" w:hAnsi="Arial"/>
                <w:sz w:val="18"/>
                <w:szCs w:val="18"/>
                <w:color w:val="0000FF"/>
                <w:w w:val="89"/>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11"/>
            <w:shd w:val="clear" w:color="auto" w:fill="0000FF"/>
          </w:tcPr>
          <w:p>
            <w:pPr>
              <w:spacing w:after="0" w:line="20" w:lineRule="exact"/>
              <w:rPr>
                <w:sz w:val="1"/>
                <w:szCs w:val="1"/>
                <w:color w:val="auto"/>
              </w:rPr>
            </w:pPr>
          </w:p>
        </w:tc>
        <w:tc>
          <w:tcPr>
            <w:tcW w:w="2020" w:type="dxa"/>
            <w:vAlign w:val="bottom"/>
            <w:tcBorders>
              <w:left w:val="single" w:sz="8" w:color="0000FF"/>
            </w:tcBorders>
            <w:gridSpan w:val="9"/>
            <w:shd w:val="clear" w:color="auto" w:fill="0000FF"/>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3.</w:t>
            </w:r>
          </w:p>
        </w:tc>
        <w:tc>
          <w:tcPr>
            <w:tcW w:w="420" w:type="dxa"/>
            <w:vAlign w:val="bottom"/>
            <w:gridSpan w:val="2"/>
          </w:tcPr>
          <w:p>
            <w:pPr>
              <w:spacing w:after="0"/>
              <w:rPr>
                <w:sz w:val="18"/>
                <w:szCs w:val="18"/>
                <w:color w:val="auto"/>
              </w:rPr>
            </w:pPr>
          </w:p>
        </w:tc>
        <w:tc>
          <w:tcPr>
            <w:tcW w:w="9680" w:type="dxa"/>
            <w:vAlign w:val="bottom"/>
            <w:gridSpan w:val="32"/>
          </w:tcPr>
          <w:p>
            <w:pPr>
              <w:spacing w:after="0"/>
              <w:rPr>
                <w:sz w:val="20"/>
                <w:szCs w:val="20"/>
                <w:color w:val="auto"/>
              </w:rPr>
            </w:pPr>
            <w:r>
              <w:rPr>
                <w:rFonts w:ascii="Arial" w:cs="Arial" w:eastAsia="Arial" w:hAnsi="Arial"/>
                <w:sz w:val="18"/>
                <w:szCs w:val="18"/>
                <w:color w:val="0000FF"/>
              </w:rPr>
              <w:t>Defaults Upon Senior Securities</w:t>
            </w:r>
          </w:p>
        </w:tc>
        <w:tc>
          <w:tcPr>
            <w:tcW w:w="600" w:type="dxa"/>
            <w:vAlign w:val="bottom"/>
            <w:gridSpan w:val="3"/>
          </w:tcPr>
          <w:p>
            <w:pPr>
              <w:jc w:val="center"/>
              <w:ind w:right="20"/>
              <w:spacing w:after="0"/>
              <w:rPr>
                <w:sz w:val="20"/>
                <w:szCs w:val="20"/>
                <w:color w:val="auto"/>
              </w:rPr>
            </w:pPr>
            <w:r>
              <w:rPr>
                <w:rFonts w:ascii="Arial" w:cs="Arial" w:eastAsia="Arial" w:hAnsi="Arial"/>
                <w:sz w:val="18"/>
                <w:szCs w:val="18"/>
                <w:color w:val="0000FF"/>
                <w:w w:val="89"/>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11"/>
            <w:shd w:val="clear" w:color="auto" w:fill="0000FF"/>
          </w:tcPr>
          <w:p>
            <w:pPr>
              <w:spacing w:after="0" w:line="20" w:lineRule="exact"/>
              <w:rPr>
                <w:sz w:val="1"/>
                <w:szCs w:val="1"/>
                <w:color w:val="auto"/>
              </w:rPr>
            </w:pPr>
          </w:p>
        </w:tc>
        <w:tc>
          <w:tcPr>
            <w:tcW w:w="7360" w:type="dxa"/>
            <w:vAlign w:val="bottom"/>
            <w:gridSpan w:val="16"/>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4.</w:t>
            </w:r>
          </w:p>
        </w:tc>
        <w:tc>
          <w:tcPr>
            <w:tcW w:w="420" w:type="dxa"/>
            <w:vAlign w:val="bottom"/>
            <w:gridSpan w:val="2"/>
          </w:tcPr>
          <w:p>
            <w:pPr>
              <w:spacing w:after="0"/>
              <w:rPr>
                <w:sz w:val="19"/>
                <w:szCs w:val="19"/>
                <w:color w:val="auto"/>
              </w:rPr>
            </w:pPr>
          </w:p>
        </w:tc>
        <w:tc>
          <w:tcPr>
            <w:tcW w:w="9680" w:type="dxa"/>
            <w:vAlign w:val="bottom"/>
            <w:gridSpan w:val="32"/>
          </w:tcPr>
          <w:p>
            <w:pPr>
              <w:spacing w:after="0"/>
              <w:rPr>
                <w:sz w:val="20"/>
                <w:szCs w:val="20"/>
                <w:color w:val="auto"/>
              </w:rPr>
            </w:pPr>
            <w:r>
              <w:rPr>
                <w:rFonts w:ascii="Arial" w:cs="Arial" w:eastAsia="Arial" w:hAnsi="Arial"/>
                <w:sz w:val="18"/>
                <w:szCs w:val="18"/>
                <w:color w:val="0000FF"/>
              </w:rPr>
              <w:t>Mine Safety Disclosures</w:t>
            </w:r>
          </w:p>
        </w:tc>
        <w:tc>
          <w:tcPr>
            <w:tcW w:w="600" w:type="dxa"/>
            <w:vAlign w:val="bottom"/>
            <w:gridSpan w:val="3"/>
          </w:tcPr>
          <w:p>
            <w:pPr>
              <w:jc w:val="center"/>
              <w:ind w:right="20"/>
              <w:spacing w:after="0"/>
              <w:rPr>
                <w:sz w:val="20"/>
                <w:szCs w:val="20"/>
                <w:color w:val="auto"/>
              </w:rPr>
            </w:pPr>
            <w:r>
              <w:rPr>
                <w:rFonts w:ascii="Arial" w:cs="Arial" w:eastAsia="Arial" w:hAnsi="Arial"/>
                <w:sz w:val="18"/>
                <w:szCs w:val="18"/>
                <w:color w:val="0000FF"/>
                <w:w w:val="89"/>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7900" w:type="dxa"/>
            <w:vAlign w:val="bottom"/>
            <w:gridSpan w:val="23"/>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5.</w:t>
            </w:r>
          </w:p>
        </w:tc>
        <w:tc>
          <w:tcPr>
            <w:tcW w:w="420" w:type="dxa"/>
            <w:vAlign w:val="bottom"/>
            <w:gridSpan w:val="2"/>
          </w:tcPr>
          <w:p>
            <w:pPr>
              <w:spacing w:after="0"/>
              <w:rPr>
                <w:sz w:val="18"/>
                <w:szCs w:val="18"/>
                <w:color w:val="auto"/>
              </w:rPr>
            </w:pPr>
          </w:p>
        </w:tc>
        <w:tc>
          <w:tcPr>
            <w:tcW w:w="9680" w:type="dxa"/>
            <w:vAlign w:val="bottom"/>
            <w:gridSpan w:val="32"/>
          </w:tcPr>
          <w:p>
            <w:pPr>
              <w:spacing w:after="0"/>
              <w:rPr>
                <w:sz w:val="20"/>
                <w:szCs w:val="20"/>
                <w:color w:val="auto"/>
              </w:rPr>
            </w:pPr>
            <w:r>
              <w:rPr>
                <w:rFonts w:ascii="Arial" w:cs="Arial" w:eastAsia="Arial" w:hAnsi="Arial"/>
                <w:sz w:val="18"/>
                <w:szCs w:val="18"/>
                <w:color w:val="0000FF"/>
              </w:rPr>
              <w:t>Other Information</w:t>
            </w:r>
          </w:p>
        </w:tc>
        <w:tc>
          <w:tcPr>
            <w:tcW w:w="600" w:type="dxa"/>
            <w:vAlign w:val="bottom"/>
            <w:gridSpan w:val="3"/>
          </w:tcPr>
          <w:p>
            <w:pPr>
              <w:jc w:val="center"/>
              <w:ind w:right="20"/>
              <w:spacing w:after="0"/>
              <w:rPr>
                <w:sz w:val="20"/>
                <w:szCs w:val="20"/>
                <w:color w:val="auto"/>
              </w:rPr>
            </w:pPr>
            <w:r>
              <w:rPr>
                <w:rFonts w:ascii="Arial" w:cs="Arial" w:eastAsia="Arial" w:hAnsi="Arial"/>
                <w:sz w:val="18"/>
                <w:szCs w:val="18"/>
                <w:color w:val="0000FF"/>
                <w:w w:val="89"/>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360" w:type="dxa"/>
            <w:vAlign w:val="bottom"/>
            <w:gridSpan w:val="27"/>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6.</w:t>
            </w:r>
          </w:p>
        </w:tc>
        <w:tc>
          <w:tcPr>
            <w:tcW w:w="420" w:type="dxa"/>
            <w:vAlign w:val="bottom"/>
            <w:gridSpan w:val="2"/>
          </w:tcPr>
          <w:p>
            <w:pPr>
              <w:spacing w:after="0"/>
              <w:rPr>
                <w:sz w:val="18"/>
                <w:szCs w:val="18"/>
                <w:color w:val="auto"/>
              </w:rPr>
            </w:pPr>
          </w:p>
        </w:tc>
        <w:tc>
          <w:tcPr>
            <w:tcW w:w="9680" w:type="dxa"/>
            <w:vAlign w:val="bottom"/>
            <w:gridSpan w:val="32"/>
          </w:tcPr>
          <w:p>
            <w:pPr>
              <w:spacing w:after="0"/>
              <w:rPr>
                <w:sz w:val="20"/>
                <w:szCs w:val="20"/>
                <w:color w:val="auto"/>
              </w:rPr>
            </w:pPr>
            <w:r>
              <w:rPr>
                <w:rFonts w:ascii="Arial" w:cs="Arial" w:eastAsia="Arial" w:hAnsi="Arial"/>
                <w:sz w:val="18"/>
                <w:szCs w:val="18"/>
                <w:color w:val="0000FF"/>
              </w:rPr>
              <w:t>Exhibits</w:t>
            </w:r>
          </w:p>
        </w:tc>
        <w:tc>
          <w:tcPr>
            <w:tcW w:w="600" w:type="dxa"/>
            <w:vAlign w:val="bottom"/>
            <w:gridSpan w:val="3"/>
          </w:tcPr>
          <w:p>
            <w:pPr>
              <w:jc w:val="center"/>
              <w:ind w:right="20"/>
              <w:spacing w:after="0"/>
              <w:rPr>
                <w:sz w:val="20"/>
                <w:szCs w:val="20"/>
                <w:color w:val="auto"/>
              </w:rPr>
            </w:pPr>
            <w:r>
              <w:rPr>
                <w:rFonts w:ascii="Arial" w:cs="Arial" w:eastAsia="Arial" w:hAnsi="Arial"/>
                <w:sz w:val="18"/>
                <w:szCs w:val="18"/>
                <w:color w:val="0000FF"/>
                <w:w w:val="89"/>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080" w:type="dxa"/>
            <w:vAlign w:val="bottom"/>
            <w:gridSpan w:val="29"/>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0620" w:type="dxa"/>
            <w:vAlign w:val="bottom"/>
            <w:gridSpan w:val="35"/>
          </w:tcPr>
          <w:p>
            <w:pPr>
              <w:spacing w:after="0"/>
              <w:rPr>
                <w:sz w:val="20"/>
                <w:szCs w:val="20"/>
                <w:color w:val="auto"/>
              </w:rPr>
            </w:pPr>
            <w:r>
              <w:rPr>
                <w:rFonts w:ascii="Arial" w:cs="Arial" w:eastAsia="Arial" w:hAnsi="Arial"/>
                <w:sz w:val="18"/>
                <w:szCs w:val="18"/>
                <w:b w:val="1"/>
                <w:bCs w:val="1"/>
                <w:color w:val="0000FF"/>
              </w:rPr>
              <w:t>SIGNATURES</w:t>
            </w:r>
          </w:p>
        </w:tc>
        <w:tc>
          <w:tcPr>
            <w:tcW w:w="600" w:type="dxa"/>
            <w:vAlign w:val="bottom"/>
            <w:gridSpan w:val="3"/>
          </w:tcPr>
          <w:p>
            <w:pPr>
              <w:jc w:val="center"/>
              <w:ind w:right="20"/>
              <w:spacing w:after="0"/>
              <w:rPr>
                <w:sz w:val="20"/>
                <w:szCs w:val="20"/>
                <w:color w:val="auto"/>
              </w:rPr>
            </w:pPr>
            <w:r>
              <w:rPr>
                <w:rFonts w:ascii="Arial" w:cs="Arial" w:eastAsia="Arial" w:hAnsi="Arial"/>
                <w:sz w:val="18"/>
                <w:szCs w:val="18"/>
                <w:color w:val="0000FF"/>
                <w:w w:val="89"/>
              </w:rPr>
              <w:t>45</w:t>
            </w:r>
          </w:p>
        </w:tc>
        <w:tc>
          <w:tcPr>
            <w:tcW w:w="0" w:type="dxa"/>
            <w:vAlign w:val="bottom"/>
          </w:tcPr>
          <w:p>
            <w:pPr>
              <w:spacing w:after="0"/>
              <w:rPr>
                <w:sz w:val="1"/>
                <w:szCs w:val="1"/>
                <w:color w:val="auto"/>
              </w:rPr>
            </w:pPr>
          </w:p>
        </w:tc>
      </w:tr>
      <w:tr>
        <w:trPr>
          <w:trHeight w:val="1283"/>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41"/>
        </w:trPr>
        <w:tc>
          <w:tcPr>
            <w:tcW w:w="3760" w:type="dxa"/>
            <w:vAlign w:val="bottom"/>
          </w:tcPr>
          <w:p>
            <w:pPr>
              <w:spacing w:after="0"/>
              <w:rPr>
                <w:sz w:val="24"/>
                <w:szCs w:val="24"/>
                <w:color w:val="auto"/>
              </w:rPr>
            </w:pPr>
          </w:p>
        </w:tc>
        <w:tc>
          <w:tcPr>
            <w:tcW w:w="334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9"/>
              </w:rPr>
              <w:t>DOVER CORPORATION</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8480" w:type="dxa"/>
            <w:vAlign w:val="bottom"/>
            <w:gridSpan w:val="7"/>
          </w:tcPr>
          <w:p>
            <w:pPr>
              <w:jc w:val="center"/>
              <w:ind w:left="2670"/>
              <w:spacing w:after="0"/>
              <w:rPr>
                <w:sz w:val="20"/>
                <w:szCs w:val="20"/>
                <w:color w:val="auto"/>
              </w:rPr>
            </w:pPr>
            <w:r>
              <w:rPr>
                <w:rFonts w:ascii="Arial" w:cs="Arial" w:eastAsia="Arial" w:hAnsi="Arial"/>
                <w:sz w:val="18"/>
                <w:szCs w:val="18"/>
                <w:b w:val="1"/>
                <w:bCs w:val="1"/>
                <w:color w:val="auto"/>
                <w:w w:val="99"/>
              </w:rPr>
              <w:t>CONDENSED CONSOLIDATED STATEMENTS OF EARNINGS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760" w:type="dxa"/>
            <w:vAlign w:val="bottom"/>
          </w:tcPr>
          <w:p>
            <w:pPr>
              <w:spacing w:after="0"/>
              <w:rPr>
                <w:sz w:val="18"/>
                <w:szCs w:val="18"/>
                <w:color w:val="auto"/>
              </w:rPr>
            </w:pPr>
          </w:p>
        </w:tc>
        <w:tc>
          <w:tcPr>
            <w:tcW w:w="334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88"/>
              </w:rPr>
              <w:t>(In thousands, except per share data)</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3760" w:type="dxa"/>
            <w:vAlign w:val="bottom"/>
          </w:tcPr>
          <w:p>
            <w:pPr>
              <w:spacing w:after="0"/>
              <w:rPr>
                <w:sz w:val="20"/>
                <w:szCs w:val="20"/>
                <w:color w:val="auto"/>
              </w:rPr>
            </w:pPr>
          </w:p>
        </w:tc>
        <w:tc>
          <w:tcPr>
            <w:tcW w:w="334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7"/>
        </w:trPr>
        <w:tc>
          <w:tcPr>
            <w:tcW w:w="37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3"/>
              </w:rPr>
              <w:t>Three Months Ended June 30,</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32"/>
        </w:trPr>
        <w:tc>
          <w:tcPr>
            <w:tcW w:w="3760" w:type="dxa"/>
            <w:vAlign w:val="bottom"/>
            <w:tcBorders>
              <w:bottom w:val="single" w:sz="8" w:color="CCEEFF"/>
            </w:tcBorders>
          </w:tcPr>
          <w:p>
            <w:pPr>
              <w:spacing w:after="0"/>
              <w:rPr>
                <w:sz w:val="20"/>
                <w:szCs w:val="20"/>
                <w:color w:val="auto"/>
              </w:rPr>
            </w:pPr>
          </w:p>
        </w:tc>
        <w:tc>
          <w:tcPr>
            <w:tcW w:w="18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227"/>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8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2,158,715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4,179,109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4,210,616</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Cost of goods and services</w:t>
            </w:r>
          </w:p>
        </w:tc>
        <w:tc>
          <w:tcPr>
            <w:tcW w:w="1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1,341,250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1,377,432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2,673,254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2,686,139</w:t>
            </w:r>
          </w:p>
        </w:tc>
      </w:tr>
      <w:tr>
        <w:trPr>
          <w:trHeight w:val="237"/>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758,836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781,283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1,505,855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1,524,477</w:t>
            </w:r>
          </w:p>
        </w:tc>
      </w:tr>
      <w:tr>
        <w:trPr>
          <w:trHeight w:val="216"/>
        </w:trPr>
        <w:tc>
          <w:tcPr>
            <w:tcW w:w="37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434,340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424,433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866,754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868,276</w:t>
            </w:r>
          </w:p>
        </w:tc>
      </w:tr>
      <w:tr>
        <w:trPr>
          <w:trHeight w:val="237"/>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earnings</w:t>
            </w:r>
          </w:p>
        </w:tc>
        <w:tc>
          <w:tcPr>
            <w:tcW w:w="1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324,496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356,850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639,101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656,201</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33,804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68,018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53,541</w:t>
            </w: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r>
      <w:tr>
        <w:trPr>
          <w:trHeight w:val="243"/>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18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(6,675)</w:t>
            </w:r>
          </w:p>
        </w:tc>
      </w:tr>
      <w:tr>
        <w:trPr>
          <w:trHeight w:val="22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before provision for income taxes</w:t>
            </w:r>
          </w:p>
        </w:tc>
        <w:tc>
          <w:tcPr>
            <w:tcW w:w="1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611,059</w:t>
            </w:r>
          </w:p>
        </w:tc>
      </w:tr>
      <w:tr>
        <w:trPr>
          <w:trHeight w:val="230"/>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8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95,288</w:t>
            </w:r>
          </w:p>
        </w:tc>
      </w:tr>
      <w:tr>
        <w:trPr>
          <w:trHeight w:val="248"/>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1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470,813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515,771</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4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per share:</w:t>
            </w:r>
          </w:p>
        </w:tc>
        <w:tc>
          <w:tcPr>
            <w:tcW w:w="1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30"/>
        </w:trPr>
        <w:tc>
          <w:tcPr>
            <w:tcW w:w="3760" w:type="dxa"/>
            <w:vAlign w:val="bottom"/>
          </w:tcPr>
          <w:p>
            <w:pPr>
              <w:ind w:left="140"/>
              <w:spacing w:after="0"/>
              <w:rPr>
                <w:sz w:val="20"/>
                <w:szCs w:val="20"/>
                <w:color w:val="auto"/>
              </w:rPr>
            </w:pPr>
            <w:r>
              <w:rPr>
                <w:rFonts w:ascii="Arial" w:cs="Arial" w:eastAsia="Arial" w:hAnsi="Arial"/>
                <w:sz w:val="18"/>
                <w:szCs w:val="18"/>
                <w:color w:val="auto"/>
              </w:rPr>
              <w:t>Basic</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2.01</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3.37</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29"/>
        </w:trPr>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39"/>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1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4"/>
        </w:trPr>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139,862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143,832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139,810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143,959</w:t>
            </w:r>
          </w:p>
        </w:tc>
      </w:tr>
      <w:tr>
        <w:trPr>
          <w:trHeight w:val="230"/>
        </w:trPr>
        <w:tc>
          <w:tcPr>
            <w:tcW w:w="3760" w:type="dxa"/>
            <w:vAlign w:val="bottom"/>
          </w:tcPr>
          <w:p>
            <w:pPr>
              <w:ind w:left="140"/>
              <w:spacing w:after="0"/>
              <w:rPr>
                <w:sz w:val="20"/>
                <w:szCs w:val="20"/>
                <w:color w:val="auto"/>
              </w:rPr>
            </w:pPr>
            <w:r>
              <w:rPr>
                <w:rFonts w:ascii="Arial" w:cs="Arial" w:eastAsia="Arial" w:hAnsi="Arial"/>
                <w:sz w:val="18"/>
                <w:szCs w:val="18"/>
                <w:color w:val="auto"/>
              </w:rPr>
              <w:t>Diluted</w:t>
            </w:r>
          </w:p>
        </w:tc>
        <w:tc>
          <w:tcPr>
            <w:tcW w:w="1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140,578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144,669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140,597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144,998</w:t>
            </w:r>
          </w:p>
        </w:tc>
      </w:tr>
    </w:tbl>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gridSpan w:val="3"/>
          </w:tcPr>
          <w:p>
            <w:pPr>
              <w:ind w:left="516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w w:val="93"/>
              </w:rPr>
              <w:t>Three Months Ended June 30,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32"/>
        </w:trPr>
        <w:tc>
          <w:tcPr>
            <w:tcW w:w="56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7"/>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242,239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470,813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515,771</w:t>
            </w:r>
          </w:p>
        </w:tc>
        <w:tc>
          <w:tcPr>
            <w:tcW w:w="0" w:type="dxa"/>
            <w:vAlign w:val="bottom"/>
          </w:tcPr>
          <w:p>
            <w:pPr>
              <w:spacing w:after="0"/>
              <w:rPr>
                <w:sz w:val="1"/>
                <w:szCs w:val="1"/>
                <w:color w:val="auto"/>
              </w:rPr>
            </w:pPr>
          </w:p>
        </w:tc>
      </w:tr>
      <w:tr>
        <w:trPr>
          <w:trHeight w:val="219"/>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earnings (loss), net of tax</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460"/>
              <w:spacing w:after="0"/>
              <w:rPr>
                <w:sz w:val="20"/>
                <w:szCs w:val="20"/>
                <w:color w:val="auto"/>
              </w:rPr>
            </w:pPr>
            <w:r>
              <w:rPr>
                <w:rFonts w:ascii="Arial" w:cs="Arial" w:eastAsia="Arial" w:hAnsi="Arial"/>
                <w:sz w:val="18"/>
                <w:szCs w:val="18"/>
                <w:color w:val="auto"/>
              </w:rPr>
              <w:t>Foreign currency translation gain (loss)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(77,552)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37,907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(99,205)</w:t>
            </w: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9"/>
              </w:rPr>
              <w:t>Reclassification of foreign currency translation losses to earnings</w:t>
            </w: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5,915</w:t>
            </w:r>
          </w:p>
        </w:tc>
        <w:tc>
          <w:tcPr>
            <w:tcW w:w="0" w:type="dxa"/>
            <w:vAlign w:val="bottom"/>
          </w:tcPr>
          <w:p>
            <w:pPr>
              <w:spacing w:after="0"/>
              <w:rPr>
                <w:sz w:val="1"/>
                <w:szCs w:val="1"/>
                <w:color w:val="auto"/>
              </w:rPr>
            </w:pPr>
          </w:p>
        </w:tc>
      </w:tr>
      <w:tr>
        <w:trPr>
          <w:trHeight w:val="168"/>
        </w:trPr>
        <w:tc>
          <w:tcPr>
            <w:tcW w:w="5620" w:type="dxa"/>
            <w:vAlign w:val="bottom"/>
          </w:tcPr>
          <w:p>
            <w:pPr>
              <w:ind w:left="20"/>
              <w:spacing w:after="0" w:line="168" w:lineRule="exact"/>
              <w:rPr>
                <w:sz w:val="20"/>
                <w:szCs w:val="20"/>
                <w:color w:val="auto"/>
              </w:rPr>
            </w:pPr>
            <w:r>
              <w:rPr>
                <w:rFonts w:ascii="Arial" w:cs="Arial" w:eastAsia="Arial" w:hAnsi="Arial"/>
                <w:sz w:val="18"/>
                <w:szCs w:val="18"/>
                <w:color w:val="auto"/>
                <w:w w:val="97"/>
              </w:rPr>
              <w:t>Total foreign currency translation adjustments (net of $3,166, $(10,539),</w:t>
            </w:r>
          </w:p>
        </w:tc>
        <w:tc>
          <w:tcPr>
            <w:tcW w:w="1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21,335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(77,552)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37,907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(93,290)</w:t>
            </w:r>
          </w:p>
        </w:tc>
        <w:tc>
          <w:tcPr>
            <w:tcW w:w="0" w:type="dxa"/>
            <w:vAlign w:val="bottom"/>
          </w:tcPr>
          <w:p>
            <w:pPr>
              <w:spacing w:after="0"/>
              <w:rPr>
                <w:sz w:val="1"/>
                <w:szCs w:val="1"/>
                <w:color w:val="auto"/>
              </w:rPr>
            </w:pPr>
          </w:p>
        </w:tc>
      </w:tr>
      <w:tr>
        <w:trPr>
          <w:trHeight w:val="217"/>
        </w:trPr>
        <w:tc>
          <w:tcPr>
            <w:tcW w:w="5620" w:type="dxa"/>
            <w:vAlign w:val="bottom"/>
          </w:tcPr>
          <w:p>
            <w:pPr>
              <w:ind w:left="20"/>
              <w:spacing w:after="0"/>
              <w:rPr>
                <w:sz w:val="20"/>
                <w:szCs w:val="20"/>
                <w:color w:val="auto"/>
              </w:rPr>
            </w:pPr>
            <w:r>
              <w:rPr>
                <w:rFonts w:ascii="Arial" w:cs="Arial" w:eastAsia="Arial" w:hAnsi="Arial"/>
                <w:sz w:val="18"/>
                <w:szCs w:val="18"/>
                <w:color w:val="auto"/>
              </w:rPr>
              <w:t>$7,216 and $(18,970) tax benefit (provision), respectively)</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other post-retirement benefit plans: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620" w:type="dxa"/>
            <w:vAlign w:val="bottom"/>
          </w:tcPr>
          <w:p>
            <w:pPr>
              <w:ind w:left="460"/>
              <w:spacing w:after="0" w:line="189" w:lineRule="exact"/>
              <w:rPr>
                <w:sz w:val="20"/>
                <w:szCs w:val="20"/>
                <w:color w:val="auto"/>
              </w:rPr>
            </w:pPr>
            <w:r>
              <w:rPr>
                <w:rFonts w:ascii="Arial" w:cs="Arial" w:eastAsia="Arial" w:hAnsi="Arial"/>
                <w:sz w:val="18"/>
                <w:szCs w:val="18"/>
                <w:color w:val="auto"/>
                <w:w w:val="95"/>
              </w:rPr>
              <w:t>Amortization of actuarial (gain) loss included in net periodic pension</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60"/>
              <w:spacing w:after="0"/>
              <w:rPr>
                <w:sz w:val="20"/>
                <w:szCs w:val="20"/>
                <w:color w:val="auto"/>
              </w:rPr>
            </w:pPr>
            <w:r>
              <w:rPr>
                <w:rFonts w:ascii="Arial" w:cs="Arial" w:eastAsia="Arial" w:hAnsi="Arial"/>
                <w:sz w:val="18"/>
                <w:szCs w:val="18"/>
                <w:color w:val="auto"/>
              </w:rPr>
              <w:t>cost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176"/>
        </w:trPr>
        <w:tc>
          <w:tcPr>
            <w:tcW w:w="562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7"/>
              </w:rPr>
              <w:t>Amortization of prior service costs included in net periodic pension</w:t>
            </w:r>
          </w:p>
        </w:tc>
        <w:tc>
          <w:tcPr>
            <w:tcW w:w="1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cost</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620" w:type="dxa"/>
            <w:vAlign w:val="bottom"/>
          </w:tcPr>
          <w:p>
            <w:pPr>
              <w:ind w:left="20"/>
              <w:spacing w:after="0" w:line="169" w:lineRule="exact"/>
              <w:rPr>
                <w:sz w:val="20"/>
                <w:szCs w:val="20"/>
                <w:color w:val="auto"/>
              </w:rPr>
            </w:pPr>
            <w:r>
              <w:rPr>
                <w:rFonts w:ascii="Arial" w:cs="Arial" w:eastAsia="Arial" w:hAnsi="Arial"/>
                <w:sz w:val="18"/>
                <w:szCs w:val="18"/>
                <w:color w:val="auto"/>
                <w:w w:val="96"/>
              </w:rPr>
              <w:t>Total pension and other post-retirement benefit plans (net of $83, $(202),</w:t>
            </w:r>
          </w:p>
        </w:tc>
        <w:tc>
          <w:tcPr>
            <w:tcW w:w="1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(543)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$165 and $(410) tax benefit (provision), respectively)</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of cash flow hedges: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60"/>
              <w:spacing w:after="0"/>
              <w:rPr>
                <w:sz w:val="20"/>
                <w:szCs w:val="20"/>
                <w:color w:val="auto"/>
              </w:rPr>
            </w:pPr>
            <w:r>
              <w:rPr>
                <w:rFonts w:ascii="Arial" w:cs="Arial" w:eastAsia="Arial" w:hAnsi="Arial"/>
                <w:sz w:val="18"/>
                <w:szCs w:val="18"/>
                <w:color w:val="auto"/>
              </w:rPr>
              <w:t>Unrealized net (loss) gain arising during period</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loss (gain) reclassified into earnings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169"/>
        </w:trPr>
        <w:tc>
          <w:tcPr>
            <w:tcW w:w="5620" w:type="dxa"/>
            <w:vAlign w:val="bottom"/>
          </w:tcPr>
          <w:p>
            <w:pPr>
              <w:ind w:left="20"/>
              <w:spacing w:after="0" w:line="169" w:lineRule="exact"/>
              <w:rPr>
                <w:sz w:val="20"/>
                <w:szCs w:val="20"/>
                <w:color w:val="auto"/>
              </w:rPr>
            </w:pPr>
            <w:r>
              <w:rPr>
                <w:rFonts w:ascii="Arial" w:cs="Arial" w:eastAsia="Arial" w:hAnsi="Arial"/>
                <w:sz w:val="18"/>
                <w:szCs w:val="18"/>
                <w:color w:val="auto"/>
                <w:w w:val="91"/>
              </w:rPr>
              <w:t>Total cash flow hedges (net of $(167), $631, $(387) and $519 tax (provision)</w:t>
            </w:r>
          </w:p>
        </w:tc>
        <w:tc>
          <w:tcPr>
            <w:tcW w:w="1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(2,195)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1,357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respectively)</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earnings (loss), net of tax</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(79,176)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38,721</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(93,945)</w:t>
            </w:r>
          </w:p>
        </w:tc>
        <w:tc>
          <w:tcPr>
            <w:tcW w:w="0" w:type="dxa"/>
            <w:vAlign w:val="bottom"/>
          </w:tcPr>
          <w:p>
            <w:pPr>
              <w:spacing w:after="0"/>
              <w:rPr>
                <w:sz w:val="1"/>
                <w:szCs w:val="1"/>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Comprehensive earnings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263,885</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210,442</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509,534</w:t>
            </w:r>
          </w:p>
        </w:tc>
        <w:tc>
          <w:tcPr>
            <w:tcW w:w="400" w:type="dxa"/>
            <w:vAlign w:val="bottom"/>
            <w:gridSpan w:val="2"/>
          </w:tcPr>
          <w:p>
            <w:pPr>
              <w:jc w:val="center"/>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421,826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Current assets: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net</w:t>
      </w:r>
    </w:p>
    <w:p>
      <w:pPr>
        <w:spacing w:after="0" w:line="23" w:lineRule="exact"/>
        <w:rPr>
          <w:sz w:val="20"/>
          <w:szCs w:val="20"/>
          <w:color w:val="auto"/>
        </w:rPr>
      </w:pPr>
    </w:p>
    <w:p>
      <w:pPr>
        <w:ind w:left="800" w:hanging="323"/>
        <w:spacing w:after="0" w:line="313" w:lineRule="auto"/>
        <w:rPr>
          <w:sz w:val="20"/>
          <w:szCs w:val="20"/>
          <w:color w:val="auto"/>
        </w:rPr>
      </w:pPr>
      <w:r>
        <w:rPr>
          <w:rFonts w:ascii="Arial" w:cs="Arial" w:eastAsia="Arial" w:hAnsi="Arial"/>
          <w:sz w:val="16"/>
          <w:szCs w:val="16"/>
          <w:color w:val="auto"/>
        </w:rPr>
        <w:t>Prepaid and other current assets Total current assets</w:t>
      </w:r>
    </w:p>
    <w:p>
      <w:pPr>
        <w:spacing w:after="0" w:line="1" w:lineRule="exact"/>
        <w:rPr>
          <w:sz w:val="20"/>
          <w:szCs w:val="20"/>
          <w:color w:val="auto"/>
        </w:rPr>
      </w:pPr>
    </w:p>
    <w:p>
      <w:pPr>
        <w:ind w:left="40" w:right="20"/>
        <w:spacing w:after="0" w:line="273" w:lineRule="auto"/>
        <w:rPr>
          <w:sz w:val="20"/>
          <w:szCs w:val="20"/>
          <w:color w:val="auto"/>
        </w:rPr>
      </w:pPr>
      <w:r>
        <w:rPr>
          <w:rFonts w:ascii="Arial" w:cs="Arial" w:eastAsia="Arial" w:hAnsi="Arial"/>
          <w:sz w:val="18"/>
          <w:szCs w:val="18"/>
          <w:b w:val="1"/>
          <w:bCs w:val="1"/>
          <w:color w:val="auto"/>
        </w:rPr>
        <w:t>Property, plant and equipment, net Goodwill</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Intangible assets, net</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assets and deferred charges</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460"/>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346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1" w:lineRule="exact"/>
        <w:rPr>
          <w:sz w:val="20"/>
          <w:szCs w:val="20"/>
          <w:color w:val="auto"/>
        </w:rPr>
      </w:pPr>
    </w:p>
    <w:p>
      <w:pPr>
        <w:jc w:val="center"/>
        <w:ind w:right="34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3460"/>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3680" w:type="dxa"/>
        <w:tblCellMar>
          <w:top w:w="0" w:type="dxa"/>
          <w:left w:w="0" w:type="dxa"/>
          <w:bottom w:w="0" w:type="dxa"/>
          <w:right w:w="0" w:type="dxa"/>
        </w:tblCellMar>
      </w:tblPr>
      <w:tr>
        <w:trPr>
          <w:trHeight w:val="234"/>
        </w:trPr>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2"/>
              </w:rPr>
              <w:t>December 31, 2022</w:t>
            </w:r>
          </w:p>
        </w:tc>
      </w:tr>
      <w:tr>
        <w:trPr>
          <w:trHeight w:val="695"/>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285,777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380,868</w:t>
            </w:r>
          </w:p>
        </w:tc>
      </w:tr>
      <w:tr>
        <w:trPr>
          <w:trHeight w:val="230"/>
        </w:trPr>
        <w:tc>
          <w:tcPr>
            <w:tcW w:w="3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1,561,162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1,516,871</w:t>
            </w:r>
          </w:p>
        </w:tc>
      </w:tr>
      <w:tr>
        <w:trPr>
          <w:trHeight w:val="242"/>
        </w:trPr>
        <w:tc>
          <w:tcPr>
            <w:tcW w:w="3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1,396,260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1,366,608</w:t>
            </w:r>
          </w:p>
        </w:tc>
      </w:tr>
      <w:tr>
        <w:trPr>
          <w:trHeight w:val="230"/>
        </w:trPr>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171,478</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159,118</w:t>
            </w:r>
          </w:p>
        </w:tc>
      </w:tr>
      <w:tr>
        <w:trPr>
          <w:trHeight w:val="223"/>
        </w:trPr>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3,414,677</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3,423,465</w:t>
            </w:r>
          </w:p>
        </w:tc>
      </w:tr>
      <w:tr>
        <w:trPr>
          <w:trHeight w:val="222"/>
        </w:trPr>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1,016,206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1,004,825</w:t>
            </w:r>
          </w:p>
        </w:tc>
      </w:tr>
      <w:tr>
        <w:trPr>
          <w:trHeight w:val="230"/>
        </w:trPr>
        <w:tc>
          <w:tcPr>
            <w:tcW w:w="3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4,698,604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4,669,494</w:t>
            </w:r>
          </w:p>
        </w:tc>
      </w:tr>
      <w:tr>
        <w:trPr>
          <w:trHeight w:val="242"/>
        </w:trPr>
        <w:tc>
          <w:tcPr>
            <w:tcW w:w="3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1,274,179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1,333,735</w:t>
            </w:r>
          </w:p>
        </w:tc>
      </w:tr>
      <w:tr>
        <w:trPr>
          <w:trHeight w:val="230"/>
        </w:trPr>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497,920</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465,000</w:t>
            </w:r>
          </w:p>
        </w:tc>
      </w:tr>
      <w:tr>
        <w:trPr>
          <w:trHeight w:val="223"/>
        </w:trPr>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10,901,586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10,896,519</w:t>
            </w: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-1833880</wp:posOffset>
            </wp:positionV>
            <wp:extent cx="7115175"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-1534160</wp:posOffset>
            </wp:positionV>
            <wp:extent cx="7115175"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-1233805</wp:posOffset>
            </wp:positionV>
            <wp:extent cx="7115175"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-942340</wp:posOffset>
            </wp:positionV>
            <wp:extent cx="7115175"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-633730</wp:posOffset>
            </wp:positionV>
            <wp:extent cx="711517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-334010</wp:posOffset>
            </wp:positionV>
            <wp:extent cx="7115175"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760" w:space="720"/>
            <w:col w:w="7740"/>
          </w:cols>
          <w:pgMar w:left="320" w:top="125" w:right="359" w:bottom="1440" w:gutter="0" w:footer="0" w:header="0"/>
          <w:type w:val="continuous"/>
        </w:sectPr>
      </w:pPr>
    </w:p>
    <w:tbl>
      <w:tblPr>
        <w:tblLayout w:type="fixed"/>
        <w:tblInd w:w="20" w:type="dxa"/>
        <w:tblCellMar>
          <w:top w:w="0" w:type="dxa"/>
          <w:left w:w="0" w:type="dxa"/>
          <w:bottom w:w="0" w:type="dxa"/>
          <w:right w:w="0" w:type="dxa"/>
        </w:tblCellMar>
      </w:tblPr>
      <w:tr>
        <w:trPr>
          <w:trHeight w:val="169"/>
        </w:trPr>
        <w:tc>
          <w:tcPr>
            <w:tcW w:w="7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39"/>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34"/>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6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29"/>
        </w:trPr>
        <w:tc>
          <w:tcPr>
            <w:tcW w:w="7140" w:type="dxa"/>
            <w:vAlign w:val="bottom"/>
          </w:tcPr>
          <w:p>
            <w:pPr>
              <w:ind w:left="440"/>
              <w:spacing w:after="0"/>
              <w:rPr>
                <w:sz w:val="20"/>
                <w:szCs w:val="20"/>
                <w:color w:val="auto"/>
              </w:rPr>
            </w:pPr>
            <w:r>
              <w:rPr>
                <w:rFonts w:ascii="Arial" w:cs="Arial" w:eastAsia="Arial" w:hAnsi="Arial"/>
                <w:sz w:val="18"/>
                <w:szCs w:val="18"/>
                <w:color w:val="auto"/>
              </w:rPr>
              <w:t>Short-term borrowings</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446,175</w:t>
            </w:r>
          </w:p>
        </w:tc>
        <w:tc>
          <w:tcPr>
            <w:tcW w:w="7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735,772</w:t>
            </w:r>
          </w:p>
        </w:tc>
      </w:tr>
      <w:tr>
        <w:trPr>
          <w:trHeight w:val="243"/>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6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1,028,928</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1,068,144</w:t>
            </w:r>
          </w:p>
        </w:tc>
      </w:tr>
      <w:tr>
        <w:trPr>
          <w:trHeight w:val="229"/>
        </w:trPr>
        <w:tc>
          <w:tcPr>
            <w:tcW w:w="7140" w:type="dxa"/>
            <w:vAlign w:val="bottom"/>
          </w:tcPr>
          <w:p>
            <w:pPr>
              <w:ind w:left="440"/>
              <w:spacing w:after="0"/>
              <w:rPr>
                <w:sz w:val="20"/>
                <w:szCs w:val="20"/>
                <w:color w:val="auto"/>
              </w:rPr>
            </w:pPr>
            <w:r>
              <w:rPr>
                <w:rFonts w:ascii="Arial" w:cs="Arial" w:eastAsia="Arial" w:hAnsi="Arial"/>
                <w:sz w:val="18"/>
                <w:szCs w:val="18"/>
                <w:color w:val="auto"/>
              </w:rPr>
              <w:t>Accrued compensation and employee benefits</w:t>
            </w:r>
          </w:p>
        </w:tc>
        <w:tc>
          <w:tcPr>
            <w:tcW w:w="6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235,773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269,785</w:t>
            </w:r>
          </w:p>
        </w:tc>
      </w:tr>
      <w:tr>
        <w:trPr>
          <w:trHeight w:val="230"/>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revenue</w:t>
            </w:r>
          </w:p>
        </w:tc>
        <w:tc>
          <w:tcPr>
            <w:tcW w:w="6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261,202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256,933</w:t>
            </w:r>
          </w:p>
        </w:tc>
      </w:tr>
      <w:tr>
        <w:trPr>
          <w:trHeight w:val="237"/>
        </w:trPr>
        <w:tc>
          <w:tcPr>
            <w:tcW w:w="7140" w:type="dxa"/>
            <w:vAlign w:val="bottom"/>
          </w:tcPr>
          <w:p>
            <w:pPr>
              <w:ind w:left="440"/>
              <w:spacing w:after="0"/>
              <w:rPr>
                <w:sz w:val="20"/>
                <w:szCs w:val="20"/>
                <w:color w:val="auto"/>
              </w:rPr>
            </w:pPr>
            <w:r>
              <w:rPr>
                <w:rFonts w:ascii="Arial" w:cs="Arial" w:eastAsia="Arial" w:hAnsi="Arial"/>
                <w:sz w:val="18"/>
                <w:szCs w:val="18"/>
                <w:color w:val="auto"/>
              </w:rPr>
              <w:t>Accrued insurance</w:t>
            </w:r>
          </w:p>
        </w:tc>
        <w:tc>
          <w:tcPr>
            <w:tcW w:w="6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87,464</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92,876</w:t>
            </w:r>
          </w:p>
        </w:tc>
      </w:tr>
      <w:tr>
        <w:trPr>
          <w:trHeight w:val="236"/>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accrued expenses</w:t>
            </w:r>
          </w:p>
        </w:tc>
        <w:tc>
          <w:tcPr>
            <w:tcW w:w="6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319,263</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318,337</w:t>
            </w:r>
          </w:p>
        </w:tc>
      </w:tr>
      <w:tr>
        <w:trPr>
          <w:trHeight w:val="230"/>
        </w:trPr>
        <w:tc>
          <w:tcPr>
            <w:tcW w:w="71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Federal and other income taxes</w:t>
            </w:r>
          </w:p>
        </w:tc>
        <w:tc>
          <w:tcPr>
            <w:tcW w:w="6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45,291</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31,427</w:t>
            </w:r>
          </w:p>
        </w:tc>
      </w:tr>
      <w:tr>
        <w:trPr>
          <w:trHeight w:val="223"/>
        </w:trPr>
        <w:tc>
          <w:tcPr>
            <w:tcW w:w="71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Total current liabilities</w:t>
            </w:r>
          </w:p>
        </w:tc>
        <w:tc>
          <w:tcPr>
            <w:tcW w:w="6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2,424,096</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2,773,274</w:t>
            </w: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Long-term debt</w:t>
            </w:r>
          </w:p>
        </w:tc>
        <w:tc>
          <w:tcPr>
            <w:tcW w:w="6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2,976,573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2,942,513</w:t>
            </w:r>
          </w:p>
        </w:tc>
      </w:tr>
      <w:tr>
        <w:trPr>
          <w:trHeight w:val="24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6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340,554</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375,150</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Noncurrent income tax payable</w:t>
            </w:r>
          </w:p>
        </w:tc>
        <w:tc>
          <w:tcPr>
            <w:tcW w:w="6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28,024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44,313</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liabilities</w:t>
            </w:r>
          </w:p>
        </w:tc>
        <w:tc>
          <w:tcPr>
            <w:tcW w:w="6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470,234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474,903</w:t>
            </w:r>
          </w:p>
        </w:tc>
      </w:tr>
      <w:tr>
        <w:trPr>
          <w:trHeight w:val="239"/>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34"/>
        </w:trPr>
        <w:tc>
          <w:tcPr>
            <w:tcW w:w="71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Total stockholders' equity</w:t>
            </w:r>
          </w:p>
        </w:tc>
        <w:tc>
          <w:tcPr>
            <w:tcW w:w="6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4,662,105</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4,286,366</w:t>
            </w: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10,901,586</w:t>
            </w:r>
          </w:p>
        </w:tc>
        <w:tc>
          <w:tcPr>
            <w:tcW w:w="7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10,896,519</w:t>
            </w:r>
          </w:p>
        </w:tc>
      </w:tr>
      <w:tr>
        <w:trPr>
          <w:trHeight w:val="21"/>
        </w:trPr>
        <w:tc>
          <w:tcPr>
            <w:tcW w:w="7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2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Common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5"/>
              </w:rPr>
              <w:t>Additional</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7"/>
              </w:rPr>
              <w:t>Retained</w:t>
            </w:r>
          </w:p>
        </w:tc>
        <w:tc>
          <w:tcPr>
            <w:tcW w:w="120" w:type="dxa"/>
            <w:vAlign w:val="bottom"/>
          </w:tcPr>
          <w:p>
            <w:pPr>
              <w:spacing w:after="0"/>
              <w:rPr>
                <w:sz w:val="17"/>
                <w:szCs w:val="17"/>
                <w:color w:val="auto"/>
              </w:rPr>
            </w:pPr>
          </w:p>
        </w:tc>
        <w:tc>
          <w:tcPr>
            <w:tcW w:w="15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0"/>
              </w:rPr>
              <w:t>Accumulated other</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84"/>
        </w:trPr>
        <w:tc>
          <w:tcPr>
            <w:tcW w:w="3160" w:type="dxa"/>
            <w:vAlign w:val="bottom"/>
          </w:tcPr>
          <w:p>
            <w:pPr>
              <w:spacing w:after="0"/>
              <w:rPr>
                <w:sz w:val="16"/>
                <w:szCs w:val="16"/>
                <w:color w:val="auto"/>
              </w:rPr>
            </w:pPr>
          </w:p>
        </w:tc>
        <w:tc>
          <w:tcPr>
            <w:tcW w:w="1040" w:type="dxa"/>
            <w:vAlign w:val="bottom"/>
            <w:gridSpan w:val="2"/>
          </w:tcPr>
          <w:p>
            <w:pPr>
              <w:jc w:val="center"/>
              <w:spacing w:after="0" w:line="184" w:lineRule="exact"/>
              <w:rPr>
                <w:sz w:val="20"/>
                <w:szCs w:val="20"/>
                <w:color w:val="auto"/>
              </w:rPr>
            </w:pPr>
            <w:r>
              <w:rPr>
                <w:rFonts w:ascii="Arial" w:cs="Arial" w:eastAsia="Arial" w:hAnsi="Arial"/>
                <w:sz w:val="18"/>
                <w:szCs w:val="18"/>
                <w:b w:val="1"/>
                <w:bCs w:val="1"/>
                <w:color w:val="auto"/>
                <w:w w:val="89"/>
              </w:rPr>
              <w:t>stock $1 par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30"/>
              <w:spacing w:after="0" w:line="184"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3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6"/>
              </w:rPr>
              <w:t>value</w:t>
            </w: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2"/>
              </w:rPr>
              <w:t>paid-in capital</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earnings</w:t>
            </w:r>
          </w:p>
        </w:tc>
        <w:tc>
          <w:tcPr>
            <w:tcW w:w="12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5"/>
              </w:rPr>
              <w:t>comprehensive loss</w:t>
            </w: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Treasury stock</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April 1, 2023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866,705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10,380,895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1"/>
              </w:rPr>
              <w:t>(6,797,685)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4,460,561</w:t>
            </w:r>
          </w:p>
        </w:tc>
        <w:tc>
          <w:tcPr>
            <w:tcW w:w="0" w:type="dxa"/>
            <w:vAlign w:val="bottom"/>
          </w:tcPr>
          <w:p>
            <w:pPr>
              <w:spacing w:after="0"/>
              <w:rPr>
                <w:sz w:val="1"/>
                <w:szCs w:val="1"/>
                <w:color w:val="auto"/>
              </w:rPr>
            </w:pPr>
          </w:p>
        </w:tc>
      </w:tr>
      <w:tr>
        <w:trPr>
          <w:trHeight w:val="237"/>
        </w:trPr>
        <w:tc>
          <w:tcPr>
            <w:tcW w:w="316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242,239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242,239</w:t>
            </w:r>
          </w:p>
        </w:tc>
        <w:tc>
          <w:tcPr>
            <w:tcW w:w="0" w:type="dxa"/>
            <w:vAlign w:val="bottom"/>
          </w:tcPr>
          <w:p>
            <w:pPr>
              <w:spacing w:after="0"/>
              <w:rPr>
                <w:sz w:val="1"/>
                <w:szCs w:val="1"/>
                <w:color w:val="auto"/>
              </w:rPr>
            </w:pPr>
          </w:p>
        </w:tc>
      </w:tr>
      <w:tr>
        <w:trPr>
          <w:trHeight w:val="23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($0.505 per share)</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(70,701)</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(70,701)</w:t>
            </w: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line="176" w:lineRule="exact"/>
              <w:rPr>
                <w:sz w:val="20"/>
                <w:szCs w:val="20"/>
                <w:color w:val="auto"/>
              </w:rPr>
            </w:pPr>
            <w:r>
              <w:rPr>
                <w:rFonts w:ascii="Arial" w:cs="Arial" w:eastAsia="Arial" w:hAnsi="Arial"/>
                <w:sz w:val="18"/>
                <w:szCs w:val="18"/>
                <w:color w:val="auto"/>
                <w:w w:val="95"/>
              </w:rPr>
              <w:t>Common stock issued for the exercise of</w:t>
            </w: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1,895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restart"/>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37"/>
        </w:trPr>
        <w:tc>
          <w:tcPr>
            <w:tcW w:w="3160" w:type="dxa"/>
            <w:vAlign w:val="bottom"/>
          </w:tcPr>
          <w:p>
            <w:pPr>
              <w:ind w:left="20"/>
              <w:spacing w:after="0"/>
              <w:rPr>
                <w:sz w:val="20"/>
                <w:szCs w:val="20"/>
                <w:color w:val="auto"/>
              </w:rPr>
            </w:pPr>
            <w:r>
              <w:rPr>
                <w:rFonts w:ascii="Arial" w:cs="Arial" w:eastAsia="Arial" w:hAnsi="Arial"/>
                <w:sz w:val="18"/>
                <w:szCs w:val="18"/>
                <w:color w:val="auto"/>
              </w:rPr>
              <w:t>share-based awards</w:t>
            </w:r>
          </w:p>
        </w:tc>
        <w:tc>
          <w:tcPr>
            <w:tcW w:w="1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6,441</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6,441</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4"/>
              </w:rPr>
              <w:t>Other comprehensive earnings, net of tax</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21,646</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875,041</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10,552,433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1"/>
              </w:rPr>
              <w:t>(6,797,685)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4,662,105</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5"/>
              </w:rPr>
              <w:t>Additional</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4"/>
              </w:rPr>
              <w:t>Retained</w:t>
            </w:r>
          </w:p>
        </w:tc>
        <w:tc>
          <w:tcPr>
            <w:tcW w:w="100" w:type="dxa"/>
            <w:vAlign w:val="bottom"/>
          </w:tcPr>
          <w:p>
            <w:pPr>
              <w:spacing w:after="0"/>
              <w:rPr>
                <w:sz w:val="17"/>
                <w:szCs w:val="17"/>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0"/>
              </w:rPr>
              <w:t>Accumulated other</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76"/>
        </w:trPr>
        <w:tc>
          <w:tcPr>
            <w:tcW w:w="3140" w:type="dxa"/>
            <w:vAlign w:val="bottom"/>
          </w:tcPr>
          <w:p>
            <w:pPr>
              <w:spacing w:after="0"/>
              <w:rPr>
                <w:sz w:val="15"/>
                <w:szCs w:val="15"/>
                <w:color w:val="auto"/>
              </w:rPr>
            </w:pPr>
          </w:p>
        </w:tc>
        <w:tc>
          <w:tcPr>
            <w:tcW w:w="106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9"/>
              </w:rPr>
              <w:t>stock $1 par</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88"/>
              </w:rPr>
              <w:t>Treasury stock</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9"/>
        </w:trPr>
        <w:tc>
          <w:tcPr>
            <w:tcW w:w="3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2"/>
              </w:rPr>
              <w:t>paid-in capital</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earnings</w:t>
            </w: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85"/>
              </w:rPr>
              <w:t>comprehensive loss</w:t>
            </w: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gridSpan w:val="2"/>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27"/>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April 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9,599,195</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(6,218,758)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4,329,776</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289,618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289,618</w:t>
            </w:r>
          </w:p>
        </w:tc>
        <w:tc>
          <w:tcPr>
            <w:tcW w:w="0" w:type="dxa"/>
            <w:vAlign w:val="bottom"/>
          </w:tcPr>
          <w:p>
            <w:pPr>
              <w:spacing w:after="0"/>
              <w:rPr>
                <w:sz w:val="1"/>
                <w:szCs w:val="1"/>
                <w:color w:val="auto"/>
              </w:rPr>
            </w:pPr>
          </w:p>
        </w:tc>
      </w:tr>
      <w:tr>
        <w:trPr>
          <w:trHeight w:val="243"/>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($0.50 per share)</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(71,853)</w:t>
            </w:r>
          </w:p>
        </w:tc>
        <w:tc>
          <w:tcPr>
            <w:tcW w:w="0" w:type="dxa"/>
            <w:vAlign w:val="bottom"/>
          </w:tcPr>
          <w:p>
            <w:pPr>
              <w:spacing w:after="0"/>
              <w:rPr>
                <w:sz w:val="1"/>
                <w:szCs w:val="1"/>
                <w:color w:val="auto"/>
              </w:rPr>
            </w:pPr>
          </w:p>
        </w:tc>
      </w:tr>
      <w:tr>
        <w:trPr>
          <w:trHeight w:val="176"/>
        </w:trPr>
        <w:tc>
          <w:tcPr>
            <w:tcW w:w="3140" w:type="dxa"/>
            <w:vAlign w:val="bottom"/>
          </w:tcPr>
          <w:p>
            <w:pPr>
              <w:ind w:left="20"/>
              <w:spacing w:after="0" w:line="176" w:lineRule="exact"/>
              <w:rPr>
                <w:sz w:val="20"/>
                <w:szCs w:val="20"/>
                <w:color w:val="auto"/>
              </w:rPr>
            </w:pPr>
            <w:r>
              <w:rPr>
                <w:rFonts w:ascii="Arial" w:cs="Arial" w:eastAsia="Arial" w:hAnsi="Arial"/>
                <w:sz w:val="18"/>
                <w:szCs w:val="18"/>
                <w:color w:val="auto"/>
                <w:w w:val="95"/>
              </w:rPr>
              <w:t>Common stock issued for the exercise of</w:t>
            </w: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(2,088)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Arial" w:cs="Arial" w:eastAsia="Arial" w:hAnsi="Arial"/>
                <w:sz w:val="18"/>
                <w:szCs w:val="18"/>
                <w:color w:val="auto"/>
              </w:rPr>
              <w:t>share-based awards</w:t>
            </w:r>
          </w:p>
        </w:tc>
        <w:tc>
          <w:tcPr>
            <w:tcW w:w="1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w:t>
            </w: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Common stock acquired</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(79,176)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(79,176)</w:t>
            </w:r>
          </w:p>
        </w:tc>
        <w:tc>
          <w:tcPr>
            <w:tcW w:w="0" w:type="dxa"/>
            <w:vAlign w:val="bottom"/>
          </w:tcPr>
          <w:p>
            <w:pPr>
              <w:spacing w:after="0"/>
              <w:rPr>
                <w:sz w:val="1"/>
                <w:szCs w:val="1"/>
                <w:color w:val="auto"/>
              </w:rPr>
            </w:pPr>
          </w:p>
        </w:tc>
      </w:tr>
      <w:tr>
        <w:trPr>
          <w:trHeight w:val="223"/>
        </w:trPr>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259,601</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863,717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9,816,960</w:t>
            </w:r>
          </w:p>
        </w:tc>
        <w:tc>
          <w:tcPr>
            <w:tcW w:w="10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(247,997)</w:t>
            </w:r>
          </w:p>
        </w:tc>
        <w:tc>
          <w:tcPr>
            <w:tcW w:w="10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(6,303,758)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4,388,523</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5"/>
              </w:rPr>
              <w:t>Additional</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7"/>
              </w:rPr>
              <w:t>Retained</w:t>
            </w:r>
          </w:p>
        </w:tc>
        <w:tc>
          <w:tcPr>
            <w:tcW w:w="100" w:type="dxa"/>
            <w:vAlign w:val="bottom"/>
          </w:tcPr>
          <w:p>
            <w:pPr>
              <w:spacing w:after="0"/>
              <w:rPr>
                <w:sz w:val="17"/>
                <w:szCs w:val="17"/>
                <w:color w:val="auto"/>
              </w:rPr>
            </w:pPr>
          </w:p>
        </w:tc>
        <w:tc>
          <w:tcPr>
            <w:tcW w:w="15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0"/>
              </w:rPr>
              <w:t>Accumulated other</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84"/>
        </w:trPr>
        <w:tc>
          <w:tcPr>
            <w:tcW w:w="3120" w:type="dxa"/>
            <w:vAlign w:val="bottom"/>
          </w:tcPr>
          <w:p>
            <w:pPr>
              <w:spacing w:after="0"/>
              <w:rPr>
                <w:sz w:val="16"/>
                <w:szCs w:val="16"/>
                <w:color w:val="auto"/>
              </w:rPr>
            </w:pPr>
          </w:p>
        </w:tc>
        <w:tc>
          <w:tcPr>
            <w:tcW w:w="1060" w:type="dxa"/>
            <w:vAlign w:val="bottom"/>
            <w:gridSpan w:val="2"/>
          </w:tcPr>
          <w:p>
            <w:pPr>
              <w:jc w:val="center"/>
              <w:spacing w:after="0" w:line="184" w:lineRule="exact"/>
              <w:rPr>
                <w:sz w:val="20"/>
                <w:szCs w:val="20"/>
                <w:color w:val="auto"/>
              </w:rPr>
            </w:pPr>
            <w:r>
              <w:rPr>
                <w:rFonts w:ascii="Arial" w:cs="Arial" w:eastAsia="Arial" w:hAnsi="Arial"/>
                <w:sz w:val="18"/>
                <w:szCs w:val="18"/>
                <w:b w:val="1"/>
                <w:bCs w:val="1"/>
                <w:color w:val="auto"/>
                <w:w w:val="89"/>
              </w:rPr>
              <w:t>stock $1 par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70"/>
              <w:spacing w:after="0" w:line="184"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3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2"/>
              </w:rPr>
              <w:t>paid-in capital</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earnings</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5"/>
              </w:rPr>
              <w:t>comprehensive loss</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Treasury stock</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867,560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10,223,070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1"/>
              </w:rPr>
              <w:t>(6,797,685)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4,286,366</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470,813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470,813</w:t>
            </w:r>
          </w:p>
        </w:tc>
        <w:tc>
          <w:tcPr>
            <w:tcW w:w="0" w:type="dxa"/>
            <w:vAlign w:val="bottom"/>
          </w:tcPr>
          <w:p>
            <w:pPr>
              <w:spacing w:after="0"/>
              <w:rPr>
                <w:sz w:val="1"/>
                <w:szCs w:val="1"/>
                <w:color w:val="auto"/>
              </w:rPr>
            </w:pPr>
          </w:p>
        </w:tc>
      </w:tr>
      <w:tr>
        <w:trPr>
          <w:trHeight w:val="236"/>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($1.01 per share)</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(141,474)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(141,474)</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w w:val="94"/>
              </w:rPr>
              <w:t>Common stock issued for the exercise of</w:t>
            </w: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(11,242)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restart"/>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(11,068)</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share-based awards</w:t>
            </w:r>
          </w:p>
        </w:tc>
        <w:tc>
          <w:tcPr>
            <w:tcW w:w="14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18,723</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w w:val="93"/>
              </w:rPr>
              <w:t>Other comprehensive earnings, net of tax</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38,721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38,721</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259,818</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875,041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10,552,433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(227,502)</w:t>
            </w:r>
          </w:p>
        </w:tc>
        <w:tc>
          <w:tcPr>
            <w:tcW w:w="10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1"/>
              </w:rPr>
              <w:t>(6,797,685)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4,662,105</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5"/>
              </w:rPr>
              <w:t>Additional</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7"/>
              </w:rPr>
              <w:t>Retained</w:t>
            </w:r>
          </w:p>
        </w:tc>
        <w:tc>
          <w:tcPr>
            <w:tcW w:w="120" w:type="dxa"/>
            <w:vAlign w:val="bottom"/>
          </w:tcPr>
          <w:p>
            <w:pPr>
              <w:spacing w:after="0"/>
              <w:rPr>
                <w:sz w:val="17"/>
                <w:szCs w:val="17"/>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1"/>
              </w:rPr>
              <w:t>Accumulated other</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106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9"/>
              </w:rPr>
              <w:t>stock $1 par</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88"/>
              </w:rPr>
              <w:t>Treasury stock</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9"/>
        </w:trPr>
        <w:tc>
          <w:tcPr>
            <w:tcW w:w="3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2"/>
              </w:rPr>
              <w:t>paid-in capital</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earnings</w:t>
            </w:r>
          </w:p>
        </w:tc>
        <w:tc>
          <w:tcPr>
            <w:tcW w:w="12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6"/>
              </w:rPr>
              <w:t>comprehensive loss</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gridSpan w:val="2"/>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27"/>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857,636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9,445,245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(6,218,758)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4,189,528</w:t>
            </w: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515,771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515,771</w:t>
            </w: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($1.00 per share)</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(144,056)</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(144,056)</w:t>
            </w:r>
          </w:p>
        </w:tc>
        <w:tc>
          <w:tcPr>
            <w:tcW w:w="0" w:type="dxa"/>
            <w:vAlign w:val="bottom"/>
          </w:tcPr>
          <w:p>
            <w:pPr>
              <w:spacing w:after="0"/>
              <w:rPr>
                <w:sz w:val="1"/>
                <w:szCs w:val="1"/>
                <w:color w:val="auto"/>
              </w:rPr>
            </w:pPr>
          </w:p>
        </w:tc>
      </w:tr>
      <w:tr>
        <w:trPr>
          <w:trHeight w:val="175"/>
        </w:trPr>
        <w:tc>
          <w:tcPr>
            <w:tcW w:w="3100" w:type="dxa"/>
            <w:vAlign w:val="bottom"/>
          </w:tcPr>
          <w:p>
            <w:pPr>
              <w:ind w:left="20"/>
              <w:spacing w:after="0" w:line="176" w:lineRule="exact"/>
              <w:rPr>
                <w:sz w:val="20"/>
                <w:szCs w:val="20"/>
                <w:color w:val="auto"/>
              </w:rPr>
            </w:pPr>
            <w:r>
              <w:rPr>
                <w:rFonts w:ascii="Arial" w:cs="Arial" w:eastAsia="Arial" w:hAnsi="Arial"/>
                <w:sz w:val="18"/>
                <w:szCs w:val="18"/>
                <w:color w:val="auto"/>
                <w:w w:val="94"/>
              </w:rPr>
              <w:t>Common stock issued for the exercise of</w:t>
            </w: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(12,250)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(12,106)</w:t>
            </w: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share-based awards</w:t>
            </w:r>
          </w:p>
        </w:tc>
        <w:tc>
          <w:tcPr>
            <w:tcW w:w="1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18,331</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18,331</w:t>
            </w: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Common stock acquired</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(93,945)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(93,945)</w:t>
            </w:r>
          </w:p>
        </w:tc>
        <w:tc>
          <w:tcPr>
            <w:tcW w:w="0" w:type="dxa"/>
            <w:vAlign w:val="bottom"/>
          </w:tcPr>
          <w:p>
            <w:pPr>
              <w:spacing w:after="0"/>
              <w:rPr>
                <w:sz w:val="1"/>
                <w:szCs w:val="1"/>
                <w:color w:val="auto"/>
              </w:rPr>
            </w:pPr>
          </w:p>
        </w:tc>
      </w:tr>
      <w:tr>
        <w:trPr>
          <w:trHeight w:val="223"/>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259,601</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863,717</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9,816,960</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(247,997)</w:t>
            </w:r>
          </w:p>
        </w:tc>
        <w:tc>
          <w:tcPr>
            <w:tcW w:w="10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(6,303,758)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4,388,523</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32"/>
        </w:trPr>
        <w:tc>
          <w:tcPr>
            <w:tcW w:w="79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7"/>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470,813</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515,771</w:t>
            </w:r>
          </w:p>
        </w:tc>
      </w:tr>
      <w:tr>
        <w:trPr>
          <w:trHeight w:val="24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earnings to cash provided by operating activities:</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29"/>
        </w:trPr>
        <w:tc>
          <w:tcPr>
            <w:tcW w:w="7960" w:type="dxa"/>
            <w:vAlign w:val="bottom"/>
          </w:tcPr>
          <w:p>
            <w:pPr>
              <w:ind w:left="6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156,687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154,294</w:t>
            </w:r>
          </w:p>
        </w:tc>
      </w:tr>
      <w:tr>
        <w:trPr>
          <w:trHeight w:val="230"/>
        </w:trPr>
        <w:tc>
          <w:tcPr>
            <w:tcW w:w="7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18,331</w:t>
            </w:r>
          </w:p>
        </w:tc>
      </w:tr>
      <w:tr>
        <w:trPr>
          <w:trHeight w:val="237"/>
        </w:trPr>
        <w:tc>
          <w:tcPr>
            <w:tcW w:w="7960" w:type="dxa"/>
            <w:vAlign w:val="bottom"/>
          </w:tcPr>
          <w:p>
            <w:pPr>
              <w:ind w:left="680"/>
              <w:spacing w:after="0"/>
              <w:rPr>
                <w:sz w:val="20"/>
                <w:szCs w:val="20"/>
                <w:color w:val="auto"/>
              </w:rPr>
            </w:pPr>
            <w:r>
              <w:rPr>
                <w:rFonts w:ascii="Arial" w:cs="Arial" w:eastAsia="Arial" w:hAnsi="Arial"/>
                <w:sz w:val="18"/>
                <w:szCs w:val="18"/>
                <w:color w:val="auto"/>
              </w:rPr>
              <w:t>Reclassification of foreign currency translation losses to earnings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5,915</w:t>
            </w:r>
          </w:p>
        </w:tc>
      </w:tr>
      <w:tr>
        <w:trPr>
          <w:trHeight w:val="236"/>
        </w:trPr>
        <w:tc>
          <w:tcPr>
            <w:tcW w:w="7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net</w:t>
            </w: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w:t>
            </w: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Cash effect of changes in assets and liabilities: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3"/>
        </w:trPr>
        <w:tc>
          <w:tcPr>
            <w:tcW w:w="7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(204,676)</w:t>
            </w:r>
          </w:p>
        </w:tc>
      </w:tr>
      <w:tr>
        <w:trPr>
          <w:trHeight w:val="230"/>
        </w:trPr>
        <w:tc>
          <w:tcPr>
            <w:tcW w:w="7960" w:type="dxa"/>
            <w:vAlign w:val="bottom"/>
          </w:tcPr>
          <w:p>
            <w:pPr>
              <w:ind w:left="6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(15,957)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(223,804)</w:t>
            </w:r>
          </w:p>
        </w:tc>
      </w:tr>
      <w:tr>
        <w:trPr>
          <w:trHeight w:val="229"/>
        </w:trPr>
        <w:tc>
          <w:tcPr>
            <w:tcW w:w="7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(17,923)</w:t>
            </w:r>
          </w:p>
        </w:tc>
      </w:tr>
      <w:tr>
        <w:trPr>
          <w:trHeight w:val="237"/>
        </w:trPr>
        <w:tc>
          <w:tcPr>
            <w:tcW w:w="7960" w:type="dxa"/>
            <w:vAlign w:val="bottom"/>
          </w:tcPr>
          <w:p>
            <w:pPr>
              <w:ind w:left="68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(40,216)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147,829</w:t>
            </w:r>
          </w:p>
        </w:tc>
      </w:tr>
      <w:tr>
        <w:trPr>
          <w:trHeight w:val="236"/>
        </w:trPr>
        <w:tc>
          <w:tcPr>
            <w:tcW w:w="7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Accrued compensation and employee benefits</w:t>
            </w: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(72,802)</w:t>
            </w:r>
          </w:p>
        </w:tc>
      </w:tr>
      <w:tr>
        <w:trPr>
          <w:trHeight w:val="230"/>
        </w:trPr>
        <w:tc>
          <w:tcPr>
            <w:tcW w:w="7960" w:type="dxa"/>
            <w:vAlign w:val="bottom"/>
          </w:tcPr>
          <w:p>
            <w:pPr>
              <w:ind w:left="68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(30,635)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(4,937)</w:t>
            </w:r>
          </w:p>
        </w:tc>
      </w:tr>
      <w:tr>
        <w:trPr>
          <w:trHeight w:val="243"/>
        </w:trPr>
        <w:tc>
          <w:tcPr>
            <w:tcW w:w="7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Accrued and deferred taxes, net</w:t>
            </w: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(36,286)</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(107,390)</w:t>
            </w: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436,538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202,456</w:t>
            </w: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7960" w:type="dxa"/>
            <w:vAlign w:val="bottom"/>
          </w:tcPr>
          <w:p>
            <w:pPr>
              <w:ind w:left="680"/>
              <w:spacing w:after="0"/>
              <w:rPr>
                <w:sz w:val="20"/>
                <w:szCs w:val="20"/>
                <w:color w:val="auto"/>
              </w:rPr>
            </w:pPr>
            <w:r>
              <w:rPr>
                <w:rFonts w:ascii="Arial" w:cs="Arial" w:eastAsia="Arial" w:hAnsi="Arial"/>
                <w:sz w:val="18"/>
                <w:szCs w:val="18"/>
                <w:color w:val="auto"/>
              </w:rPr>
              <w:t>Additions to property, plant and equipment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(88,454)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(100,577)</w:t>
            </w:r>
          </w:p>
        </w:tc>
      </w:tr>
      <w:tr>
        <w:trPr>
          <w:trHeight w:val="236"/>
        </w:trPr>
        <w:tc>
          <w:tcPr>
            <w:tcW w:w="7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Acquisitions, net of cash and cash equivalents acquired</w:t>
            </w: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(8,453)</w:t>
            </w:r>
          </w:p>
        </w:tc>
      </w:tr>
      <w:tr>
        <w:trPr>
          <w:trHeight w:val="230"/>
        </w:trPr>
        <w:tc>
          <w:tcPr>
            <w:tcW w:w="7960" w:type="dxa"/>
            <w:vAlign w:val="bottom"/>
          </w:tcPr>
          <w:p>
            <w:pPr>
              <w:ind w:left="680"/>
              <w:spacing w:after="0"/>
              <w:rPr>
                <w:sz w:val="20"/>
                <w:szCs w:val="20"/>
                <w:color w:val="auto"/>
              </w:rPr>
            </w:pPr>
            <w:r>
              <w:rPr>
                <w:rFonts w:ascii="Arial" w:cs="Arial" w:eastAsia="Arial" w:hAnsi="Arial"/>
                <w:sz w:val="18"/>
                <w:szCs w:val="18"/>
                <w:color w:val="auto"/>
              </w:rPr>
              <w:t>Proceeds from sale of property, plant and equipment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3,898</w:t>
            </w:r>
          </w:p>
        </w:tc>
      </w:tr>
      <w:tr>
        <w:trPr>
          <w:trHeight w:val="243"/>
        </w:trPr>
        <w:tc>
          <w:tcPr>
            <w:tcW w:w="7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(10,721)</w:t>
            </w: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(86,010)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(115,853)</w:t>
            </w: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7960" w:type="dxa"/>
            <w:vAlign w:val="bottom"/>
          </w:tcPr>
          <w:p>
            <w:pPr>
              <w:ind w:left="680"/>
              <w:spacing w:after="0"/>
              <w:rPr>
                <w:sz w:val="20"/>
                <w:szCs w:val="20"/>
                <w:color w:val="auto"/>
              </w:rPr>
            </w:pPr>
            <w:r>
              <w:rPr>
                <w:rFonts w:ascii="Arial" w:cs="Arial" w:eastAsia="Arial" w:hAnsi="Arial"/>
                <w:sz w:val="18"/>
                <w:szCs w:val="18"/>
                <w:color w:val="auto"/>
              </w:rPr>
              <w:t>Repurchase of common stock</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(85,000)</w:t>
            </w:r>
          </w:p>
        </w:tc>
      </w:tr>
      <w:tr>
        <w:trPr>
          <w:trHeight w:val="236"/>
        </w:trPr>
        <w:tc>
          <w:tcPr>
            <w:tcW w:w="7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Change in commercial paper and other short-term borrowings, net</w:t>
            </w: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(289,597)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287,952</w:t>
            </w:r>
          </w:p>
        </w:tc>
      </w:tr>
      <w:tr>
        <w:trPr>
          <w:trHeight w:val="230"/>
        </w:trPr>
        <w:tc>
          <w:tcPr>
            <w:tcW w:w="7960" w:type="dxa"/>
            <w:vAlign w:val="bottom"/>
          </w:tcPr>
          <w:p>
            <w:pPr>
              <w:ind w:left="680"/>
              <w:spacing w:after="0"/>
              <w:rPr>
                <w:sz w:val="20"/>
                <w:szCs w:val="20"/>
                <w:color w:val="auto"/>
              </w:rPr>
            </w:pPr>
            <w:r>
              <w:rPr>
                <w:rFonts w:ascii="Arial" w:cs="Arial" w:eastAsia="Arial" w:hAnsi="Arial"/>
                <w:sz w:val="18"/>
                <w:szCs w:val="18"/>
                <w:color w:val="auto"/>
              </w:rPr>
              <w:t>Dividends paid to stockholders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(141,474)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(144,056)</w:t>
            </w:r>
          </w:p>
        </w:tc>
      </w:tr>
      <w:tr>
        <w:trPr>
          <w:trHeight w:val="243"/>
        </w:trPr>
        <w:tc>
          <w:tcPr>
            <w:tcW w:w="7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Payments to settle employee tax obligations on exercise of share-based awards</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(12,106)</w:t>
            </w:r>
          </w:p>
        </w:tc>
      </w:tr>
      <w:tr>
        <w:trPr>
          <w:trHeight w:val="230"/>
        </w:trPr>
        <w:tc>
          <w:tcPr>
            <w:tcW w:w="79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45,265</w:t>
            </w: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w:t>
            </w: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129,867</w:t>
            </w:r>
          </w:p>
        </w:tc>
      </w:tr>
      <w:tr>
        <w:trPr>
          <w:trHeight w:val="243"/>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380,868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385,504</w:t>
            </w: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285,777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515,371</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 Basis of Presentation</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unaudited interim condensed consolidated financial statements have been prepared pursuant to the rules and regulations of the Securities and Exchange Commission ("SEC") for interim periods and do not include all of the information and note disclosures required by accounting principles generally accepted in the United States of America ("GAAP") for complete financial statements. These unaudited interim condensed consolidated financial statements should therefore be read in conjunction with the Consolidated Financial Statements and Notes for Dover Corporation ("Dover" or the "Company") for the year ended December 31, 2022, included in the Company's Annual Report on Form 10-K filed with the SEC on February 10, 2023. The year-end condensed consolidated balance sheet was derived from audited financial statements.</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unaudited interim condensed consolidated financial statements have been prepared in accordance with U.S. GAAP, which requires management to make estimates and assumptions that affect amounts reported in the condensed consolidated financial statements and accompanying disclosures. Although these estimates are based on management’s best knowledge of current events and actions that the Company may undertake in the future, actual results may differ from those estimates. The condensed consolidated financial statements reflect all adjustments of a normal, recurring nature that are, in the opinion of management, necessary for a fair statement of results for these interim periods. The results of operations of any interim period are not necessarily indicative of the results of operations for the full year.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majority of the Company’s revenue is short cycle in nature with shipments within one year from order. A small portion of the Company’s revenue derives from contracts extending over one year. The Company's payment terms generally range between 30 to 90 days and vary by the location of businesses, the type of products manufactured to be sold and the volume of products sold, among other factors.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contracts with customers is disaggregated by segment and geographic location, as they best depict the nature and amount of the Company’s revenue. See Note 15 — Segment Information for further details for revenue by segment and geographic location.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Approximately 95% of the Company’s revenue is recognized at a point in time, rather than over time, as the Company completes its performance obligations. Specifically, revenue is recognized when control transfers to the customer, typically upon shipment or completion of installation, testing, certification, or other substantive acceptance provisions required under the contract. Approximately 5% of the Company’s revenue is recognized over time and relates to the sale of equipment or services, including software solutions and services, in which the Company transfers control of a good or service over time and the customer simultaneously receives and consumes the benefits provided by the Company's performance as the Company performs, or the Company's performance creates or enhances an asset the customer controls as the asset is created or enhanced, or the Company's performance does not create an asset with an alternative use to the Company and the Company has an enforceable right to payment for its performance to date plus a reasonable margin.</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majority of the Company's contracts have a single performance obligation which represents, in most cases, the equipment or product being sold to the customer. Some contracts include multiple performance obligations such as a product and the related installation, extended warranty, software and digital solutions, and/or maintenance services. For contracts with multiple performance obligations, the Company allocates the total transaction price to each performance obligation in an amount based on the estimated relative standalone selling prices of the promised goods or services underlying each performance obligation.</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2023, we estimated that $235,410 in revenue is expected to be recognized in the future related to performance obligations that are unsatisfied (or partially unsatisfied) at the end of the reporting period. The Company expects to recognize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73.8% of the Company's unsatisfied (or partially unsatisfied) performance obligations as revenue through 2024, with the remaining balance to be recognized in 2025 and thereafter.</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applied the practical expedient that permits the omission of unsatisfied performance obligations for (i) contracts with an original expected length of one year or less and (ii) contracts for which the Company recognizes revenue at the amount to which the Company has the right to invoice for services performed.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Contract assets primarily relate to the Company's right to consideration for work completed but not billed at the reporting date. Contract liabilities relate to advance consideration received from customers or advance billings for which revenue has not been recognized and are reduced when the associated revenue from the contract is recognized.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June 30, 2023</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December 31, 2021</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15,484</w:t>
            </w:r>
          </w:p>
        </w:tc>
        <w:tc>
          <w:tcPr>
            <w:tcW w:w="80" w:type="dxa"/>
            <w:vAlign w:val="bottom"/>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11,074</w:t>
            </w:r>
          </w:p>
        </w:tc>
        <w:tc>
          <w:tcPr>
            <w:tcW w:w="100" w:type="dxa"/>
            <w:vAlign w:val="bottom"/>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11,440</w:t>
            </w: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Contract liabilities - current</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261,202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256,933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227,549</w:t>
            </w:r>
          </w:p>
        </w:tc>
      </w:tr>
      <w:tr>
        <w:trPr>
          <w:trHeight w:val="24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 non-current</w:t>
            </w:r>
          </w:p>
        </w:tc>
        <w:tc>
          <w:tcPr>
            <w:tcW w:w="2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17,305</w:t>
            </w:r>
          </w:p>
        </w:tc>
        <w:tc>
          <w:tcPr>
            <w:tcW w:w="80" w:type="dxa"/>
            <w:vAlign w:val="bottom"/>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19,879</w:t>
            </w:r>
          </w:p>
        </w:tc>
        <w:tc>
          <w:tcPr>
            <w:tcW w:w="100" w:type="dxa"/>
            <w:vAlign w:val="bottom"/>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21,513</w:t>
            </w: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revenue recognized during the six months ended June 30, 2023 and 2022 that was included in contract liabilities at the beginning of the period amounted to $185,028 and $157,175,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acquisitions during the six months ended June 30,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Acquisitions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six months ended June 30, 2022, the Company completed one acquisition. On May 2, 2022, the Company acquired 100% of the equity interests of AMN DPI ("AMN"), a designer and manufacturer of polymer pelletizing tools, for $8,100, net of cash acquired. The AMN acquisition extended the Company's reach into polymer processing equipment production within the Pumps &amp; Process Solutions segment. In connection with this acquisition, the Company recorded goodwill of $1,903 and intangible assets of $5,625, primarily related to customer intangibles.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4. Inventories, net</w:t>
            </w:r>
          </w:p>
        </w:tc>
        <w:tc>
          <w:tcPr>
            <w:tcW w:w="5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84"/>
        </w:trPr>
        <w:tc>
          <w:tcPr>
            <w:tcW w:w="1380" w:type="dxa"/>
            <w:vAlign w:val="bottom"/>
            <w:tcBorders>
              <w:bottom w:val="single" w:sz="8" w:color="CCEEFF"/>
            </w:tcBorders>
          </w:tcPr>
          <w:p>
            <w:pPr>
              <w:spacing w:after="0"/>
              <w:rPr>
                <w:sz w:val="24"/>
                <w:szCs w:val="24"/>
                <w:color w:val="auto"/>
              </w:rPr>
            </w:pPr>
          </w:p>
        </w:tc>
        <w:tc>
          <w:tcPr>
            <w:tcW w:w="58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December 31, 2022</w:t>
            </w:r>
          </w:p>
        </w:tc>
      </w:tr>
      <w:tr>
        <w:trPr>
          <w:trHeight w:val="230"/>
        </w:trPr>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58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800,200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812,066</w:t>
            </w: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w w:val="98"/>
              </w:rPr>
              <w:t>Work in progress</w:t>
            </w:r>
          </w:p>
        </w:tc>
        <w:tc>
          <w:tcPr>
            <w:tcW w:w="5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260,241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230,865</w:t>
            </w:r>
          </w:p>
        </w:tc>
      </w:tr>
      <w:tr>
        <w:trPr>
          <w:trHeight w:val="243"/>
        </w:trPr>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58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477,598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458,881</w:t>
            </w:r>
          </w:p>
        </w:tc>
      </w:tr>
      <w:tr>
        <w:trPr>
          <w:trHeight w:val="223"/>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Subtotal</w:t>
            </w:r>
          </w:p>
        </w:tc>
        <w:tc>
          <w:tcPr>
            <w:tcW w:w="5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1,538,039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1,501,812</w:t>
            </w:r>
          </w:p>
        </w:tc>
      </w:tr>
      <w:tr>
        <w:trPr>
          <w:trHeight w:val="230"/>
        </w:trPr>
        <w:tc>
          <w:tcPr>
            <w:tcW w:w="1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reserves</w:t>
            </w:r>
          </w:p>
        </w:tc>
        <w:tc>
          <w:tcPr>
            <w:tcW w:w="58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(141,779)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(135,204)</w:t>
            </w:r>
          </w:p>
        </w:tc>
      </w:tr>
      <w:tr>
        <w:trPr>
          <w:trHeight w:val="236"/>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6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1,396,260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1,366,608</w:t>
            </w:r>
          </w:p>
        </w:tc>
      </w:tr>
      <w:tr>
        <w:trPr>
          <w:trHeight w:val="20"/>
        </w:trPr>
        <w:tc>
          <w:tcPr>
            <w:tcW w:w="13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5. Property, Plant and Equipment, net</w:t>
            </w:r>
          </w:p>
        </w:tc>
        <w:tc>
          <w:tcPr>
            <w:tcW w:w="4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77"/>
        </w:trPr>
        <w:tc>
          <w:tcPr>
            <w:tcW w:w="29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December 31, 2022</w:t>
            </w:r>
          </w:p>
        </w:tc>
      </w:tr>
      <w:tr>
        <w:trPr>
          <w:trHeight w:val="237"/>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45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65,982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62,495</w:t>
            </w: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4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634,994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620,500</w:t>
            </w:r>
          </w:p>
        </w:tc>
      </w:tr>
      <w:tr>
        <w:trPr>
          <w:trHeight w:val="23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equipment and other</w:t>
            </w:r>
          </w:p>
        </w:tc>
        <w:tc>
          <w:tcPr>
            <w:tcW w:w="4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1,987,086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1,895,502</w:t>
            </w:r>
          </w:p>
        </w:tc>
      </w:tr>
      <w:tr>
        <w:trPr>
          <w:trHeight w:val="232"/>
        </w:trPr>
        <w:tc>
          <w:tcPr>
            <w:tcW w:w="2940" w:type="dxa"/>
            <w:vAlign w:val="bottom"/>
          </w:tcPr>
          <w:p>
            <w:pPr>
              <w:ind w:left="20"/>
              <w:spacing w:after="0"/>
              <w:rPr>
                <w:sz w:val="20"/>
                <w:szCs w:val="20"/>
                <w:color w:val="auto"/>
              </w:rPr>
            </w:pPr>
            <w:r>
              <w:rPr>
                <w:rFonts w:ascii="Arial" w:cs="Arial" w:eastAsia="Arial" w:hAnsi="Arial"/>
                <w:sz w:val="18"/>
                <w:szCs w:val="18"/>
                <w:b w:val="1"/>
                <w:bCs w:val="1"/>
                <w:color w:val="auto"/>
                <w:w w:val="90"/>
              </w:rPr>
              <w:t>Property, plant and equipment, gross</w:t>
            </w:r>
          </w:p>
        </w:tc>
        <w:tc>
          <w:tcPr>
            <w:tcW w:w="4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2,688,062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2,578,497</w:t>
            </w:r>
          </w:p>
        </w:tc>
      </w:tr>
      <w:tr>
        <w:trPr>
          <w:trHeight w:val="234"/>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42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(1,671,856)</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(1,573,672)</w:t>
            </w:r>
          </w:p>
        </w:tc>
      </w:tr>
      <w:tr>
        <w:trPr>
          <w:trHeight w:val="223"/>
        </w:trPr>
        <w:tc>
          <w:tcPr>
            <w:tcW w:w="2940" w:type="dxa"/>
            <w:vAlign w:val="bottom"/>
          </w:tcPr>
          <w:p>
            <w:pPr>
              <w:ind w:left="20"/>
              <w:spacing w:after="0"/>
              <w:rPr>
                <w:sz w:val="20"/>
                <w:szCs w:val="20"/>
                <w:color w:val="auto"/>
              </w:rPr>
            </w:pPr>
            <w:r>
              <w:rPr>
                <w:rFonts w:ascii="Arial" w:cs="Arial" w:eastAsia="Arial" w:hAnsi="Arial"/>
                <w:sz w:val="18"/>
                <w:szCs w:val="18"/>
                <w:b w:val="1"/>
                <w:bCs w:val="1"/>
                <w:color w:val="auto"/>
                <w:w w:val="97"/>
              </w:rPr>
              <w:t>Property, plant and equipment, net</w:t>
            </w:r>
          </w:p>
        </w:tc>
        <w:tc>
          <w:tcPr>
            <w:tcW w:w="4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1,016,206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1,004,825</w:t>
            </w:r>
          </w:p>
        </w:tc>
      </w:tr>
      <w:tr>
        <w:trPr>
          <w:trHeight w:val="21"/>
        </w:trPr>
        <w:tc>
          <w:tcPr>
            <w:tcW w:w="29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totaled $39,840 and $36,573 for the three months ended June 30, 2023 and 2022, respectively. For the six months ended June 30, 2023 and 2022, depreciation expense totaled $77,370 and $74,385,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6. Credit Losses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exposed to credit losses primarily through sales of products and services. Due to the short-term nature of such receivables, the estimate of the amount of accounts receivable that may not be collected is based on the aging of the accounts receivable balances and other historical and forward-looking information on the financial condition of customers. Balances are written off when determined to be uncollectible.</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provides a roll-forward of the allowance for credit losses that is deducted from the amortized cost basis of accounts receivable to present the net amount expected to be collected.</w:t>
      </w:r>
    </w:p>
    <w:p>
      <w:pPr>
        <w:sectPr>
          <w:pgSz w:w="11900" w:h="16838" w:orient="portrait"/>
          <w:cols w:equalWidth="0" w:num="1">
            <w:col w:w="11240"/>
          </w:cols>
          <w:pgMar w:left="320" w:top="130" w:right="339" w:bottom="1440" w:gutter="0" w:footer="0" w:header="0"/>
        </w:sect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Provision for expected credit losses, net of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7"/>
          <w:szCs w:val="17"/>
          <w:color w:val="auto"/>
        </w:rPr>
        <w:t>Amounts written off charged against the allowance</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including 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June 30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224"/>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39,399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40,126</w:t>
            </w:r>
          </w:p>
        </w:tc>
      </w:tr>
      <w:tr>
        <w:trPr>
          <w:trHeight w:val="241"/>
        </w:trPr>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(1,041)</w:t>
            </w:r>
          </w:p>
        </w:tc>
      </w:tr>
      <w:tr>
        <w:trPr>
          <w:trHeight w:val="237"/>
        </w:trPr>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w:t>
            </w:r>
          </w:p>
        </w:tc>
      </w:tr>
      <w:tr>
        <w:trPr>
          <w:trHeight w:val="230"/>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37,388</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40" w:space="720"/>
            <w:col w:w="2980"/>
          </w:cols>
          <w:pgMar w:left="320" w:top="130"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7. Goodwill and Other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reportable operating segments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vMerge w:val="restart"/>
          </w:tcPr>
          <w:p>
            <w:pPr>
              <w:jc w:val="right"/>
              <w:ind w:right="153"/>
              <w:spacing w:after="0"/>
              <w:rPr>
                <w:sz w:val="20"/>
                <w:szCs w:val="20"/>
                <w:color w:val="auto"/>
              </w:rPr>
            </w:pPr>
            <w:r>
              <w:rPr>
                <w:rFonts w:ascii="Arial" w:cs="Arial" w:eastAsia="Arial" w:hAnsi="Arial"/>
                <w:sz w:val="16"/>
                <w:szCs w:val="16"/>
                <w:b w:val="1"/>
                <w:bCs w:val="1"/>
                <w:color w:val="auto"/>
                <w:w w:val="96"/>
              </w:rPr>
              <w:t>Engineered</w:t>
            </w:r>
          </w:p>
        </w:tc>
        <w:tc>
          <w:tcPr>
            <w:tcW w:w="120" w:type="dxa"/>
            <w:vAlign w:val="bottom"/>
          </w:tcPr>
          <w:p>
            <w:pPr>
              <w:spacing w:after="0"/>
              <w:rPr>
                <w:sz w:val="16"/>
                <w:szCs w:val="16"/>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9"/>
              </w:rPr>
              <w:t>Clean Energy &amp;</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restart"/>
          </w:tcPr>
          <w:p>
            <w:pPr>
              <w:jc w:val="right"/>
              <w:ind w:right="173"/>
              <w:spacing w:after="0"/>
              <w:rPr>
                <w:sz w:val="20"/>
                <w:szCs w:val="20"/>
                <w:color w:val="auto"/>
              </w:rPr>
            </w:pPr>
            <w:r>
              <w:rPr>
                <w:rFonts w:ascii="Arial" w:cs="Arial" w:eastAsia="Arial" w:hAnsi="Arial"/>
                <w:sz w:val="16"/>
                <w:szCs w:val="16"/>
                <w:b w:val="1"/>
                <w:bCs w:val="1"/>
                <w:color w:val="auto"/>
              </w:rPr>
              <w:t>Imaging &amp;</w:t>
            </w:r>
          </w:p>
        </w:tc>
        <w:tc>
          <w:tcPr>
            <w:tcW w:w="100" w:type="dxa"/>
            <w:vAlign w:val="bottom"/>
          </w:tcPr>
          <w:p>
            <w:pPr>
              <w:spacing w:after="0"/>
              <w:rPr>
                <w:sz w:val="16"/>
                <w:szCs w:val="16"/>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89"/>
              </w:rPr>
              <w:t>Pumps &amp; Process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4"/>
              <w:spacing w:after="0"/>
              <w:rPr>
                <w:sz w:val="20"/>
                <w:szCs w:val="20"/>
                <w:color w:val="auto"/>
              </w:rPr>
            </w:pPr>
            <w:r>
              <w:rPr>
                <w:rFonts w:ascii="Arial" w:cs="Arial" w:eastAsia="Arial" w:hAnsi="Arial"/>
                <w:sz w:val="16"/>
                <w:szCs w:val="16"/>
                <w:b w:val="1"/>
                <w:bCs w:val="1"/>
                <w:color w:val="auto"/>
                <w:w w:val="97"/>
              </w:rPr>
              <w:t>Climate &amp;</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74"/>
              <w:spacing w:after="0" w:line="162" w:lineRule="exact"/>
              <w:rPr>
                <w:sz w:val="20"/>
                <w:szCs w:val="20"/>
                <w:color w:val="auto"/>
              </w:rPr>
            </w:pPr>
            <w:r>
              <w:rPr>
                <w:rFonts w:ascii="Arial" w:cs="Arial" w:eastAsia="Arial" w:hAnsi="Arial"/>
                <w:sz w:val="16"/>
                <w:szCs w:val="16"/>
                <w:b w:val="1"/>
                <w:bCs w:val="1"/>
                <w:color w:val="auto"/>
                <w:w w:val="92"/>
              </w:rPr>
              <w:t>Sustainability</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ind w:right="3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9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Products</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Fueling</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w w:val="94"/>
              </w:rPr>
              <w:t>Identification</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w w:val="98"/>
              </w:rPr>
              <w:t>Solutions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5"/>
              </w:rPr>
              <w:t>Technologies</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1,391,418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1,078,259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979,535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4,669,494</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Measurement period adjustments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(3,820)</w:t>
            </w: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4,442</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32,930</w:t>
            </w:r>
          </w:p>
        </w:tc>
        <w:tc>
          <w:tcPr>
            <w:tcW w:w="0" w:type="dxa"/>
            <w:vAlign w:val="bottom"/>
          </w:tcPr>
          <w:p>
            <w:pPr>
              <w:spacing w:after="0"/>
              <w:rPr>
                <w:sz w:val="1"/>
                <w:szCs w:val="1"/>
                <w:color w:val="auto"/>
              </w:rPr>
            </w:pPr>
          </w:p>
        </w:tc>
      </w:tr>
      <w:tr>
        <w:trPr>
          <w:trHeight w:val="223"/>
        </w:trPr>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716,984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1,407,384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1,087,443</w:t>
            </w:r>
          </w:p>
        </w:tc>
        <w:tc>
          <w:tcPr>
            <w:tcW w:w="10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978,628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508,165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4,698,604</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2023, the Company recorded measurement period adjustments that decreased goodwill by $3,820, principally related to working capital adjustments for 2022 acquisitions within the Pumps &amp; Process Solutions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definite-lived and indefinite-lived intangible assets by major asset class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0"/>
              </w:rPr>
              <w:t>June 30, 2023</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4"/>
              </w:rPr>
              <w:t>December 31, 2022</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78"/>
        </w:trPr>
        <w:tc>
          <w:tcPr>
            <w:tcW w:w="2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90"/>
              <w:spacing w:after="0" w:line="177"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90"/>
              <w:spacing w:after="0" w:line="177"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2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90"/>
              <w:spacing w:after="0" w:line="181" w:lineRule="exact"/>
              <w:rPr>
                <w:sz w:val="20"/>
                <w:szCs w:val="20"/>
                <w:color w:val="auto"/>
              </w:rPr>
            </w:pPr>
            <w:r>
              <w:rPr>
                <w:rFonts w:ascii="Arial" w:cs="Arial" w:eastAsia="Arial" w:hAnsi="Arial"/>
                <w:sz w:val="18"/>
                <w:szCs w:val="18"/>
                <w:b w:val="1"/>
                <w:bCs w:val="1"/>
                <w:color w:val="auto"/>
                <w:w w:val="97"/>
              </w:rPr>
              <w:t>Carrying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ind w:right="130"/>
              <w:spacing w:after="0" w:line="181" w:lineRule="exact"/>
              <w:rPr>
                <w:sz w:val="20"/>
                <w:szCs w:val="20"/>
                <w:color w:val="auto"/>
              </w:rPr>
            </w:pPr>
            <w:r>
              <w:rPr>
                <w:rFonts w:ascii="Arial" w:cs="Arial" w:eastAsia="Arial" w:hAnsi="Arial"/>
                <w:sz w:val="18"/>
                <w:szCs w:val="18"/>
                <w:b w:val="1"/>
                <w:bCs w:val="1"/>
                <w:color w:val="auto"/>
                <w:w w:val="93"/>
              </w:rPr>
              <w:t>Accumulated</w:t>
            </w:r>
          </w:p>
        </w:tc>
        <w:tc>
          <w:tcPr>
            <w:tcW w:w="120" w:type="dxa"/>
            <w:vAlign w:val="bottom"/>
          </w:tcPr>
          <w:p>
            <w:pPr>
              <w:spacing w:after="0"/>
              <w:rPr>
                <w:sz w:val="15"/>
                <w:szCs w:val="15"/>
                <w:color w:val="auto"/>
              </w:rPr>
            </w:pPr>
          </w:p>
        </w:tc>
        <w:tc>
          <w:tcPr>
            <w:tcW w:w="1200" w:type="dxa"/>
            <w:vAlign w:val="bottom"/>
            <w:gridSpan w:val="2"/>
          </w:tcPr>
          <w:p>
            <w:pPr>
              <w:jc w:val="right"/>
              <w:ind w:right="10"/>
              <w:spacing w:after="0" w:line="181" w:lineRule="exact"/>
              <w:rPr>
                <w:sz w:val="20"/>
                <w:szCs w:val="20"/>
                <w:color w:val="auto"/>
              </w:rPr>
            </w:pPr>
            <w:r>
              <w:rPr>
                <w:rFonts w:ascii="Arial" w:cs="Arial" w:eastAsia="Arial" w:hAnsi="Arial"/>
                <w:sz w:val="18"/>
                <w:szCs w:val="18"/>
                <w:b w:val="1"/>
                <w:bCs w:val="1"/>
                <w:color w:val="auto"/>
                <w:w w:val="99"/>
              </w:rPr>
              <w:t>Net Carrying</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90"/>
              <w:spacing w:after="0" w:line="181" w:lineRule="exact"/>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150"/>
              <w:spacing w:after="0" w:line="181" w:lineRule="exact"/>
              <w:rPr>
                <w:sz w:val="20"/>
                <w:szCs w:val="20"/>
                <w:color w:val="auto"/>
              </w:rPr>
            </w:pPr>
            <w:r>
              <w:rPr>
                <w:rFonts w:ascii="Arial" w:cs="Arial" w:eastAsia="Arial" w:hAnsi="Arial"/>
                <w:sz w:val="18"/>
                <w:szCs w:val="18"/>
                <w:b w:val="1"/>
                <w:bCs w:val="1"/>
                <w:color w:val="auto"/>
                <w:w w:val="93"/>
              </w:rPr>
              <w:t>Accumulated</w:t>
            </w:r>
          </w:p>
        </w:tc>
        <w:tc>
          <w:tcPr>
            <w:tcW w:w="100" w:type="dxa"/>
            <w:vAlign w:val="bottom"/>
          </w:tcPr>
          <w:p>
            <w:pPr>
              <w:spacing w:after="0"/>
              <w:rPr>
                <w:sz w:val="15"/>
                <w:szCs w:val="15"/>
                <w:color w:val="auto"/>
              </w:rPr>
            </w:pPr>
          </w:p>
        </w:tc>
        <w:tc>
          <w:tcPr>
            <w:tcW w:w="1200" w:type="dxa"/>
            <w:vAlign w:val="bottom"/>
            <w:gridSpan w:val="2"/>
          </w:tcPr>
          <w:p>
            <w:pPr>
              <w:jc w:val="right"/>
              <w:ind w:right="10"/>
              <w:spacing w:after="0" w:line="181" w:lineRule="exact"/>
              <w:rPr>
                <w:sz w:val="20"/>
                <w:szCs w:val="20"/>
                <w:color w:val="auto"/>
              </w:rPr>
            </w:pPr>
            <w:r>
              <w:rPr>
                <w:rFonts w:ascii="Arial" w:cs="Arial" w:eastAsia="Arial" w:hAnsi="Arial"/>
                <w:sz w:val="18"/>
                <w:szCs w:val="18"/>
                <w:b w:val="1"/>
                <w:bCs w:val="1"/>
                <w:color w:val="auto"/>
                <w:w w:val="99"/>
              </w:rPr>
              <w:t>Net Carrying</w:t>
            </w:r>
          </w:p>
        </w:tc>
      </w:tr>
      <w:tr>
        <w:trPr>
          <w:trHeight w:val="229"/>
        </w:trPr>
        <w:tc>
          <w:tcPr>
            <w:tcW w:w="2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Amortization</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Amortization</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Amount</w:t>
            </w:r>
          </w:p>
        </w:tc>
      </w:tr>
      <w:tr>
        <w:trPr>
          <w:trHeight w:val="223"/>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Amortized intangible assets: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2820" w:type="dxa"/>
            <w:vAlign w:val="bottom"/>
          </w:tcPr>
          <w:p>
            <w:pPr>
              <w:ind w:left="460"/>
              <w:spacing w:after="0"/>
              <w:rPr>
                <w:sz w:val="20"/>
                <w:szCs w:val="20"/>
                <w:color w:val="auto"/>
              </w:rPr>
            </w:pPr>
            <w:r>
              <w:rPr>
                <w:rFonts w:ascii="Arial" w:cs="Arial" w:eastAsia="Arial" w:hAnsi="Arial"/>
                <w:sz w:val="18"/>
                <w:szCs w:val="18"/>
                <w:color w:val="auto"/>
              </w:rPr>
              <w:t>Customer intangibles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1,897,641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1,059,509</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838,132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1,881,402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996,947</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884,455</w:t>
            </w:r>
          </w:p>
        </w:tc>
      </w:tr>
      <w:tr>
        <w:trPr>
          <w:trHeight w:val="243"/>
        </w:trPr>
        <w:tc>
          <w:tcPr>
            <w:tcW w:w="2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Trademarks</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142,842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124,958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265,466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132,791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132,675</w:t>
            </w:r>
          </w:p>
        </w:tc>
      </w:tr>
      <w:tr>
        <w:trPr>
          <w:trHeight w:val="229"/>
        </w:trPr>
        <w:tc>
          <w:tcPr>
            <w:tcW w:w="2820" w:type="dxa"/>
            <w:vAlign w:val="bottom"/>
          </w:tcPr>
          <w:p>
            <w:pPr>
              <w:ind w:left="460"/>
              <w:spacing w:after="0"/>
              <w:rPr>
                <w:sz w:val="20"/>
                <w:szCs w:val="20"/>
                <w:color w:val="auto"/>
              </w:rPr>
            </w:pPr>
            <w:r>
              <w:rPr>
                <w:rFonts w:ascii="Arial" w:cs="Arial" w:eastAsia="Arial" w:hAnsi="Arial"/>
                <w:sz w:val="18"/>
                <w:szCs w:val="18"/>
                <w:color w:val="auto"/>
              </w:rPr>
              <w:t>Patents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214,426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145,885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68,541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219,199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146,337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72,862</w:t>
            </w:r>
          </w:p>
        </w:tc>
      </w:tr>
      <w:tr>
        <w:trPr>
          <w:trHeight w:val="229"/>
        </w:trPr>
        <w:tc>
          <w:tcPr>
            <w:tcW w:w="2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Unpatented technologies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119,678</w:t>
            </w:r>
          </w:p>
        </w:tc>
      </w:tr>
      <w:tr>
        <w:trPr>
          <w:trHeight w:val="237"/>
        </w:trPr>
        <w:tc>
          <w:tcPr>
            <w:tcW w:w="2820" w:type="dxa"/>
            <w:vAlign w:val="bottom"/>
          </w:tcPr>
          <w:p>
            <w:pPr>
              <w:ind w:left="460"/>
              <w:spacing w:after="0"/>
              <w:rPr>
                <w:sz w:val="20"/>
                <w:szCs w:val="20"/>
                <w:color w:val="auto"/>
              </w:rPr>
            </w:pPr>
            <w:r>
              <w:rPr>
                <w:rFonts w:ascii="Arial" w:cs="Arial" w:eastAsia="Arial" w:hAnsi="Arial"/>
                <w:sz w:val="18"/>
                <w:szCs w:val="18"/>
                <w:color w:val="auto"/>
              </w:rPr>
              <w:t>Distributor relationships</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81,672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60,976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79,622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57,299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22,323</w:t>
            </w:r>
          </w:p>
        </w:tc>
      </w:tr>
      <w:tr>
        <w:trPr>
          <w:trHeight w:val="236"/>
        </w:trPr>
        <w:tc>
          <w:tcPr>
            <w:tcW w:w="28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46,880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41,682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5,198</w:t>
            </w: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2,752,331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1,574,769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1,177,562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2,749,997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1,512,806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1,237,191</w:t>
            </w:r>
          </w:p>
        </w:tc>
      </w:tr>
      <w:tr>
        <w:trPr>
          <w:trHeight w:val="243"/>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Unamortized intangible assets:</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29"/>
        </w:trPr>
        <w:tc>
          <w:tcPr>
            <w:tcW w:w="2820" w:type="dxa"/>
            <w:vAlign w:val="bottom"/>
          </w:tcPr>
          <w:p>
            <w:pPr>
              <w:ind w:left="460"/>
              <w:spacing w:after="0"/>
              <w:rPr>
                <w:sz w:val="20"/>
                <w:szCs w:val="20"/>
                <w:color w:val="auto"/>
              </w:rPr>
            </w:pPr>
            <w:r>
              <w:rPr>
                <w:rFonts w:ascii="Arial" w:cs="Arial" w:eastAsia="Arial" w:hAnsi="Arial"/>
                <w:sz w:val="18"/>
                <w:szCs w:val="18"/>
                <w:color w:val="auto"/>
              </w:rPr>
              <w:t>Trademarks</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96,617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96,617</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96,544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96,544</w:t>
            </w:r>
          </w:p>
        </w:tc>
      </w:tr>
      <w:tr>
        <w:trPr>
          <w:trHeight w:val="243"/>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2,848,948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1,574,769</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1,274,179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2,846,541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1,512,806</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1,333,735</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three months ended June 30, 2023 and 2022, amortization expense was $38,951 and $38,718, respectively. For the six months ended June 30, 2023 and 2022, amortization expense was $79,317 and $79,909, respectively. Amortization expense is primarily comprised of acquisition-related intangible amortization. During the six months ended June 30, 2023, the Company acquired certain intellectual property assets through an immaterial asset acquisition. These assets were classified as unpatented technologies and included in the Imaging &amp; Identification segment.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8. Restructuring Activities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202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80"/>
        </w:trPr>
        <w:tc>
          <w:tcPr>
            <w:tcW w:w="4920" w:type="dxa"/>
            <w:vAlign w:val="bottom"/>
            <w:gridSpan w:val="2"/>
          </w:tcPr>
          <w:p>
            <w:pPr>
              <w:spacing w:after="0"/>
              <w:rPr>
                <w:sz w:val="20"/>
                <w:szCs w:val="20"/>
                <w:color w:val="auto"/>
              </w:rPr>
            </w:pPr>
            <w:r>
              <w:rPr>
                <w:rFonts w:ascii="Arial" w:cs="Arial" w:eastAsia="Arial" w:hAnsi="Arial"/>
                <w:sz w:val="18"/>
                <w:szCs w:val="18"/>
                <w:color w:val="auto"/>
                <w:w w:val="92"/>
              </w:rPr>
              <w:t>The Company's restructuring charges by segment were as follows: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6"/>
        </w:trPr>
        <w:tc>
          <w:tcPr>
            <w:tcW w:w="20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6"/>
              </w:rPr>
              <w:t>Three Months Ended June 30,</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32"/>
        </w:trPr>
        <w:tc>
          <w:tcPr>
            <w:tcW w:w="2020" w:type="dxa"/>
            <w:vAlign w:val="bottom"/>
            <w:tcBorders>
              <w:bottom w:val="single" w:sz="8" w:color="CCEEFF"/>
            </w:tcBorders>
          </w:tcPr>
          <w:p>
            <w:pPr>
              <w:spacing w:after="0"/>
              <w:rPr>
                <w:sz w:val="20"/>
                <w:szCs w:val="20"/>
                <w:color w:val="auto"/>
              </w:rPr>
            </w:pPr>
          </w:p>
        </w:tc>
        <w:tc>
          <w:tcPr>
            <w:tcW w:w="29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227"/>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Engineered Products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r>
      <w:tr>
        <w:trPr>
          <w:trHeight w:val="229"/>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Clean Energy &amp; Fueling</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5,847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1,423</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1,619</w:t>
            </w:r>
          </w:p>
        </w:tc>
      </w:tr>
      <w:tr>
        <w:trPr>
          <w:trHeight w:val="243"/>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Imaging &amp; Identification</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r>
      <w:tr>
        <w:trPr>
          <w:trHeight w:val="229"/>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Pumps &amp; Process Solutions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3,303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2,161</w:t>
            </w:r>
          </w:p>
        </w:tc>
      </w:tr>
      <w:tr>
        <w:trPr>
          <w:trHeight w:val="230"/>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Climate &amp; Sustainability Technologies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w:t>
            </w:r>
          </w:p>
        </w:tc>
      </w:tr>
      <w:tr>
        <w:trPr>
          <w:trHeight w:val="243"/>
        </w:trPr>
        <w:tc>
          <w:tcPr>
            <w:tcW w:w="49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r>
      <w:tr>
        <w:trPr>
          <w:trHeight w:val="248"/>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12,466</w:t>
            </w:r>
          </w:p>
        </w:tc>
      </w:tr>
      <w:tr>
        <w:trPr>
          <w:trHeight w:val="20"/>
        </w:trPr>
        <w:tc>
          <w:tcPr>
            <w:tcW w:w="4920" w:type="dxa"/>
            <w:vAlign w:val="bottom"/>
            <w:tcBorders>
              <w:top w:val="single" w:sz="8" w:color="CCEEFF"/>
            </w:tcBorders>
            <w:gridSpan w:val="2"/>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84"/>
        </w:trPr>
        <w:tc>
          <w:tcPr>
            <w:tcW w:w="6960" w:type="dxa"/>
            <w:vAlign w:val="bottom"/>
            <w:gridSpan w:val="6"/>
          </w:tcPr>
          <w:p>
            <w:pPr>
              <w:ind w:left="20"/>
              <w:spacing w:after="0"/>
              <w:rPr>
                <w:sz w:val="20"/>
                <w:szCs w:val="20"/>
                <w:color w:val="auto"/>
              </w:rPr>
            </w:pPr>
            <w:r>
              <w:rPr>
                <w:rFonts w:ascii="Arial" w:cs="Arial" w:eastAsia="Arial" w:hAnsi="Arial"/>
                <w:sz w:val="18"/>
                <w:szCs w:val="18"/>
                <w:color w:val="auto"/>
                <w:w w:val="91"/>
              </w:rPr>
              <w:t>These amounts are classified in the condensed consolidated statements of earnings as follows:</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3"/>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and services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5,682</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9,155</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r>
      <w:tr>
        <w:trPr>
          <w:trHeight w:val="229"/>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10,717</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11,222</w:t>
            </w:r>
          </w:p>
        </w:tc>
      </w:tr>
      <w:tr>
        <w:trPr>
          <w:trHeight w:val="243"/>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16,399</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28,875</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12,466</w:t>
            </w: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restructuring expenses of $16,399 and $28,875 incurred during the three and six months ended June 30, 2023 were primarily related to headcount reductions and exit costs in the Clean Energy &amp; Fueling, Engineered Products and Pumps &amp; Process Solutions segments. These restructuring programs were initiated in 2022 and 2023 and were undertaken in light of current market conditions. The Company will continue to make proactive adjustments to its cost structure through restructuring and other programs to align with current demand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The Company’s severance and exit accrual activities were as follows: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7"/>
        </w:trPr>
        <w:tc>
          <w:tcPr>
            <w:tcW w:w="69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Severance</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Exit</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37"/>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12,007</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14,510</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22,204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28,875</w:t>
            </w: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(19,188)</w:t>
            </w:r>
          </w:p>
        </w:tc>
      </w:tr>
      <w:tr>
        <w:trPr>
          <w:trHeight w:val="243"/>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including foreign currency translation</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r>
      <w:tr>
        <w:trPr>
          <w:trHeight w:val="248"/>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23,879</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9. Borrowings</w:t>
            </w: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80"/>
        </w:trPr>
        <w:tc>
          <w:tcPr>
            <w:tcW w:w="7140" w:type="dxa"/>
            <w:vAlign w:val="bottom"/>
            <w:gridSpan w:val="2"/>
          </w:tcPr>
          <w:p>
            <w:pPr>
              <w:spacing w:after="0"/>
              <w:rPr>
                <w:sz w:val="20"/>
                <w:szCs w:val="20"/>
                <w:color w:val="auto"/>
              </w:rPr>
            </w:pPr>
            <w:r>
              <w:rPr>
                <w:rFonts w:ascii="Arial" w:cs="Arial" w:eastAsia="Arial" w:hAnsi="Arial"/>
                <w:sz w:val="18"/>
                <w:szCs w:val="18"/>
                <w:color w:val="auto"/>
              </w:rPr>
              <w:t>Borrowings consist of the following:</w:t>
            </w: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7"/>
        </w:trPr>
        <w:tc>
          <w:tcPr>
            <w:tcW w:w="108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1080" w:type="dxa"/>
            <w:vAlign w:val="bottom"/>
            <w:tcBorders>
              <w:bottom w:val="single" w:sz="8" w:color="CCEEFF"/>
            </w:tcBorders>
          </w:tcPr>
          <w:p>
            <w:pPr>
              <w:spacing w:after="0"/>
              <w:rPr>
                <w:sz w:val="19"/>
                <w:szCs w:val="19"/>
                <w:color w:val="auto"/>
              </w:rPr>
            </w:pPr>
          </w:p>
        </w:tc>
        <w:tc>
          <w:tcPr>
            <w:tcW w:w="60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2"/>
              </w:rPr>
              <w:t>December 31, 2022</w:t>
            </w:r>
          </w:p>
        </w:tc>
      </w:tr>
      <w:tr>
        <w:trPr>
          <w:trHeight w:val="223"/>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Short-term:</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Commercial paper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445,500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734,936</w:t>
            </w:r>
          </w:p>
        </w:tc>
      </w:tr>
      <w:tr>
        <w:trPr>
          <w:trHeight w:val="229"/>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r>
      <w:tr>
        <w:trPr>
          <w:trHeight w:val="223"/>
        </w:trPr>
        <w:tc>
          <w:tcPr>
            <w:tcW w:w="7140" w:type="dxa"/>
            <w:vAlign w:val="bottom"/>
            <w:gridSpan w:val="2"/>
          </w:tcPr>
          <w:p>
            <w:pPr>
              <w:ind w:left="20"/>
              <w:spacing w:after="0"/>
              <w:rPr>
                <w:sz w:val="20"/>
                <w:szCs w:val="20"/>
                <w:color w:val="auto"/>
              </w:rPr>
            </w:pPr>
            <w:r>
              <w:rPr>
                <w:rFonts w:ascii="Arial" w:cs="Arial" w:eastAsia="Arial" w:hAnsi="Arial"/>
                <w:sz w:val="18"/>
                <w:szCs w:val="18"/>
                <w:b w:val="1"/>
                <w:bCs w:val="1"/>
                <w:color w:val="auto"/>
              </w:rPr>
              <w:t>Short-term borrowings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446,175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735,772</w:t>
            </w:r>
          </w:p>
        </w:tc>
      </w:tr>
      <w:tr>
        <w:trPr>
          <w:trHeight w:val="20"/>
        </w:trPr>
        <w:tc>
          <w:tcPr>
            <w:tcW w:w="10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six months ended June 30, 2023, commercial paper borrowings decreased $289,436. The borrowings outstanding under the commercial paper program had a weighted average annual interest rate of 5.33% and 4.61% as of June 30, 2023 and December 31, 2022,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 xml:space="preserve">Carrying amount </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178"/>
        </w:trPr>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90"/>
              <w:spacing w:after="0" w:line="177" w:lineRule="exact"/>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67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Long-term</w:t>
            </w:r>
          </w:p>
        </w:tc>
        <w:tc>
          <w:tcPr>
            <w:tcW w:w="220" w:type="dxa"/>
            <w:vAlign w:val="bottom"/>
          </w:tcPr>
          <w:p>
            <w:pPr>
              <w:spacing w:after="0"/>
              <w:rPr>
                <w:sz w:val="20"/>
                <w:szCs w:val="20"/>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Principal</w:t>
            </w:r>
          </w:p>
        </w:tc>
        <w:tc>
          <w:tcPr>
            <w:tcW w:w="18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June 30, 2023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6"/>
        </w:trPr>
        <w:tc>
          <w:tcPr>
            <w:tcW w:w="6700" w:type="dxa"/>
            <w:vAlign w:val="bottom"/>
            <w:gridSpan w:val="3"/>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3.15%</w:t>
            </w:r>
          </w:p>
        </w:tc>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10-year notes due November 15, 2025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398,063</w:t>
            </w:r>
          </w:p>
        </w:tc>
        <w:tc>
          <w:tcPr>
            <w:tcW w:w="0" w:type="dxa"/>
            <w:vAlign w:val="bottom"/>
          </w:tcPr>
          <w:p>
            <w:pPr>
              <w:spacing w:after="0"/>
              <w:rPr>
                <w:sz w:val="1"/>
                <w:szCs w:val="1"/>
                <w:color w:val="auto"/>
              </w:rPr>
            </w:pPr>
          </w:p>
        </w:tc>
      </w:tr>
      <w:tr>
        <w:trPr>
          <w:trHeight w:val="230"/>
        </w:trPr>
        <w:tc>
          <w:tcPr>
            <w:tcW w:w="520" w:type="dxa"/>
            <w:vAlign w:val="bottom"/>
          </w:tcPr>
          <w:p>
            <w:pPr>
              <w:ind w:left="20"/>
              <w:spacing w:after="0"/>
              <w:rPr>
                <w:sz w:val="20"/>
                <w:szCs w:val="20"/>
                <w:color w:val="auto"/>
              </w:rPr>
            </w:pPr>
            <w:r>
              <w:rPr>
                <w:rFonts w:ascii="Arial" w:cs="Arial" w:eastAsia="Arial" w:hAnsi="Arial"/>
                <w:sz w:val="18"/>
                <w:szCs w:val="18"/>
                <w:color w:val="auto"/>
                <w:w w:val="93"/>
              </w:rPr>
              <w:t>1.25%</w:t>
            </w: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10-year notes due November 9, 2026 (euro-denominated)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649,816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631,522</w:t>
            </w:r>
          </w:p>
        </w:tc>
        <w:tc>
          <w:tcPr>
            <w:tcW w:w="0" w:type="dxa"/>
            <w:vAlign w:val="bottom"/>
          </w:tcPr>
          <w:p>
            <w:pPr>
              <w:spacing w:after="0"/>
              <w:rPr>
                <w:sz w:val="1"/>
                <w:szCs w:val="1"/>
                <w:color w:val="auto"/>
              </w:rPr>
            </w:pPr>
          </w:p>
        </w:tc>
      </w:tr>
      <w:tr>
        <w:trPr>
          <w:trHeight w:val="243"/>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0.750%</w:t>
            </w: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8-year notes due November 4, 2027 (euro-denominated)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540,865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525,654</w:t>
            </w:r>
          </w:p>
        </w:tc>
        <w:tc>
          <w:tcPr>
            <w:tcW w:w="0" w:type="dxa"/>
            <w:vAlign w:val="bottom"/>
          </w:tcPr>
          <w:p>
            <w:pPr>
              <w:spacing w:after="0"/>
              <w:rPr>
                <w:sz w:val="1"/>
                <w:szCs w:val="1"/>
                <w:color w:val="auto"/>
              </w:rPr>
            </w:pPr>
          </w:p>
        </w:tc>
      </w:tr>
      <w:tr>
        <w:trPr>
          <w:trHeight w:val="230"/>
        </w:trPr>
        <w:tc>
          <w:tcPr>
            <w:tcW w:w="520" w:type="dxa"/>
            <w:vAlign w:val="bottom"/>
          </w:tcPr>
          <w:p>
            <w:pPr>
              <w:ind w:left="20"/>
              <w:spacing w:after="0"/>
              <w:rPr>
                <w:sz w:val="20"/>
                <w:szCs w:val="20"/>
                <w:color w:val="auto"/>
              </w:rPr>
            </w:pPr>
            <w:r>
              <w:rPr>
                <w:rFonts w:ascii="Arial" w:cs="Arial" w:eastAsia="Arial" w:hAnsi="Arial"/>
                <w:sz w:val="18"/>
                <w:szCs w:val="18"/>
                <w:color w:val="auto"/>
                <w:w w:val="93"/>
              </w:rPr>
              <w:t>6.65%</w:t>
            </w: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30-year debentures due June 1, 2028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199,506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199,456</w:t>
            </w:r>
          </w:p>
        </w:tc>
        <w:tc>
          <w:tcPr>
            <w:tcW w:w="0" w:type="dxa"/>
            <w:vAlign w:val="bottom"/>
          </w:tcPr>
          <w:p>
            <w:pPr>
              <w:spacing w:after="0"/>
              <w:rPr>
                <w:sz w:val="1"/>
                <w:szCs w:val="1"/>
                <w:color w:val="auto"/>
              </w:rPr>
            </w:pPr>
          </w:p>
        </w:tc>
      </w:tr>
      <w:tr>
        <w:trPr>
          <w:trHeight w:val="229"/>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2.950%</w:t>
            </w: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10-year notes due November 4, 2029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297,408</w:t>
            </w:r>
          </w:p>
        </w:tc>
        <w:tc>
          <w:tcPr>
            <w:tcW w:w="0" w:type="dxa"/>
            <w:vAlign w:val="bottom"/>
          </w:tcPr>
          <w:p>
            <w:pPr>
              <w:spacing w:after="0"/>
              <w:rPr>
                <w:sz w:val="1"/>
                <w:szCs w:val="1"/>
                <w:color w:val="auto"/>
              </w:rPr>
            </w:pPr>
          </w:p>
        </w:tc>
      </w:tr>
      <w:tr>
        <w:trPr>
          <w:trHeight w:val="237"/>
        </w:trPr>
        <w:tc>
          <w:tcPr>
            <w:tcW w:w="600" w:type="dxa"/>
            <w:vAlign w:val="bottom"/>
            <w:gridSpan w:val="2"/>
          </w:tcPr>
          <w:p>
            <w:pPr>
              <w:ind w:left="20"/>
              <w:spacing w:after="0"/>
              <w:rPr>
                <w:sz w:val="20"/>
                <w:szCs w:val="20"/>
                <w:color w:val="auto"/>
              </w:rPr>
            </w:pPr>
            <w:r>
              <w:rPr>
                <w:rFonts w:ascii="Arial" w:cs="Arial" w:eastAsia="Arial" w:hAnsi="Arial"/>
                <w:sz w:val="18"/>
                <w:szCs w:val="18"/>
                <w:color w:val="auto"/>
                <w:w w:val="91"/>
              </w:rPr>
              <w:t>5.375%</w:t>
            </w:r>
          </w:p>
        </w:tc>
        <w:tc>
          <w:tcPr>
            <w:tcW w:w="6100" w:type="dxa"/>
            <w:vAlign w:val="bottom"/>
          </w:tcPr>
          <w:p>
            <w:pPr>
              <w:ind w:left="20"/>
              <w:spacing w:after="0"/>
              <w:rPr>
                <w:sz w:val="20"/>
                <w:szCs w:val="20"/>
                <w:color w:val="auto"/>
              </w:rPr>
            </w:pPr>
            <w:r>
              <w:rPr>
                <w:rFonts w:ascii="Arial" w:cs="Arial" w:eastAsia="Arial" w:hAnsi="Arial"/>
                <w:sz w:val="18"/>
                <w:szCs w:val="18"/>
                <w:color w:val="auto"/>
              </w:rPr>
              <w:t>30-year debentures due October 15, 2035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296,933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296,808</w:t>
            </w:r>
          </w:p>
        </w:tc>
        <w:tc>
          <w:tcPr>
            <w:tcW w:w="0" w:type="dxa"/>
            <w:vAlign w:val="bottom"/>
          </w:tcPr>
          <w:p>
            <w:pPr>
              <w:spacing w:after="0"/>
              <w:rPr>
                <w:sz w:val="1"/>
                <w:szCs w:val="1"/>
                <w:color w:val="auto"/>
              </w:rPr>
            </w:pPr>
          </w:p>
        </w:tc>
      </w:tr>
      <w:tr>
        <w:trPr>
          <w:trHeight w:val="236"/>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6.60%</w:t>
            </w:r>
          </w:p>
        </w:tc>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30-year notes due March 15, 2038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248,336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248,279</w:t>
            </w:r>
          </w:p>
        </w:tc>
        <w:tc>
          <w:tcPr>
            <w:tcW w:w="0" w:type="dxa"/>
            <w:vAlign w:val="bottom"/>
          </w:tcPr>
          <w:p>
            <w:pPr>
              <w:spacing w:after="0"/>
              <w:rPr>
                <w:sz w:val="1"/>
                <w:szCs w:val="1"/>
                <w:color w:val="auto"/>
              </w:rPr>
            </w:pPr>
          </w:p>
        </w:tc>
      </w:tr>
      <w:tr>
        <w:trPr>
          <w:trHeight w:val="230"/>
        </w:trPr>
        <w:tc>
          <w:tcPr>
            <w:tcW w:w="600" w:type="dxa"/>
            <w:vAlign w:val="bottom"/>
            <w:gridSpan w:val="2"/>
          </w:tcPr>
          <w:p>
            <w:pPr>
              <w:ind w:left="20"/>
              <w:spacing w:after="0"/>
              <w:rPr>
                <w:sz w:val="20"/>
                <w:szCs w:val="20"/>
                <w:color w:val="auto"/>
              </w:rPr>
            </w:pPr>
            <w:r>
              <w:rPr>
                <w:rFonts w:ascii="Arial" w:cs="Arial" w:eastAsia="Arial" w:hAnsi="Arial"/>
                <w:sz w:val="18"/>
                <w:szCs w:val="18"/>
                <w:color w:val="auto"/>
                <w:w w:val="91"/>
              </w:rPr>
              <w:t>5.375%</w:t>
            </w:r>
          </w:p>
        </w:tc>
        <w:tc>
          <w:tcPr>
            <w:tcW w:w="6100" w:type="dxa"/>
            <w:vAlign w:val="bottom"/>
          </w:tcPr>
          <w:p>
            <w:pPr>
              <w:ind w:left="20"/>
              <w:spacing w:after="0"/>
              <w:rPr>
                <w:sz w:val="20"/>
                <w:szCs w:val="20"/>
                <w:color w:val="auto"/>
              </w:rPr>
            </w:pPr>
            <w:r>
              <w:rPr>
                <w:rFonts w:ascii="Arial" w:cs="Arial" w:eastAsia="Arial" w:hAnsi="Arial"/>
                <w:sz w:val="18"/>
                <w:szCs w:val="18"/>
                <w:color w:val="auto"/>
              </w:rPr>
              <w:t>30-year notes due March 1, 2041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345,120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344,982</w:t>
            </w:r>
          </w:p>
        </w:tc>
        <w:tc>
          <w:tcPr>
            <w:tcW w:w="0" w:type="dxa"/>
            <w:vAlign w:val="bottom"/>
          </w:tcPr>
          <w:p>
            <w:pPr>
              <w:spacing w:after="0"/>
              <w:rPr>
                <w:sz w:val="1"/>
                <w:szCs w:val="1"/>
                <w:color w:val="auto"/>
              </w:rPr>
            </w:pPr>
          </w:p>
        </w:tc>
      </w:tr>
      <w:tr>
        <w:trPr>
          <w:trHeight w:val="230"/>
        </w:trPr>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CCEEFF"/>
            </w:tcBorders>
            <w:shd w:val="clear" w:color="auto" w:fill="CCEEFF"/>
          </w:tcPr>
          <w:p>
            <w:pPr>
              <w:spacing w:after="0"/>
              <w:rPr>
                <w:sz w:val="19"/>
                <w:szCs w:val="19"/>
                <w:color w:val="auto"/>
              </w:rPr>
            </w:pPr>
          </w:p>
        </w:tc>
        <w:tc>
          <w:tcPr>
            <w:tcW w:w="6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37"/>
        </w:trPr>
        <w:tc>
          <w:tcPr>
            <w:tcW w:w="67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long-term debt</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2,976,573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2,942,513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firstLine="8"/>
        <w:spacing w:after="0" w:line="235" w:lineRule="auto"/>
        <w:tabs>
          <w:tab w:leader="none" w:pos="183"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Carrying amount is net of unamortized debt discount and deferred debt issuance costs. Total unamortized debt discounts were $11.9 million and $12.7 million as of June 30, 2023 and December 31, 2022, respectively. Total deferred debt issuance costs were $9.8 million and $10.7 million as of June 30, 2023 and December 31, 2022, respectively.</w:t>
      </w:r>
    </w:p>
    <w:p>
      <w:pPr>
        <w:spacing w:after="0" w:line="2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discounts are being amortized to interest expense using the effective interest method over the life of the issuances. The deferred issuance costs are amortized on a straight-line basis over the life of the debt, as this approximates the effective interest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6, 2023, the Company entered into new $1.0 billion five-year and $500.0 million 364-day unsecured revolving credit facilities ("Credit Agreements") with a syndicate of banks. The new five-year credit facility replaced the previous $1 billion five-year unsecured revolving credit facility, which was set to expire on October 4, 2024 and was terminated by the Company upon execution of the new five-year credit facility. The lenders' commitments under the five-year and 364-day Credit Agreements will terminate and the loans under the Credit Agreements will mature on April 6, 2028 and April 4, 2024, respectively. The Company may elect to extend the maturity date of any loans under the 364-day credit facility until April 4, 2025, subject to conditions specified therein. The Credit Agreements are designated as a liquidity back-stop for the Company's commercial paper program, which was upsized from $1.0 billion to $1.5 billion during the quarter, and also are available for general corporate purposes. At the Company's election, loans under the Credit Agreements will bear interest at a base rate plus an applicable margin. The Credit Agreements require the Company to pay facility fees and impose various restrictions on the Company such as, among other things, a requirement to maintain a minimum interest coverage ratio of consolidated EBITDA to consolidated net interest expense of not less than 3.0 to 1. As of June 30, 2023 and December 31, 2022, there were no outstanding borrowings under the new Credit Agreements or the previous five-year credit facility.</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was in compliance with all covenants in the Credit Agreements and other long-term debt covenants at June 30, 2023 and had an interest coverage ratio of consolidated EBITDA to consolidated net interest expense of 13.7 to 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 and other Guarantees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2023, the Company had approximately $183.9 million outstanding in letters of credit, surety bonds, and performance and other guarantees which primarily expire on various dates through 2029. These letters of credit and bonds are primarily issued as security for insurance, warranty and other performance obligations. In general, we would only be liable for the amount of these guarantees in the event of default in the performance of our obligations, the probability of which is believed to be remote.</w:t>
      </w:r>
    </w:p>
    <w:p>
      <w:pPr>
        <w:spacing w:after="0" w:line="210" w:lineRule="exact"/>
        <w:rPr>
          <w:sz w:val="20"/>
          <w:szCs w:val="20"/>
          <w:color w:val="auto"/>
        </w:rPr>
      </w:pPr>
    </w:p>
    <w:p>
      <w:pPr>
        <w:ind w:right="9260" w:firstLine="8"/>
        <w:spacing w:after="0" w:line="566" w:lineRule="auto"/>
        <w:tabs>
          <w:tab w:leader="none" w:pos="270" w:val="left"/>
        </w:tabs>
        <w:numPr>
          <w:ilvl w:val="0"/>
          <w:numId w:val="4"/>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 xml:space="preserve">Financial Instruments </w:t>
      </w:r>
      <w:r>
        <w:rPr>
          <w:rFonts w:ascii="Arial" w:cs="Arial" w:eastAsia="Arial" w:hAnsi="Arial"/>
          <w:sz w:val="17"/>
          <w:szCs w:val="17"/>
          <w:b w:val="1"/>
          <w:bCs w:val="1"/>
          <w:color w:val="auto"/>
        </w:rPr>
        <w:t>Derivatives</w:t>
      </w:r>
    </w:p>
    <w:p>
      <w:pPr>
        <w:jc w:val="both"/>
        <w:spacing w:after="0" w:line="255" w:lineRule="auto"/>
        <w:rPr>
          <w:sz w:val="20"/>
          <w:szCs w:val="20"/>
          <w:color w:val="auto"/>
        </w:rPr>
      </w:pPr>
      <w:r>
        <w:rPr>
          <w:rFonts w:ascii="Arial" w:cs="Arial" w:eastAsia="Arial" w:hAnsi="Arial"/>
          <w:sz w:val="18"/>
          <w:szCs w:val="18"/>
          <w:color w:val="auto"/>
        </w:rPr>
        <w:t>The Company is exposed to market risk for changes in foreign currency exchange rates due to the global nature of its operations and certain commodity risks. In order to manage these risks, the Company has hedged portions of its forecasted sales and purchases which occur within the next twelve months that are denominated in non-functional currencies, with currency forward contracts designated as cash flow hedges. At June 30, 2023 and December 31, 2022, the Company had contracts with total notional amounts of $180,999 and $184,565, respectively, to exchange currencies, principally euro, pound sterling, Swedish krona, Canadian dollar, Chinese yuan, and Swiss franc. The Company believes it is probable that all forecasted cash flow transactions will occur.</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had outstanding contracts with a total notional amount of $106,341 and $102,509 as of June 30, 2023 and December 31, 2022, respectively, that are not designated as hedging instruments. These instruments are used to reduce the Company's exposure for operating receivables and payables that are denominated in non-functional currencies. Gains and losses on these contracts are recorded in other income, net in the condensed consolidated statements of earnings.</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the fair values of derivative instruments held by the Company as of June 30, 2023 and December 31, 2022 and the balance sheet lines in which they are recorded: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8"/>
                <w:szCs w:val="18"/>
                <w:b w:val="1"/>
                <w:bCs w:val="1"/>
                <w:color w:val="auto"/>
              </w:rPr>
              <w:t>Fair Value Asset (Liability)</w:t>
            </w:r>
          </w:p>
        </w:tc>
        <w:tc>
          <w:tcPr>
            <w:tcW w:w="100" w:type="dxa"/>
            <w:vAlign w:val="bottom"/>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r>
      <w:tr>
        <w:trPr>
          <w:trHeight w:val="232"/>
        </w:trPr>
        <w:tc>
          <w:tcPr>
            <w:tcW w:w="40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June 30, 2023</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December 31, 2022</w:t>
            </w:r>
          </w:p>
        </w:tc>
        <w:tc>
          <w:tcPr>
            <w:tcW w:w="100" w:type="dxa"/>
            <w:vAlign w:val="bottom"/>
            <w:tcBorders>
              <w:bottom w:val="single" w:sz="8" w:color="CCEEFF"/>
            </w:tcBorders>
          </w:tcPr>
          <w:p>
            <w:pPr>
              <w:spacing w:after="0"/>
              <w:rPr>
                <w:sz w:val="20"/>
                <w:szCs w:val="20"/>
                <w:color w:val="auto"/>
              </w:rPr>
            </w:pPr>
          </w:p>
        </w:tc>
        <w:tc>
          <w:tcPr>
            <w:tcW w:w="30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Balance Sheet Caption</w:t>
            </w:r>
          </w:p>
        </w:tc>
      </w:tr>
      <w:tr>
        <w:trPr>
          <w:trHeight w:val="227"/>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19"/>
                <w:szCs w:val="19"/>
                <w:color w:val="auto"/>
              </w:rPr>
            </w:pPr>
          </w:p>
        </w:tc>
        <w:tc>
          <w:tcPr>
            <w:tcW w:w="3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Prepaid and other current assets</w:t>
            </w: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Foreign currency forward</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(2,249)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(2,760)</w:t>
            </w:r>
          </w:p>
        </w:tc>
        <w:tc>
          <w:tcPr>
            <w:tcW w:w="100" w:type="dxa"/>
            <w:vAlign w:val="bottom"/>
          </w:tcPr>
          <w:p>
            <w:pPr>
              <w:spacing w:after="0"/>
              <w:rPr>
                <w:sz w:val="20"/>
                <w:szCs w:val="20"/>
                <w:color w:val="auto"/>
              </w:rPr>
            </w:pPr>
          </w:p>
        </w:tc>
        <w:tc>
          <w:tcPr>
            <w:tcW w:w="3060" w:type="dxa"/>
            <w:vAlign w:val="bottom"/>
          </w:tcPr>
          <w:p>
            <w:pPr>
              <w:ind w:left="40"/>
              <w:spacing w:after="0"/>
              <w:rPr>
                <w:sz w:val="20"/>
                <w:szCs w:val="20"/>
                <w:color w:val="auto"/>
              </w:rPr>
            </w:pPr>
            <w:r>
              <w:rPr>
                <w:rFonts w:ascii="Arial" w:cs="Arial" w:eastAsia="Arial" w:hAnsi="Arial"/>
                <w:sz w:val="18"/>
                <w:szCs w:val="18"/>
                <w:color w:val="auto"/>
              </w:rPr>
              <w:t>Other accrued expenses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a cash flow hedge, the change in estimated fair value of a hedging instrument is recorded in accumulated other comprehensive earnings (loss) as a separate component of the condensed consolidated statements of stockholders' equity and is reclassified into revenues, cost of goods and services, or selling, general and administrative expenses in the condensed consolidated statements of earnings during the period in which the hedged transaction is settled. The amount of gains or losses from hedging activity recorded in earnings is not significant, and the amount of unrealized gains and losses from cash flow hedges that are expected to be reclassified to earnings in the next twelve months is not significant; therefore, additional tabular disclosures are not presented. There are no amounts excluded from the assessment of hedge effectiveness, and the Company's derivative instruments that are subject to credit risk contingent features were not significant.</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exposed to credit loss in the event of nonperformance by counterparties to the financial instrument contracts held by the Company; however, nonperformance by these counterparties is considered unlikely as the Company’s policy is to contract with highly-rated, diversified counterparties.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designated the €600,000 and €500,000 of euro-denominated notes issued November 9, 2016 and November 4, 2019, respectively, as hedges of a portion of its net investment in euro-denominated operations. Changes in the value of the euro-denominated debt are recognized in foreign currency translation adjustments within other comprehensive earnings (loss) of the condensed consolidated statements of comprehensive earnings to offset changes in the value of the net investment in euro-denominated operations. Changes in the value of the euro-denominated debt resulting from exchange rate differences are offset by changes in the net investment due to the high degree of effectiveness between the hedging instruments and the exposure being hedged.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other comprehensive earnings for the gains (losses) on net investment hedges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6"/>
              </w:rPr>
              <w:t>Three Months Ended June 30,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32"/>
        </w:trPr>
        <w:tc>
          <w:tcPr>
            <w:tcW w:w="49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7"/>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on euro-denominated debt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0"/>
              </w:rPr>
              <w:t>46,742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7"/>
              </w:rPr>
              <w:t>84,490</w:t>
            </w: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Tax benefit (expense)</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3,166</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89"/>
              </w:rPr>
              <w:t>(10,539)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92"/>
              </w:rPr>
              <w:t>(18,970)</w:t>
            </w:r>
          </w:p>
        </w:tc>
      </w:tr>
      <w:tr>
        <w:trPr>
          <w:trHeight w:val="257"/>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gain on net investment hedges, net of tax</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(11,098)</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0"/>
              </w:rPr>
              <w:t>36,203</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(25,295)</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7"/>
              </w:rPr>
              <w:t>65,520</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ASC 820, Fair Value Measurements and Disclosures, establishes a fair value hierarchy that requires the Company to maximize the use of observable inputs and minimize the use of unobservable inputs when measuring fair value. A financial instrument’s categorization within the hierarchy is based on the lowest level of input that is significant to the fair value measurement. ASC 820 establishes three levels of inputs that may be used to measure fair value as follows: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inputs include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Level 3 inputs are unobservable inputs in which little or no market data exists, therefore requiring an entity to develop its own assumptions.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assets and liabilities measured at fair value on a recurring basis as of June 30, 2023 and December 31, 2022:</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20" w:type="dxa"/>
            <w:vAlign w:val="bottom"/>
          </w:tcPr>
          <w:p>
            <w:pPr>
              <w:spacing w:after="0"/>
              <w:rPr>
                <w:sz w:val="20"/>
                <w:szCs w:val="20"/>
                <w:color w:val="auto"/>
              </w:rPr>
            </w:pPr>
          </w:p>
        </w:tc>
        <w:tc>
          <w:tcPr>
            <w:tcW w:w="154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b w:val="1"/>
                <w:bCs w:val="1"/>
                <w:color w:val="auto"/>
                <w:w w:val="88"/>
              </w:rPr>
              <w:t>June 30, 2023</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c>
          <w:tcPr>
            <w:tcW w:w="0" w:type="dxa"/>
            <w:vAlign w:val="bottom"/>
          </w:tcPr>
          <w:p>
            <w:pPr>
              <w:spacing w:after="0"/>
              <w:rPr>
                <w:sz w:val="1"/>
                <w:szCs w:val="1"/>
                <w:color w:val="auto"/>
              </w:rPr>
            </w:pPr>
          </w:p>
        </w:tc>
      </w:tr>
      <w:tr>
        <w:trPr>
          <w:trHeight w:val="230"/>
        </w:trPr>
        <w:tc>
          <w:tcPr>
            <w:tcW w:w="702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154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92"/>
              </w:rPr>
              <w:t>Level 2</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16"/>
        </w:trPr>
        <w:tc>
          <w:tcPr>
            <w:tcW w:w="702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cash flow hedges</w:t>
            </w:r>
          </w:p>
        </w:tc>
        <w:tc>
          <w:tcPr>
            <w:tcW w:w="154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2,255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cash flow hedges</w:t>
            </w:r>
          </w:p>
        </w:tc>
        <w:tc>
          <w:tcPr>
            <w:tcW w:w="15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2,249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derivative contracts are measured at fair value using models based on observable market inputs such as foreign currency exchange rates and interest rates; therefore, they are classified within Level 2 of the fair value hierarchy.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fair value disclosure requirements related to financial instruments carried at fair value, accounting standards require disclosures regarding the fair value of all of the Company's financial instruments.</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estimated fair value of long-term debt at June 30, 2023 and December 31, 2022, was $2,844,825 and $2,786,862, respectively. The estimated fair value of long-term debt is based on quoted market prices for similar instruments and is, therefore, classified as Level 2 within the fair value hierarchy.</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cash and cash equivalents, trade receivables, accounts payable and short-term borrowings approximate their fair values as of June 30, 2023 and December 31, 2022 due to the short-term nature of these instruments.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11. Income Taxes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 tax rates for the three months ended June 30, 2023 and 2022 were 19.3% and 13.6%, respectively. The increase in the effective tax rate for the three months ended June 30, 2023 relative to the prior year comparable period was primarily driven by favorable audit resolutions in 2022, including $22,579 related to the Tax Cuts and Jobs Act.</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 tax rates for the six months ended June 30, 2023 and 2022 were 19.7% and 15.6%, respectively. The increase in the effective tax rate for the six months ended June 30, 2023 relative to the prior year comparable period was primarily driven by favorable audit resolutions in 2022, including $22,579 related to the Tax Cuts and Jobs Act.</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Dover and its subsidiaries file tax returns in the U.S., including various state and local returns, and in other foreign jurisdictions. We believe adequate provision has been made for all income tax uncertainties. The Company is routinely audited by taxing authorities in its filing jurisdictions, and a number of these audits are currently underway. The Company believes that within the next twelve months uncertain tax positions may be resolved and statutes of limitations will expire, which could result in a decrease in the gross amount of unrecognized tax benefits of approximately $0 to $5,548.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12. Equity Incentive Program</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typically makes its annual grants of equity awards pursuant to actions taken by the Compensation Committee of the Board of Directors at its regularly scheduled first quarter meeting. During the six months ended June 30, 2023, the Company issued stock-settled appreciation rights ("SARs") covering 359,715 shares, performance share awards ("PSAs") of 43,656 and restricted stock units ("RSUs") of 82,055. During the six months ended June 30, 2022, the Company issued SARs covering 335,285 shares, PSAs of 40,087 and RSUs of 76,509.</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uses the Black-Scholes option pricing model to determine the fair value of each SAR on the date of grant. Expected volatilities are based on Dover's stock price history, including implied volatilities from traded options on Dover stock. The Company uses historical data to estimate SAR exercise and employee termination patterns within the valuation model. The expected life of SARs granted is derived from the output of the option valuation model and represents the average period of time that SARs granted are expected to be outstanding. The interest rate for periods within the contractual life of the awards is based on the U.S. Treasury yield curve in effect at the time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in determining the fair value of the SARs awarded during the respective periods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2040" w:type="dxa"/>
            <w:vAlign w:val="bottom"/>
            <w:tcBorders>
              <w:bottom w:val="single" w:sz="8" w:color="auto"/>
            </w:tcBorders>
            <w:gridSpan w:val="3"/>
          </w:tcPr>
          <w:p>
            <w:pPr>
              <w:ind w:left="1400"/>
              <w:spacing w:after="0"/>
              <w:rPr>
                <w:sz w:val="20"/>
                <w:szCs w:val="20"/>
                <w:color w:val="auto"/>
              </w:rPr>
            </w:pPr>
            <w:r>
              <w:rPr>
                <w:rFonts w:ascii="Arial" w:cs="Arial" w:eastAsia="Arial" w:hAnsi="Arial"/>
                <w:sz w:val="18"/>
                <w:szCs w:val="18"/>
                <w:b w:val="1"/>
                <w:bCs w:val="1"/>
                <w:color w:val="auto"/>
              </w:rPr>
              <w:t>SARs</w:t>
            </w:r>
          </w:p>
        </w:tc>
        <w:tc>
          <w:tcPr>
            <w:tcW w:w="1180" w:type="dxa"/>
            <w:vAlign w:val="bottom"/>
            <w:tcBorders>
              <w:bottom w:val="single" w:sz="8" w:color="auto"/>
            </w:tcBorders>
          </w:tcPr>
          <w:p>
            <w:pPr>
              <w:spacing w:after="0"/>
              <w:rPr>
                <w:sz w:val="20"/>
                <w:szCs w:val="20"/>
                <w:color w:val="auto"/>
              </w:rPr>
            </w:pPr>
          </w:p>
        </w:tc>
      </w:tr>
      <w:tr>
        <w:trPr>
          <w:trHeight w:val="232"/>
        </w:trPr>
        <w:tc>
          <w:tcPr>
            <w:tcW w:w="80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27"/>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1.86 %</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560" w:type="dxa"/>
            <w:vAlign w:val="bottom"/>
          </w:tcPr>
          <w:p>
            <w:pPr>
              <w:jc w:val="right"/>
              <w:spacing w:after="0"/>
              <w:rPr>
                <w:sz w:val="20"/>
                <w:szCs w:val="20"/>
                <w:color w:val="auto"/>
              </w:rPr>
            </w:pPr>
            <w:r>
              <w:rPr>
                <w:rFonts w:ascii="Arial" w:cs="Arial" w:eastAsia="Arial" w:hAnsi="Arial"/>
                <w:sz w:val="18"/>
                <w:szCs w:val="18"/>
                <w:color w:val="auto"/>
              </w:rPr>
              <w:t>1.32 %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1.25 %</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560" w:type="dxa"/>
            <w:vAlign w:val="bottom"/>
          </w:tcPr>
          <w:p>
            <w:pPr>
              <w:jc w:val="right"/>
              <w:spacing w:after="0"/>
              <w:rPr>
                <w:sz w:val="20"/>
                <w:szCs w:val="20"/>
                <w:color w:val="auto"/>
              </w:rPr>
            </w:pPr>
            <w:r>
              <w:rPr>
                <w:rFonts w:ascii="Arial" w:cs="Arial" w:eastAsia="Arial" w:hAnsi="Arial"/>
                <w:sz w:val="18"/>
                <w:szCs w:val="18"/>
                <w:color w:val="auto"/>
              </w:rPr>
              <w:t>30.65 %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29.46 %</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 price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$160.21</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Fair value per share at date of grant</w:t>
            </w:r>
          </w:p>
        </w:tc>
        <w:tc>
          <w:tcPr>
            <w:tcW w:w="1560" w:type="dxa"/>
            <w:vAlign w:val="bottom"/>
          </w:tcPr>
          <w:p>
            <w:pPr>
              <w:jc w:val="right"/>
              <w:spacing w:after="0"/>
              <w:rPr>
                <w:sz w:val="20"/>
                <w:szCs w:val="20"/>
                <w:color w:val="auto"/>
              </w:rPr>
            </w:pPr>
            <w:r>
              <w:rPr>
                <w:rFonts w:ascii="Arial" w:cs="Arial" w:eastAsia="Arial" w:hAnsi="Arial"/>
                <w:sz w:val="18"/>
                <w:szCs w:val="18"/>
                <w:color w:val="auto"/>
              </w:rPr>
              <w:t>$47.27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$42.07</w:t>
            </w:r>
          </w:p>
        </w:tc>
      </w:tr>
    </w:tbl>
    <w:p>
      <w:pPr>
        <w:spacing w:after="0" w:line="3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PSAs granted in 2023 and 2022 are market condition awards as attainment is based on Dover's performance relative to its peer group (companies listed under the S&amp;P 500 Industrials sector) for the relevant performance period. The performance period and vesting period for these awards is three years. These awards were valued on the date of grant using the Monte Carlo simulation model (a binomial lattice-based valuation model) and are generally recognized ratably over the vesting period, and the fair value is not subject to change based on future market conditions. The assumptions used in determining the fair value of the PSAs granted in the respective periods were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40" w:type="dxa"/>
            <w:vAlign w:val="bottom"/>
          </w:tcPr>
          <w:p>
            <w:pPr>
              <w:spacing w:after="0"/>
              <w:rPr>
                <w:sz w:val="20"/>
                <w:szCs w:val="20"/>
                <w:color w:val="auto"/>
              </w:rPr>
            </w:pPr>
          </w:p>
        </w:tc>
        <w:tc>
          <w:tcPr>
            <w:tcW w:w="2020" w:type="dxa"/>
            <w:vAlign w:val="bottom"/>
            <w:tcBorders>
              <w:bottom w:val="single" w:sz="8" w:color="auto"/>
            </w:tcBorders>
            <w:gridSpan w:val="3"/>
          </w:tcPr>
          <w:p>
            <w:pPr>
              <w:ind w:left="1400"/>
              <w:spacing w:after="0"/>
              <w:rPr>
                <w:sz w:val="20"/>
                <w:szCs w:val="20"/>
                <w:color w:val="auto"/>
              </w:rPr>
            </w:pPr>
            <w:r>
              <w:rPr>
                <w:rFonts w:ascii="Arial" w:cs="Arial" w:eastAsia="Arial" w:hAnsi="Arial"/>
                <w:sz w:val="18"/>
                <w:szCs w:val="18"/>
                <w:b w:val="1"/>
                <w:bCs w:val="1"/>
                <w:color w:val="auto"/>
              </w:rPr>
              <w:t>PSAs</w:t>
            </w:r>
          </w:p>
        </w:tc>
        <w:tc>
          <w:tcPr>
            <w:tcW w:w="1180" w:type="dxa"/>
            <w:vAlign w:val="bottom"/>
            <w:tcBorders>
              <w:bottom w:val="single" w:sz="8" w:color="auto"/>
            </w:tcBorders>
          </w:tcPr>
          <w:p>
            <w:pPr>
              <w:spacing w:after="0"/>
              <w:rPr>
                <w:sz w:val="20"/>
                <w:szCs w:val="20"/>
                <w:color w:val="auto"/>
              </w:rPr>
            </w:pPr>
          </w:p>
        </w:tc>
      </w:tr>
      <w:tr>
        <w:trPr>
          <w:trHeight w:val="229"/>
        </w:trPr>
        <w:tc>
          <w:tcPr>
            <w:tcW w:w="804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1.68 %</w:t>
            </w:r>
          </w:p>
        </w:tc>
      </w:tr>
      <w:tr>
        <w:trPr>
          <w:trHeight w:val="237"/>
        </w:trPr>
        <w:tc>
          <w:tcPr>
            <w:tcW w:w="80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560" w:type="dxa"/>
            <w:vAlign w:val="bottom"/>
          </w:tcPr>
          <w:p>
            <w:pPr>
              <w:jc w:val="right"/>
              <w:spacing w:after="0"/>
              <w:rPr>
                <w:sz w:val="20"/>
                <w:szCs w:val="20"/>
                <w:color w:val="auto"/>
              </w:rPr>
            </w:pPr>
            <w:r>
              <w:rPr>
                <w:rFonts w:ascii="Arial" w:cs="Arial" w:eastAsia="Arial" w:hAnsi="Arial"/>
                <w:sz w:val="18"/>
                <w:szCs w:val="18"/>
                <w:color w:val="auto"/>
              </w:rPr>
              <w:t>1.32 %</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1.25 %</w:t>
            </w:r>
          </w:p>
        </w:tc>
      </w:tr>
      <w:tr>
        <w:trPr>
          <w:trHeight w:val="23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560" w:type="dxa"/>
            <w:vAlign w:val="bottom"/>
          </w:tcPr>
          <w:p>
            <w:pPr>
              <w:jc w:val="right"/>
              <w:spacing w:after="0"/>
              <w:rPr>
                <w:sz w:val="20"/>
                <w:szCs w:val="20"/>
                <w:color w:val="auto"/>
              </w:rPr>
            </w:pPr>
            <w:r>
              <w:rPr>
                <w:rFonts w:ascii="Arial" w:cs="Arial" w:eastAsia="Arial" w:hAnsi="Arial"/>
                <w:sz w:val="18"/>
                <w:szCs w:val="18"/>
                <w:color w:val="auto"/>
              </w:rPr>
              <w:t>27.30 %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31.10 %</w:t>
            </w:r>
          </w:p>
        </w:tc>
      </w:tr>
      <w:tr>
        <w:trPr>
          <w:trHeight w:val="24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 price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$153.25</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$160.21</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Fair value per share at date of grant</w:t>
            </w:r>
          </w:p>
        </w:tc>
        <w:tc>
          <w:tcPr>
            <w:tcW w:w="1560" w:type="dxa"/>
            <w:vAlign w:val="bottom"/>
          </w:tcPr>
          <w:p>
            <w:pPr>
              <w:jc w:val="right"/>
              <w:spacing w:after="0"/>
              <w:rPr>
                <w:sz w:val="20"/>
                <w:szCs w:val="20"/>
                <w:color w:val="auto"/>
              </w:rPr>
            </w:pPr>
            <w:r>
              <w:rPr>
                <w:rFonts w:ascii="Arial" w:cs="Arial" w:eastAsia="Arial" w:hAnsi="Arial"/>
                <w:sz w:val="18"/>
                <w:szCs w:val="18"/>
                <w:color w:val="auto"/>
              </w:rPr>
              <w:t>$249.48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$196.40</w:t>
            </w:r>
          </w:p>
        </w:tc>
      </w:tr>
    </w:tbl>
    <w:p>
      <w:pPr>
        <w:spacing w:after="0" w:line="3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has granted RSUs, and the fair value of these awards was determined using Dover's closing stock price on the date of grant, which was $153.25 and $160.21 for RSUs granted in 2023 and 2022, respectively.</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Stock-based compensation is reported within selling, general and administrative expenses in the condensed consolidated statements of earnings. The following table summarizes the Company’s compensation expense relating to all stock-based incentive plans: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302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47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36"/>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Pre-tax stock-based compensation expense</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6,441</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8"/>
              </w:rPr>
              <w:t>18,723</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8"/>
              </w:rPr>
              <w:t>18,331</w:t>
            </w:r>
          </w:p>
        </w:tc>
      </w:tr>
      <w:tr>
        <w:trPr>
          <w:trHeight w:val="230"/>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benefit</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91"/>
              </w:rPr>
              <w:t>(1,951)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4"/>
              </w:rPr>
              <w:t>(1,846)</w:t>
            </w: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 net of tax</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5,854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98"/>
              </w:rPr>
              <w:t>16,772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98"/>
              </w:rPr>
              <w:t>16,485</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13. Commitments and Contingent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few of the Company’s subsidiaries are involved in legal proceedings relating to the cleanup of waste disposal sites identified under federal and state statutes which provide for the allocation of such costs among "potentially responsible parties." In each instance, the extent of the Company’s liability appears to be relatively insignificant in relation to the total projected expenditures and the number of other "potentially responsible parties" involved and is anticipated to be immaterial to the Company. In addition, a few of the Company’s subsidiaries are involved in ongoing remedial activities at certain current and former plant sites, in cooperation with regulatory agencies, and appropriate estimated liabilities have been established. At June 30, 2023 and December 31, 2022, these estimated liabilities for environmental and other matters, including private party claims for exposure to hazardous substances that are probable and estimable, were not significant.</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and some of its subsidiaries are also parties to a number of other legal proceedings incidental to their businesses. These proceedings primarily involve claims by private parties alleging injury arising out of use of the Company’s products, patent infringement, employment matters and commercial disputes. Management and legal counsel, at least quarterly, review</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probable outcome of such proceedings, the costs and expenses reasonably expected to be incurred and currently accrued to-date and consider the availability and extent of insurance coverage. The Company has estimated liabilities for these other legal matters that are probable and estimable, and at June 30, 2023 and December 31, 2022, these estimated liabilities were immaterial. While it is not possible at this time to predict the outcome of these legal actions, in the opinion of management, based on the aforementioned reviews, the Company is not currently involved in any legal proceedings which, individually or in the aggregate, could have a material effect on its financial position, results of operations, or cash flows.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Accruals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Estimated warranty program claims are provided for at the time of sale of the Company's products. Amounts provided for are based on historical costs and adjusted for new claims and are included within other accrued expenses and other liabilities in the condensed consolidated balance sheet. The changes in the carrying amount of product warranties through June 30, 2023 and 2022, were as follows:</w:t>
      </w:r>
    </w:p>
    <w:p>
      <w:pPr>
        <w:sectPr>
          <w:pgSz w:w="11900" w:h="16838" w:orient="portrait"/>
          <w:cols w:equalWidth="0" w:num="1">
            <w:col w:w="11240"/>
          </w:cols>
          <w:pgMar w:left="320" w:top="130" w:right="339" w:bottom="1440" w:gutter="0" w:footer="0" w:header="0"/>
        </w:sect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Provision for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Settlements made</w:t>
      </w:r>
    </w:p>
    <w:p>
      <w:pPr>
        <w:spacing w:after="0" w:line="35" w:lineRule="exact"/>
        <w:rPr>
          <w:sz w:val="20"/>
          <w:szCs w:val="20"/>
          <w:color w:val="auto"/>
        </w:rPr>
      </w:pPr>
    </w:p>
    <w:p>
      <w:pPr>
        <w:ind w:left="20" w:right="2800"/>
        <w:spacing w:after="0" w:line="340" w:lineRule="auto"/>
        <w:rPr>
          <w:sz w:val="20"/>
          <w:szCs w:val="20"/>
          <w:color w:val="auto"/>
        </w:rPr>
      </w:pPr>
      <w:r>
        <w:rPr>
          <w:rFonts w:ascii="Arial" w:cs="Arial" w:eastAsia="Arial" w:hAnsi="Arial"/>
          <w:sz w:val="18"/>
          <w:szCs w:val="18"/>
          <w:color w:val="auto"/>
        </w:rPr>
        <w:t xml:space="preserve">Other adjustments, including acquisitions and currency translation </w:t>
      </w:r>
      <w:r>
        <w:rPr>
          <w:rFonts w:ascii="Arial" w:cs="Arial" w:eastAsia="Arial" w:hAnsi="Arial"/>
          <w:sz w:val="18"/>
          <w:szCs w:val="18"/>
          <w:b w:val="1"/>
          <w:bCs w:val="1"/>
          <w:color w:val="auto"/>
        </w:rPr>
        <w:t>Balance at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224"/>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48,449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48,568</w:t>
            </w:r>
          </w:p>
        </w:tc>
      </w:tr>
      <w:tr>
        <w:trPr>
          <w:trHeight w:val="241"/>
        </w:trPr>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32,483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31,112</w:t>
            </w:r>
          </w:p>
        </w:tc>
      </w:tr>
      <w:tr>
        <w:trPr>
          <w:trHeight w:val="229"/>
        </w:trPr>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(30,812)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(30,955)</w:t>
            </w:r>
          </w:p>
        </w:tc>
      </w:tr>
      <w:tr>
        <w:trPr>
          <w:trHeight w:val="237"/>
        </w:trPr>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r>
      <w:tr>
        <w:trPr>
          <w:trHeight w:val="230"/>
        </w:trPr>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50,558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48,004</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sectPr>
          <w:pgSz w:w="11900" w:h="16838" w:orient="portrait"/>
          <w:cols w:equalWidth="0" w:num="2">
            <w:col w:w="7600" w:space="720"/>
            <w:col w:w="2920"/>
          </w:cols>
          <w:pgMar w:left="320" w:top="130" w:right="3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14. Other Comprehensive Earnings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Amounts reclassified from accumulated other comprehensive earnings (loss) to earnings during the three and six months ended June 30, 2023 and 2022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04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Foreign currency translation:</w:t>
            </w: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Reclassification of foreign currency translation losses to earnings</w:t>
            </w:r>
          </w:p>
        </w:tc>
        <w:tc>
          <w:tcPr>
            <w:tcW w:w="960" w:type="dxa"/>
            <w:vAlign w:val="bottom"/>
            <w:vMerge w:val="restart"/>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5,915</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substantial liquidation of businesses</w:t>
            </w:r>
          </w:p>
        </w:tc>
        <w:tc>
          <w:tcPr>
            <w:tcW w:w="960" w:type="dxa"/>
            <w:vAlign w:val="bottom"/>
            <w:vMerge w:val="continue"/>
            <w:shd w:val="clear" w:color="auto" w:fill="CCEEFF"/>
          </w:tcPr>
          <w:p>
            <w:pPr>
              <w:spacing w:after="0"/>
              <w:rPr>
                <w:sz w:val="21"/>
                <w:szCs w:val="21"/>
                <w:color w:val="auto"/>
              </w:rPr>
            </w:pPr>
          </w:p>
        </w:tc>
        <w:tc>
          <w:tcPr>
            <w:tcW w:w="500" w:type="dxa"/>
            <w:vAlign w:val="bottom"/>
            <w:vMerge w:val="continue"/>
            <w:shd w:val="clear" w:color="auto" w:fill="CCEEFF"/>
          </w:tcPr>
          <w:p>
            <w:pPr>
              <w:spacing w:after="0"/>
              <w:rPr>
                <w:sz w:val="21"/>
                <w:szCs w:val="21"/>
                <w:color w:val="auto"/>
              </w:rPr>
            </w:pPr>
          </w:p>
        </w:tc>
        <w:tc>
          <w:tcPr>
            <w:tcW w:w="440" w:type="dxa"/>
            <w:vAlign w:val="bottom"/>
            <w:gridSpan w:val="2"/>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440" w:type="dxa"/>
            <w:vAlign w:val="bottom"/>
            <w:gridSpan w:val="2"/>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480" w:type="dxa"/>
            <w:vAlign w:val="bottom"/>
            <w:gridSpan w:val="2"/>
            <w:vMerge w:val="continue"/>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Tax benefit</w:t>
            </w: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5,915</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Pension plans: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82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actuarial (gain) loss</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prior service costs</w:t>
            </w: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before tax</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provision (benefit)</w:t>
            </w:r>
          </w:p>
        </w:tc>
        <w:tc>
          <w:tcPr>
            <w:tcW w:w="9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Cash flow hedges: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2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(gain) reclassified into earnings</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1,045</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(benefit) provision</w:t>
            </w: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Foreign currency translation losses were recognized in selling, general and administrative expenses within the condensed consolidated statement of earnings as a result of the substantial liquidation of certain businesses.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the amortization of net actuarial gains and losses and prior service costs in other income, net within the condensed consolidated statements of earnings.</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Cash flow hedges consist mainly of foreign currency forward contracts. The Company recognizes the realized gains and losses on its cash flow hedges in the same line item as the hedged transaction, such as revenue, cost of goods and services, or selling, general and administrative expenses.</w:t>
      </w: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15. Segment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categorizes its operating companies into five reportable segments as follows:</w:t>
      </w:r>
    </w:p>
    <w:p>
      <w:pPr>
        <w:spacing w:after="0" w:line="252" w:lineRule="exact"/>
        <w:rPr>
          <w:sz w:val="20"/>
          <w:szCs w:val="20"/>
          <w:color w:val="auto"/>
        </w:rPr>
      </w:pPr>
    </w:p>
    <w:p>
      <w:pPr>
        <w:ind w:left="6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Engineered Products segment provides a wide range of equipment, components, software, solutions and services to the vehicle aftermarket, waste handling, industrial automation, aerospace and defense, industrial winch and hoist, and fluid dispensing end-markets.</w:t>
      </w:r>
    </w:p>
    <w:p>
      <w:pPr>
        <w:spacing w:after="0" w:line="173" w:lineRule="exact"/>
        <w:rPr>
          <w:rFonts w:ascii="Arial" w:cs="Arial" w:eastAsia="Arial" w:hAnsi="Arial"/>
          <w:sz w:val="17"/>
          <w:szCs w:val="17"/>
          <w:color w:val="auto"/>
        </w:rPr>
      </w:pPr>
    </w:p>
    <w:p>
      <w:pPr>
        <w:jc w:val="both"/>
        <w:ind w:left="660" w:hanging="328"/>
        <w:spacing w:after="0" w:line="31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Clean Energy &amp; Fueling segment provides components, equipment, software, solutions and services enabling safe and reliable storage, transport and dispensing of traditional and clean fuels (including liquefied natural gas, hydrogen, and electric vehicle charging), cryogenic gases, and other hazardous substances along the supply chain, and safe and efficient operation of convenience retail, retail fueling and vehicle wash establishments.</w:t>
      </w:r>
    </w:p>
    <w:p>
      <w:pPr>
        <w:spacing w:after="0" w:line="175"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spacing w:after="0" w:line="21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Pumps &amp; Process Solutions segment manufactures specialty pumps and flow meters, highly engineered precision components for rotating and reciprocating machines, fluid connecting solutions and plastics and polymer processing equipment, serving single-use biopharmaceutical production, diversified industrial manufacturing, chemical production, plastics and polymer processing, midstream and downstream oil and gas, thermal management applications and other end-markets.</w:t>
      </w:r>
    </w:p>
    <w:p>
      <w:pPr>
        <w:spacing w:after="0" w:line="21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Climate &amp; Sustainability Technologies segment is a provider of innovative and energy-efficient equipment, components and parts for the commercial refrigeration, heating and cooling and beverage can-making equipment markets.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uses segment earnings to evaluate segment performance and allocate resources. Segment earnings is defined as earnings before purchase accounting expenses, restructuring and other costs (benefits), loss (gain) on dispositions, corporate expenses/other, interest expense, interest income and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Segment financial information and a reconciliation of segment results to consolidated results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6"/>
              </w:rPr>
              <w:t>Three Months Ended June 30,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32"/>
        </w:trPr>
        <w:tc>
          <w:tcPr>
            <w:tcW w:w="48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7"/>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860" w:type="dxa"/>
            <w:vAlign w:val="bottom"/>
          </w:tcPr>
          <w:p>
            <w:pPr>
              <w:ind w:left="460"/>
              <w:spacing w:after="0"/>
              <w:rPr>
                <w:sz w:val="20"/>
                <w:szCs w:val="20"/>
                <w:color w:val="auto"/>
              </w:rPr>
            </w:pPr>
            <w:r>
              <w:rPr>
                <w:rFonts w:ascii="Arial" w:cs="Arial" w:eastAsia="Arial" w:hAnsi="Arial"/>
                <w:sz w:val="18"/>
                <w:szCs w:val="18"/>
                <w:color w:val="auto"/>
              </w:rPr>
              <w:t>Engineered Products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473,687</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514,436</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971,236</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1,002,083</w:t>
            </w:r>
          </w:p>
        </w:tc>
      </w:tr>
      <w:tr>
        <w:trPr>
          <w:trHeight w:val="243"/>
        </w:trPr>
        <w:tc>
          <w:tcPr>
            <w:tcW w:w="4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Clean Energy &amp; Fueling</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441,166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494,075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871,895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952,470</w:t>
            </w:r>
          </w:p>
        </w:tc>
      </w:tr>
      <w:tr>
        <w:trPr>
          <w:trHeight w:val="229"/>
        </w:trPr>
        <w:tc>
          <w:tcPr>
            <w:tcW w:w="4860" w:type="dxa"/>
            <w:vAlign w:val="bottom"/>
          </w:tcPr>
          <w:p>
            <w:pPr>
              <w:ind w:left="460"/>
              <w:spacing w:after="0"/>
              <w:rPr>
                <w:sz w:val="20"/>
                <w:szCs w:val="20"/>
                <w:color w:val="auto"/>
              </w:rPr>
            </w:pPr>
            <w:r>
              <w:rPr>
                <w:rFonts w:ascii="Arial" w:cs="Arial" w:eastAsia="Arial" w:hAnsi="Arial"/>
                <w:sz w:val="18"/>
                <w:szCs w:val="18"/>
                <w:color w:val="auto"/>
              </w:rPr>
              <w:t>Imaging &amp; Identification</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271,932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275,951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555,023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548,206</w:t>
            </w:r>
          </w:p>
        </w:tc>
      </w:tr>
      <w:tr>
        <w:trPr>
          <w:trHeight w:val="229"/>
        </w:trPr>
        <w:tc>
          <w:tcPr>
            <w:tcW w:w="4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Pumps &amp; Process Solutions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879,507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876,322</w:t>
            </w:r>
          </w:p>
        </w:tc>
      </w:tr>
      <w:tr>
        <w:trPr>
          <w:trHeight w:val="237"/>
        </w:trPr>
        <w:tc>
          <w:tcPr>
            <w:tcW w:w="4860" w:type="dxa"/>
            <w:vAlign w:val="bottom"/>
          </w:tcPr>
          <w:p>
            <w:pPr>
              <w:ind w:left="460"/>
              <w:spacing w:after="0"/>
              <w:rPr>
                <w:sz w:val="20"/>
                <w:szCs w:val="20"/>
                <w:color w:val="auto"/>
              </w:rPr>
            </w:pPr>
            <w:r>
              <w:rPr>
                <w:rFonts w:ascii="Arial" w:cs="Arial" w:eastAsia="Arial" w:hAnsi="Arial"/>
                <w:sz w:val="18"/>
                <w:szCs w:val="18"/>
                <w:color w:val="auto"/>
              </w:rPr>
              <w:t>Climate &amp; Sustainability Technologies</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449,001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434,164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904,326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833,242</w:t>
            </w:r>
          </w:p>
        </w:tc>
      </w:tr>
      <w:tr>
        <w:trPr>
          <w:trHeight w:val="23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w:t>
            </w: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Total consolidated revenue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2,100,086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2,158,715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4,179,109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4,210,616</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Segment earnings: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Engineered Products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73,076</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81,671</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157,351</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152,801</w:t>
            </w:r>
          </w:p>
        </w:tc>
      </w:tr>
      <w:tr>
        <w:trPr>
          <w:trHeight w:val="237"/>
        </w:trPr>
        <w:tc>
          <w:tcPr>
            <w:tcW w:w="4860" w:type="dxa"/>
            <w:vAlign w:val="bottom"/>
          </w:tcPr>
          <w:p>
            <w:pPr>
              <w:ind w:left="460"/>
              <w:spacing w:after="0"/>
              <w:rPr>
                <w:sz w:val="20"/>
                <w:szCs w:val="20"/>
                <w:color w:val="auto"/>
              </w:rPr>
            </w:pPr>
            <w:r>
              <w:rPr>
                <w:rFonts w:ascii="Arial" w:cs="Arial" w:eastAsia="Arial" w:hAnsi="Arial"/>
                <w:sz w:val="18"/>
                <w:szCs w:val="18"/>
                <w:color w:val="auto"/>
              </w:rPr>
              <w:t>Clean Energy &amp; Fueling</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83,616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99,034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157,221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171,996</w:t>
            </w:r>
          </w:p>
        </w:tc>
      </w:tr>
      <w:tr>
        <w:trPr>
          <w:trHeight w:val="236"/>
        </w:trPr>
        <w:tc>
          <w:tcPr>
            <w:tcW w:w="4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Imaging &amp; Identification</w:t>
            </w: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61,392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129,651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119,990</w:t>
            </w:r>
          </w:p>
        </w:tc>
      </w:tr>
      <w:tr>
        <w:trPr>
          <w:trHeight w:val="230"/>
        </w:trPr>
        <w:tc>
          <w:tcPr>
            <w:tcW w:w="4860" w:type="dxa"/>
            <w:vAlign w:val="bottom"/>
          </w:tcPr>
          <w:p>
            <w:pPr>
              <w:ind w:left="460"/>
              <w:spacing w:after="0"/>
              <w:rPr>
                <w:sz w:val="20"/>
                <w:szCs w:val="20"/>
                <w:color w:val="auto"/>
              </w:rPr>
            </w:pPr>
            <w:r>
              <w:rPr>
                <w:rFonts w:ascii="Arial" w:cs="Arial" w:eastAsia="Arial" w:hAnsi="Arial"/>
                <w:sz w:val="18"/>
                <w:szCs w:val="18"/>
                <w:color w:val="auto"/>
              </w:rPr>
              <w:t>Pumps &amp; Process Solutions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129,337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138,048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244,581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284,665</w:t>
            </w:r>
          </w:p>
        </w:tc>
      </w:tr>
      <w:tr>
        <w:trPr>
          <w:trHeight w:val="243"/>
        </w:trPr>
        <w:tc>
          <w:tcPr>
            <w:tcW w:w="4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Climate &amp; Sustainability Technologies</w:t>
            </w: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76,074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64,181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149,852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117,790</w:t>
            </w: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Total segment earnings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423,439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444,326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838,656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847,242</w:t>
            </w:r>
          </w:p>
        </w:tc>
      </w:tr>
      <w:tr>
        <w:trPr>
          <w:trHeight w:val="229"/>
        </w:trPr>
        <w:tc>
          <w:tcPr>
            <w:tcW w:w="4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Purchase accounting expenses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100,305</w:t>
            </w:r>
          </w:p>
        </w:tc>
      </w:tr>
      <w:tr>
        <w:trPr>
          <w:trHeight w:val="243"/>
        </w:trPr>
        <w:tc>
          <w:tcPr>
            <w:tcW w:w="486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Restructuring and other costs </w:t>
            </w:r>
            <w:r>
              <w:rPr>
                <w:rFonts w:ascii="Arial" w:cs="Arial" w:eastAsia="Arial" w:hAnsi="Arial"/>
                <w:sz w:val="23"/>
                <w:szCs w:val="23"/>
                <w:color w:val="auto"/>
                <w:vertAlign w:val="superscript"/>
              </w:rPr>
              <w:t>(2)</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18,143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32,196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18,496</w:t>
            </w:r>
          </w:p>
        </w:tc>
      </w:tr>
      <w:tr>
        <w:trPr>
          <w:trHeight w:val="229"/>
        </w:trPr>
        <w:tc>
          <w:tcPr>
            <w:tcW w:w="4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Loss on dispositions </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30"/>
        </w:trPr>
        <w:tc>
          <w:tcPr>
            <w:tcW w:w="48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Corporate expense / other </w:t>
            </w:r>
            <w:r>
              <w:rPr>
                <w:rFonts w:ascii="Arial" w:cs="Arial" w:eastAsia="Arial" w:hAnsi="Arial"/>
                <w:sz w:val="23"/>
                <w:szCs w:val="23"/>
                <w:color w:val="auto"/>
                <w:vertAlign w:val="superscript"/>
              </w:rPr>
              <w:t>(4)</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33,922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73,994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65,371</w:t>
            </w:r>
          </w:p>
        </w:tc>
      </w:tr>
      <w:tr>
        <w:trPr>
          <w:trHeight w:val="24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53,541</w:t>
            </w:r>
          </w:p>
        </w:tc>
      </w:tr>
      <w:tr>
        <w:trPr>
          <w:trHeight w:val="23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w:t>
            </w: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provision for income taxes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611,059</w:t>
            </w:r>
          </w:p>
        </w:tc>
      </w:tr>
      <w:tr>
        <w:trPr>
          <w:trHeight w:val="243"/>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57,784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45,738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115,500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95,288</w:t>
            </w: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470,813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515,771</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hanging="8"/>
        <w:spacing w:after="0" w:line="221" w:lineRule="auto"/>
        <w:tabs>
          <w:tab w:leader="none" w:pos="52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Purchase accounting expenses are primarily comprised of amortization of intangible assets and charges related to fair value step-ups for acquired inventory sold during the period.</w:t>
      </w:r>
    </w:p>
    <w:p>
      <w:pPr>
        <w:ind w:left="340" w:hanging="8"/>
        <w:spacing w:after="0" w:line="222" w:lineRule="auto"/>
        <w:tabs>
          <w:tab w:leader="none" w:pos="516"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Restructuring and other costs relate to actions taken for headcount reductions, facility consolidations and site closures, product line exits, and other asset charges. Restructuring and other costs consist of the following:</w:t>
      </w:r>
    </w:p>
    <w:p>
      <w:pPr>
        <w:spacing w:after="0" w:line="1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3020" w:type="dxa"/>
            <w:vAlign w:val="bottom"/>
            <w:tcBorders>
              <w:bottom w:val="single" w:sz="8" w:color="auto"/>
            </w:tcBorders>
            <w:gridSpan w:val="5"/>
          </w:tcPr>
          <w:p>
            <w:pPr>
              <w:jc w:val="right"/>
              <w:ind w:right="257"/>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377"/>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32"/>
        </w:trPr>
        <w:tc>
          <w:tcPr>
            <w:tcW w:w="436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7"/>
              <w:spacing w:after="0"/>
              <w:rPr>
                <w:sz w:val="20"/>
                <w:szCs w:val="20"/>
                <w:color w:val="auto"/>
              </w:rPr>
            </w:pPr>
            <w:r>
              <w:rPr>
                <w:rFonts w:ascii="Arial" w:cs="Arial" w:eastAsia="Arial" w:hAnsi="Arial"/>
                <w:sz w:val="18"/>
                <w:szCs w:val="18"/>
                <w:b w:val="1"/>
                <w:bCs w:val="1"/>
                <w:color w:val="auto"/>
              </w:rPr>
              <w:t>2022</w:t>
            </w:r>
          </w:p>
        </w:tc>
      </w:tr>
      <w:tr>
        <w:trPr>
          <w:trHeight w:val="214"/>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920" w:type="dxa"/>
            <w:vAlign w:val="bottom"/>
            <w:shd w:val="clear" w:color="auto" w:fill="CCEEFF"/>
          </w:tcPr>
          <w:p>
            <w:pPr>
              <w:jc w:val="right"/>
              <w:ind w:right="735"/>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16,399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28,875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12,466</w:t>
            </w:r>
          </w:p>
        </w:tc>
      </w:tr>
      <w:tr>
        <w:trPr>
          <w:trHeight w:val="213"/>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costs, net</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6,030</w:t>
            </w:r>
          </w:p>
        </w:tc>
      </w:tr>
      <w:tr>
        <w:trPr>
          <w:trHeight w:val="233"/>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and other costs</w:t>
            </w:r>
          </w:p>
        </w:tc>
        <w:tc>
          <w:tcPr>
            <w:tcW w:w="920" w:type="dxa"/>
            <w:vAlign w:val="bottom"/>
            <w:shd w:val="clear" w:color="auto" w:fill="CCEEFF"/>
          </w:tcPr>
          <w:p>
            <w:pPr>
              <w:jc w:val="right"/>
              <w:ind w:right="735"/>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18,143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7,944</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32,196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18,496</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500" w:hanging="168"/>
        <w:spacing w:after="0"/>
        <w:tabs>
          <w:tab w:leader="none" w:pos="500" w:val="left"/>
        </w:tabs>
        <w:numPr>
          <w:ilvl w:val="0"/>
          <w:numId w:val="7"/>
        </w:numPr>
        <w:rPr>
          <w:rFonts w:ascii="Arial" w:cs="Arial" w:eastAsia="Arial" w:hAnsi="Arial"/>
          <w:sz w:val="20"/>
          <w:szCs w:val="20"/>
          <w:color w:val="auto"/>
          <w:vertAlign w:val="superscript"/>
        </w:rPr>
      </w:pPr>
      <w:r>
        <w:rPr>
          <w:rFonts w:ascii="Arial" w:cs="Arial" w:eastAsia="Arial" w:hAnsi="Arial"/>
          <w:sz w:val="15"/>
          <w:szCs w:val="15"/>
          <w:color w:val="auto"/>
        </w:rPr>
        <w:t>Loss on dispositions includes working capital adjustments related to dispositions.</w:t>
      </w:r>
    </w:p>
    <w:p>
      <w:pPr>
        <w:spacing w:after="0" w:line="10" w:lineRule="exact"/>
        <w:rPr>
          <w:rFonts w:ascii="Arial" w:cs="Arial" w:eastAsia="Arial" w:hAnsi="Arial"/>
          <w:sz w:val="20"/>
          <w:szCs w:val="20"/>
          <w:color w:val="auto"/>
          <w:vertAlign w:val="superscript"/>
        </w:rPr>
      </w:pPr>
    </w:p>
    <w:p>
      <w:pPr>
        <w:jc w:val="both"/>
        <w:ind w:left="340" w:hanging="8"/>
        <w:spacing w:after="0" w:line="229" w:lineRule="auto"/>
        <w:tabs>
          <w:tab w:leader="none" w:pos="509"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Certain expenses are maintained at the corporate level and not allocated to the segments. These expenses include executive and functional compensation costs, non-service pension costs, non-operating insurance expenses, shared business services and digital overhead costs, deal related expenses and various administrative expenses relating to the corporate headquarters.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disaggregated by geography based on the location of the Company's customers: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5"/>
              </w:rPr>
              <w:t>Three Months Ended June 30,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37"/>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Revenue by geography</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1,161,982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1,253,061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2,333,346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2,404,561</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446,307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458,263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879,148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905,828</w:t>
            </w:r>
          </w:p>
        </w:tc>
      </w:tr>
      <w:tr>
        <w:trPr>
          <w:trHeight w:val="24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230,805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229,116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445,655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458,502</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168,573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149,728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340,758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301,320</w:t>
            </w:r>
          </w:p>
        </w:tc>
      </w:tr>
      <w:tr>
        <w:trPr>
          <w:trHeight w:val="229"/>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92,419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68,547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180,202</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140,405</w:t>
            </w: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2,100,086</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2,158,715</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4,179,109</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4,210,616</w:t>
            </w:r>
          </w:p>
        </w:tc>
      </w:tr>
      <w:tr>
        <w:trPr>
          <w:trHeight w:val="21"/>
        </w:trPr>
        <w:tc>
          <w:tcPr>
            <w:tcW w:w="4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16. Share Repurchases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Board of Directors approved a standing share repurchase authorization whereby the Company may repurchase up to 20 million shares beginning on January 1, 2021 through December 31, 2023. In the three and six months ended June 30, 2023, there were no share repurchases. In the three and six months ended June 30, 2022, the Company repurchased 641,428 shares of common stock at a total cost of $85,000, or $132.52 per share. As of June 30, 2023, 15,283,326 shares remain authorized for repurchase under the current share repurchase authorization.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17.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reconciliation of the information used in computing basic and diluted earnings per share: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w w:val="98"/>
              </w:rPr>
              <w:t>Three Months Ended June 30,</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16"/>
        </w:trPr>
        <w:tc>
          <w:tcPr>
            <w:tcW w:w="47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36"/>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242,239</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289,618</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470,813</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515,771</w:t>
            </w: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Basic earnings per common share:</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earnings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37"/>
        </w:trPr>
        <w:tc>
          <w:tcPr>
            <w:tcW w:w="4720" w:type="dxa"/>
            <w:vAlign w:val="bottom"/>
          </w:tcPr>
          <w:p>
            <w:pPr>
              <w:ind w:left="24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139,862,000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143,832,000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139,810,000</w:t>
            </w: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143,959,000</w:t>
            </w:r>
          </w:p>
        </w:tc>
      </w:tr>
      <w:tr>
        <w:trPr>
          <w:trHeight w:val="236"/>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common share:</w:t>
            </w: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4720" w:type="dxa"/>
            <w:vAlign w:val="bottom"/>
          </w:tcPr>
          <w:p>
            <w:pPr>
              <w:ind w:left="240"/>
              <w:spacing w:after="0"/>
              <w:rPr>
                <w:sz w:val="20"/>
                <w:szCs w:val="20"/>
                <w:color w:val="auto"/>
              </w:rPr>
            </w:pPr>
            <w:r>
              <w:rPr>
                <w:rFonts w:ascii="Arial" w:cs="Arial" w:eastAsia="Arial" w:hAnsi="Arial"/>
                <w:sz w:val="18"/>
                <w:szCs w:val="18"/>
                <w:color w:val="auto"/>
              </w:rPr>
              <w:t>Net earnings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1.72</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2.00</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3.35</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43"/>
        </w:trPr>
        <w:tc>
          <w:tcPr>
            <w:tcW w:w="4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140,578,000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144,669,000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140,597,000</w:t>
            </w:r>
          </w:p>
        </w:tc>
        <w:tc>
          <w:tcPr>
            <w:tcW w:w="4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144,998,000</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reconciliation of the share amounts used in computing earnings per share: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 average shares outstanding - Basic</w:t>
      </w:r>
    </w:p>
    <w:p>
      <w:pPr>
        <w:spacing w:after="0" w:line="23" w:lineRule="exact"/>
        <w:rPr>
          <w:sz w:val="20"/>
          <w:szCs w:val="20"/>
          <w:color w:val="auto"/>
        </w:rPr>
      </w:pPr>
    </w:p>
    <w:p>
      <w:pPr>
        <w:ind w:left="20"/>
        <w:spacing w:after="0" w:line="245" w:lineRule="auto"/>
        <w:rPr>
          <w:sz w:val="20"/>
          <w:szCs w:val="20"/>
          <w:color w:val="auto"/>
        </w:rPr>
      </w:pPr>
      <w:r>
        <w:rPr>
          <w:rFonts w:ascii="Arial" w:cs="Arial" w:eastAsia="Arial" w:hAnsi="Arial"/>
          <w:sz w:val="18"/>
          <w:szCs w:val="18"/>
          <w:color w:val="auto"/>
        </w:rPr>
        <w:t>Dilutive effect of assumed exercise of SARs and vesting of performance shares and RSUs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 average shares outstanding - Diluted</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332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0"/>
                <w:szCs w:val="20"/>
                <w:color w:val="auto"/>
              </w:rPr>
            </w:pPr>
          </w:p>
        </w:tc>
        <w:tc>
          <w:tcPr>
            <w:tcW w:w="304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Six Months Ended June 30,</w:t>
            </w:r>
          </w:p>
        </w:tc>
      </w:tr>
      <w:tr>
        <w:trPr>
          <w:trHeight w:val="230"/>
        </w:trPr>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6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58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4"/>
        </w:trPr>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139,862,000</w:t>
            </w:r>
          </w:p>
        </w:tc>
        <w:tc>
          <w:tcPr>
            <w:tcW w:w="12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143,832,000</w:t>
            </w:r>
          </w:p>
        </w:tc>
        <w:tc>
          <w:tcPr>
            <w:tcW w:w="12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139,810,000</w:t>
            </w:r>
          </w:p>
        </w:tc>
        <w:tc>
          <w:tcPr>
            <w:tcW w:w="10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143,959,000</w:t>
            </w:r>
          </w:p>
        </w:tc>
      </w:tr>
      <w:tr>
        <w:trPr>
          <w:trHeight w:val="411"/>
        </w:trPr>
        <w:tc>
          <w:tcPr>
            <w:tcW w:w="1640" w:type="dxa"/>
            <w:vAlign w:val="bottom"/>
          </w:tcPr>
          <w:p>
            <w:pPr>
              <w:jc w:val="right"/>
              <w:spacing w:after="0"/>
              <w:rPr>
                <w:sz w:val="20"/>
                <w:szCs w:val="20"/>
                <w:color w:val="auto"/>
              </w:rPr>
            </w:pPr>
            <w:r>
              <w:rPr>
                <w:rFonts w:ascii="Arial" w:cs="Arial" w:eastAsia="Arial" w:hAnsi="Arial"/>
                <w:sz w:val="18"/>
                <w:szCs w:val="18"/>
                <w:color w:val="auto"/>
              </w:rPr>
              <w:t>716,000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837,000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787,000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1,039,000</w:t>
            </w:r>
          </w:p>
        </w:tc>
      </w:tr>
      <w:tr>
        <w:trPr>
          <w:trHeight w:val="230"/>
        </w:trPr>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140,578,000</w:t>
            </w:r>
          </w:p>
        </w:tc>
        <w:tc>
          <w:tcPr>
            <w:tcW w:w="12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144,669,000</w:t>
            </w:r>
          </w:p>
        </w:tc>
        <w:tc>
          <w:tcPr>
            <w:tcW w:w="12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140,597,000</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144,998,000</w:t>
            </w: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-599440</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-187960</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80" w:space="480"/>
            <w:col w:w="6480"/>
          </w:cols>
          <w:pgMar w:left="320" w:top="130" w:right="339" w:bottom="1440" w:gutter="0" w:footer="0" w:header="0"/>
          <w:type w:val="continuous"/>
        </w:sectPr>
      </w:pP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Diluted earnings per share amounts are computed using the weighted average number of common shares outstanding and, if dilutive, potential common shares outstanding during the period. Potential common shares consist of the incremental common shares issuable upon the exercise of SARs and vesting of performance shares and RSUs, as determined using the treasury stock method.</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weighted average number of anti-dilutive potential common shares excluded from the calculation above were approximately 34,000 and 6,000 for the three months ended June 30, 2023 and 2022, respectively, and 61,000 and 32,000 for the six months ended June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jc w:val="both"/>
        <w:ind w:right="8180" w:firstLine="8"/>
        <w:spacing w:after="0" w:line="641" w:lineRule="auto"/>
        <w:tabs>
          <w:tab w:leader="none" w:pos="270" w:val="left"/>
        </w:tabs>
        <w:numPr>
          <w:ilvl w:val="0"/>
          <w:numId w:val="8"/>
        </w:numPr>
        <w:rPr>
          <w:rFonts w:ascii="Arial" w:cs="Arial" w:eastAsia="Arial" w:hAnsi="Arial"/>
          <w:sz w:val="15"/>
          <w:szCs w:val="15"/>
          <w:b w:val="1"/>
          <w:bCs w:val="1"/>
          <w:u w:val="single" w:color="auto"/>
          <w:color w:val="auto"/>
        </w:rPr>
      </w:pPr>
      <w:r>
        <w:rPr>
          <w:rFonts w:ascii="Arial" w:cs="Arial" w:eastAsia="Arial" w:hAnsi="Arial"/>
          <w:sz w:val="15"/>
          <w:szCs w:val="15"/>
          <w:b w:val="1"/>
          <w:bCs w:val="1"/>
          <w:u w:val="single" w:color="auto"/>
          <w:color w:val="auto"/>
        </w:rPr>
        <w:t xml:space="preserve">Recent Accounting Pronouncements </w:t>
      </w:r>
      <w:r>
        <w:rPr>
          <w:rFonts w:ascii="Arial" w:cs="Arial" w:eastAsia="Arial" w:hAnsi="Arial"/>
          <w:sz w:val="15"/>
          <w:szCs w:val="15"/>
          <w:b w:val="1"/>
          <w:bCs w:val="1"/>
          <w:color w:val="auto"/>
        </w:rPr>
        <w:t>Recently Adopted Accounting Standard</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2022, the FASB issued ASU No. 2022-04 Liabilities-Supplier Finance Programs (Topic 405-50): Disclosure of Supplier Finance Program Obligations. The amendments in this update require a buyer in a supplier finance program to disclose information about the program's nature, activity during the period, changes from period to period, and potential magnitude. The Company adopted the guidance when it became effective on January 1, 2023, except for the rollforward requirement, which becomes effective January 1, 2024. The adoption did not have a material impact on the Company's condensed consolidated financial statements.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facilitates the opportunity for suppliers to participate in a voluntary supply chain financing ("SCF") program with a third-party financial institution. Participating suppliers are paid directly by the SCF financial institution and, in addition, may elect to sell receivables due from the Company to the SCF financial institution for early payment. Thus, participating suppliers have additional potential flexibility in managing their liquidity by accelerating, at their option and cost, collection of receivables due from the Company.</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and its suppliers agree on commercial terms, including payment terms, for the goods and services the Company procures, regardless of whether the supplier participates in SCF. For participating suppliers, the Company’s responsibility is limited to making all payments to the SCF financial institution on the terms originally negotiated with the supplier, irrespective of whether the supplier elects to sell receivables to the SCF financial institution. The Company does not determine the terms or conditions of the arrangement between the SCF financial institution and the Company's suppliers. The SCF financial institution pays the supplier on the invoice due date for any invoices that were not previously sold by the supplier. The agreement between the Company and the SCF financial institution does not require the Company to provide assets pledged as security or other forms of guarantees.</w:t>
      </w:r>
    </w:p>
    <w:p>
      <w:pPr>
        <w:spacing w:after="0" w:line="19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Outstanding payments related to the SCF program are recorded within accounts payable in our condensed consolidated balance sheets. As of June 30, 2023 and December 31, 2022, amounts due to the SCF financial institution were approximately $200,112 and $194,362, respectively.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the section below entitled "Special Notes Regarding Forward-Looking Statements" for a discussion of factors that could cause our actual results to differ from the forward-looking statements contained below and throughout this quarterly report.</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Throughout this Management’s Discussion and Analysis of Financial Condition and Results of Operations ("MD&amp;A"), we refer to measures used by management to evaluate performance, including a number of financial measures that are not defined under accounting principles generally accepted in the United States of America ("GAAP"). Please see "Non-GAAP Disclosures" at the end of this Item 2 for further detail on these financial measures. We believe these measures provide investors with important information that is useful in understanding our business results and trends. Reconciliations within this MD&amp;A provide more details on the use and derivation of these measures.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Dover is a diversified global manufacturer and solutions provider delivering innovative equipment and components, consumable supplies, aftermarket parts, software and digital solutions, and support services through five operating segments: Engineered Products, Clean Energy &amp; Fueling, Imaging &amp; Identification, Pumps &amp; Process Solutions, and Climate &amp; Sustainability Technologies. The Company's entrepreneurial business model encourages, promotes and fosters deep customer engagement and collaboration, which has led to Dover's well-established and valued reputation for providing superior customer service and industry-leading product innovation. Unless the context indicates otherwise, references herein to "Dover," "the Company," and words such as "we," "us," or "our" include Dover Corporation and its consolidated subsidiaries.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Dover's five operating segments are as follows:</w:t>
      </w:r>
    </w:p>
    <w:p>
      <w:pPr>
        <w:spacing w:after="0" w:line="252" w:lineRule="exact"/>
        <w:rPr>
          <w:sz w:val="20"/>
          <w:szCs w:val="20"/>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Engineered Products segment provides a wide range of equipment, components, software, solutions and services to the vehicle aftermarket, waste handling, industrial automation, aerospace and defense, industrial winch and hoist, and fluid dispensing end-markets.</w:t>
      </w:r>
    </w:p>
    <w:p>
      <w:pPr>
        <w:spacing w:after="0" w:line="173"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Clean Energy &amp; Fueling segment provides components, equipment, software, solutions and services enabling safe and reliable storage, transport and dispensing of traditional and clean fuels (including liquefied natural gas, hydrogen, and electric vehicle charging), cryogenic gases, and other hazardous substances along the supply chain, and safe and efficient operation of convenience retail, retail fueling and vehicle wash establishments.</w:t>
      </w:r>
    </w:p>
    <w:p>
      <w:pPr>
        <w:spacing w:after="0" w:line="21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spacing w:after="0" w:line="21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Pumps &amp; Process Solutions segment manufactures specialty pumps and flow meters, highly engineered precision components for rotating and reciprocating machines, fluid connecting solutions and plastics and polymer processing equipment, serving single-use biopharmaceutical production, diversified industrial manufacturing, chemical production, plastics and polymer processing, midstream and downstream oil and gas, thermal management applications and other end-markets.</w:t>
      </w:r>
    </w:p>
    <w:p>
      <w:pPr>
        <w:spacing w:after="0" w:line="21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Climate &amp; Sustainability Technologies segment is a provider of innovative and energy-efficient equipment, components and parts for the commercial refrigeration, heating and cooling and beverage can-making equipment markets.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of 2023, revenue was $2.1 billion, which decreased $58.6 million, or 2.7%, as compared to the second quarter of 2022. This was driven by organic revenue decline of 3.0% and an unfavorable impact from foreign currency translation of 0.6% partially offset by acquisition-related revenue growth of 0.9%. Pricing initiatives continued in the quarter to offset the impact of higher commodity costs, component parts inflation and higher energy, freight and logistics costs.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3.0% organic revenue decline for the second quarter of 2023 was driven by Clean Energy &amp; Fueling and Engineered Products segments which had a decline of 9.3% and 7.7%, respectively. The decline was partially offset by Climate &amp; Sustainability Technologies, Pumps &amp; Process Solutions, and Imaging &amp; Identification segments which had growth of 4.0%, 0.9%, and 0.3%, respectively. For further information, see "Segment Results of Operations" within this Item 2.</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a geographic perspective, organic revenue for the U.S., our largest market, decreased 8.6% in the second quarter of 2023, driven by lower expected retail fueling revenue and by transient manufacturing and shipment disruptions in our vehicle services group plant in North America caused by an ERP system upgrade. Organic revenue for Other Americas and Asia increased 13.9% and 1.9%, respectively, while Europe decreased 0.9%.</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Bookings were $1.9 billion for the three months ended June 30, 2023, a decrease of $177.6 million, or 8.4% compared to the prior year comparable quarter. Included in this result was organic decline of 8.3% and an unfavorable impact from foreign currency translation of 0.8%, partially offset by acquisition-related growth of 0.7%. The organic bookings decline was driven primarily by lead time normalization across the portfolio as supply chains improve.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Backlog as of June 30, 2023 was $2.8 billion, a decrease from $3.3 billion in the prior year, but remains elevated on a relative historical basis. See definition of bookings and backlog within "Segment Results of Operations."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Restructuring and other costs for the three months ended June 30, 2023 were $18.1 million which included restructuring charges of $16.4 million and other costs of $1.7 million. Restructuring and other costs were primarily related to headcount reductions and exit costs in the Clean Energy &amp; Fueling, Engineered Products and Pumps &amp; Process Solutions segments. These programs were initiated in 2022 and 2023 and were undertaken in light of current market conditions. See Note 8 — Restructuring Activities in the condensed consolidated financial statements in Item 1 of this Form 10-Q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8"/>
              </w:rPr>
              <w:t>CONSOLIDATED RESULTS OF OPERATIONS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28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ind w:left="600"/>
              <w:spacing w:after="0"/>
              <w:rPr>
                <w:sz w:val="20"/>
                <w:szCs w:val="20"/>
                <w:color w:val="auto"/>
              </w:rPr>
            </w:pPr>
            <w:r>
              <w:rPr>
                <w:rFonts w:ascii="Arial" w:cs="Arial" w:eastAsia="Arial" w:hAnsi="Arial"/>
                <w:sz w:val="18"/>
                <w:szCs w:val="18"/>
                <w:b w:val="1"/>
                <w:bCs w:val="1"/>
                <w:color w:val="auto"/>
                <w:w w:val="90"/>
              </w:rPr>
              <w:t>Three Months Ended June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ind w:left="740"/>
              <w:spacing w:after="0"/>
              <w:rPr>
                <w:sz w:val="20"/>
                <w:szCs w:val="20"/>
                <w:color w:val="auto"/>
              </w:rPr>
            </w:pPr>
            <w:r>
              <w:rPr>
                <w:rFonts w:ascii="Arial" w:cs="Arial" w:eastAsia="Arial" w:hAnsi="Arial"/>
                <w:sz w:val="18"/>
                <w:szCs w:val="18"/>
                <w:b w:val="1"/>
                <w:bCs w:val="1"/>
                <w:color w:val="auto"/>
                <w:w w:val="91"/>
              </w:rPr>
              <w:t>Six Months Ended June 30,</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880" w:type="dxa"/>
            <w:vAlign w:val="bottom"/>
          </w:tcPr>
          <w:p>
            <w:pPr>
              <w:ind w:left="20"/>
              <w:spacing w:after="0" w:line="177" w:lineRule="exact"/>
              <w:rPr>
                <w:sz w:val="20"/>
                <w:szCs w:val="20"/>
                <w:color w:val="auto"/>
              </w:rPr>
            </w:pPr>
            <w:r>
              <w:rPr>
                <w:rFonts w:ascii="Arial" w:cs="Arial" w:eastAsia="Arial" w:hAnsi="Arial"/>
                <w:sz w:val="18"/>
                <w:szCs w:val="18"/>
                <w:i w:val="1"/>
                <w:iCs w:val="1"/>
                <w:color w:val="auto"/>
                <w:w w:val="91"/>
              </w:rPr>
              <w:t>(dollars in thousands, except per share</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70"/>
              <w:spacing w:after="0" w:line="177" w:lineRule="exact"/>
              <w:rPr>
                <w:sz w:val="20"/>
                <w:szCs w:val="20"/>
                <w:color w:val="auto"/>
              </w:rPr>
            </w:pPr>
            <w:r>
              <w:rPr>
                <w:rFonts w:ascii="Arial" w:cs="Arial" w:eastAsia="Arial" w:hAnsi="Arial"/>
                <w:sz w:val="18"/>
                <w:szCs w:val="18"/>
                <w:b w:val="1"/>
                <w:bCs w:val="1"/>
                <w:color w:val="auto"/>
                <w:w w:val="94"/>
              </w:rPr>
              <w:t>% / Point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90"/>
              <w:spacing w:after="0" w:line="177" w:lineRule="exact"/>
              <w:rPr>
                <w:sz w:val="20"/>
                <w:szCs w:val="20"/>
                <w:color w:val="auto"/>
              </w:rPr>
            </w:pPr>
            <w:r>
              <w:rPr>
                <w:rFonts w:ascii="Arial" w:cs="Arial" w:eastAsia="Arial" w:hAnsi="Arial"/>
                <w:sz w:val="18"/>
                <w:szCs w:val="18"/>
                <w:b w:val="1"/>
                <w:bCs w:val="1"/>
                <w:color w:val="auto"/>
                <w:w w:val="99"/>
              </w:rPr>
              <w:t>% / Point</w:t>
            </w:r>
          </w:p>
        </w:tc>
        <w:tc>
          <w:tcPr>
            <w:tcW w:w="0" w:type="dxa"/>
            <w:vAlign w:val="bottom"/>
          </w:tcPr>
          <w:p>
            <w:pPr>
              <w:spacing w:after="0"/>
              <w:rPr>
                <w:sz w:val="1"/>
                <w:szCs w:val="1"/>
                <w:color w:val="auto"/>
              </w:rPr>
            </w:pPr>
          </w:p>
        </w:tc>
      </w:tr>
      <w:tr>
        <w:trPr>
          <w:trHeight w:val="234"/>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figures)</w:t>
            </w:r>
          </w:p>
        </w:tc>
        <w:tc>
          <w:tcPr>
            <w:tcW w:w="2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Change</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2,100,086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2,158,715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4,179,109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4,210,616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and services</w:t>
            </w: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1,341,250</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1,377,432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2,673,254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2,686,139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758,836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781,283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1,505,855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1,524,477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880" w:type="dxa"/>
            <w:vAlign w:val="bottom"/>
          </w:tcPr>
          <w:p>
            <w:pPr>
              <w:ind w:left="240"/>
              <w:spacing w:after="0"/>
              <w:rPr>
                <w:sz w:val="20"/>
                <w:szCs w:val="20"/>
                <w:color w:val="auto"/>
              </w:rPr>
            </w:pPr>
            <w:r>
              <w:rPr>
                <w:rFonts w:ascii="Arial" w:cs="Arial" w:eastAsia="Arial" w:hAnsi="Arial"/>
                <w:sz w:val="18"/>
                <w:szCs w:val="18"/>
                <w:i w:val="1"/>
                <w:iCs w:val="1"/>
                <w:color w:val="auto"/>
              </w:rPr>
              <w:t>Gross profit margin</w:t>
            </w:r>
          </w:p>
        </w:tc>
        <w:tc>
          <w:tcPr>
            <w:tcW w:w="2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36.1 %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36.2 %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i w:val="1"/>
                <w:iCs w:val="1"/>
                <w:color w:val="auto"/>
              </w:rPr>
              <w:t>(0.1)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36.0 %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36.2 %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i w:val="1"/>
                <w:iCs w:val="1"/>
                <w:color w:val="auto"/>
              </w:rPr>
              <w:t>(0.2)</w:t>
            </w:r>
          </w:p>
        </w:tc>
        <w:tc>
          <w:tcPr>
            <w:tcW w:w="0" w:type="dxa"/>
            <w:vAlign w:val="bottom"/>
          </w:tcPr>
          <w:p>
            <w:pPr>
              <w:spacing w:after="0"/>
              <w:rPr>
                <w:sz w:val="1"/>
                <w:szCs w:val="1"/>
                <w:color w:val="auto"/>
              </w:rPr>
            </w:pPr>
          </w:p>
        </w:tc>
      </w:tr>
      <w:tr>
        <w:trPr>
          <w:trHeight w:val="188"/>
        </w:trPr>
        <w:tc>
          <w:tcPr>
            <w:tcW w:w="28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434,340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424,433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866,754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868,276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75"/>
        </w:trPr>
        <w:tc>
          <w:tcPr>
            <w:tcW w:w="2880" w:type="dxa"/>
            <w:vAlign w:val="bottom"/>
          </w:tcPr>
          <w:p>
            <w:pPr>
              <w:ind w:left="240"/>
              <w:spacing w:after="0" w:line="176" w:lineRule="exact"/>
              <w:rPr>
                <w:sz w:val="20"/>
                <w:szCs w:val="20"/>
                <w:color w:val="auto"/>
              </w:rPr>
            </w:pPr>
            <w:r>
              <w:rPr>
                <w:rFonts w:ascii="Arial" w:cs="Arial" w:eastAsia="Arial" w:hAnsi="Arial"/>
                <w:sz w:val="18"/>
                <w:szCs w:val="18"/>
                <w:i w:val="1"/>
                <w:iCs w:val="1"/>
                <w:color w:val="auto"/>
                <w:w w:val="95"/>
              </w:rPr>
              <w:t>Selling, general and administrative</w:t>
            </w:r>
          </w:p>
        </w:tc>
        <w:tc>
          <w:tcPr>
            <w:tcW w:w="280" w:type="dxa"/>
            <w:vAlign w:val="bottom"/>
          </w:tcPr>
          <w:p>
            <w:pPr>
              <w:spacing w:after="0"/>
              <w:rPr>
                <w:sz w:val="15"/>
                <w:szCs w:val="15"/>
                <w:color w:val="auto"/>
              </w:rPr>
            </w:pP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18"/>
                <w:szCs w:val="18"/>
                <w:i w:val="1"/>
                <w:iCs w:val="1"/>
                <w:color w:val="auto"/>
              </w:rPr>
              <w:t>20.7 %</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19.7 %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ind w:right="110"/>
              <w:spacing w:after="0"/>
              <w:rPr>
                <w:sz w:val="20"/>
                <w:szCs w:val="20"/>
                <w:color w:val="auto"/>
              </w:rPr>
            </w:pPr>
            <w:r>
              <w:rPr>
                <w:rFonts w:ascii="Arial" w:cs="Arial" w:eastAsia="Arial" w:hAnsi="Arial"/>
                <w:sz w:val="18"/>
                <w:szCs w:val="18"/>
                <w:i w:val="1"/>
                <w:iCs w:val="1"/>
                <w:color w:val="auto"/>
              </w:rPr>
              <w:t>1.0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20.7 %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20.6 %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restart"/>
          </w:tcPr>
          <w:p>
            <w:pPr>
              <w:jc w:val="right"/>
              <w:ind w:right="130"/>
              <w:spacing w:after="0"/>
              <w:rPr>
                <w:sz w:val="20"/>
                <w:szCs w:val="20"/>
                <w:color w:val="auto"/>
              </w:rPr>
            </w:pPr>
            <w:r>
              <w:rPr>
                <w:rFonts w:ascii="Arial" w:cs="Arial" w:eastAsia="Arial" w:hAnsi="Arial"/>
                <w:sz w:val="18"/>
                <w:szCs w:val="18"/>
                <w:i w:val="1"/>
                <w:iCs w:val="1"/>
                <w:color w:val="auto"/>
              </w:rPr>
              <w:t>0.1</w:t>
            </w:r>
          </w:p>
        </w:tc>
        <w:tc>
          <w:tcPr>
            <w:tcW w:w="0" w:type="dxa"/>
            <w:vAlign w:val="bottom"/>
          </w:tcPr>
          <w:p>
            <w:pPr>
              <w:spacing w:after="0"/>
              <w:rPr>
                <w:sz w:val="1"/>
                <w:szCs w:val="1"/>
                <w:color w:val="auto"/>
              </w:rPr>
            </w:pPr>
          </w:p>
        </w:tc>
      </w:tr>
      <w:tr>
        <w:trPr>
          <w:trHeight w:val="230"/>
        </w:trPr>
        <w:tc>
          <w:tcPr>
            <w:tcW w:w="2880" w:type="dxa"/>
            <w:vAlign w:val="bottom"/>
          </w:tcPr>
          <w:p>
            <w:pPr>
              <w:ind w:left="240"/>
              <w:spacing w:after="0"/>
              <w:rPr>
                <w:sz w:val="20"/>
                <w:szCs w:val="20"/>
                <w:color w:val="auto"/>
              </w:rPr>
            </w:pPr>
            <w:r>
              <w:rPr>
                <w:rFonts w:ascii="Arial" w:cs="Arial" w:eastAsia="Arial" w:hAnsi="Arial"/>
                <w:sz w:val="18"/>
                <w:szCs w:val="18"/>
                <w:i w:val="1"/>
                <w:iCs w:val="1"/>
                <w:color w:val="auto"/>
                <w:w w:val="96"/>
              </w:rPr>
              <w:t>expenses as a percent of revenue</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earnings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324,496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356,850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639,101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656,201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28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33,804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26,989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25.3 %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68,018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53,541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27.0 %</w:t>
            </w:r>
          </w:p>
        </w:tc>
        <w:tc>
          <w:tcPr>
            <w:tcW w:w="0" w:type="dxa"/>
            <w:vAlign w:val="bottom"/>
          </w:tcPr>
          <w:p>
            <w:pPr>
              <w:spacing w:after="0"/>
              <w:rPr>
                <w:sz w:val="1"/>
                <w:szCs w:val="1"/>
                <w:color w:val="auto"/>
              </w:rPr>
            </w:pPr>
          </w:p>
        </w:tc>
      </w:tr>
      <w:tr>
        <w:trPr>
          <w:trHeight w:val="236"/>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179.6 %</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(4,744)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175.2 %</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(6,678)</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(4,546)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(10,486)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(6,675)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69"/>
        </w:trPr>
        <w:tc>
          <w:tcPr>
            <w:tcW w:w="288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w w:val="96"/>
              </w:rPr>
              <w:t>Earnings before provision for income</w:t>
            </w:r>
          </w:p>
        </w:tc>
        <w:tc>
          <w:tcPr>
            <w:tcW w:w="28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300,023</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335,356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586,313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611,059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280" w:type="dxa"/>
            <w:vAlign w:val="bottom"/>
            <w:shd w:val="clear" w:color="auto" w:fill="CCEEFF"/>
          </w:tcPr>
          <w:p>
            <w:pPr>
              <w:spacing w:after="0"/>
              <w:rPr>
                <w:sz w:val="21"/>
                <w:szCs w:val="21"/>
                <w:color w:val="auto"/>
              </w:rPr>
            </w:pPr>
          </w:p>
        </w:tc>
        <w:tc>
          <w:tcPr>
            <w:tcW w:w="112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57,784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45,738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115,500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95,288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21.2 %</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Effective tax rate</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19.3 %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i w:val="1"/>
                <w:iCs w:val="1"/>
                <w:color w:val="auto"/>
              </w:rPr>
              <w:t>5.7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19.7 %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4.1</w:t>
            </w:r>
          </w:p>
        </w:tc>
        <w:tc>
          <w:tcPr>
            <w:tcW w:w="0" w:type="dxa"/>
            <w:vAlign w:val="bottom"/>
          </w:tcPr>
          <w:p>
            <w:pPr>
              <w:spacing w:after="0"/>
              <w:rPr>
                <w:sz w:val="1"/>
                <w:szCs w:val="1"/>
                <w:color w:val="auto"/>
              </w:rPr>
            </w:pPr>
          </w:p>
        </w:tc>
      </w:tr>
      <w:tr>
        <w:trPr>
          <w:trHeight w:val="223"/>
        </w:trPr>
        <w:tc>
          <w:tcPr>
            <w:tcW w:w="288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2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242,239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289,618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470,813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515,771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75"/>
        </w:trPr>
        <w:tc>
          <w:tcPr>
            <w:tcW w:w="28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earnings per common share -</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1.72</w:t>
            </w:r>
          </w:p>
        </w:tc>
        <w:tc>
          <w:tcPr>
            <w:tcW w:w="40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0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3.35</w:t>
            </w:r>
          </w:p>
        </w:tc>
        <w:tc>
          <w:tcPr>
            <w:tcW w:w="400" w:type="dxa"/>
            <w:vAlign w:val="bottom"/>
            <w:gridSpan w:val="2"/>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80" w:type="dxa"/>
            <w:vAlign w:val="bottom"/>
            <w:vMerge w:val="continue"/>
            <w:shd w:val="clear" w:color="auto" w:fill="CCEEFF"/>
          </w:tcPr>
          <w:p>
            <w:pPr>
              <w:spacing w:after="0"/>
              <w:rPr>
                <w:sz w:val="21"/>
                <w:szCs w:val="21"/>
                <w:color w:val="auto"/>
              </w:rPr>
            </w:pPr>
          </w:p>
        </w:tc>
        <w:tc>
          <w:tcPr>
            <w:tcW w:w="1120" w:type="dxa"/>
            <w:vAlign w:val="bottom"/>
            <w:gridSpan w:val="2"/>
            <w:vMerge w:val="continue"/>
            <w:shd w:val="clear" w:color="auto" w:fill="CCEEFF"/>
          </w:tcPr>
          <w:p>
            <w:pPr>
              <w:spacing w:after="0"/>
              <w:rPr>
                <w:sz w:val="21"/>
                <w:szCs w:val="21"/>
                <w:color w:val="auto"/>
              </w:rPr>
            </w:pPr>
          </w:p>
        </w:tc>
        <w:tc>
          <w:tcPr>
            <w:tcW w:w="400" w:type="dxa"/>
            <w:vAlign w:val="bottom"/>
            <w:gridSpan w:val="2"/>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400" w:type="dxa"/>
            <w:vAlign w:val="bottom"/>
            <w:gridSpan w:val="2"/>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400" w:type="dxa"/>
            <w:vAlign w:val="bottom"/>
            <w:gridSpan w:val="2"/>
            <w:vMerge w:val="continue"/>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nm -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for the three months ended June 30, 2023 decreased $58.6 million, or 2.7%, from the prior year comparable quarter. Results included organic revenue decline of 3.0%, primarily led by our Clean Energy &amp; Fueling and Engineered Products segments, and an unfavorable impact from foreign currency translation of 0.6%. This decline was partially offset by acquisition-related revenue growth of 0.9%, primarily driven by our Pumps &amp; Process Solutions segment. Customer pricing favorably impacted revenue by approximately 4.5% in the second quarter of 2023 compared to 6.6% in the prior year comparable quarter.</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for the six months ended June 30, 2023 decreased $31.5 million, or 0.7%, from the prior year comparable period. The decrease primarily reflects an unfavorable impact from foreign currency translation of 1.5% and organic revenue decline of 0.1%. This decline was partially offset by acquisition-related revenue growth was 0.9%, primarily led by our Pumps &amp; Process Solutions segment. Customer pricing favorably impacted revenue by approximately 4.8% for the six months ended June 30, 2023 compared to 6.3% in the prior year comparable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for the three months ended June 30, 2023 decreased $22.4 million, or 2.9%, while gross profit margin decreased 10 basis points to 36.1%, from the prior year comparable quarter. Gross profit margin decreased due to product mix and lower volumes across the Company's businesses, partially offset by pricing initiatives.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for the six months ended June 30, 2023 decreased $18.6 million, or 1.2%, while gross profit margin decreased by 20 basis points to 36.0%, from the prior year comparable period. Gross profit margin decreased due to lower volumes and product mix across the Company's businesses, partially offset by pricing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for the three months ended June 30, 2023 increased $9.9 million, or 2.3%, from the prior year comparable quarter, primarily due to increased restructuring costs and deferred compensation, partially offset by lower contract labor costs. As a percentage of revenue, selling, general and administrative expenses increased 100 basis points as compared to the prior year comparable quarter to 20.7% due to increased selling, general and administrative expenses and a decrease in revenue.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for the six months ended June 30, 2023 decreased $1.5 million, or 0.2%, from the prior year comparable period, primarily due to lower insurance claims and contract labor costs, partially offset by increased restructuring costs. Selling, general and administrative expenses as a percentage of revenue increased 10 basis points as compared to the prior year comparable period to 20.7% due to a decrease in the revenue base.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costs, including qualifying engineering costs, are expensed when incurred and amounted to $39.3 million and $38.6 million for the three months ended June 30, 2023 and 2022, respectively, and $77.3 million and $79.3 million, for the six months ended June 30, 2023 and 2022, respectively. These costs as a percentage of revenue were 1.9% and 1.8% for the three months ended June 30, 2023 and 2022, respectively, and 1.9% and 1.9% for the six months ended June 30, 2023 and 2022,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net includes non-service pension benefit, deferred compensation plan investments gain or loss, earnings or charges from equity method investments, foreign exchange gain or loss, and various other items. Other income, net for the three and six months ended June 30, 2023 increased $2.1 million and $3.8 million, respectively, from the prior year comparable periods due to various immaterial items.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 tax rates for the three months ended June 30, 2023 and 2022 were 19.3% and 13.6%, respectively. The increase in the effective tax rate for the three months ended June 30, 2023 relative to the prior year comparable quarter was primarily driven by favorable audit resolutions in 2022, including $22.6 million related to the Tax Cuts and Jobs Act.</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 tax rates for the six months ended June 30, 2023 and 2022 were 19.7% and 15.6%, respectively. The increase in the effective tax rate for the six months ended June 30, 2023 relative to the prior year comparable period was primarily driven by favorable audit resolutions in 2022, including $22.6 million related to the Tax Cuts and Jobs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earnings for the three months ended June 30, 2023 decreased 16.4% to $242.2 million, or $1.72 diluted earnings per share, from $289.6 million, or $2.00 diluted earnings per share, in the prior year comparable quarter. The decrease in net earnings is mainly attributable to decreased revenue and increased restructuring costs, partially offset by customer pricing and productivity actions.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earnings for the six months ended June 30, 2023 decreased 8.7% to $470.8 million, or $3.35 diluted earnings per share, from $515.8 million, or $3.56 diluted earnings per share, in the prior year comparable quarter. The decrease in net earnings is mainly attributable to decreased revenue and increased restructuring costs, partially offset by customer pricing and productivity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summary that follows provides a discussion of the results of operations of each of our five reportable operating segments (Engineered Products, Clean Energy &amp; Fueling, Imaging &amp; Identification, Pumps &amp; Process Solutions, and Climate &amp; Sustainability Technologies). Each of these segments is comprised of various product and service offerings that serve multiple markets. We evaluate our operating segment performance based on segment earnings as defined in Note 15 — Segment Information in the condensed consolidated financial statements in Item 1 of this Form 10-Q. For further information, see "Non-GAAP Disclosures" at the end of this Item 2.</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we use the following operational metrics in monitoring the performance of the business. We believe the operational metrics are useful to investors and other users of our financial information in assessing the performance of our segments:</w:t>
      </w:r>
    </w:p>
    <w:p>
      <w:pPr>
        <w:spacing w:after="0" w:line="197"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Bookings represent total orders received from customers in the current reporting period. This metric is an important measure of performance and an indicator of revenue order trends.</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Organic bookings represent total orders received from customers in the current reporting period excluding the impact of foreign currency exchange rates and the impact of acquisitions and dispositions. This metric is an important measure of performance and an indicator of revenue order trends.</w:t>
      </w:r>
    </w:p>
    <w:p>
      <w:pPr>
        <w:spacing w:after="0" w:line="21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Backlog represents an estimate of the total remaining bookings at a point in time for which performance obligations have not yet been satisfied. This metric is useful as it represents the aggregate amount we expect to recognize as revenue in the future.</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Book-to-bill is a ratio of the amount of bookings received from customers during a period divided by the amount of revenue recorded during that same period. This metric is a useful indicator of demand.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Engineered Products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Engineered Products segment provides a wide range of equipment, components, software, solutions and services to the vehicle aftermarket, waste handling, industrial automation, aerospace and defense, industrial winch and hoist, and fluid dispensing end-markets.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6"/>
          </w:tcPr>
          <w:p>
            <w:pPr>
              <w:jc w:val="right"/>
              <w:ind w:right="71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6"/>
          </w:tcPr>
          <w:p>
            <w:pPr>
              <w:jc w:val="right"/>
              <w:ind w:right="830"/>
              <w:spacing w:after="0"/>
              <w:rPr>
                <w:sz w:val="20"/>
                <w:szCs w:val="20"/>
                <w:color w:val="auto"/>
              </w:rPr>
            </w:pPr>
            <w:r>
              <w:rPr>
                <w:rFonts w:ascii="Arial" w:cs="Arial" w:eastAsia="Arial" w:hAnsi="Arial"/>
                <w:sz w:val="18"/>
                <w:szCs w:val="18"/>
                <w:b w:val="1"/>
                <w:bCs w:val="1"/>
                <w:color w:val="auto"/>
              </w:rPr>
              <w:t>Six Months Ended June 30,</w:t>
            </w:r>
          </w:p>
        </w:tc>
      </w:tr>
      <w:tr>
        <w:trPr>
          <w:trHeight w:val="236"/>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514,436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1,002,083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3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earnings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73,076</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81,671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157,351</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152,801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16"/>
        </w:trPr>
        <w:tc>
          <w:tcPr>
            <w:tcW w:w="3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16"/>
        </w:trPr>
        <w:tc>
          <w:tcPr>
            <w:tcW w:w="3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Operational metrics: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3240" w:type="dxa"/>
            <w:vAlign w:val="bottom"/>
          </w:tcPr>
          <w:p>
            <w:pPr>
              <w:ind w:left="360"/>
              <w:spacing w:after="0"/>
              <w:rPr>
                <w:sz w:val="20"/>
                <w:szCs w:val="20"/>
                <w:color w:val="auto"/>
              </w:rPr>
            </w:pPr>
            <w:r>
              <w:rPr>
                <w:rFonts w:ascii="Arial" w:cs="Arial" w:eastAsia="Arial" w:hAnsi="Arial"/>
                <w:sz w:val="18"/>
                <w:szCs w:val="18"/>
                <w:color w:val="auto"/>
              </w:rPr>
              <w:t>Bookings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489,131</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452,668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8.1 %</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1,025,603</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993,703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3.2 %</w:t>
            </w:r>
          </w:p>
        </w:tc>
      </w:tr>
      <w:tr>
        <w:trPr>
          <w:trHeight w:val="243"/>
        </w:trPr>
        <w:tc>
          <w:tcPr>
            <w:tcW w:w="3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Backlog</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771,888</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759,589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16"/>
        </w:trPr>
        <w:tc>
          <w:tcPr>
            <w:tcW w:w="3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revenue decline: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3240" w:type="dxa"/>
            <w:vAlign w:val="bottom"/>
          </w:tcPr>
          <w:p>
            <w:pPr>
              <w:ind w:left="360"/>
              <w:spacing w:after="0"/>
              <w:rPr>
                <w:sz w:val="20"/>
                <w:szCs w:val="20"/>
                <w:color w:val="auto"/>
              </w:rPr>
            </w:pPr>
            <w:r>
              <w:rPr>
                <w:rFonts w:ascii="Arial" w:cs="Arial" w:eastAsia="Arial" w:hAnsi="Arial"/>
                <w:sz w:val="18"/>
                <w:szCs w:val="18"/>
                <w:color w:val="auto"/>
              </w:rPr>
              <w:t>Organic decline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3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3240" w:type="dxa"/>
            <w:vAlign w:val="bottom"/>
          </w:tcPr>
          <w:p>
            <w:pPr>
              <w:ind w:left="360"/>
              <w:spacing w:after="0"/>
              <w:rPr>
                <w:sz w:val="20"/>
                <w:szCs w:val="20"/>
                <w:color w:val="auto"/>
              </w:rPr>
            </w:pPr>
            <w:r>
              <w:rPr>
                <w:rFonts w:ascii="Arial" w:cs="Arial" w:eastAsia="Arial" w:hAnsi="Arial"/>
                <w:sz w:val="18"/>
                <w:szCs w:val="18"/>
                <w:color w:val="auto"/>
              </w:rPr>
              <w:t>Total revenue decline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3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2023 Compared to the Second Quarter 2022</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Engineered Products segment revenue for the second quarter of 2023 decreased $40.7 million, or 7.9%, as compared to the second quarter of 2022, comprised primarily of organic decline of 7.7% and an unfavorable impact from foreign currency translation of 0.2%. Customer pricing favorably impacted revenue in the second quarter of 2023 by approximately 2.1% compared to 10.3% in the prior year comparable quarter.</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organic revenue decline was primarily driven by transient manufacturing and shipment disruptions in our vehicle services group caused by an ERP system upgrade, partially offset by robust demand in our waste handling business as large national waste haulers and municipal governments invest to upgrade their refuse collection vehicle fleets and implement our leading digital technologies to improve waste collection process efficiencies. Our aerospace and defense businesses experienced modest organic declines primarily related to timing of programs with key defense customers. We expect to return to positive organic growth in the second half of the year, driven by a healthy backlog position and strong order demand trends in several of our key end markets, most notably waste handling and aerospace and defense, as well as sequential recovery of deferred shipments in our vehicle lift business.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Engineered Products segment earnings decreased $8.6 million, or 10.5%, compared to the second quarter of 2022. The decrease was primarily driven by lower volumes, disruptions associated with the ERP implementation in our vehicle services group, and an unfavorable impact from foreign currency translation, partially offset by customer pricing actions and improved plant productivity. As a result, segment margin decreased to 15.4% from 15.9% as compared to the prior year comparable quarter.</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Bookings increased 8.1% for the segment, comprised of organic growth of 8.4% partially offset by an unfavorable impact from foreign currency translation of 0.3%. The organic bookings growth was driven by robust demand in our waste handling business, which is expected to continue in the second half of the year as large waste haulers upgrade their vehicle fleets, partially offset by disruptions associated with the ERP system implementation in our vehicle services group. Segment book-to-bill was 1.03, and backlog increased 1.6% compared to the prior year comparable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2023 Compared to the Six Months Ended June 30, 2022</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Engineered Products revenue for the six months ended June 30, 2023 decreased $30.8 million, or 3.1%, compared to the prior year comparable period. This was comprised of organic revenue decline of 2.3% and an unfavorable impact from foreign currency translation of 0.8%. The organic revenue decline was due to transient manufacturing and shipment disruptions in our vehicle services group caused by an ERP system upgrade, partially offset by customer pricing actions and strong growth in our waste handling business. Customer pricing favorably impacted revenue by approximately 3.0% compared to 10.5% in the prior year comparable period.</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earnings for the six months ended June 30, 2023 increased $4.6 million, or 3.0%, as compared to the 2022 comparable period. The growth was primarily driven by customer pricing actions, improved plant productivity and strong discretionary cost management, partially offset by lower volumes, as well as an unfavorable impact from foreign currency translation. Segment margin increased to 16.2% from 15.2% as compared to the prior year comparable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Clean Energy &amp; Fueling</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Clean Energy &amp; Fueling segment provides components, equipment, software, solutions and services enabling safe and reliable storage, transport and dispensing of traditional and clean fuels (including liquefied natural gas, hydrogen, and electric vehicle charging), cryogenic gases, and other hazardous substances along the supply chain, and safe and efficient operation of convenience retail, retail fueling and vehicle wash establishments.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right"/>
              <w:ind w:right="73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6"/>
          </w:tcPr>
          <w:p>
            <w:pPr>
              <w:jc w:val="right"/>
              <w:ind w:right="810"/>
              <w:spacing w:after="0"/>
              <w:rPr>
                <w:sz w:val="20"/>
                <w:szCs w:val="20"/>
                <w:color w:val="auto"/>
              </w:rPr>
            </w:pPr>
            <w:r>
              <w:rPr>
                <w:rFonts w:ascii="Arial" w:cs="Arial" w:eastAsia="Arial" w:hAnsi="Arial"/>
                <w:sz w:val="18"/>
                <w:szCs w:val="18"/>
                <w:b w:val="1"/>
                <w:bCs w:val="1"/>
                <w:color w:val="auto"/>
              </w:rPr>
              <w:t>Six Months Ended June 30,</w:t>
            </w:r>
          </w:p>
        </w:tc>
      </w:tr>
      <w:tr>
        <w:trPr>
          <w:trHeight w:val="237"/>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494,075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871,895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952,470</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3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earnings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83,616</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99,034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157,221</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171,996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3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4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16"/>
        </w:trPr>
        <w:tc>
          <w:tcPr>
            <w:tcW w:w="3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Operational metrics: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Bookings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440,137</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487,861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894,663</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989,352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Backlog</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339,322</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411,350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3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revenue decline: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3280" w:type="dxa"/>
            <w:vAlign w:val="bottom"/>
          </w:tcPr>
          <w:p>
            <w:pPr>
              <w:ind w:left="360"/>
              <w:spacing w:after="0"/>
              <w:rPr>
                <w:sz w:val="20"/>
                <w:szCs w:val="20"/>
                <w:color w:val="auto"/>
              </w:rPr>
            </w:pPr>
            <w:r>
              <w:rPr>
                <w:rFonts w:ascii="Arial" w:cs="Arial" w:eastAsia="Arial" w:hAnsi="Arial"/>
                <w:sz w:val="18"/>
                <w:szCs w:val="18"/>
                <w:color w:val="auto"/>
              </w:rPr>
              <w:t>Organic decline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3280" w:type="dxa"/>
            <w:vAlign w:val="bottom"/>
          </w:tcPr>
          <w:p>
            <w:pPr>
              <w:ind w:left="360"/>
              <w:spacing w:after="0"/>
              <w:rPr>
                <w:sz w:val="20"/>
                <w:szCs w:val="20"/>
                <w:color w:val="auto"/>
              </w:rPr>
            </w:pPr>
            <w:r>
              <w:rPr>
                <w:rFonts w:ascii="Arial" w:cs="Arial" w:eastAsia="Arial" w:hAnsi="Arial"/>
                <w:sz w:val="18"/>
                <w:szCs w:val="18"/>
                <w:color w:val="auto"/>
              </w:rPr>
              <w:t>Total revenue decline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3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2023 Compared to the Second Quarter 2022</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Clean Energy &amp; Fueling segment revenue for the second quarter of 2023 decreased $52.9 million, or 10.7%, as compared to the second quarter of 2022, comprised of an organic decline of 9.3% and an unfavorable impact from foreign currency translation of 1.4%. Customer pricing favorably impacted revenue in the second quarter of 2023 by approximately 4.8% compared to 5.4% in the prior year comparable quarter.</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organic revenue decline was primarily driven by reduced year-over-year demand in above ground retail fueling equipment due to the expected roll-off of EMV-related demand and general destocking across our distribution channels as higher interest rates have resulted in higher carrying costs of inventory for distributors, and was partially offset by solid demand in fluid transfer solutions, along with pricing actions aimed at mitigating material and logistics cost inflation. We expect year-over-year organic growth rates to become positive in the second half of the year as the negative year-over-year impact from EMV-related demand normalizes and we see positive growth in our fluid transfer solutions, vehicle wash solutions and clean energy solutions businesses.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Clean Energy &amp; Fueling segment earnings decreased $15.4 million, or 15.6%, over the prior year comparable quarter. The decrease was primarily driven by reduced volumes, partially offset by pricing actions, productivity initiatives and the benefits from ongoing restructuring actions taken in our retail fueling business. The benefits from these restructuring actions are significant and will carry into 2024. See "Restructuring and Other Costs (Benefits)" section within this Item 2 for further information. Segment margin decreased to 19.0% from 20.0% in the prior year comparable quarter driven by lower volumes.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Overall bookings decreased 9.8% as compared to the prior year comparable quarter, driven by an organic decline of 8.4% and an unfavorable impact from foreign currency translation of 1.4%. The organic bookings decline was primarily driven by reduced year over year demand in above ground retail fueling equipment. Segment book-to-bill was 1.00 and backlog decreased 17.5% as compared to the prior year comparable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2023 Compared to the Six Months Ended June 30, 2022</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Clean Energy &amp; Fueling segment revenue decreased $80.6 million, or 8.5%, as compared to the six months ended June 30, 2022, attributable to an organic decline of 6.1% and an unfavorable impact from foreign currency translation of 2.4%. Organic revenue was lower in the first six months of the year compared with the prior year's comparable period, driven by reduced year-over-year demand in above ground retail fueling equipment due to the expected roll-off of EMV-related demand and general destocking across our distribution channels as higher interest rates have resulted in higher carrying costs of inventory for distributors, and was partially offset by solid demand in fluid transfer solutions, along with pricing actions aimed at mitigating material and logistics cost inflation. Customer pricing favorably impacted revenue by approximately 4.7% compared to 4.2% in the prior year comparable period.</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Clean Energy &amp; Fueling segment earnings decreased $14.8 million, or 8.6%, for the six months ended June 30, 2023. The decrease in earnings was driven by reduced organic volumes and unfavorable impact from foreign currency translation, partially offset by pricing actions, productivity initiatives and the benefits from ongoing restructuring actions in our retail fueling business. Segment margin decreased to 18.0% from 18.1% in the prior year comparable period.</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Imaging &amp; Identification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6"/>
          </w:tcPr>
          <w:p>
            <w:pPr>
              <w:jc w:val="right"/>
              <w:ind w:right="71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6"/>
          </w:tcPr>
          <w:p>
            <w:pPr>
              <w:jc w:val="right"/>
              <w:ind w:right="810"/>
              <w:spacing w:after="0"/>
              <w:rPr>
                <w:sz w:val="20"/>
                <w:szCs w:val="20"/>
                <w:color w:val="auto"/>
              </w:rPr>
            </w:pPr>
            <w:r>
              <w:rPr>
                <w:rFonts w:ascii="Arial" w:cs="Arial" w:eastAsia="Arial" w:hAnsi="Arial"/>
                <w:sz w:val="18"/>
                <w:szCs w:val="18"/>
                <w:b w:val="1"/>
                <w:bCs w:val="1"/>
                <w:color w:val="auto"/>
              </w:rPr>
              <w:t>Six Months Ended June 30,</w:t>
            </w:r>
          </w:p>
        </w:tc>
      </w:tr>
      <w:tr>
        <w:trPr>
          <w:trHeight w:val="237"/>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275,951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548,206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16"/>
        </w:trPr>
        <w:tc>
          <w:tcPr>
            <w:tcW w:w="3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earnings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61,336</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61,392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129,651</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119,990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16"/>
        </w:trPr>
        <w:tc>
          <w:tcPr>
            <w:tcW w:w="3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22.6 %</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22.2 %</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16"/>
        </w:trPr>
        <w:tc>
          <w:tcPr>
            <w:tcW w:w="3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Operational metrics: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Bookings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262,092</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292,136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552,804</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599,240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Backlog</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227,646</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255,255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3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revenue decline: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3240" w:type="dxa"/>
            <w:vAlign w:val="bottom"/>
          </w:tcPr>
          <w:p>
            <w:pPr>
              <w:ind w:left="360"/>
              <w:spacing w:after="0"/>
              <w:rPr>
                <w:sz w:val="20"/>
                <w:szCs w:val="20"/>
                <w:color w:val="auto"/>
              </w:rPr>
            </w:pPr>
            <w:r>
              <w:rPr>
                <w:rFonts w:ascii="Arial" w:cs="Arial" w:eastAsia="Arial" w:hAnsi="Arial"/>
                <w:sz w:val="18"/>
                <w:szCs w:val="18"/>
                <w:color w:val="auto"/>
              </w:rPr>
              <w:t>Organic growth</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4.2 %</w:t>
            </w:r>
          </w:p>
        </w:tc>
      </w:tr>
      <w:tr>
        <w:trPr>
          <w:trHeight w:val="243"/>
        </w:trPr>
        <w:tc>
          <w:tcPr>
            <w:tcW w:w="3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3240" w:type="dxa"/>
            <w:vAlign w:val="bottom"/>
          </w:tcPr>
          <w:p>
            <w:pPr>
              <w:ind w:left="360"/>
              <w:spacing w:after="0"/>
              <w:rPr>
                <w:sz w:val="20"/>
                <w:szCs w:val="20"/>
                <w:color w:val="auto"/>
              </w:rPr>
            </w:pPr>
            <w:r>
              <w:rPr>
                <w:rFonts w:ascii="Arial" w:cs="Arial" w:eastAsia="Arial" w:hAnsi="Arial"/>
                <w:sz w:val="18"/>
                <w:szCs w:val="18"/>
                <w:color w:val="auto"/>
              </w:rPr>
              <w:t>Total revenue decline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1.2 %</w:t>
            </w:r>
          </w:p>
        </w:tc>
      </w:tr>
      <w:tr>
        <w:trPr>
          <w:trHeight w:val="20"/>
        </w:trPr>
        <w:tc>
          <w:tcPr>
            <w:tcW w:w="3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2023 Compared to the Second Quarter 2022</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Imaging &amp; Identification segment revenue for the second quarter of 2023 decreased $4.0 million, or 1.5%, as compared to the second quarter of 2022, comprised of an unfavorable impact from foreign currency translation of 1.8%, which was partially offset by organic growth of 0.3%. Customer pricing favorably impacted revenue in the second quarter of 2023 by approximately 6.0% compared to 3.2% in the prior year comparable quarter.</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organic revenue growth was primarily driven by pricing initiatives, partially offset by reduced demand in our textile printing business which has continued to be impacted by high energy prices and macro uncertainty in textile producing regions. Marking and coding demand has remained solid in the Americas and in Europe, whereas slower macroeconomic conditions have reduced investments in new equipment by customers in Asia. We expect organic growth rates to moderate in the second half of the year as demand in marking and coding slows due to reduced customer investment, principally in China.</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Imaging &amp; Identification segment earnings decreased $0.1 million, or 0.1%, over the prior year comparable quarter. This decrease was primarily driven by reduced organic volumes in our digital textile printing business, material and labor cost inflation and an unfavorable impact from foreign currency translation, partially offset by pricing initiatives and productivity actions. Segment margin increased to 22.6% from 22.2% in the prior year comparable quarter.</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Overall bookings decreased 10.3% as compared to the prior year comparable quarter, reflecting an organic decline of 8.5% and an unfavorable impact from foreign currency translation of 1.8%. The organic bookings decline was primarily driven by reduced order intake in our marking and coding and digital textile printing businesses, partially offset by increased bookings in our serialization software business. Segment book-to-bill was 0.96, and backlog decreased 10.8% as compared to the prior year comparable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2023 Compared to the Six Months Ended June 30, 2022</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Imaging &amp; Identification segment revenue increased $6.8 million, or 1.2%, as compared to the six months ended June 30, 2022, attributable to organic growth of 4.2%, partially offset by an unfavorable impact from foreign currency translation of 3.0%. The organic revenue growth was primarily driven by pricing initiatives and solid activity in our marking and coding business, partially offset by weaker demand in our digital textile printing business. Customer pricing favorably impacted revenue by approximately 6.4% compared to 2.6% in the prior year comparable period.</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Imaging &amp; Identification segment earnings increased $9.7 million, or 8.1%, for the six months ended June 30, 2023 over the prior year comparable period. The increase was primarily driven by pricing initiatives and productivity actions, which more than offset negative impacts from material and labor cost inflation and foreign currency translation. Segment margin increased to 23.4% from 21.9% in the prior year comparable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Pumps &amp; Process Solutions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Pumps &amp; Process Solutions segment manufactures specialty pumps and flow meters, highly engineered precision components for rotating and reciprocating machines, fluid connecting solutions and plastics and polymer processing equipment, serving single-use biopharmaceutical production, diversified industrial manufacturing, chemical production, plastics and polymer processing, midstream and downstream oil and gas, thermal management applications and other end-markets.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6"/>
          </w:tcPr>
          <w:p>
            <w:pPr>
              <w:jc w:val="right"/>
              <w:ind w:right="690"/>
              <w:spacing w:after="0"/>
              <w:rPr>
                <w:sz w:val="20"/>
                <w:szCs w:val="20"/>
                <w:color w:val="auto"/>
              </w:rPr>
            </w:pPr>
            <w:r>
              <w:rPr>
                <w:rFonts w:ascii="Arial" w:cs="Arial" w:eastAsia="Arial" w:hAnsi="Arial"/>
                <w:sz w:val="18"/>
                <w:szCs w:val="18"/>
                <w:b w:val="1"/>
                <w:bCs w:val="1"/>
                <w:color w:val="auto"/>
              </w:rPr>
              <w:t>Three Months Ended June 30,</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6"/>
          </w:tcPr>
          <w:p>
            <w:pPr>
              <w:jc w:val="right"/>
              <w:ind w:right="810"/>
              <w:spacing w:after="0"/>
              <w:rPr>
                <w:sz w:val="20"/>
                <w:szCs w:val="20"/>
                <w:color w:val="auto"/>
              </w:rPr>
            </w:pPr>
            <w:r>
              <w:rPr>
                <w:rFonts w:ascii="Arial" w:cs="Arial" w:eastAsia="Arial" w:hAnsi="Arial"/>
                <w:sz w:val="18"/>
                <w:szCs w:val="18"/>
                <w:b w:val="1"/>
                <w:bCs w:val="1"/>
                <w:color w:val="auto"/>
              </w:rPr>
              <w:t>Six Months Ended June 30,</w:t>
            </w:r>
          </w:p>
        </w:tc>
      </w:tr>
      <w:tr>
        <w:trPr>
          <w:trHeight w:val="237"/>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441,127</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879,507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876,322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r>
      <w:tr>
        <w:trPr>
          <w:trHeight w:val="216"/>
        </w:trPr>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earnings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129,337</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138,048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244,581</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284,665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31.3 %</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16"/>
        </w:trPr>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Operational metrics: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Bookings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394,317</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471,693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858,614</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931,483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Backlog</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676,191</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715,646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revenue growth:</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3280" w:type="dxa"/>
            <w:vAlign w:val="bottom"/>
          </w:tcPr>
          <w:p>
            <w:pPr>
              <w:ind w:left="360"/>
              <w:spacing w:after="0"/>
              <w:rPr>
                <w:sz w:val="20"/>
                <w:szCs w:val="20"/>
                <w:color w:val="auto"/>
              </w:rPr>
            </w:pPr>
            <w:r>
              <w:rPr>
                <w:rFonts w:ascii="Arial" w:cs="Arial" w:eastAsia="Arial" w:hAnsi="Arial"/>
                <w:sz w:val="18"/>
                <w:szCs w:val="18"/>
                <w:color w:val="auto"/>
              </w:rPr>
              <w:t>Organic growth/(decline)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0.9 %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30"/>
        </w:trPr>
        <w:tc>
          <w:tcPr>
            <w:tcW w:w="328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(0.9)%</w:t>
            </w:r>
          </w:p>
        </w:tc>
      </w:tr>
      <w:tr>
        <w:trPr>
          <w:trHeight w:val="248"/>
        </w:trPr>
        <w:tc>
          <w:tcPr>
            <w:tcW w:w="32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 growth</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0.4 %</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2023 Compared to the Second Quarter 2022</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Pumps &amp; Process Solutions segment revenue for the second quarter of 2023 increased $24.5 million, or 5.6%, as compared to the second quarter of 2022, driven by acquisition-related growth of 4.5%, organic growth of 0.9%, and a favorable impact from foreign currency translation of 0.2%. Acquisition-related growth was primarily driven by the acquisition of Malema Engineering Corporation in the third quarter of 2022 and Witte Pumps &amp; Technology GmbH in the fourth quarter of 2022. Customer pricing favorably impacted revenue in the second quarter of 2023 by approximately 5.1% compared to 3.4% in the prior year comparable quarter.</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organic revenue growth was primarily driven by pricing initiatives, along with strength in thermal connectors, polymer processing equipment, bearings and compression components, and hygienic dosing businesses. This was partially offset by reduced shipments for components used in COVID-19 vaccine production and biopharmaceutical manufacturers repurposing inventory purchased for the COVID-19 vaccine production toward production of non-COVID-19 therapies. We expect continued strength in our thermal connectors, polymer processing equipment, bearings and compression components, and hygienic dosing systems businesses in the second half of the year.</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Pumps &amp; Process Solutions segment earnings decreased $8.7 million, or 6.3%, over the prior year comparable quarter. The decrease was primarily driven by the impact of reduced revenues relating to biopharmaceutical components. This was partially offset by pricing initiatives, conversion on increased revenues in thermal connectors, polymer processing equipment, bearings and compression components, and hygienic dosing systems, as well as productivity actions and restructuring benefits. Segment margin decreased to 27.8% from 31.3% from the prior year comparable quarter mainly due to business mix within the segment.</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Overall bookings decreased 16.4% as compared to the prior year comparable quarter driven by an organic decline of 19.4%, and an unfavorable impact from foreign currency translation of 0.1% partially offset by acquisition-related growth of 3.1%. The organic bookings decline was driven by a decrease in orders for biopharmaceutical components and order timing in our polymer processing equipment business, partially offset by continued strong order intake in our bearings and compression components business. Segment book-to-bill was 0.85, and backlog decreased 5.5% compared to the prior year comparable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2023 Compared to the Six Months Ended June 30, 2022</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Pumps &amp; Process Solutions segment revenue increased $3.2 million, or 0.4%, as compared to the six months ended June 30, 2022, attributable to acquisition-related growth of 4.4%, partially offset by organic decline of 3.1% and an unfavorable impact from foreign currency translation of 0.9%. The organic decline was primarily driven by reduced shipments for components used in COVID-19 vaccine production and biopharmaceutical manufacturers repurposing inventory purchased for the COVID-19 vaccine production toward production of non-COVID-19 therapies. This decline was partially offset by pricing initiatives, along with continued strength in industrial pumps, thermal connectors, plastics and polymer processing solutions and bearings and compression components. Customer pricing favorably impacted revenue by approximately 5.0% compared to 3.5% in the prior comparable period.</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Pumps &amp; Process Solutions segment earnings decreased $40.1 million, or 14.1%, for the six months ended June 30, 2023 over the prior year comparable period. The decrease was primarily driven by the impact of reduced revenues relating to biopharmaceutical components along with foreign currency translation headwinds. This was partially offset by pricing initiatives, conversion on increased revenues in industrial pumps, plastics and polymer processing solutions and bearings and compression components, productivity actions and restructuring benefits. Segment margin decreased to 27.8% from 32.5% from the prior year comparable period.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&amp; Sustainability Technologies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Climate &amp; Sustainability Technologies segment is a provider of innovative and energy-efficient equipment, components and parts for the commercial refrigeration, heating and cooling and beverage can-making equipment markets.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6"/>
          </w:tcPr>
          <w:p>
            <w:pPr>
              <w:jc w:val="right"/>
              <w:ind w:right="71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right"/>
              <w:ind w:right="830"/>
              <w:spacing w:after="0"/>
              <w:rPr>
                <w:sz w:val="20"/>
                <w:szCs w:val="20"/>
                <w:color w:val="auto"/>
              </w:rPr>
            </w:pPr>
            <w:r>
              <w:rPr>
                <w:rFonts w:ascii="Arial" w:cs="Arial" w:eastAsia="Arial" w:hAnsi="Arial"/>
                <w:sz w:val="18"/>
                <w:szCs w:val="18"/>
                <w:b w:val="1"/>
                <w:bCs w:val="1"/>
                <w:color w:val="auto"/>
              </w:rPr>
              <w:t>Six Months Ended June 30,</w:t>
            </w:r>
          </w:p>
        </w:tc>
      </w:tr>
      <w:tr>
        <w:trPr>
          <w:trHeight w:val="237"/>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434,164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904,326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833,242</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r>
      <w:tr>
        <w:trPr>
          <w:trHeight w:val="216"/>
        </w:trPr>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earnings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76,074</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64,181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18.5 %</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149,852</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117,790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27.2 %</w:t>
            </w:r>
          </w:p>
        </w:tc>
      </w:tr>
      <w:tr>
        <w:trPr>
          <w:trHeight w:val="216"/>
        </w:trPr>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16.9 %</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14.8 %</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16"/>
        </w:trPr>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Operational metrics: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3260" w:type="dxa"/>
            <w:vAlign w:val="bottom"/>
          </w:tcPr>
          <w:p>
            <w:pPr>
              <w:ind w:left="360"/>
              <w:spacing w:after="0"/>
              <w:rPr>
                <w:sz w:val="20"/>
                <w:szCs w:val="20"/>
                <w:color w:val="auto"/>
              </w:rPr>
            </w:pPr>
            <w:r>
              <w:rPr>
                <w:rFonts w:ascii="Arial" w:cs="Arial" w:eastAsia="Arial" w:hAnsi="Arial"/>
                <w:sz w:val="18"/>
                <w:szCs w:val="18"/>
                <w:color w:val="auto"/>
              </w:rPr>
              <w:t>Bookings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345,363</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403,574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645,377</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848,426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(23.9)%</w:t>
            </w:r>
          </w:p>
        </w:tc>
      </w:tr>
      <w:tr>
        <w:trPr>
          <w:trHeight w:val="243"/>
        </w:trPr>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Backlog</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797,307</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1,186,180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16"/>
        </w:trPr>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revenue growth:</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3260" w:type="dxa"/>
            <w:vAlign w:val="bottom"/>
          </w:tcPr>
          <w:p>
            <w:pPr>
              <w:ind w:left="360"/>
              <w:spacing w:after="0"/>
              <w:rPr>
                <w:sz w:val="20"/>
                <w:szCs w:val="20"/>
                <w:color w:val="auto"/>
              </w:rPr>
            </w:pPr>
            <w:r>
              <w:rPr>
                <w:rFonts w:ascii="Arial" w:cs="Arial" w:eastAsia="Arial" w:hAnsi="Arial"/>
                <w:sz w:val="18"/>
                <w:szCs w:val="18"/>
                <w:color w:val="auto"/>
              </w:rPr>
              <w:t>Organic growth</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9.9 %</w:t>
            </w:r>
          </w:p>
        </w:tc>
      </w:tr>
      <w:tr>
        <w:trPr>
          <w:trHeight w:val="243"/>
        </w:trPr>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3260" w:type="dxa"/>
            <w:vAlign w:val="bottom"/>
          </w:tcPr>
          <w:p>
            <w:pPr>
              <w:ind w:left="360"/>
              <w:spacing w:after="0"/>
              <w:rPr>
                <w:sz w:val="20"/>
                <w:szCs w:val="20"/>
                <w:color w:val="auto"/>
              </w:rPr>
            </w:pPr>
            <w:r>
              <w:rPr>
                <w:rFonts w:ascii="Arial" w:cs="Arial" w:eastAsia="Arial" w:hAnsi="Arial"/>
                <w:sz w:val="18"/>
                <w:szCs w:val="18"/>
                <w:color w:val="auto"/>
              </w:rPr>
              <w:t>Total revenue growth</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8.6 %</w:t>
            </w:r>
          </w:p>
        </w:tc>
      </w:tr>
      <w:tr>
        <w:trPr>
          <w:trHeight w:val="21"/>
        </w:trPr>
        <w:tc>
          <w:tcPr>
            <w:tcW w:w="3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2023 Compared to the Second Quarter 2022</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Climate &amp; Sustainability Technologies segment revenue increased $14.8 million, or 3.4%, as compared to the second quarter of 2022, reflecting organic revenue growth of 4.0%, partially offset by an unfavorable impact from foreign currency translation of 0.6%. Customer pricing favorably impacted revenue in the second quarter of 2023 by approximately 5.3% compared to 9.5% in the prior year comparable quarter.</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organic revenue growth was driven primarily by pricing actions as well as strong growth in heat exchangers and natural refrigerant systems, partially offset by modest volume reductions in beverage can-making equipment. Our heat exchanger business continues to experience strong growth as regulation-driven efforts to shift from fossil fuel to electric energy in Europe drive robust demand for heat pump applications, as well as strong global commercial HVAC and industrial markets. Retail refrigeration revenue also increased from the prior year, driven by customer pricing actions, large system refurbishment programs with a key supermarket customer and growing demand for natural refrigerant systems, partially offset by soft demand in the interest rate sensitive convenience store market. Beverage can-making business revenues declined from the prior year, primarily related to timing of projects and moderating demand with large beverage can-makers, who are absorbing recent large capacity expansions. We expect modest growth in the second half of the year, driven by strong demand for heat exchangers and refrigeration systems, partially offset by reductions in beverage can-making equipment projects as demand moderates from the robust levels experienced in the prior year.</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Climate &amp; Sustainability Technologies segment earnings increased $11.9 million, or 18.5%, as compared to the second quarter of 2022. The segment earnings increase was driven by customer pricing actions, increased volumes and benefits from productivity initiatives, partially offset by higher material and labor costs. Segment margin increased to 16.9% from 14.8% in the prior year comparable quarter.</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Bookings in the second quarter of 2023 decreased 14.4% from the prior year comparable quarter, reflecting organic decline of 13.7% and an unfavorable impact from foreign currency translation of 0.7%. The organic bookings decline was principally driven by improving lead times in refrigeration and timing of large projects and moderating demand with key customers in beverage can-making equipment, partially offset by continued robust demand for heat exchangers. Segment book-to-bill for the second quarter of 2023 was 0.77. Backlog decreased 32.8% over the prior year comparable period, but remains at healthy levels reflecting constructive demand across several key end markets within the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2023 Compared to the Six Months Ended June 30, 2022</w:t>
      </w:r>
    </w:p>
    <w:p>
      <w:pPr>
        <w:spacing w:after="0" w:line="2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Climate &amp; Sustainability Technologies segment revenue increased $71.1 million, or 8.5%, compared to the six months ended June 30, 2022, reflecting an organic revenue growth of 9.9%, partially offset by an unfavorable foreign currency translation of 1.3%. The organic revenue growth for the six months ended June 30, 2023 was driven by strong demand across many of our key end-markets. Retail refrigeration revenues increased from the prior year, driven by healthy remodel and system refurbishment programs with key supermarket customers and continued growing demand for our environmentally friendly natural refrigerant systems in Europe and North America. Our beverage equipment business experienced revenue growth, driven by continued favorable macro trends in the global beverage industry as producers shift from plastic and glass packaging to aluminum cans for environmental sustainability and merchandising benefits offered by modern aluminum cans. Our heat exchanger business experienced healthy growth across all regions, fueled by regulation-driven heat pump demand in Europe and strengthening commercial HVAC and industrial markets globally. Customer pricing favorably impacted revenue by approximately 5.6% compared to 9.4% in the prior comparable period.</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Climate &amp; Sustainability Technologies segment earnings increased $32.1 million, or 27.2%, for the six months ended June 30, 2023, as compared to the prior year comparable period. Segment margin increased to 16.6% from 14.1% in the prior year comparable period. The earnings increase was driven by increased volumes, productivity, favorable business mix and customer pricing actions, partially offset by increased material and logistics costs, most notably metals and freight.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b w:val="1"/>
                <w:bCs w:val="1"/>
                <w:i w:val="1"/>
                <w:iCs w:val="1"/>
                <w:color w:val="auto"/>
                <w:w w:val="91"/>
              </w:rPr>
              <w:t>Reconciliation of Segment Earnings to Net Earnings</w:t>
            </w: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0"/>
        </w:trPr>
        <w:tc>
          <w:tcPr>
            <w:tcW w:w="4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w w:val="99"/>
              </w:rPr>
              <w:t>Three Months Ended June 30,</w:t>
            </w: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Six Months Ended June 30,</w:t>
            </w:r>
          </w:p>
        </w:tc>
      </w:tr>
      <w:tr>
        <w:trPr>
          <w:trHeight w:val="229"/>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Segment earnings:</w:t>
            </w: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4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Engineered Products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73,076</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81,671</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157,351</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152,801</w:t>
            </w:r>
          </w:p>
        </w:tc>
      </w:tr>
      <w:tr>
        <w:trPr>
          <w:trHeight w:val="237"/>
        </w:trPr>
        <w:tc>
          <w:tcPr>
            <w:tcW w:w="4120" w:type="dxa"/>
            <w:vAlign w:val="bottom"/>
          </w:tcPr>
          <w:p>
            <w:pPr>
              <w:ind w:left="460"/>
              <w:spacing w:after="0"/>
              <w:rPr>
                <w:sz w:val="20"/>
                <w:szCs w:val="20"/>
                <w:color w:val="auto"/>
              </w:rPr>
            </w:pPr>
            <w:r>
              <w:rPr>
                <w:rFonts w:ascii="Arial" w:cs="Arial" w:eastAsia="Arial" w:hAnsi="Arial"/>
                <w:sz w:val="18"/>
                <w:szCs w:val="18"/>
                <w:color w:val="auto"/>
              </w:rPr>
              <w:t>Clean Energy &amp; Fueling</w:t>
            </w: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83,616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99,034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157,221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171,996</w:t>
            </w:r>
          </w:p>
        </w:tc>
      </w:tr>
      <w:tr>
        <w:trPr>
          <w:trHeight w:val="236"/>
        </w:trPr>
        <w:tc>
          <w:tcPr>
            <w:tcW w:w="4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Imaging &amp; Identification</w:t>
            </w: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61,336</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61,392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129,651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119,990</w:t>
            </w:r>
          </w:p>
        </w:tc>
      </w:tr>
      <w:tr>
        <w:trPr>
          <w:trHeight w:val="230"/>
        </w:trPr>
        <w:tc>
          <w:tcPr>
            <w:tcW w:w="4120" w:type="dxa"/>
            <w:vAlign w:val="bottom"/>
          </w:tcPr>
          <w:p>
            <w:pPr>
              <w:ind w:left="460"/>
              <w:spacing w:after="0"/>
              <w:rPr>
                <w:sz w:val="20"/>
                <w:szCs w:val="20"/>
                <w:color w:val="auto"/>
              </w:rPr>
            </w:pPr>
            <w:r>
              <w:rPr>
                <w:rFonts w:ascii="Arial" w:cs="Arial" w:eastAsia="Arial" w:hAnsi="Arial"/>
                <w:sz w:val="18"/>
                <w:szCs w:val="18"/>
                <w:color w:val="auto"/>
              </w:rPr>
              <w:t>Pumps &amp; Process Solutions</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129,337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138,048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244,581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284,665</w:t>
            </w:r>
          </w:p>
        </w:tc>
      </w:tr>
      <w:tr>
        <w:trPr>
          <w:trHeight w:val="243"/>
        </w:trPr>
        <w:tc>
          <w:tcPr>
            <w:tcW w:w="4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Climate &amp; Sustainability Technologies</w:t>
            </w:r>
          </w:p>
        </w:tc>
        <w:tc>
          <w:tcPr>
            <w:tcW w:w="3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76,074</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64,181</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149,852</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117,790</w:t>
            </w: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Total segment earnings</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423,439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444,326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838,656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847,242</w:t>
            </w:r>
          </w:p>
        </w:tc>
      </w:tr>
      <w:tr>
        <w:trPr>
          <w:trHeight w:val="229"/>
        </w:trPr>
        <w:tc>
          <w:tcPr>
            <w:tcW w:w="41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Purchase accounting expenses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100,305</w:t>
            </w:r>
          </w:p>
        </w:tc>
      </w:tr>
      <w:tr>
        <w:trPr>
          <w:trHeight w:val="243"/>
        </w:trPr>
        <w:tc>
          <w:tcPr>
            <w:tcW w:w="412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Restructuring and other costs </w:t>
            </w:r>
            <w:r>
              <w:rPr>
                <w:rFonts w:ascii="Arial" w:cs="Arial" w:eastAsia="Arial" w:hAnsi="Arial"/>
                <w:sz w:val="23"/>
                <w:szCs w:val="23"/>
                <w:color w:val="auto"/>
                <w:vertAlign w:val="superscript"/>
              </w:rPr>
              <w:t>(2)</w:t>
            </w: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18,143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7,944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32,196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18,496</w:t>
            </w:r>
          </w:p>
        </w:tc>
      </w:tr>
      <w:tr>
        <w:trPr>
          <w:trHeight w:val="229"/>
        </w:trPr>
        <w:tc>
          <w:tcPr>
            <w:tcW w:w="41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Loss on dispositions </w:t>
            </w:r>
            <w:r>
              <w:rPr>
                <w:rFonts w:ascii="Arial" w:cs="Arial" w:eastAsia="Arial" w:hAnsi="Arial"/>
                <w:sz w:val="23"/>
                <w:szCs w:val="23"/>
                <w:color w:val="auto"/>
                <w:vertAlign w:val="superscript"/>
              </w:rPr>
              <w:t>(3)</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30"/>
        </w:trPr>
        <w:tc>
          <w:tcPr>
            <w:tcW w:w="41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Corporate expense / other </w:t>
            </w:r>
            <w:r>
              <w:rPr>
                <w:rFonts w:ascii="Arial" w:cs="Arial" w:eastAsia="Arial" w:hAnsi="Arial"/>
                <w:sz w:val="23"/>
                <w:szCs w:val="23"/>
                <w:color w:val="auto"/>
                <w:vertAlign w:val="superscript"/>
              </w:rPr>
              <w:t>(4)</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33,922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27,967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73,994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65,371</w:t>
            </w:r>
          </w:p>
        </w:tc>
      </w:tr>
      <w:tr>
        <w:trPr>
          <w:trHeight w:val="24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33,804</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26,989</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53,541</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w:t>
            </w: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provision for income taxes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335,356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611,059</w:t>
            </w:r>
          </w:p>
        </w:tc>
      </w:tr>
      <w:tr>
        <w:trPr>
          <w:trHeight w:val="24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57,784</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45,738</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115,500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95,288</w:t>
            </w: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289,618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470,813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515,771</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firstLine="8"/>
        <w:spacing w:after="0"/>
        <w:tabs>
          <w:tab w:leader="none" w:pos="163"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Purchase accounting expenses are primarily comprised of amortization of intangible assets and charges related to fair value step-ups for acquired inventory sold during the period.</w:t>
      </w:r>
    </w:p>
    <w:p>
      <w:pPr>
        <w:spacing w:after="0" w:line="1" w:lineRule="exact"/>
        <w:rPr>
          <w:rFonts w:ascii="Arial" w:cs="Arial" w:eastAsia="Arial" w:hAnsi="Arial"/>
          <w:sz w:val="19"/>
          <w:szCs w:val="19"/>
          <w:color w:val="auto"/>
          <w:vertAlign w:val="superscript"/>
        </w:rPr>
      </w:pPr>
    </w:p>
    <w:p>
      <w:pPr>
        <w:ind w:left="180" w:hanging="172"/>
        <w:spacing w:after="0" w:line="200" w:lineRule="auto"/>
        <w:tabs>
          <w:tab w:leader="none" w:pos="180"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Restructuring and other costs relate to actions taken for employee reductions, facility consolidations and site closures, product line exits, and other asset charges.</w:t>
      </w:r>
    </w:p>
    <w:p>
      <w:pPr>
        <w:spacing w:after="0" w:line="10" w:lineRule="exact"/>
        <w:rPr>
          <w:rFonts w:ascii="Arial" w:cs="Arial" w:eastAsia="Arial" w:hAnsi="Arial"/>
          <w:sz w:val="20"/>
          <w:szCs w:val="20"/>
          <w:color w:val="auto"/>
          <w:vertAlign w:val="superscript"/>
        </w:rPr>
      </w:pPr>
    </w:p>
    <w:p>
      <w:pPr>
        <w:ind w:left="180" w:hanging="172"/>
        <w:spacing w:after="0" w:line="187" w:lineRule="auto"/>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Loss on dispositions includes working capital adjustments related to dispositions.</w:t>
      </w:r>
    </w:p>
    <w:p>
      <w:pPr>
        <w:jc w:val="both"/>
        <w:ind w:firstLine="8"/>
        <w:spacing w:after="0" w:line="229" w:lineRule="auto"/>
        <w:tabs>
          <w:tab w:leader="none" w:pos="183"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Certain expenses are maintained at the corporate level and not allocated to the segments. These expenses include executive and functional compensation costs, non-service pension costs, non-operating insurance expenses, shared business services and digital overhead costs, deal-related expenses and various administrative expenses relating to the corporate headquarters.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Other Costs (Benefits)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Restructuring and other costs are not presented in our segment earnings because these costs are excluded from the segment operating performance measure reviewed by management. Restructuring and other costs for the three and six months ended June 30, 2023 included restructuring charges of $16.4 million and $28.9 million, respectively and other costs, net of $1.7 million and $3.3 million, respectively. Restructuring charges for the three and six months ended June 30, 2023 were primarily related to headcount reductions and exit costs in the Clean Energy &amp; Fueling, Engineered Products and Pumps &amp; Process Solutions segments. These restructuring programs were initiated in 2022 and 2023 and were undertaken in light of current market conditions. Other costs, net of $2.0 million within the Clean Energy &amp; Fueling segment for the six months ended June 30, 2023 were primarily due to product line rationalization. These restructuring and other charges were recorded in cost of goods and services and selling, general and administrative expenses in the condensed consolidated statement of earnings. Additional programs beyond the scope of the announced programs may be implemented during 2023 with related restructuring charges.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recorded the following restructuring and other costs (benefits) for the three and six months ended June 30, 2023:</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7"/>
          </w:tcPr>
          <w:p>
            <w:pPr>
              <w:jc w:val="center"/>
              <w:ind w:right="159"/>
              <w:spacing w:after="0"/>
              <w:rPr>
                <w:sz w:val="20"/>
                <w:szCs w:val="20"/>
                <w:color w:val="auto"/>
              </w:rPr>
            </w:pPr>
            <w:r>
              <w:rPr>
                <w:rFonts w:ascii="Arial" w:cs="Arial" w:eastAsia="Arial" w:hAnsi="Arial"/>
                <w:sz w:val="16"/>
                <w:szCs w:val="16"/>
                <w:b w:val="1"/>
                <w:bCs w:val="1"/>
                <w:color w:val="auto"/>
                <w:w w:val="92"/>
              </w:rPr>
              <w:t>Three Months Ended June 30, 2023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1"/>
              </w:rPr>
              <w:t>Engineered</w:t>
            </w:r>
          </w:p>
        </w:tc>
        <w:tc>
          <w:tcPr>
            <w:tcW w:w="100" w:type="dxa"/>
            <w:vAlign w:val="bottom"/>
          </w:tcPr>
          <w:p>
            <w:pPr>
              <w:spacing w:after="0"/>
              <w:rPr>
                <w:sz w:val="13"/>
                <w:szCs w:val="13"/>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7"/>
              </w:rPr>
              <w:t>Clean Energy</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Imaging &amp;</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5"/>
              </w:rPr>
              <w:t>Pumps &amp;</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rPr>
              <w:t>Climate &amp;</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83"/>
              </w:rPr>
              <w:t>Process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0"/>
              </w:rPr>
              <w:t>Sustainability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4"/>
              </w:rPr>
              <w:t>Corporate</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Products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8"/>
              </w:rPr>
              <w:t>&amp; Fueling</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4"/>
              </w:rPr>
              <w:t>Identification</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7"/>
              </w:rPr>
              <w:t>Solutions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7"/>
              </w:rPr>
              <w:t>Technologies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16,399</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costs, net</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1,744</w:t>
            </w:r>
          </w:p>
        </w:tc>
        <w:tc>
          <w:tcPr>
            <w:tcW w:w="0" w:type="dxa"/>
            <w:vAlign w:val="bottom"/>
          </w:tcPr>
          <w:p>
            <w:pPr>
              <w:spacing w:after="0"/>
              <w:rPr>
                <w:sz w:val="1"/>
                <w:szCs w:val="1"/>
                <w:color w:val="auto"/>
              </w:rPr>
            </w:pPr>
          </w:p>
        </w:tc>
      </w:tr>
      <w:tr>
        <w:trPr>
          <w:trHeight w:val="233"/>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and other costs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18,143</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7"/>
          </w:tcPr>
          <w:p>
            <w:pPr>
              <w:jc w:val="center"/>
              <w:ind w:right="119"/>
              <w:spacing w:after="0"/>
              <w:rPr>
                <w:sz w:val="20"/>
                <w:szCs w:val="20"/>
                <w:color w:val="auto"/>
              </w:rPr>
            </w:pPr>
            <w:r>
              <w:rPr>
                <w:rFonts w:ascii="Arial" w:cs="Arial" w:eastAsia="Arial" w:hAnsi="Arial"/>
                <w:sz w:val="16"/>
                <w:szCs w:val="16"/>
                <w:b w:val="1"/>
                <w:bCs w:val="1"/>
                <w:color w:val="auto"/>
                <w:w w:val="91"/>
              </w:rPr>
              <w:t>Six Months Ended June 30, 2023</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1"/>
              </w:rPr>
              <w:t>Engineered</w:t>
            </w:r>
          </w:p>
        </w:tc>
        <w:tc>
          <w:tcPr>
            <w:tcW w:w="100" w:type="dxa"/>
            <w:vAlign w:val="bottom"/>
          </w:tcPr>
          <w:p>
            <w:pPr>
              <w:spacing w:after="0"/>
              <w:rPr>
                <w:sz w:val="13"/>
                <w:szCs w:val="13"/>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7"/>
              </w:rPr>
              <w:t>Clean Energy</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Imaging &amp;</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5"/>
              </w:rPr>
              <w:t>Pumps &amp;</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7"/>
              </w:rPr>
              <w:t>Climate &amp;</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3"/>
              </w:rPr>
              <w:t>Process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2"/>
              </w:rPr>
              <w:t>Sustainability</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Products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8"/>
              </w:rPr>
              <w:t>&amp; Fueling</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6"/>
              </w:rPr>
              <w:t>Identification</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7"/>
              </w:rPr>
              <w:t>Solutions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5"/>
              </w:rPr>
              <w:t>Technologies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6"/>
              </w:rPr>
              <w:t>Corporate</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28,875</w:t>
            </w: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rPr>
                <w:sz w:val="20"/>
                <w:szCs w:val="20"/>
                <w:color w:val="auto"/>
              </w:rPr>
            </w:pPr>
            <w:r>
              <w:rPr>
                <w:rFonts w:ascii="Arial" w:cs="Arial" w:eastAsia="Arial" w:hAnsi="Arial"/>
                <w:sz w:val="16"/>
                <w:szCs w:val="16"/>
                <w:color w:val="auto"/>
              </w:rPr>
              <w:t>Other costs (benefits), net</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3,321</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and other costs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32,196</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Restructuring and other costs of $7.9 million for the three months ended June 30, 2022 were primarily due to headcount reductions and facility consolidations resulting from restructuring programs initiated in 2021 and 2022, and asset write-downs. For the six months ended June 30, 2022, substantial liquidation and exit from certain Latin America countries in our Climate &amp; Sustainability Technologies segment contributed to restructuring expenses of $12.5 million and other costs (benefits), net of $6.0 million, comprised primarily of foreign currency translation losses and asset write-downs. These restructuring and other charges were recorded in cost of goods and services and selling, general and administrative expenses in the condensed consolidated statement of earnings.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recorded the following restructuring and other costs (benefits) for the three and six months ended June 30, 2022:</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8"/>
          </w:tcPr>
          <w:p>
            <w:pPr>
              <w:jc w:val="center"/>
              <w:ind w:right="99"/>
              <w:spacing w:after="0"/>
              <w:rPr>
                <w:sz w:val="20"/>
                <w:szCs w:val="20"/>
                <w:color w:val="auto"/>
              </w:rPr>
            </w:pPr>
            <w:r>
              <w:rPr>
                <w:rFonts w:ascii="Arial" w:cs="Arial" w:eastAsia="Arial" w:hAnsi="Arial"/>
                <w:sz w:val="16"/>
                <w:szCs w:val="16"/>
                <w:b w:val="1"/>
                <w:bCs w:val="1"/>
                <w:color w:val="auto"/>
                <w:w w:val="92"/>
              </w:rPr>
              <w:t>Three Months Ended June 30, 2022</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89"/>
              </w:rPr>
              <w:t>Engineered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1"/>
              </w:rPr>
              <w:t>Clean Energy</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95"/>
              </w:rPr>
              <w:t>Imaging &amp;</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2"/>
              </w:rPr>
              <w:t>Pumps &amp;</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7"/>
              </w:rPr>
              <w:t>Climate &amp;</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83"/>
              </w:rPr>
              <w:t>Process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0"/>
              </w:rPr>
              <w:t>Sustainability</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6"/>
              </w:rPr>
              <w:t>Corporate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Products</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5"/>
              </w:rPr>
              <w:t>&amp; Fueling</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4"/>
              </w:rPr>
              <w:t>Identification</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7"/>
              </w:rPr>
              <w:t>Solutions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5"/>
              </w:rPr>
              <w:t>Technologies</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34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4,309</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costs, net</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3,635</w:t>
            </w:r>
          </w:p>
        </w:tc>
        <w:tc>
          <w:tcPr>
            <w:tcW w:w="0" w:type="dxa"/>
            <w:vAlign w:val="bottom"/>
          </w:tcPr>
          <w:p>
            <w:pPr>
              <w:spacing w:after="0"/>
              <w:rPr>
                <w:sz w:val="1"/>
                <w:szCs w:val="1"/>
                <w:color w:val="auto"/>
              </w:rPr>
            </w:pPr>
          </w:p>
        </w:tc>
      </w:tr>
      <w:tr>
        <w:trPr>
          <w:trHeight w:val="232"/>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and other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1,307</w:t>
            </w: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7,944</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2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8"/>
          </w:tcPr>
          <w:p>
            <w:pPr>
              <w:jc w:val="center"/>
              <w:ind w:right="99"/>
              <w:spacing w:after="0"/>
              <w:rPr>
                <w:sz w:val="20"/>
                <w:szCs w:val="20"/>
                <w:color w:val="auto"/>
              </w:rPr>
            </w:pPr>
            <w:r>
              <w:rPr>
                <w:rFonts w:ascii="Arial" w:cs="Arial" w:eastAsia="Arial" w:hAnsi="Arial"/>
                <w:sz w:val="16"/>
                <w:szCs w:val="16"/>
                <w:b w:val="1"/>
                <w:bCs w:val="1"/>
                <w:color w:val="auto"/>
                <w:w w:val="91"/>
              </w:rPr>
              <w:t>Six Months Ended June 30, 2022</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89"/>
              </w:rPr>
              <w:t>Engineered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1"/>
              </w:rPr>
              <w:t>Clean Energy</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95"/>
              </w:rPr>
              <w:t>Imaging &amp;</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2"/>
              </w:rPr>
              <w:t>Pumps &amp;</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7"/>
              </w:rPr>
              <w:t>Climate &amp;</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83"/>
              </w:rPr>
              <w:t>Process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2"/>
              </w:rPr>
              <w:t>Sustainability</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Products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5"/>
              </w:rPr>
              <w:t>&amp; Fueling</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4"/>
              </w:rPr>
              <w:t>Identification</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7"/>
              </w:rPr>
              <w:t>Solutions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5"/>
              </w:rPr>
              <w:t>Technologies</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6"/>
              </w:rPr>
              <w:t>Corporate</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1,535</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5,875</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34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12,466</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rPr>
              <w:t>Other costs (benefits), net</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2,224</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6,030</w:t>
            </w:r>
          </w:p>
        </w:tc>
        <w:tc>
          <w:tcPr>
            <w:tcW w:w="0" w:type="dxa"/>
            <w:vAlign w:val="bottom"/>
          </w:tcPr>
          <w:p>
            <w:pPr>
              <w:spacing w:after="0"/>
              <w:rPr>
                <w:sz w:val="1"/>
                <w:szCs w:val="1"/>
                <w:color w:val="auto"/>
              </w:rPr>
            </w:pPr>
          </w:p>
        </w:tc>
      </w:tr>
      <w:tr>
        <w:trPr>
          <w:trHeight w:val="233"/>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and other costs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3,410</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2,684</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8,099</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34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18,496</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Accounting Expenses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Purchase accounting expenses primarily relate to amortization of intangible assets and charges related to fair value step-ups for acquired inventory sold during the period. These expenses are not presented in our segment earnings because they are excluded from the segment operating performance measure reviewed by management. These expenses reconcile to segment earnings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w w:val="99"/>
              </w:rPr>
              <w:t>Three Months Ended June 30,</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Six Months Ended June 30,</w:t>
            </w:r>
          </w:p>
        </w:tc>
      </w:tr>
      <w:tr>
        <w:trPr>
          <w:trHeight w:val="236"/>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r>
      <w:tr>
        <w:trPr>
          <w:trHeight w:val="21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Purchase accounting expenses</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7"/>
        </w:trPr>
        <w:tc>
          <w:tcPr>
            <w:tcW w:w="4160" w:type="dxa"/>
            <w:vAlign w:val="bottom"/>
          </w:tcPr>
          <w:p>
            <w:pPr>
              <w:ind w:left="360"/>
              <w:spacing w:after="0"/>
              <w:rPr>
                <w:sz w:val="20"/>
                <w:szCs w:val="20"/>
                <w:color w:val="auto"/>
              </w:rPr>
            </w:pPr>
            <w:r>
              <w:rPr>
                <w:rFonts w:ascii="Arial" w:cs="Arial" w:eastAsia="Arial" w:hAnsi="Arial"/>
                <w:sz w:val="18"/>
                <w:szCs w:val="18"/>
                <w:color w:val="auto"/>
              </w:rPr>
              <w:t>Engineered Products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4,991</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5,593</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10,795</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10,408</w:t>
            </w:r>
          </w:p>
        </w:tc>
      </w:tr>
      <w:tr>
        <w:trPr>
          <w:trHeight w:val="236"/>
        </w:trPr>
        <w:tc>
          <w:tcPr>
            <w:tcW w:w="4160" w:type="dxa"/>
            <w:vAlign w:val="bottom"/>
            <w:shd w:val="clear" w:color="auto" w:fill="CCEEFF"/>
          </w:tcPr>
          <w:p>
            <w:pPr>
              <w:ind w:left="360"/>
              <w:spacing w:after="0" w:line="236" w:lineRule="exact"/>
              <w:rPr>
                <w:sz w:val="20"/>
                <w:szCs w:val="20"/>
                <w:color w:val="auto"/>
              </w:rPr>
            </w:pPr>
            <w:r>
              <w:rPr>
                <w:rFonts w:ascii="Arial" w:cs="Arial" w:eastAsia="Arial" w:hAnsi="Arial"/>
                <w:sz w:val="18"/>
                <w:szCs w:val="18"/>
                <w:color w:val="auto"/>
              </w:rPr>
              <w:t xml:space="preserve">Clean Energy &amp; Fueling </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58,225</w:t>
            </w:r>
          </w:p>
        </w:tc>
      </w:tr>
      <w:tr>
        <w:trPr>
          <w:trHeight w:val="229"/>
        </w:trPr>
        <w:tc>
          <w:tcPr>
            <w:tcW w:w="4160" w:type="dxa"/>
            <w:vAlign w:val="bottom"/>
          </w:tcPr>
          <w:p>
            <w:pPr>
              <w:ind w:left="360"/>
              <w:spacing w:after="0"/>
              <w:rPr>
                <w:sz w:val="20"/>
                <w:szCs w:val="20"/>
                <w:color w:val="auto"/>
              </w:rPr>
            </w:pPr>
            <w:r>
              <w:rPr>
                <w:rFonts w:ascii="Arial" w:cs="Arial" w:eastAsia="Arial" w:hAnsi="Arial"/>
                <w:sz w:val="18"/>
                <w:szCs w:val="18"/>
                <w:color w:val="auto"/>
              </w:rPr>
              <w:t>Imaging &amp; Identification</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5,945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11,301</w:t>
            </w:r>
          </w:p>
        </w:tc>
      </w:tr>
      <w:tr>
        <w:trPr>
          <w:trHeight w:val="243"/>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Pumps &amp; Process Solutions</w:t>
            </w:r>
          </w:p>
        </w:tc>
        <w:tc>
          <w:tcPr>
            <w:tcW w:w="3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10,688</w:t>
            </w:r>
          </w:p>
        </w:tc>
      </w:tr>
      <w:tr>
        <w:trPr>
          <w:trHeight w:val="229"/>
        </w:trPr>
        <w:tc>
          <w:tcPr>
            <w:tcW w:w="4160" w:type="dxa"/>
            <w:vAlign w:val="bottom"/>
          </w:tcPr>
          <w:p>
            <w:pPr>
              <w:ind w:left="360"/>
              <w:spacing w:after="0"/>
              <w:rPr>
                <w:sz w:val="20"/>
                <w:szCs w:val="20"/>
                <w:color w:val="auto"/>
              </w:rPr>
            </w:pPr>
            <w:r>
              <w:rPr>
                <w:rFonts w:ascii="Arial" w:cs="Arial" w:eastAsia="Arial" w:hAnsi="Arial"/>
                <w:sz w:val="18"/>
                <w:szCs w:val="18"/>
                <w:color w:val="auto"/>
              </w:rPr>
              <w:t>Climate &amp; Sustainability Technologies</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4,824</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9,649</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9,683</w:t>
            </w:r>
          </w:p>
        </w:tc>
      </w:tr>
      <w:tr>
        <w:trPr>
          <w:trHeight w:val="24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47,019</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82,879</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100,305</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ind w:left="20" w:right="20" w:firstLine="6"/>
        <w:spacing w:after="0" w:line="282" w:lineRule="auto"/>
        <w:tabs>
          <w:tab w:leader="none" w:pos="100" w:val="left"/>
        </w:tabs>
        <w:numPr>
          <w:ilvl w:val="0"/>
          <w:numId w:val="12"/>
        </w:numPr>
        <w:rPr>
          <w:rFonts w:ascii="Arial" w:cs="Arial" w:eastAsia="Arial" w:hAnsi="Arial"/>
          <w:sz w:val="9"/>
          <w:szCs w:val="9"/>
          <w:color w:val="auto"/>
        </w:rPr>
      </w:pPr>
      <w:r>
        <w:rPr>
          <w:rFonts w:ascii="Arial" w:cs="Arial" w:eastAsia="Arial" w:hAnsi="Arial"/>
          <w:sz w:val="13"/>
          <w:szCs w:val="13"/>
          <w:color w:val="auto"/>
        </w:rPr>
        <w:t>Purchase accounting expenses in our Clean Energy and Fueling segment decreased by $7,355 and $19,118 for the three and six months ended June 30, 2023 from the prior year comparable periods, which include $6,898 and $18,995 of charges, respectively, related to fair value step-ups for inventory from the acquisition of RegO and Acme Cryogenics in Q4 2021.</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Significant factors affecting liquidity are: cash flows generated from operating activities, capital expenditures, acquisitions, dispositions, dividends, repurchase of outstanding shares, adequacy of available commercial paper and bank lines of credit and the ability to attract long-term capital with satisfactory terms. We generate substantial cash from the operations of our businesses and remain in a strong financial position, with sufficient liquidity available for reinvestment in existing businesses and strategic acquisitions.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r>
              <w:rPr>
                <w:rFonts w:ascii="Arial" w:cs="Arial" w:eastAsia="Arial" w:hAnsi="Arial"/>
                <w:sz w:val="18"/>
                <w:szCs w:val="18"/>
                <w:b w:val="1"/>
                <w:bCs w:val="1"/>
                <w:color w:val="auto"/>
              </w:rPr>
              <w:t>Cash Flow Summary</w:t>
            </w: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59"/>
        </w:trPr>
        <w:tc>
          <w:tcPr>
            <w:tcW w:w="7160" w:type="dxa"/>
            <w:vAlign w:val="bottom"/>
          </w:tcPr>
          <w:p>
            <w:pPr>
              <w:spacing w:after="0"/>
              <w:rPr>
                <w:sz w:val="20"/>
                <w:szCs w:val="20"/>
                <w:color w:val="auto"/>
              </w:rPr>
            </w:pPr>
            <w:r>
              <w:rPr>
                <w:rFonts w:ascii="Arial" w:cs="Arial" w:eastAsia="Arial" w:hAnsi="Arial"/>
                <w:sz w:val="18"/>
                <w:szCs w:val="18"/>
                <w:color w:val="auto"/>
              </w:rPr>
              <w:t>The following table is derived from our condensed consolidated statements of cash flows:</w:t>
            </w: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63"/>
        </w:trPr>
        <w:tc>
          <w:tcPr>
            <w:tcW w:w="71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8"/>
                <w:szCs w:val="18"/>
                <w:b w:val="1"/>
                <w:bCs w:val="1"/>
                <w:color w:val="auto"/>
              </w:rPr>
              <w:t>Six Months Ended June 30,</w:t>
            </w: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 xml:space="preserve">Cash Flows from Operations </w:t>
            </w:r>
            <w:r>
              <w:rPr>
                <w:rFonts w:ascii="Arial" w:cs="Arial" w:eastAsia="Arial" w:hAnsi="Arial"/>
                <w:sz w:val="18"/>
                <w:szCs w:val="18"/>
                <w:i w:val="1"/>
                <w:iCs w:val="1"/>
                <w:color w:val="auto"/>
              </w:rPr>
              <w:t>(in thousands)</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2022</w:t>
            </w: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provided by (used in):</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7"/>
        </w:trPr>
        <w:tc>
          <w:tcPr>
            <w:tcW w:w="716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436,538</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202,456</w:t>
            </w:r>
          </w:p>
        </w:tc>
      </w:tr>
      <w:tr>
        <w:trPr>
          <w:trHeight w:val="236"/>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46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(86,010)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(115,853)</w:t>
            </w: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(444,489)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45,265</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flow from operating activities for the six months ended June 30, 2023 increased by $234.1 million compared to June 30, 2022. This increase was primarily driven by improvements in the cash flows related to working capital. Additionally, estimated tax payments were higher in 2022 driven primarily by a $43.5 million income tax payment related to the gain on disposition of Unified 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Adjusted Working Capital: </w:t>
      </w:r>
      <w:r>
        <w:rPr>
          <w:rFonts w:ascii="Arial" w:cs="Arial" w:eastAsia="Arial" w:hAnsi="Arial"/>
          <w:sz w:val="18"/>
          <w:szCs w:val="18"/>
          <w:color w:val="auto"/>
        </w:rPr>
        <w:t>We believe adjusted working capital (a non-GAAP measure calculated as accounts receivable, plus inventory, less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provides a meaningful measure of liquidity by showing changes caused by operational results. The following table provides a calculation of adjusted working capital:</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 xml:space="preserve">Adjusted Working Capital </w:t>
            </w: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December 31, 2022</w:t>
            </w:r>
          </w:p>
        </w:tc>
      </w:tr>
      <w:tr>
        <w:trPr>
          <w:trHeight w:val="237"/>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1,561,162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1,516,871</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1,396,260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1,366,608</w:t>
            </w:r>
          </w:p>
        </w:tc>
      </w:tr>
      <w:tr>
        <w:trPr>
          <w:trHeight w:val="229"/>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Accounts payable</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1,028,928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1,068,144</w:t>
            </w: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Adjusted working capital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1,928,494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1,815,335</w:t>
            </w:r>
          </w:p>
        </w:tc>
      </w:tr>
      <w:tr>
        <w:trPr>
          <w:trHeight w:val="20"/>
        </w:trPr>
        <w:tc>
          <w:tcPr>
            <w:tcW w:w="7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working capital increased by $113.2 million, or 6.2%, in the six months ended June 30, 2023, which reflected an increase of $44.3 million in accounts receivable, an increase of $29.7 million in inventory and a decrease in accounts payable of $39.2 million. Inventories increased to support normal seasonality trends in advance of higher expected shipment volumes in the second half of the year. The change in accounts receivable and payable reflect the timing of payments and collections.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flow from investing activities is generally derived from cash outflows for capital expenditures and acquisitions, offset by proceeds from sales of business, property, plant and equipment. During the six months ended June 30, 2023, the majority of the activity in investing activities was comprised of capital spending. Our capital expenditures decreased $12.1 million during the six months ended June 30, 2023 compared to the six months ended June 30, 2022.</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anticipate that capital expenditures and any acquisitions we make through the remainder of 2023 will be funded from available cash and internally generated funds and, if necessary, through the issuance of commercial paper, borrowings from revolving credit facilities or by accessing the public debt or equity markets.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cash flow from financing activities generally relates to the use of cash for repurchases of our common stock and payment of dividends, offset by borrowing activity. The majority of financing activity was attributed to the following:</w:t>
      </w:r>
    </w:p>
    <w:p>
      <w:pPr>
        <w:spacing w:after="0" w:line="197" w:lineRule="exact"/>
        <w:rPr>
          <w:sz w:val="20"/>
          <w:szCs w:val="20"/>
          <w:color w:val="auto"/>
        </w:rPr>
      </w:pPr>
    </w:p>
    <w:p>
      <w:pPr>
        <w:ind w:left="660" w:hanging="328"/>
        <w:spacing w:after="0" w:line="277" w:lineRule="auto"/>
        <w:tabs>
          <w:tab w:leader="none" w:pos="660" w:val="left"/>
        </w:tabs>
        <w:numPr>
          <w:ilvl w:val="0"/>
          <w:numId w:val="13"/>
        </w:numPr>
        <w:rPr>
          <w:rFonts w:ascii="Arial" w:cs="Arial" w:eastAsia="Arial" w:hAnsi="Arial"/>
          <w:sz w:val="16"/>
          <w:szCs w:val="16"/>
          <w:b w:val="1"/>
          <w:bCs w:val="1"/>
          <w:i w:val="1"/>
          <w:iCs w:val="1"/>
          <w:color w:val="auto"/>
        </w:rPr>
      </w:pPr>
      <w:r>
        <w:rPr>
          <w:rFonts w:ascii="Arial" w:cs="Arial" w:eastAsia="Arial" w:hAnsi="Arial"/>
          <w:sz w:val="18"/>
          <w:szCs w:val="18"/>
          <w:i w:val="1"/>
          <w:iCs w:val="1"/>
          <w:color w:val="auto"/>
        </w:rPr>
        <w:t xml:space="preserve">Repurchase of common stock: </w:t>
      </w:r>
      <w:r>
        <w:rPr>
          <w:rFonts w:ascii="Arial" w:cs="Arial" w:eastAsia="Arial" w:hAnsi="Arial"/>
          <w:sz w:val="18"/>
          <w:szCs w:val="18"/>
          <w:color w:val="auto"/>
        </w:rPr>
        <w:t>During the six months ended June 30, 2023, we repurchased no shares. During the six months ended June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we used $85.0 million to repurchase 641,428 shares.</w:t>
      </w:r>
    </w:p>
    <w:p>
      <w:pPr>
        <w:spacing w:after="0" w:line="197" w:lineRule="exact"/>
        <w:rPr>
          <w:rFonts w:ascii="Arial" w:cs="Arial" w:eastAsia="Arial" w:hAnsi="Arial"/>
          <w:sz w:val="16"/>
          <w:szCs w:val="16"/>
          <w:b w:val="1"/>
          <w:bCs w:val="1"/>
          <w:i w:val="1"/>
          <w:iCs w:val="1"/>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Commercial paper and other short-term borrowings, net: </w:t>
      </w:r>
      <w:r>
        <w:rPr>
          <w:rFonts w:ascii="Arial" w:cs="Arial" w:eastAsia="Arial" w:hAnsi="Arial"/>
          <w:sz w:val="18"/>
          <w:szCs w:val="18"/>
          <w:color w:val="auto"/>
        </w:rPr>
        <w:t>During the six months ended June 30, 2023, we used $289.6 million to pay off</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paper borrowings. During the six months ended June 30, 2022, we received net proceeds of $288.0 million from commercial paper borrowings.</w:t>
      </w:r>
    </w:p>
    <w:p>
      <w:pPr>
        <w:spacing w:after="0" w:line="210" w:lineRule="exact"/>
        <w:rPr>
          <w:rFonts w:ascii="Arial" w:cs="Arial" w:eastAsia="Arial" w:hAnsi="Arial"/>
          <w:sz w:val="18"/>
          <w:szCs w:val="18"/>
          <w:i w:val="1"/>
          <w:iCs w:val="1"/>
          <w:color w:val="auto"/>
        </w:rPr>
      </w:pPr>
    </w:p>
    <w:p>
      <w:pPr>
        <w:jc w:val="both"/>
        <w:ind w:left="66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Dividend payments: </w:t>
      </w:r>
      <w:r>
        <w:rPr>
          <w:rFonts w:ascii="Arial" w:cs="Arial" w:eastAsia="Arial" w:hAnsi="Arial"/>
          <w:sz w:val="18"/>
          <w:szCs w:val="18"/>
          <w:color w:val="auto"/>
        </w:rPr>
        <w:t>Total dividend payments to common shareholders were $141.5 million during the six months ended June 30, 2023,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$144.1 million during the same period in 2022. Our dividends paid per common share increased 1.0% to $1.01 during the six months ended June 30, 2023 compared to $1.00 during the same period in 2022. The number of common shares outstanding decreased in the comparative periods due to share repurchase activity throughout 2022.</w:t>
      </w:r>
    </w:p>
    <w:p>
      <w:pPr>
        <w:spacing w:after="0" w:line="21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Payments to settle employee tax obligations: </w:t>
      </w:r>
      <w:r>
        <w:rPr>
          <w:rFonts w:ascii="Arial" w:cs="Arial" w:eastAsia="Arial" w:hAnsi="Arial"/>
          <w:sz w:val="18"/>
          <w:szCs w:val="18"/>
          <w:color w:val="auto"/>
        </w:rPr>
        <w:t>Payments to settle tax obligations from the exercise of share-based awards declined $1.0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measuring our cash flow generation and usage based upon the operating, investing and financing classifications included in the condensed consolidated statements of cash flows, we also measure free cash flow (a non-GAAP measure) which represents net cash provided by operating activities minus capital expenditures. We believe that free cash flow is an important measure of liquidity because it provides management and investors a measurement of cash generated from operations that may be available for mandatory payment obligations and investment opportunities, such as funding acquisitions, paying dividends, repaying debt and repurchasing our common stock.</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The following table reconciles our free cash flow to cash flow provided by operating activities:</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5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37"/>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i w:val="1"/>
                <w:iCs w:val="1"/>
                <w:color w:val="auto"/>
              </w:rPr>
              <w:t>(dollars in thousands)</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provided by operating activities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436,538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202,456</w:t>
            </w: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Less: Capital expenditures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(88,454)</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(100,577)</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348,084</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101,879</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Cash flow from operating activities as a percentage of revenue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10.4 %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from operating activities as a percentage of net earnings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39.3 %</w:t>
            </w:r>
          </w:p>
        </w:tc>
        <w:tc>
          <w:tcPr>
            <w:tcW w:w="0" w:type="dxa"/>
            <w:vAlign w:val="bottom"/>
          </w:tcPr>
          <w:p>
            <w:pPr>
              <w:spacing w:after="0"/>
              <w:rPr>
                <w:sz w:val="1"/>
                <w:szCs w:val="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w:t>
            </w: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36"/>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 as a percentage of net earnings</w:t>
            </w: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73.9 %</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June 30, 2023, we generated free cash flow of $348.1 million, representing 8.3% of revenue and 73.9% of net earnings. Free cash flow for the six months ended June 30, 2023 increased $246.2 million, compared to June 30, 2022, due to higher operating cash flow, primarily as a result of improvements in working capital compared to the prior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use commercial paper borrowings for general corporate purposes, including the funding of acquisitions and the repurchase of our common stock. As of June 30, 2023, we maintained $1.0 billion five-year and $500.0 million 364-day unsecured revolving credit facilities ("Credit Agreements") with a syndicate of banks which expire April 6, 2028 and April 4, 2024, respectively. We may elect to extend the maturity date of any loans under the 364-day credit facility until April 4, 2025, subject to conditions specified therein. The Credit Agreements are designated as a liquidity back-stop for the Company's commercial paper program, which was upsized from $1.0 billion to $1.5 billion during the quarter, and also are available for general corporate purposes.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the Company's election, loans under the Credit Agreements will bear interest at a base rate plus an applicable margin. The Credit Agreements require the Company to pay a facility fee and impose various restrictions on the Company such as, among other things, a requirement to maintain an interest coverage ratio of consolidated EBITDA to consolidated net interest expense of not less than 3.0 to 1.0. The Company was in compliance with all covenants in the Credit Agreements and other long-term debt covenants at June 30, 2023 and had an interest coverage ratio of consolidated EBITDA to consolidated net interest expense of 13.7 to 1. We are not aware of any potential impairment to our liquidity and expect to remain in compliance with all of our debt covenants. Additionally, our earliest long-term debt maturity is in 2025.</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a current shelf registration statement filed with the SEC that allows for the issuance of additional debt securities that may be utilized in one or more offerings on terms to be determined at the time of the offering. Net proceeds of any offering would be used for general corporate purposes, including repayment of existing indebtedness, capital expenditures and acquisitions.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June 30, 2023, our cash and cash equivalents totaled $285.8 million, of which approximately $259.5 million was held outside the United States. At December 31, 2022, our cash and cash equivalents totaled $380.9 million, of which approximately $261.4 million was held outside the United States. Cash and cash equivalents are held primarily in bank deposits with highly rated banks. We regularly hold cash in excess of near-term requirements in bank deposits or invest the funds in government money market instruments or short-term investments, which consist of investment grade time deposits with original maturity dates at the time of purchase of no greater than three months.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utilize the net debt to net capitalization calculation (a non-GAAP measure) to assess our overall financial leverage and capacity and believe the calculation is useful to investors for the same reason. Net debt represents total debt minus cash and cash equivalents. Net capitalization represents net debt plus stockholders' equity. The following table provides a calculation of net debt to net capitalization from the most directly comparable GAAP measures: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Net Debt to Net Capitalization Ratio</w:t>
            </w:r>
          </w:p>
        </w:tc>
        <w:tc>
          <w:tcPr>
            <w:tcW w:w="340" w:type="dxa"/>
            <w:vAlign w:val="bottom"/>
          </w:tcPr>
          <w:p>
            <w:pPr>
              <w:spacing w:after="0"/>
              <w:rPr>
                <w:sz w:val="17"/>
                <w:szCs w:val="17"/>
                <w:color w:val="auto"/>
              </w:rPr>
            </w:pPr>
          </w:p>
        </w:tc>
        <w:tc>
          <w:tcPr>
            <w:tcW w:w="188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w w:val="97"/>
              </w:rPr>
              <w:t>December 31, 2022</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445,500</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734,936</w:t>
            </w:r>
          </w:p>
        </w:tc>
        <w:tc>
          <w:tcPr>
            <w:tcW w:w="0" w:type="dxa"/>
            <w:vAlign w:val="bottom"/>
          </w:tcPr>
          <w:p>
            <w:pPr>
              <w:spacing w:after="0"/>
              <w:rPr>
                <w:sz w:val="1"/>
                <w:szCs w:val="1"/>
                <w:color w:val="auto"/>
              </w:rPr>
            </w:pPr>
          </w:p>
        </w:tc>
      </w:tr>
      <w:tr>
        <w:trPr>
          <w:trHeight w:val="24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675</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short-term borrowings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446,175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735,772</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2,976,573</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2,942,513</w:t>
            </w:r>
          </w:p>
        </w:tc>
        <w:tc>
          <w:tcPr>
            <w:tcW w:w="0" w:type="dxa"/>
            <w:vAlign w:val="bottom"/>
          </w:tcPr>
          <w:p>
            <w:pPr>
              <w:spacing w:after="0"/>
              <w:rPr>
                <w:sz w:val="1"/>
                <w:szCs w:val="1"/>
                <w:color w:val="auto"/>
              </w:rPr>
            </w:pPr>
          </w:p>
        </w:tc>
      </w:tr>
      <w:tr>
        <w:trPr>
          <w:trHeight w:val="23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340" w:type="dxa"/>
            <w:vAlign w:val="bottom"/>
            <w:shd w:val="clear" w:color="auto" w:fill="CCEEFF"/>
          </w:tcPr>
          <w:p>
            <w:pPr>
              <w:spacing w:after="0"/>
              <w:rPr>
                <w:sz w:val="20"/>
                <w:szCs w:val="20"/>
                <w:color w:val="auto"/>
              </w:rPr>
            </w:pPr>
          </w:p>
        </w:tc>
        <w:tc>
          <w:tcPr>
            <w:tcW w:w="1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3,422,748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3,678,285</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Less: Cash and cash equivalents</w:t>
            </w: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(285,777)</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(380,868)</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debt</w:t>
            </w: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3,136,971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3,297,417</w:t>
            </w:r>
          </w:p>
        </w:tc>
        <w:tc>
          <w:tcPr>
            <w:tcW w:w="0" w:type="dxa"/>
            <w:vAlign w:val="bottom"/>
          </w:tcPr>
          <w:p>
            <w:pPr>
              <w:spacing w:after="0"/>
              <w:rPr>
                <w:sz w:val="1"/>
                <w:szCs w:val="1"/>
                <w:color w:val="auto"/>
              </w:rPr>
            </w:pPr>
          </w:p>
        </w:tc>
      </w:tr>
      <w:tr>
        <w:trPr>
          <w:trHeight w:val="24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Stockholders' equity</w:t>
            </w:r>
          </w:p>
        </w:tc>
        <w:tc>
          <w:tcPr>
            <w:tcW w:w="3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4,662,105</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4,286,366</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capitalization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7,799,076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7,583,783</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debt to net capitalization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jc w:val="right"/>
              <w:spacing w:after="0" w:line="204" w:lineRule="exact"/>
              <w:rPr>
                <w:sz w:val="20"/>
                <w:szCs w:val="20"/>
                <w:color w:val="auto"/>
              </w:rPr>
            </w:pPr>
            <w:r>
              <w:rPr>
                <w:rFonts w:ascii="Arial" w:cs="Arial" w:eastAsia="Arial" w:hAnsi="Arial"/>
                <w:sz w:val="18"/>
                <w:szCs w:val="18"/>
                <w:color w:val="auto"/>
              </w:rPr>
              <w:t>40.2 %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jc w:val="right"/>
              <w:spacing w:after="0" w:line="204" w:lineRule="exact"/>
              <w:rPr>
                <w:sz w:val="20"/>
                <w:szCs w:val="20"/>
                <w:color w:val="auto"/>
              </w:rPr>
            </w:pPr>
            <w:r>
              <w:rPr>
                <w:rFonts w:ascii="Arial" w:cs="Arial" w:eastAsia="Arial" w:hAnsi="Arial"/>
                <w:sz w:val="18"/>
                <w:szCs w:val="18"/>
                <w:color w:val="auto"/>
              </w:rPr>
              <w:t>43.5 %</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net debt to net capitalization ratio decreased to 40.2% at June 30, 2023 compared to 43.5% at December 31, 2022. Net debt decreased $160.4 million during the period primarily due to a decrease in commercial paper borrowings, partially offset by lower cash and cash equivalents. Stockholders' equity increased for the period as a result of current earnings of $470.8 million and other comprehensive earnings of $38.7 million, primarily due to the favorable impact of foreign currency fluctuations, partially offset by $141.5 million of dividends paid.</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Operating cash flow and access to capital markets are expected to satisfy our various cash flow requirements, including acquisitions, capital expenditures, purchase obligations, and lease obligations. Acquisition spending and/or share repurchases could potentially increase our debt.</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existing sources of liquidity are adequate to meet anticipated funding needs at current risk-based interest rates for the foreseeable future.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condensed consolidated financial statements and related public financial information are based on the application of GAAP which requires the use of estimates, assumptions, judgments and subjective interpretations of accounting principles that have an impact on the assets, liabilities, revenue and expense amounts reported. These estimates can also affect supplemental information contained in our public disclosures, including information regarding contingencies, risk and our financial condition. We believe our use of estimates and underlying accounting assumptions conform to GAAP and are consistently applied. We review valuations based on estimates for reasonableness on a consistent basis.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Note 18 — Recent Accounting Pronouncements in the condensed consolidated financial statements in Item 1 of this Form 10-Q. The adoption of recent accounting standards as included in Note 18 — Recent Accounting Pronouncements in the condensed consolidated financial statements has not had, and is not expected to have, a significant impact on our revenue, earnings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Quarterly Report on Form 10-Q, especially MD&amp;A, contains "forward-looking" statements within the meaning of the Private Securities Litigation Reform Act of 1995, as amended. All statements in this document other than statements of historical fact are statements that are, or could be deemed, "forward-looking" statements. Some of these statements may be indicated by words such as "may", "anticipate", "expect", "believe", "intend", "continue", "guidance", "estimates", "suggest", "will", "plan", "should", "would", "could", "forecast" and other words and terms that use the future tense or have a similar meaning. Forward-looking statements are based on current expectations and are subject to numerous important risks, uncertainties, and assumptions, including those described in our Annual Report on Form 10-K for the year ended December 31, 2022. Factors that could cause actual results to differ materially from current expectations include, among other things: general economic conditions and conditions in the particular markets in which we operate; supply chain constraints and labor shortages that could result in production stoppages, inflation in material input costs and freight logistics; the impacts of COVID-19 or other future pandemics on the global economy and on our customers, suppliers, employees, business and cash flows; changes in customer demand and capital spending; competitive factors and pricing pressures; our ability to develop and launch new products in a cost-effective manner; changes in law, including the effect of tax laws and developments with respect to trade policy and tariffs; our ability to identify and complete acquisitions and integrate and realize synergies from newly acquired businesses; the impact of interest rate and currency exchange rate fluctuations; capital allocation plans and changes in those plans, including with respect to dividends, share repurchases, investments in research and development, capital expenditures and acquisitions; our ability to derive expected benefits from restructurings, productivity initiatives and other cost reduction actions; the impact of legal compliance risks and litigation, including with respect to product quality and safety, cybersecurity and privacy; and our ability to capture and protect intellectual property rights, and various other factors that are described in our periodic reports filed with or furnished to the Securities and Exchange Commission, including our Annual Report on Form 10-K for the year ended December 31, 2022. The Company undertakes no obligation to publicly update any forward-looking statement, whether as a result of new information, future events or otherwise, except as required by law. Given these risks and uncertainties, readers are cautioned not to place undue reliance on such forward-looking statements.</w:t>
      </w:r>
    </w:p>
    <w:p>
      <w:pPr>
        <w:spacing w:after="0" w:line="19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may, from time to time, post financial or other information on its website, www.dovercorporation.com. The website is for informational purposes only and is not intended for use as a hyperlink. The Company is not incorporating any material on its website into this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Disclosures</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an effort to provide investors with additional information regarding our results as determined by GAAP, we also disclose non-GAAP information, which we believe provides useful information to investors. Free cash flow, free cash flow as a percentage of revenue, free cash flow as a percentage of net earnings, net debt, net capitalization, net debt to net capitalization ratio, adjusted working capital, and organic revenue growth are not financial measures under GAAP and should not be considered as a substitute for cash flows from operating activities, debt or equity, working capital or revenue as determined in accordance with GAAP, and they may not be comparable to similarly titled measures reported by other companies. We believe the net debt to net capitalization ratio and free cash flow are important measures of liquidity. Net debt to net capitalization is helpful in evaluating our capital structure and the amount of leverage we employ. Free cash flow and free cash flow ratios provide both management and investors a measurement of cash generated from operations that is available to fund acquisitions, pay dividends, repay debt and repurchase our common stock. Free cash flow as a percentage of revenue equals free cash flow divided by revenue. Free cash flow as a percentage of net earnings equals free cash flow divided by net earnings. We believe that reporting adjusted working capital provides a meaningful measure of liquidity by showing changes caused by operational results. We believe that reporting organic revenue growth, which excludes the impact of foreign currency exchange rates and the impact of acquisitions and divestitures, provides a useful comparison of our revenue performance and trends between periods.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Reconciliations and comparisons to non-GAAP measures can be found above in this Item 2, Management's Discussion and Analysis of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has been no significant change in our exposure to market risk during the six months ended June 30, 2023. For a discussion of our exposure to market risk, refer to Item 7A, "Quantitative and Qualitative Disclosures about Market Risk," contained in our Annual Report on Form 10-K for the fiscal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r>
        <w:rPr>
          <w:rFonts w:ascii="Arial" w:cs="Arial" w:eastAsia="Arial" w:hAnsi="Arial"/>
          <w:sz w:val="18"/>
          <w:szCs w:val="18"/>
          <w:b w:val="1"/>
          <w:bCs w:val="1"/>
          <w:color w:val="auto"/>
        </w:rPr>
        <w:t xml:space="preserve"> Controls and Procedures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the end of the period covered by this report,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pursuant to Exchange Act Rule 13a-15(e). Based upon that evaluation, the Chief Executive Officer and Chief Financial Officer concluded that the Company’s disclosure controls and procedures were effective as of June 30, 2023.</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second quarter of 2023, there were no changes in the Company’s internal control over financial reporting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13 — Commitments and Contingent Liabilities in the condensed consolidated financial statements in Item 1 of this Form 10-Q.</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from the risk factors previously disclosed in our Annual Report on Form 10-K for the year ended December 31, 2022.</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November 2020, the Company's Board of Directors approved a new standing share repurchase authorization, whereby the Company may repurchase up to 20 million shares beginning on January 1, 2021 through December 31, 2023. No share repurchases were made under the November 2020 authorization during the three months ended June 30, 2023. As of June 30, 2023, the number of shares still available for repurchase under the November 2020 share repurchase authorization was 15,283,326.</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5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0000FF"/>
        </w:rPr>
        <w:t>Certificate pursuant to Rule 13a-14(a) of the Securities Exchange Act of 1934, as amended, signed and dated by Brad M. Cerepak.</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0000FF"/>
        </w:rPr>
        <w:t>Certificate pursuant to Rule 13a-14(a) of the Securities Exchange Act of 1934, as amended, signed and dated by Richard J. Tobin.</w:t>
      </w:r>
    </w:p>
    <w:p>
      <w:pPr>
        <w:spacing w:after="0" w:line="169" w:lineRule="exact"/>
        <w:rPr>
          <w:sz w:val="20"/>
          <w:szCs w:val="20"/>
          <w:color w:val="auto"/>
        </w:rPr>
      </w:pPr>
    </w:p>
    <w:p>
      <w:pPr>
        <w:ind w:left="1000" w:right="40" w:hanging="215"/>
        <w:spacing w:after="0" w:line="235"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0000FF"/>
        </w:rPr>
        <w:t>Certification pursuant to 18 U.S.C. Section 1350, as adopted pursuant to Section 906 of the Sarbanes-Oxley Act of 2002, signed and dated by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Richard J. Tobin and Brad M. Cerepak.</w:t>
      </w:r>
    </w:p>
    <w:p>
      <w:pPr>
        <w:spacing w:after="0" w:line="148" w:lineRule="exact"/>
        <w:rPr>
          <w:sz w:val="20"/>
          <w:szCs w:val="20"/>
          <w:color w:val="auto"/>
        </w:rPr>
      </w:pPr>
    </w:p>
    <w:p>
      <w:pPr>
        <w:jc w:val="both"/>
        <w:ind w:left="1000" w:hanging="368"/>
        <w:spacing w:after="0" w:line="219"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following materials from Dover Corporation’s Quarterly Report on Form 10-Q for the quarter ended June 30, 2023 formatted in iXBRL (Inline eXtensible Business Reporting Language): (i) the Condensed Consolidated Statements of Earnings, (ii) the Condensed Consolidated Statements of Comprehensive Earnings, (iii) the Condensed Consolidated Balance Sheets, (iv) the Condensed Consolidated Statements of Stockholders’ Equity, (v) the Condensed Consolidated Statements of Cash Flows, and (vi) Notes to the Condensed Consolidated Financial Statements.</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104 Cover Page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172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6" w:name="page47"/>
    <w:bookmarkEnd w:id="46"/>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on Form 10-Q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DOVER CORPORATION</w:t>
            </w:r>
          </w:p>
        </w:tc>
      </w:tr>
      <w:tr>
        <w:trPr>
          <w:trHeight w:val="472"/>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5360" w:type="dxa"/>
            <w:vAlign w:val="bottom"/>
          </w:tcPr>
          <w:p>
            <w:pPr>
              <w:ind w:left="120"/>
              <w:spacing w:after="0"/>
              <w:rPr>
                <w:sz w:val="20"/>
                <w:szCs w:val="20"/>
                <w:color w:val="auto"/>
              </w:rPr>
            </w:pPr>
            <w:r>
              <w:rPr>
                <w:rFonts w:ascii="Arial" w:cs="Arial" w:eastAsia="Arial" w:hAnsi="Arial"/>
                <w:sz w:val="18"/>
                <w:szCs w:val="18"/>
                <w:color w:val="auto"/>
              </w:rPr>
              <w:t>July 25, 2023</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Brad M. Cerepak</w:t>
            </w:r>
          </w:p>
        </w:tc>
      </w:tr>
      <w:tr>
        <w:trPr>
          <w:trHeight w:val="222"/>
        </w:trPr>
        <w:tc>
          <w:tcPr>
            <w:tcW w:w="5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Brad M. Cerepak</w:t>
            </w:r>
          </w:p>
        </w:tc>
      </w:tr>
      <w:tr>
        <w:trPr>
          <w:trHeight w:val="230"/>
        </w:trPr>
        <w:tc>
          <w:tcPr>
            <w:tcW w:w="5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Senior Vice President &amp; Chief Financial Officer</w:t>
            </w:r>
          </w:p>
        </w:tc>
      </w:tr>
      <w:tr>
        <w:trPr>
          <w:trHeight w:val="243"/>
        </w:trPr>
        <w:tc>
          <w:tcPr>
            <w:tcW w:w="52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466"/>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5360" w:type="dxa"/>
            <w:vAlign w:val="bottom"/>
          </w:tcPr>
          <w:p>
            <w:pPr>
              <w:ind w:left="120"/>
              <w:spacing w:after="0"/>
              <w:rPr>
                <w:sz w:val="20"/>
                <w:szCs w:val="20"/>
                <w:color w:val="auto"/>
              </w:rPr>
            </w:pPr>
            <w:r>
              <w:rPr>
                <w:rFonts w:ascii="Arial" w:cs="Arial" w:eastAsia="Arial" w:hAnsi="Arial"/>
                <w:sz w:val="18"/>
                <w:szCs w:val="18"/>
                <w:color w:val="auto"/>
              </w:rPr>
              <w:t>July 25, 2023</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Ryan W. Paulson</w:t>
            </w:r>
          </w:p>
        </w:tc>
      </w:tr>
      <w:tr>
        <w:trPr>
          <w:trHeight w:val="229"/>
        </w:trPr>
        <w:tc>
          <w:tcPr>
            <w:tcW w:w="5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Ryan W. Paulson</w:t>
            </w:r>
          </w:p>
        </w:tc>
      </w:tr>
      <w:tr>
        <w:trPr>
          <w:trHeight w:val="229"/>
        </w:trPr>
        <w:tc>
          <w:tcPr>
            <w:tcW w:w="5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Vice President, Controller</w:t>
            </w:r>
          </w:p>
        </w:tc>
      </w:tr>
      <w:tr>
        <w:trPr>
          <w:trHeight w:val="230"/>
        </w:trPr>
        <w:tc>
          <w:tcPr>
            <w:tcW w:w="5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40"/>
          </w:cols>
          <w:pgMar w:left="320" w:top="130" w:right="339" w:bottom="1440" w:gutter="0" w:footer="0" w:header="0"/>
        </w:sectPr>
      </w:pPr>
    </w:p>
    <w:bookmarkStart w:id="47" w:name="page48"/>
    <w:bookmarkEnd w:id="47"/>
    <w:p>
      <w:pPr>
        <w:ind w:left="10320"/>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Brad M. Cerepak, certify that:</w:t>
      </w:r>
    </w:p>
    <w:p>
      <w:pPr>
        <w:spacing w:after="0" w:line="171" w:lineRule="exact"/>
        <w:rPr>
          <w:sz w:val="20"/>
          <w:szCs w:val="20"/>
          <w:color w:val="auto"/>
        </w:rPr>
      </w:pPr>
    </w:p>
    <w:p>
      <w:pPr>
        <w:ind w:left="500" w:hanging="330"/>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Dover Corporation;</w:t>
      </w:r>
    </w:p>
    <w:p>
      <w:pPr>
        <w:spacing w:after="0" w:line="171" w:lineRule="exact"/>
        <w:rPr>
          <w:rFonts w:ascii="Arial" w:cs="Arial" w:eastAsia="Arial" w:hAnsi="Arial"/>
          <w:sz w:val="18"/>
          <w:szCs w:val="18"/>
          <w:color w:val="auto"/>
        </w:rPr>
      </w:pPr>
    </w:p>
    <w:p>
      <w:pPr>
        <w:jc w:val="both"/>
        <w:ind w:left="500" w:hanging="330"/>
        <w:spacing w:after="0" w:line="263"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500" w:hanging="330"/>
        <w:spacing w:after="0" w:line="263"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740" w:hanging="327"/>
        <w:spacing w:after="0" w:line="308" w:lineRule="auto"/>
        <w:tabs>
          <w:tab w:leader="none" w:pos="7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40" w:hanging="327"/>
        <w:spacing w:after="0" w:line="263" w:lineRule="auto"/>
        <w:tabs>
          <w:tab w:leader="none" w:pos="7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hanging="327"/>
        <w:spacing w:after="0" w:line="277" w:lineRule="auto"/>
        <w:tabs>
          <w:tab w:leader="none" w:pos="7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Date:   July 25, 2023</w:t>
            </w: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Brad M. Cerepak</w:t>
            </w:r>
          </w:p>
        </w:tc>
      </w:tr>
      <w:tr>
        <w:trPr>
          <w:trHeight w:val="224"/>
        </w:trPr>
        <w:tc>
          <w:tcPr>
            <w:tcW w:w="556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Brad M. Cerepak</w:t>
            </w:r>
          </w:p>
        </w:tc>
      </w:tr>
      <w:tr>
        <w:trPr>
          <w:trHeight w:val="241"/>
        </w:trPr>
        <w:tc>
          <w:tcPr>
            <w:tcW w:w="556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Senior Vice President &amp; Chief Financial Officer</w:t>
            </w:r>
          </w:p>
        </w:tc>
      </w:tr>
      <w:tr>
        <w:trPr>
          <w:trHeight w:val="230"/>
        </w:trPr>
        <w:tc>
          <w:tcPr>
            <w:tcW w:w="556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891" w:right="339" w:bottom="1440" w:gutter="0" w:footer="0" w:header="0"/>
        </w:sectPr>
      </w:pPr>
    </w:p>
    <w:bookmarkStart w:id="48" w:name="page49"/>
    <w:bookmarkEnd w:id="48"/>
    <w:p>
      <w:pPr>
        <w:ind w:left="10320"/>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Richard J. Tobin, certify that:</w:t>
      </w:r>
    </w:p>
    <w:p>
      <w:pPr>
        <w:spacing w:after="0" w:line="171" w:lineRule="exact"/>
        <w:rPr>
          <w:sz w:val="20"/>
          <w:szCs w:val="20"/>
          <w:color w:val="auto"/>
        </w:rPr>
      </w:pPr>
    </w:p>
    <w:p>
      <w:pPr>
        <w:ind w:left="500" w:hanging="330"/>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Dover Corporation;</w:t>
      </w:r>
    </w:p>
    <w:p>
      <w:pPr>
        <w:spacing w:after="0" w:line="171" w:lineRule="exact"/>
        <w:rPr>
          <w:rFonts w:ascii="Arial" w:cs="Arial" w:eastAsia="Arial" w:hAnsi="Arial"/>
          <w:sz w:val="18"/>
          <w:szCs w:val="18"/>
          <w:color w:val="auto"/>
        </w:rPr>
      </w:pPr>
    </w:p>
    <w:p>
      <w:pPr>
        <w:jc w:val="both"/>
        <w:ind w:left="500" w:hanging="330"/>
        <w:spacing w:after="0" w:line="263"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500" w:hanging="330"/>
        <w:spacing w:after="0" w:line="263"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740" w:hanging="327"/>
        <w:spacing w:after="0" w:line="308" w:lineRule="auto"/>
        <w:tabs>
          <w:tab w:leader="none" w:pos="7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40" w:hanging="327"/>
        <w:spacing w:after="0" w:line="263" w:lineRule="auto"/>
        <w:tabs>
          <w:tab w:leader="none" w:pos="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hanging="327"/>
        <w:spacing w:after="0" w:line="277" w:lineRule="auto"/>
        <w:tabs>
          <w:tab w:leader="none" w:pos="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Date:   July 25, 2023</w:t>
            </w: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J. Tobin</w:t>
            </w:r>
          </w:p>
        </w:tc>
      </w:tr>
      <w:tr>
        <w:trPr>
          <w:trHeight w:val="224"/>
        </w:trPr>
        <w:tc>
          <w:tcPr>
            <w:tcW w:w="556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Richard J. Tobin</w:t>
            </w:r>
          </w:p>
        </w:tc>
      </w:tr>
      <w:tr>
        <w:trPr>
          <w:trHeight w:val="241"/>
        </w:trPr>
        <w:tc>
          <w:tcPr>
            <w:tcW w:w="556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56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 the 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ended 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Dover Corporation</w:t>
      </w:r>
    </w:p>
    <w:p>
      <w:pPr>
        <w:spacing w:after="0" w:line="23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Dover Corporation, a Delaware corporation (the “Company”), does hereby certify, to such officer’s knowledge, that:</w:t>
      </w:r>
    </w:p>
    <w:p>
      <w:pPr>
        <w:spacing w:after="0" w:line="88" w:lineRule="exact"/>
        <w:rPr>
          <w:sz w:val="20"/>
          <w:szCs w:val="20"/>
          <w:color w:val="auto"/>
        </w:rPr>
      </w:pPr>
    </w:p>
    <w:p>
      <w:pPr>
        <w:ind w:left="660" w:hanging="328"/>
        <w:spacing w:after="0" w:line="28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June 30, 2023 (the “Form 10-Q</w:t>
      </w:r>
      <w:r>
        <w:rPr>
          <w:rFonts w:ascii="Arial" w:cs="Arial" w:eastAsia="Arial" w:hAnsi="Arial"/>
          <w:sz w:val="18"/>
          <w:szCs w:val="18"/>
          <w:b w:val="1"/>
          <w:bCs w:val="1"/>
          <w:color w:val="auto"/>
        </w:rPr>
        <w:t>”</w:t>
      </w:r>
      <w:r>
        <w:rPr>
          <w:rFonts w:ascii="Arial" w:cs="Arial" w:eastAsia="Arial" w:hAnsi="Arial"/>
          <w:sz w:val="18"/>
          <w:szCs w:val="18"/>
          <w:color w:val="auto"/>
        </w:rPr>
        <w:t>) fully complies with the requirements of Section 13(a) of the Securities Exchange Act of 1934, as amended; and</w:t>
      </w:r>
    </w:p>
    <w:p>
      <w:pPr>
        <w:spacing w:after="0" w:line="11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Information contained in the Form 10-Q fairly presents, in all material respects, the financial condition and results of operations of the Company.</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Dated:</w:t>
            </w:r>
          </w:p>
        </w:tc>
        <w:tc>
          <w:tcPr>
            <w:tcW w:w="4980" w:type="dxa"/>
            <w:vAlign w:val="bottom"/>
          </w:tcPr>
          <w:p>
            <w:pPr>
              <w:ind w:left="120"/>
              <w:spacing w:after="0"/>
              <w:rPr>
                <w:sz w:val="20"/>
                <w:szCs w:val="20"/>
                <w:color w:val="auto"/>
              </w:rPr>
            </w:pPr>
            <w:r>
              <w:rPr>
                <w:rFonts w:ascii="Arial" w:cs="Arial" w:eastAsia="Arial" w:hAnsi="Arial"/>
                <w:sz w:val="18"/>
                <w:szCs w:val="18"/>
                <w:color w:val="auto"/>
              </w:rPr>
              <w:t>July 25, 2023</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J. Tobin</w:t>
            </w:r>
          </w:p>
        </w:tc>
      </w:tr>
      <w:tr>
        <w:trPr>
          <w:trHeight w:val="224"/>
        </w:trPr>
        <w:tc>
          <w:tcPr>
            <w:tcW w:w="6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Richard J. Tobin</w:t>
            </w:r>
          </w:p>
        </w:tc>
      </w:tr>
      <w:tr>
        <w:trPr>
          <w:trHeight w:val="241"/>
        </w:trPr>
        <w:tc>
          <w:tcPr>
            <w:tcW w:w="6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73"/>
        </w:trPr>
        <w:tc>
          <w:tcPr>
            <w:tcW w:w="620" w:type="dxa"/>
            <w:vAlign w:val="bottom"/>
          </w:tcPr>
          <w:p>
            <w:pPr>
              <w:spacing w:after="0"/>
              <w:rPr>
                <w:sz w:val="20"/>
                <w:szCs w:val="20"/>
                <w:color w:val="auto"/>
              </w:rPr>
            </w:pPr>
            <w:r>
              <w:rPr>
                <w:rFonts w:ascii="Arial" w:cs="Arial" w:eastAsia="Arial" w:hAnsi="Arial"/>
                <w:sz w:val="18"/>
                <w:szCs w:val="18"/>
                <w:color w:val="auto"/>
              </w:rPr>
              <w:t>Dated:</w:t>
            </w:r>
          </w:p>
        </w:tc>
        <w:tc>
          <w:tcPr>
            <w:tcW w:w="4980" w:type="dxa"/>
            <w:vAlign w:val="bottom"/>
          </w:tcPr>
          <w:p>
            <w:pPr>
              <w:ind w:left="120"/>
              <w:spacing w:after="0"/>
              <w:rPr>
                <w:sz w:val="20"/>
                <w:szCs w:val="20"/>
                <w:color w:val="auto"/>
              </w:rPr>
            </w:pPr>
            <w:r>
              <w:rPr>
                <w:rFonts w:ascii="Arial" w:cs="Arial" w:eastAsia="Arial" w:hAnsi="Arial"/>
                <w:sz w:val="18"/>
                <w:szCs w:val="18"/>
                <w:color w:val="auto"/>
              </w:rPr>
              <w:t>July 25, 2023</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Brad M. Cerepak</w:t>
            </w:r>
          </w:p>
        </w:tc>
      </w:tr>
      <w:tr>
        <w:trPr>
          <w:trHeight w:val="222"/>
        </w:trPr>
        <w:tc>
          <w:tcPr>
            <w:tcW w:w="6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Brad M. Cerepak</w:t>
            </w:r>
          </w:p>
        </w:tc>
      </w:tr>
      <w:tr>
        <w:trPr>
          <w:trHeight w:val="230"/>
        </w:trPr>
        <w:tc>
          <w:tcPr>
            <w:tcW w:w="6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Senior Vice President &amp; Chief Financial Officer</w:t>
            </w:r>
          </w:p>
        </w:tc>
      </w:tr>
      <w:tr>
        <w:trPr>
          <w:trHeight w:val="243"/>
        </w:trPr>
        <w:tc>
          <w:tcPr>
            <w:tcW w:w="62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0"/>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3"/>
    </w:lvl>
  </w:abstractNum>
  <w:abstractNum w:abstractNumId="7">
    <w:nsid w:val="3352255A"/>
    <w:multiLevelType w:val="hybridMultilevel"/>
    <w:lvl w:ilvl="0">
      <w:lvlJc w:val="left"/>
      <w:lvlText w:val="%1."/>
      <w:numFmt w:val="decimal"/>
      <w:start w:val="18"/>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10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2023-07-25T05:43:43Z</dcterms:created>
  <dcterms:modified xsi:type="dcterms:W3CDTF">2023-07-25T05:43:43Z</dcterms:modified>
</cp:coreProperties>
</file>