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 w:lineRule="exact"/>
        <w:rPr>
          <w:sz w:val="24"/>
          <w:szCs w:val="24"/>
          <w:color w:val="auto"/>
        </w:rPr>
      </w:pPr>
    </w:p>
    <w:p>
      <w:pPr>
        <w:ind w:left="3820" w:right="2000" w:hanging="3812"/>
        <w:spacing w:after="0" w:line="391" w:lineRule="auto"/>
        <w:tabs>
          <w:tab w:leader="none" w:pos="2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 1934</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transition period from to</w:t>
      </w:r>
    </w:p>
    <w:p>
      <w:pPr>
        <w:spacing w:after="0" w:line="99"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17145</wp:posOffset>
            </wp:positionV>
            <wp:extent cx="37719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56"/>
        </w:trPr>
        <w:tc>
          <w:tcPr>
            <w:tcW w:w="2580" w:type="dxa"/>
            <w:vAlign w:val="bottom"/>
          </w:tcPr>
          <w:p>
            <w:pPr>
              <w:spacing w:after="0"/>
              <w:rPr>
                <w:sz w:val="22"/>
                <w:szCs w:val="22"/>
                <w:color w:val="auto"/>
              </w:rPr>
            </w:pPr>
          </w:p>
        </w:tc>
        <w:tc>
          <w:tcPr>
            <w:tcW w:w="382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w w:val="91"/>
              </w:rPr>
              <w:t>Delaware</w:t>
            </w:r>
          </w:p>
        </w:tc>
        <w:tc>
          <w:tcPr>
            <w:tcW w:w="4860" w:type="dxa"/>
            <w:vAlign w:val="bottom"/>
          </w:tcPr>
          <w:p>
            <w:pPr>
              <w:jc w:val="right"/>
              <w:ind w:right="2110"/>
              <w:spacing w:after="0"/>
              <w:rPr>
                <w:sz w:val="20"/>
                <w:szCs w:val="20"/>
                <w:color w:val="auto"/>
              </w:rPr>
            </w:pPr>
            <w:r>
              <w:rPr>
                <w:rFonts w:ascii="Arial" w:cs="Arial" w:eastAsia="Arial" w:hAnsi="Arial"/>
                <w:sz w:val="18"/>
                <w:szCs w:val="18"/>
                <w:b w:val="1"/>
                <w:bCs w:val="1"/>
                <w:color w:val="auto"/>
              </w:rPr>
              <w:t>53-0257888</w:t>
            </w:r>
          </w:p>
        </w:tc>
      </w:tr>
      <w:tr>
        <w:trPr>
          <w:trHeight w:val="230"/>
        </w:trPr>
        <w:tc>
          <w:tcPr>
            <w:tcW w:w="640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60" w:type="dxa"/>
            <w:vAlign w:val="bottom"/>
          </w:tcPr>
          <w:p>
            <w:pPr>
              <w:jc w:val="center"/>
              <w:ind w:right="330"/>
              <w:spacing w:after="0"/>
              <w:rPr>
                <w:sz w:val="20"/>
                <w:szCs w:val="20"/>
                <w:color w:val="auto"/>
              </w:rPr>
            </w:pPr>
            <w:r>
              <w:rPr>
                <w:rFonts w:ascii="Arial" w:cs="Arial" w:eastAsia="Arial" w:hAnsi="Arial"/>
                <w:sz w:val="18"/>
                <w:szCs w:val="18"/>
                <w:color w:val="auto"/>
                <w:w w:val="93"/>
              </w:rPr>
              <w:t>(I.R.S. Employer Identification No.)</w:t>
            </w:r>
          </w:p>
        </w:tc>
      </w:tr>
      <w:tr>
        <w:trPr>
          <w:trHeight w:val="454"/>
        </w:trPr>
        <w:tc>
          <w:tcPr>
            <w:tcW w:w="6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3005 Highland Parkway</w:t>
            </w:r>
          </w:p>
        </w:tc>
        <w:tc>
          <w:tcPr>
            <w:tcW w:w="4860" w:type="dxa"/>
            <w:vAlign w:val="bottom"/>
          </w:tcPr>
          <w:p>
            <w:pPr>
              <w:spacing w:after="0"/>
              <w:rPr>
                <w:sz w:val="24"/>
                <w:szCs w:val="24"/>
                <w:color w:val="auto"/>
              </w:rPr>
            </w:pPr>
          </w:p>
        </w:tc>
      </w:tr>
      <w:tr>
        <w:trPr>
          <w:trHeight w:val="234"/>
        </w:trPr>
        <w:tc>
          <w:tcPr>
            <w:tcW w:w="6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Downers Grove, Illinois</w:t>
            </w:r>
          </w:p>
        </w:tc>
        <w:tc>
          <w:tcPr>
            <w:tcW w:w="4860" w:type="dxa"/>
            <w:vAlign w:val="bottom"/>
          </w:tcPr>
          <w:p>
            <w:pPr>
              <w:jc w:val="right"/>
              <w:ind w:right="2330"/>
              <w:spacing w:after="0"/>
              <w:rPr>
                <w:sz w:val="20"/>
                <w:szCs w:val="20"/>
                <w:color w:val="auto"/>
              </w:rPr>
            </w:pPr>
            <w:r>
              <w:rPr>
                <w:rFonts w:ascii="Arial" w:cs="Arial" w:eastAsia="Arial" w:hAnsi="Arial"/>
                <w:sz w:val="18"/>
                <w:szCs w:val="18"/>
                <w:b w:val="1"/>
                <w:bCs w:val="1"/>
                <w:color w:val="auto"/>
              </w:rPr>
              <w:t>60515</w:t>
            </w:r>
          </w:p>
        </w:tc>
      </w:tr>
      <w:tr>
        <w:trPr>
          <w:trHeight w:val="230"/>
        </w:trPr>
        <w:tc>
          <w:tcPr>
            <w:tcW w:w="640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(Address of principal executive offices)</w:t>
            </w:r>
          </w:p>
        </w:tc>
        <w:tc>
          <w:tcPr>
            <w:tcW w:w="4860" w:type="dxa"/>
            <w:vAlign w:val="bottom"/>
          </w:tcPr>
          <w:p>
            <w:pPr>
              <w:jc w:val="center"/>
              <w:ind w:right="330"/>
              <w:spacing w:after="0"/>
              <w:rPr>
                <w:sz w:val="20"/>
                <w:szCs w:val="20"/>
                <w:color w:val="auto"/>
              </w:rPr>
            </w:pPr>
            <w:r>
              <w:rPr>
                <w:rFonts w:ascii="Arial" w:cs="Arial" w:eastAsia="Arial" w:hAnsi="Arial"/>
                <w:sz w:val="18"/>
                <w:szCs w:val="18"/>
                <w:color w:val="auto"/>
                <w:w w:val="94"/>
              </w:rPr>
              <w:t>(Zip Code)</w:t>
            </w:r>
          </w:p>
        </w:tc>
      </w:tr>
      <w:tr>
        <w:trPr>
          <w:trHeight w:val="310"/>
        </w:trPr>
        <w:tc>
          <w:tcPr>
            <w:tcW w:w="2580" w:type="dxa"/>
            <w:vAlign w:val="bottom"/>
          </w:tcPr>
          <w:p>
            <w:pPr>
              <w:spacing w:after="0"/>
              <w:rPr>
                <w:sz w:val="24"/>
                <w:szCs w:val="24"/>
                <w:color w:val="auto"/>
              </w:rPr>
            </w:pPr>
          </w:p>
        </w:tc>
        <w:tc>
          <w:tcPr>
            <w:tcW w:w="3820" w:type="dxa"/>
            <w:vAlign w:val="bottom"/>
            <w:gridSpan w:val="2"/>
          </w:tcPr>
          <w:p>
            <w:pPr>
              <w:jc w:val="center"/>
              <w:ind w:left="2170"/>
              <w:spacing w:after="0"/>
              <w:rPr>
                <w:sz w:val="20"/>
                <w:szCs w:val="20"/>
                <w:color w:val="auto"/>
              </w:rPr>
            </w:pPr>
            <w:r>
              <w:rPr>
                <w:rFonts w:ascii="Arial" w:cs="Arial" w:eastAsia="Arial" w:hAnsi="Arial"/>
                <w:sz w:val="18"/>
                <w:szCs w:val="18"/>
                <w:b w:val="1"/>
                <w:bCs w:val="1"/>
                <w:color w:val="auto"/>
                <w:w w:val="90"/>
              </w:rPr>
              <w:t>(630) 541-1540</w:t>
            </w:r>
          </w:p>
        </w:tc>
        <w:tc>
          <w:tcPr>
            <w:tcW w:w="4860" w:type="dxa"/>
            <w:vAlign w:val="bottom"/>
          </w:tcPr>
          <w:p>
            <w:pPr>
              <w:spacing w:after="0"/>
              <w:rPr>
                <w:sz w:val="24"/>
                <w:szCs w:val="24"/>
                <w:color w:val="auto"/>
              </w:rPr>
            </w:pPr>
          </w:p>
        </w:tc>
      </w:tr>
      <w:tr>
        <w:trPr>
          <w:trHeight w:val="230"/>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24"/>
        </w:trPr>
        <w:tc>
          <w:tcPr>
            <w:tcW w:w="64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860" w:type="dxa"/>
            <w:vAlign w:val="bottom"/>
          </w:tcPr>
          <w:p>
            <w:pPr>
              <w:spacing w:after="0"/>
              <w:rPr>
                <w:sz w:val="24"/>
                <w:szCs w:val="24"/>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DOV</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91"/>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1.250% Notes due 2026</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DOV 26</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91"/>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0.750% Notes due 2027</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DOV 27</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Arial" w:cs="Arial" w:eastAsia="Arial" w:hAnsi="Arial"/>
                <w:sz w:val="18"/>
                <w:szCs w:val="18"/>
                <w:color w:val="auto"/>
                <w:w w:val="91"/>
              </w:rPr>
              <w:t>New York Stock Exchange</w:t>
            </w:r>
          </w:p>
        </w:tc>
      </w:tr>
    </w:tbl>
    <w:p>
      <w:pPr>
        <w:spacing w:after="0" w:line="148"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2"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5"/>
        </w:trPr>
        <w:tc>
          <w:tcPr>
            <w:tcW w:w="2160" w:type="dxa"/>
            <w:vAlign w:val="bottom"/>
          </w:tcPr>
          <w:p>
            <w:pPr>
              <w:spacing w:after="0" w:line="205" w:lineRule="exact"/>
              <w:rPr>
                <w:sz w:val="20"/>
                <w:szCs w:val="20"/>
                <w:color w:val="auto"/>
              </w:rPr>
            </w:pPr>
            <w:r>
              <w:rPr>
                <w:rFonts w:ascii="Arial" w:cs="Arial" w:eastAsia="Arial" w:hAnsi="Arial"/>
                <w:sz w:val="18"/>
                <w:szCs w:val="18"/>
                <w:color w:val="auto"/>
              </w:rPr>
              <w:t>Large 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34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3820" w:type="dxa"/>
            <w:vAlign w:val="bottom"/>
          </w:tcPr>
          <w:p>
            <w:pPr>
              <w:ind w:left="1240"/>
              <w:spacing w:after="0" w:line="182" w:lineRule="exact"/>
              <w:rPr>
                <w:sz w:val="20"/>
                <w:szCs w:val="20"/>
                <w:color w:val="auto"/>
              </w:rPr>
            </w:pPr>
            <w:r>
              <w:rPr>
                <w:rFonts w:ascii="Arial" w:cs="Arial" w:eastAsia="Arial" w:hAnsi="Arial"/>
                <w:sz w:val="18"/>
                <w:szCs w:val="18"/>
                <w:color w:val="auto"/>
              </w:rPr>
              <w:t>Accelerated Filer</w:t>
            </w:r>
          </w:p>
        </w:tc>
        <w:tc>
          <w:tcPr>
            <w:tcW w:w="960" w:type="dxa"/>
            <w:vAlign w:val="bottom"/>
          </w:tcPr>
          <w:p>
            <w:pPr>
              <w:spacing w:after="0"/>
              <w:rPr>
                <w:sz w:val="15"/>
                <w:szCs w:val="15"/>
                <w:color w:val="auto"/>
              </w:rPr>
            </w:pPr>
          </w:p>
        </w:tc>
        <w:tc>
          <w:tcPr>
            <w:tcW w:w="3560" w:type="dxa"/>
            <w:vAlign w:val="bottom"/>
          </w:tcPr>
          <w:p>
            <w:pPr>
              <w:ind w:left="280"/>
              <w:spacing w:after="0" w:line="182" w:lineRule="exact"/>
              <w:rPr>
                <w:sz w:val="20"/>
                <w:szCs w:val="20"/>
                <w:color w:val="auto"/>
              </w:rPr>
            </w:pPr>
            <w:r>
              <w:rPr>
                <w:rFonts w:ascii="Arial" w:cs="Arial" w:eastAsia="Arial" w:hAnsi="Arial"/>
                <w:sz w:val="18"/>
                <w:szCs w:val="18"/>
                <w:color w:val="auto"/>
              </w:rPr>
              <w:t>Emerging Growth Company</w:t>
            </w:r>
          </w:p>
        </w:tc>
        <w:tc>
          <w:tcPr>
            <w:tcW w:w="0" w:type="dxa"/>
            <w:vAlign w:val="bottom"/>
          </w:tcPr>
          <w:p>
            <w:pPr>
              <w:spacing w:after="0"/>
              <w:rPr>
                <w:sz w:val="1"/>
                <w:szCs w:val="1"/>
                <w:color w:val="auto"/>
              </w:rPr>
            </w:pPr>
          </w:p>
        </w:tc>
      </w:tr>
      <w:tr>
        <w:trPr>
          <w:trHeight w:val="209"/>
        </w:trPr>
        <w:tc>
          <w:tcPr>
            <w:tcW w:w="216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vMerge w:val="continue"/>
          </w:tcPr>
          <w:p>
            <w:pPr>
              <w:spacing w:after="0"/>
              <w:rPr>
                <w:sz w:val="20"/>
                <w:szCs w:val="20"/>
                <w:color w:val="auto"/>
              </w:rPr>
            </w:pPr>
          </w:p>
        </w:tc>
        <w:tc>
          <w:tcPr>
            <w:tcW w:w="382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00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April 13, 2021 was 143,927,272.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3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00" w:type="dxa"/>
            <w:vAlign w:val="bottom"/>
            <w:tcBorders>
              <w:bottom w:val="single" w:sz="8" w:color="0000FF"/>
            </w:tcBorders>
            <w:gridSpan w:val="18"/>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7320" w:type="dxa"/>
            <w:vAlign w:val="bottom"/>
            <w:gridSpan w:val="15"/>
          </w:tcPr>
          <w:p>
            <w:pPr>
              <w:spacing w:after="0"/>
              <w:rPr>
                <w:sz w:val="17"/>
                <w:szCs w:val="17"/>
                <w:color w:val="auto"/>
              </w:rPr>
            </w:pPr>
          </w:p>
        </w:tc>
        <w:tc>
          <w:tcPr>
            <w:tcW w:w="600" w:type="dxa"/>
            <w:vAlign w:val="bottom"/>
            <w:gridSpan w:val="4"/>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00" w:type="dxa"/>
            <w:vAlign w:val="bottom"/>
            <w:gridSpan w:val="3"/>
            <w:vMerge w:val="restart"/>
          </w:tcPr>
          <w:p>
            <w:pPr>
              <w:spacing w:after="0" w:line="20" w:lineRule="exact"/>
              <w:rPr>
                <w:sz w:val="1"/>
                <w:szCs w:val="1"/>
                <w:color w:val="auto"/>
              </w:rPr>
            </w:pPr>
          </w:p>
        </w:tc>
        <w:tc>
          <w:tcPr>
            <w:tcW w:w="9700" w:type="dxa"/>
            <w:vAlign w:val="bottom"/>
            <w:gridSpan w:val="29"/>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9700" w:type="dxa"/>
            <w:vAlign w:val="bottom"/>
            <w:gridSpan w:val="29"/>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Earnings for the three months ended March 31, 2021 and 2020</w:t>
              </w:r>
            </w:hyperlink>
          </w:p>
        </w:tc>
        <w:tc>
          <w:tcPr>
            <w:tcW w:w="380" w:type="dxa"/>
            <w:vAlign w:val="bottom"/>
            <w:gridSpan w:val="3"/>
          </w:tcPr>
          <w:p>
            <w:pPr>
              <w:jc w:val="center"/>
              <w:ind w:left="13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gridSpan w:val="28"/>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Comprehensive Earnings for the three months ended March 31, 2021 and 2020</w:t>
              </w:r>
            </w:hyperlink>
          </w:p>
        </w:tc>
        <w:tc>
          <w:tcPr>
            <w:tcW w:w="1140" w:type="dxa"/>
            <w:vAlign w:val="bottom"/>
          </w:tcPr>
          <w:p>
            <w:pPr>
              <w:spacing w:after="0"/>
              <w:rPr>
                <w:sz w:val="18"/>
                <w:szCs w:val="18"/>
                <w:color w:val="auto"/>
              </w:rPr>
            </w:pPr>
          </w:p>
        </w:tc>
        <w:tc>
          <w:tcPr>
            <w:tcW w:w="380" w:type="dxa"/>
            <w:vAlign w:val="bottom"/>
            <w:gridSpan w:val="3"/>
          </w:tcPr>
          <w:p>
            <w:pPr>
              <w:jc w:val="center"/>
              <w:ind w:left="13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gridSpan w:val="2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at March 31, 2021 and December 31, 2020</w:t>
              </w:r>
            </w:hyperlink>
          </w:p>
        </w:tc>
        <w:tc>
          <w:tcPr>
            <w:tcW w:w="1140" w:type="dxa"/>
            <w:vAlign w:val="bottom"/>
          </w:tcPr>
          <w:p>
            <w:pPr>
              <w:spacing w:after="0"/>
              <w:rPr>
                <w:sz w:val="18"/>
                <w:szCs w:val="18"/>
                <w:color w:val="auto"/>
              </w:rPr>
            </w:pPr>
          </w:p>
        </w:tc>
        <w:tc>
          <w:tcPr>
            <w:tcW w:w="380" w:type="dxa"/>
            <w:vAlign w:val="bottom"/>
            <w:gridSpan w:val="3"/>
          </w:tcPr>
          <w:p>
            <w:pPr>
              <w:jc w:val="center"/>
              <w:ind w:left="13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Equity for the three months ended March 31, 2021 and 2020</w:t>
              </w:r>
            </w:hyperlink>
          </w:p>
        </w:tc>
        <w:tc>
          <w:tcPr>
            <w:tcW w:w="380" w:type="dxa"/>
            <w:vAlign w:val="bottom"/>
            <w:gridSpan w:val="3"/>
          </w:tcPr>
          <w:p>
            <w:pPr>
              <w:jc w:val="center"/>
              <w:ind w:left="13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60" w:type="dxa"/>
            <w:vAlign w:val="bottom"/>
            <w:gridSpan w:val="27"/>
          </w:tcPr>
          <w:p>
            <w:pPr>
              <w:spacing w:after="0"/>
              <w:rPr>
                <w:rFonts w:ascii="Arial" w:cs="Arial" w:eastAsia="Arial" w:hAnsi="Arial"/>
                <w:sz w:val="18"/>
                <w:szCs w:val="18"/>
                <w:color w:val="0000FF"/>
                <w:w w:val="97"/>
              </w:rPr>
            </w:pPr>
            <w:hyperlink w:anchor="page6">
              <w:r>
                <w:rPr>
                  <w:rFonts w:ascii="Arial" w:cs="Arial" w:eastAsia="Arial" w:hAnsi="Arial"/>
                  <w:sz w:val="18"/>
                  <w:szCs w:val="18"/>
                  <w:color w:val="0000FF"/>
                  <w:w w:val="97"/>
                </w:rPr>
                <w:t>Condensed Consolidated Statements of Cash Flows for the three months ended March 31, 2021 and 2020</w:t>
              </w:r>
            </w:hyperlink>
          </w:p>
        </w:tc>
        <w:tc>
          <w:tcPr>
            <w:tcW w:w="1440" w:type="dxa"/>
            <w:vAlign w:val="bottom"/>
            <w:gridSpan w:val="2"/>
          </w:tcPr>
          <w:p>
            <w:pPr>
              <w:spacing w:after="0"/>
              <w:rPr>
                <w:sz w:val="18"/>
                <w:szCs w:val="18"/>
                <w:color w:val="auto"/>
              </w:rPr>
            </w:pPr>
          </w:p>
        </w:tc>
        <w:tc>
          <w:tcPr>
            <w:tcW w:w="380" w:type="dxa"/>
            <w:vAlign w:val="bottom"/>
            <w:gridSpan w:val="3"/>
          </w:tcPr>
          <w:p>
            <w:pPr>
              <w:jc w:val="center"/>
              <w:ind w:left="13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2"/>
          </w:tcPr>
          <w:p>
            <w:pPr>
              <w:spacing w:after="0"/>
              <w:rPr>
                <w:rFonts w:ascii="Arial" w:cs="Arial" w:eastAsia="Arial" w:hAnsi="Arial"/>
                <w:sz w:val="18"/>
                <w:szCs w:val="18"/>
                <w:color w:val="0000FF"/>
                <w:w w:val="86"/>
              </w:rPr>
            </w:pPr>
            <w:hyperlink w:anchor="page8">
              <w:r>
                <w:rPr>
                  <w:rFonts w:ascii="Arial" w:cs="Arial" w:eastAsia="Arial" w:hAnsi="Arial"/>
                  <w:sz w:val="18"/>
                  <w:szCs w:val="18"/>
                  <w:color w:val="0000FF"/>
                  <w:w w:val="86"/>
                </w:rPr>
                <w:t>Note 1 — Basis of Presentation</w:t>
              </w:r>
            </w:hyperlink>
          </w:p>
        </w:tc>
        <w:tc>
          <w:tcPr>
            <w:tcW w:w="5360" w:type="dxa"/>
            <w:vAlign w:val="bottom"/>
            <w:gridSpan w:val="14"/>
          </w:tcPr>
          <w:p>
            <w:pPr>
              <w:spacing w:after="0"/>
              <w:rPr>
                <w:sz w:val="18"/>
                <w:szCs w:val="18"/>
                <w:color w:val="auto"/>
              </w:rPr>
            </w:pPr>
          </w:p>
        </w:tc>
        <w:tc>
          <w:tcPr>
            <w:tcW w:w="2120" w:type="dxa"/>
            <w:vAlign w:val="bottom"/>
            <w:gridSpan w:val="3"/>
          </w:tcPr>
          <w:p>
            <w:pPr>
              <w:spacing w:after="0"/>
              <w:rPr>
                <w:sz w:val="18"/>
                <w:szCs w:val="18"/>
                <w:color w:val="auto"/>
              </w:rPr>
            </w:pPr>
          </w:p>
        </w:tc>
        <w:tc>
          <w:tcPr>
            <w:tcW w:w="380" w:type="dxa"/>
            <w:vAlign w:val="bottom"/>
            <w:gridSpan w:val="3"/>
          </w:tcPr>
          <w:p>
            <w:pPr>
              <w:jc w:val="center"/>
              <w:ind w:left="13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 2 — Revenue</w:t>
              </w:r>
            </w:hyperlink>
          </w:p>
        </w:tc>
        <w:tc>
          <w:tcPr>
            <w:tcW w:w="7480" w:type="dxa"/>
            <w:vAlign w:val="bottom"/>
            <w:gridSpan w:val="17"/>
          </w:tcPr>
          <w:p>
            <w:pPr>
              <w:spacing w:after="0"/>
              <w:rPr>
                <w:sz w:val="18"/>
                <w:szCs w:val="18"/>
                <w:color w:val="auto"/>
              </w:rPr>
            </w:pPr>
          </w:p>
        </w:tc>
        <w:tc>
          <w:tcPr>
            <w:tcW w:w="380" w:type="dxa"/>
            <w:vAlign w:val="bottom"/>
            <w:gridSpan w:val="3"/>
          </w:tcPr>
          <w:p>
            <w:pPr>
              <w:jc w:val="center"/>
              <w:ind w:left="13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 3 — Acquisitions</w:t>
              </w:r>
            </w:hyperlink>
          </w:p>
        </w:tc>
        <w:tc>
          <w:tcPr>
            <w:tcW w:w="380" w:type="dxa"/>
            <w:vAlign w:val="bottom"/>
            <w:gridSpan w:val="3"/>
          </w:tcPr>
          <w:p>
            <w:pPr>
              <w:jc w:val="center"/>
              <w:ind w:left="13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 4 — Disposed Operations</w:t>
              </w:r>
            </w:hyperlink>
          </w:p>
        </w:tc>
        <w:tc>
          <w:tcPr>
            <w:tcW w:w="380" w:type="dxa"/>
            <w:vAlign w:val="bottom"/>
            <w:gridSpan w:val="3"/>
          </w:tcPr>
          <w:p>
            <w:pPr>
              <w:jc w:val="center"/>
              <w:ind w:left="13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2"/>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 5 — Inventories</w:t>
              </w:r>
            </w:hyperlink>
          </w:p>
        </w:tc>
        <w:tc>
          <w:tcPr>
            <w:tcW w:w="7480" w:type="dxa"/>
            <w:vAlign w:val="bottom"/>
            <w:gridSpan w:val="17"/>
          </w:tcPr>
          <w:p>
            <w:pPr>
              <w:spacing w:after="0"/>
              <w:rPr>
                <w:sz w:val="18"/>
                <w:szCs w:val="18"/>
                <w:color w:val="auto"/>
              </w:rPr>
            </w:pPr>
          </w:p>
        </w:tc>
        <w:tc>
          <w:tcPr>
            <w:tcW w:w="380" w:type="dxa"/>
            <w:vAlign w:val="bottom"/>
            <w:gridSpan w:val="3"/>
          </w:tcPr>
          <w:p>
            <w:pPr>
              <w:jc w:val="center"/>
              <w:ind w:left="13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9"/>
          </w:tcPr>
          <w:p>
            <w:pPr>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Note 6 — Property, Plant and Equipment, net</w:t>
              </w:r>
            </w:hyperlink>
          </w:p>
        </w:tc>
        <w:tc>
          <w:tcPr>
            <w:tcW w:w="6420" w:type="dxa"/>
            <w:vAlign w:val="bottom"/>
            <w:gridSpan w:val="10"/>
          </w:tcPr>
          <w:p>
            <w:pPr>
              <w:spacing w:after="0"/>
              <w:rPr>
                <w:sz w:val="18"/>
                <w:szCs w:val="18"/>
                <w:color w:val="auto"/>
              </w:rPr>
            </w:pPr>
          </w:p>
        </w:tc>
        <w:tc>
          <w:tcPr>
            <w:tcW w:w="380" w:type="dxa"/>
            <w:vAlign w:val="bottom"/>
            <w:gridSpan w:val="3"/>
          </w:tcPr>
          <w:p>
            <w:pPr>
              <w:jc w:val="center"/>
              <w:ind w:left="13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 7 — Credit Losses</w:t>
              </w:r>
            </w:hyperlink>
          </w:p>
        </w:tc>
        <w:tc>
          <w:tcPr>
            <w:tcW w:w="6420" w:type="dxa"/>
            <w:vAlign w:val="bottom"/>
            <w:gridSpan w:val="10"/>
          </w:tcPr>
          <w:p>
            <w:pPr>
              <w:spacing w:after="0"/>
              <w:rPr>
                <w:sz w:val="18"/>
                <w:szCs w:val="18"/>
                <w:color w:val="auto"/>
              </w:rPr>
            </w:pPr>
          </w:p>
        </w:tc>
        <w:tc>
          <w:tcPr>
            <w:tcW w:w="380" w:type="dxa"/>
            <w:vAlign w:val="bottom"/>
            <w:gridSpan w:val="3"/>
          </w:tcPr>
          <w:p>
            <w:pPr>
              <w:jc w:val="center"/>
              <w:ind w:left="13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Note 8 — Goodwill and Other Intangible Assets</w:t>
              </w:r>
            </w:hyperlink>
          </w:p>
        </w:tc>
        <w:tc>
          <w:tcPr>
            <w:tcW w:w="6220" w:type="dxa"/>
            <w:vAlign w:val="bottom"/>
            <w:gridSpan w:val="9"/>
          </w:tcPr>
          <w:p>
            <w:pPr>
              <w:spacing w:after="0"/>
              <w:rPr>
                <w:sz w:val="18"/>
                <w:szCs w:val="18"/>
                <w:color w:val="auto"/>
              </w:rPr>
            </w:pPr>
          </w:p>
        </w:tc>
        <w:tc>
          <w:tcPr>
            <w:tcW w:w="380" w:type="dxa"/>
            <w:vAlign w:val="bottom"/>
            <w:gridSpan w:val="3"/>
          </w:tcPr>
          <w:p>
            <w:pPr>
              <w:jc w:val="center"/>
              <w:ind w:left="13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 9 — Restructuring Activities</w:t>
              </w:r>
            </w:hyperlink>
          </w:p>
        </w:tc>
        <w:tc>
          <w:tcPr>
            <w:tcW w:w="6220" w:type="dxa"/>
            <w:vAlign w:val="bottom"/>
            <w:gridSpan w:val="9"/>
          </w:tcPr>
          <w:p>
            <w:pPr>
              <w:spacing w:after="0"/>
              <w:rPr>
                <w:sz w:val="18"/>
                <w:szCs w:val="18"/>
                <w:color w:val="auto"/>
              </w:rPr>
            </w:pPr>
          </w:p>
        </w:tc>
        <w:tc>
          <w:tcPr>
            <w:tcW w:w="380" w:type="dxa"/>
            <w:vAlign w:val="bottom"/>
            <w:gridSpan w:val="3"/>
          </w:tcPr>
          <w:p>
            <w:pPr>
              <w:jc w:val="center"/>
              <w:ind w:left="13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9</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6"/>
          </w:tcPr>
          <w:p>
            <w:pPr>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Note 10 — Borrowings</w:t>
              </w:r>
            </w:hyperlink>
          </w:p>
        </w:tc>
        <w:tc>
          <w:tcPr>
            <w:tcW w:w="820" w:type="dxa"/>
            <w:vAlign w:val="bottom"/>
            <w:gridSpan w:val="9"/>
          </w:tcPr>
          <w:p>
            <w:pPr>
              <w:spacing w:after="0"/>
              <w:rPr>
                <w:sz w:val="18"/>
                <w:szCs w:val="18"/>
                <w:color w:val="auto"/>
              </w:rPr>
            </w:pPr>
          </w:p>
        </w:tc>
        <w:tc>
          <w:tcPr>
            <w:tcW w:w="7220" w:type="dxa"/>
            <w:vAlign w:val="bottom"/>
            <w:gridSpan w:val="14"/>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10</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Note 11 — Financial Instruments</w:t>
              </w:r>
            </w:hyperlink>
          </w:p>
        </w:tc>
        <w:tc>
          <w:tcPr>
            <w:tcW w:w="380" w:type="dxa"/>
            <w:vAlign w:val="bottom"/>
            <w:gridSpan w:val="3"/>
          </w:tcPr>
          <w:p>
            <w:pPr>
              <w:jc w:val="center"/>
              <w:ind w:left="130"/>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9"/>
          </w:tcPr>
          <w:p>
            <w:pPr>
              <w:spacing w:after="0"/>
              <w:rPr>
                <w:rFonts w:ascii="Arial" w:cs="Arial" w:eastAsia="Arial" w:hAnsi="Arial"/>
                <w:sz w:val="18"/>
                <w:szCs w:val="18"/>
                <w:color w:val="0000FF"/>
                <w:w w:val="90"/>
              </w:rPr>
            </w:pPr>
            <w:hyperlink w:anchor="page14">
              <w:r>
                <w:rPr>
                  <w:rFonts w:ascii="Arial" w:cs="Arial" w:eastAsia="Arial" w:hAnsi="Arial"/>
                  <w:sz w:val="18"/>
                  <w:szCs w:val="18"/>
                  <w:color w:val="0000FF"/>
                  <w:w w:val="90"/>
                </w:rPr>
                <w:t>Note 12 — Income Taxes</w:t>
              </w:r>
            </w:hyperlink>
          </w:p>
        </w:tc>
        <w:tc>
          <w:tcPr>
            <w:tcW w:w="520" w:type="dxa"/>
            <w:vAlign w:val="bottom"/>
            <w:gridSpan w:val="5"/>
          </w:tcPr>
          <w:p>
            <w:pPr>
              <w:spacing w:after="0"/>
              <w:rPr>
                <w:sz w:val="18"/>
                <w:szCs w:val="18"/>
                <w:color w:val="auto"/>
              </w:rPr>
            </w:pPr>
          </w:p>
        </w:tc>
        <w:tc>
          <w:tcPr>
            <w:tcW w:w="7320" w:type="dxa"/>
            <w:vAlign w:val="bottom"/>
            <w:gridSpan w:val="15"/>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12</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Note 13 — Equity Incentive Program</w:t>
              </w:r>
            </w:hyperlink>
          </w:p>
        </w:tc>
        <w:tc>
          <w:tcPr>
            <w:tcW w:w="380" w:type="dxa"/>
            <w:vAlign w:val="bottom"/>
            <w:gridSpan w:val="3"/>
          </w:tcPr>
          <w:p>
            <w:pPr>
              <w:jc w:val="center"/>
              <w:ind w:left="11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12</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1"/>
          </w:tcPr>
          <w:p>
            <w:pPr>
              <w:spacing w:after="0"/>
              <w:rPr>
                <w:rFonts w:ascii="Arial" w:cs="Arial" w:eastAsia="Arial" w:hAnsi="Arial"/>
                <w:sz w:val="18"/>
                <w:szCs w:val="18"/>
                <w:color w:val="0000FF"/>
                <w:w w:val="92"/>
              </w:rPr>
            </w:pPr>
            <w:hyperlink w:anchor="page15">
              <w:r>
                <w:rPr>
                  <w:rFonts w:ascii="Arial" w:cs="Arial" w:eastAsia="Arial" w:hAnsi="Arial"/>
                  <w:sz w:val="18"/>
                  <w:szCs w:val="18"/>
                  <w:color w:val="0000FF"/>
                  <w:w w:val="92"/>
                </w:rPr>
                <w:t>Note 14 — Commitments and Contingent Liabilities</w:t>
              </w:r>
            </w:hyperlink>
          </w:p>
        </w:tc>
        <w:tc>
          <w:tcPr>
            <w:tcW w:w="5900" w:type="dxa"/>
            <w:vAlign w:val="bottom"/>
            <w:gridSpan w:val="8"/>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14</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1"/>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Note 15 — Employee Benefit Plans</w:t>
              </w:r>
            </w:hyperlink>
          </w:p>
        </w:tc>
        <w:tc>
          <w:tcPr>
            <w:tcW w:w="5900" w:type="dxa"/>
            <w:vAlign w:val="bottom"/>
            <w:gridSpan w:val="8"/>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14</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8"/>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Note 16 — Other Comprehensive Earnings</w:t>
              </w:r>
            </w:hyperlink>
          </w:p>
        </w:tc>
        <w:tc>
          <w:tcPr>
            <w:tcW w:w="6580" w:type="dxa"/>
            <w:vAlign w:val="bottom"/>
            <w:gridSpan w:val="11"/>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Note 17 — Segment Information</w:t>
              </w:r>
            </w:hyperlink>
          </w:p>
        </w:tc>
        <w:tc>
          <w:tcPr>
            <w:tcW w:w="6580" w:type="dxa"/>
            <w:vAlign w:val="bottom"/>
            <w:gridSpan w:val="11"/>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2"/>
          </w:tcPr>
          <w:p>
            <w:pPr>
              <w:spacing w:after="0"/>
              <w:rPr>
                <w:rFonts w:ascii="Arial" w:cs="Arial" w:eastAsia="Arial" w:hAnsi="Arial"/>
                <w:sz w:val="18"/>
                <w:szCs w:val="18"/>
                <w:color w:val="0000FF"/>
                <w:w w:val="87"/>
              </w:rPr>
            </w:pPr>
            <w:hyperlink w:anchor="page19">
              <w:r>
                <w:rPr>
                  <w:rFonts w:ascii="Arial" w:cs="Arial" w:eastAsia="Arial" w:hAnsi="Arial"/>
                  <w:sz w:val="18"/>
                  <w:szCs w:val="18"/>
                  <w:color w:val="0000FF"/>
                  <w:w w:val="87"/>
                </w:rPr>
                <w:t>Note 18 — Share Repurchases</w:t>
              </w:r>
            </w:hyperlink>
          </w:p>
        </w:tc>
        <w:tc>
          <w:tcPr>
            <w:tcW w:w="160" w:type="dxa"/>
            <w:vAlign w:val="bottom"/>
            <w:gridSpan w:val="2"/>
          </w:tcPr>
          <w:p>
            <w:pPr>
              <w:spacing w:after="0"/>
              <w:rPr>
                <w:sz w:val="18"/>
                <w:szCs w:val="18"/>
                <w:color w:val="auto"/>
              </w:rPr>
            </w:pPr>
          </w:p>
        </w:tc>
        <w:tc>
          <w:tcPr>
            <w:tcW w:w="7320" w:type="dxa"/>
            <w:vAlign w:val="bottom"/>
            <w:gridSpan w:val="15"/>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2"/>
          </w:tcPr>
          <w:p>
            <w:pPr>
              <w:spacing w:after="0"/>
              <w:rPr>
                <w:rFonts w:ascii="Arial" w:cs="Arial" w:eastAsia="Arial" w:hAnsi="Arial"/>
                <w:sz w:val="18"/>
                <w:szCs w:val="18"/>
                <w:color w:val="0000FF"/>
                <w:w w:val="88"/>
              </w:rPr>
            </w:pPr>
            <w:hyperlink w:anchor="page20">
              <w:r>
                <w:rPr>
                  <w:rFonts w:ascii="Arial" w:cs="Arial" w:eastAsia="Arial" w:hAnsi="Arial"/>
                  <w:sz w:val="18"/>
                  <w:szCs w:val="18"/>
                  <w:color w:val="0000FF"/>
                  <w:w w:val="88"/>
                </w:rPr>
                <w:t>Note 19 — Earnings per Share</w:t>
              </w:r>
            </w:hyperlink>
          </w:p>
        </w:tc>
        <w:tc>
          <w:tcPr>
            <w:tcW w:w="7480" w:type="dxa"/>
            <w:vAlign w:val="bottom"/>
            <w:gridSpan w:val="17"/>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Note 20 — Recent Accounting Pronouncements</w:t>
              </w:r>
            </w:hyperlink>
          </w:p>
        </w:tc>
        <w:tc>
          <w:tcPr>
            <w:tcW w:w="6220" w:type="dxa"/>
            <w:vAlign w:val="bottom"/>
            <w:gridSpan w:val="9"/>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60" w:type="dxa"/>
            <w:vAlign w:val="bottom"/>
            <w:gridSpan w:val="7"/>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Note 21 — Subsequent Event</w:t>
              </w:r>
            </w:hyperlink>
          </w:p>
        </w:tc>
        <w:tc>
          <w:tcPr>
            <w:tcW w:w="6220" w:type="dxa"/>
            <w:vAlign w:val="bottom"/>
            <w:gridSpan w:val="9"/>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20">
              <w:r>
                <w:rPr>
                  <w:rFonts w:ascii="Arial" w:cs="Arial" w:eastAsia="Arial" w:hAnsi="Arial"/>
                  <w:sz w:val="18"/>
                  <w:szCs w:val="18"/>
                  <w:color w:val="0000FF"/>
                  <w:w w:val="94"/>
                </w:rPr>
                <w:t>Item 2.</w:t>
              </w:r>
            </w:hyperlink>
          </w:p>
        </w:tc>
        <w:tc>
          <w:tcPr>
            <w:tcW w:w="380" w:type="dxa"/>
            <w:vAlign w:val="bottom"/>
            <w:gridSpan w:val="2"/>
          </w:tcPr>
          <w:p>
            <w:pPr>
              <w:spacing w:after="0"/>
              <w:rPr>
                <w:sz w:val="18"/>
                <w:szCs w:val="18"/>
                <w:color w:val="auto"/>
              </w:rPr>
            </w:pPr>
          </w:p>
        </w:tc>
        <w:tc>
          <w:tcPr>
            <w:tcW w:w="9700" w:type="dxa"/>
            <w:vAlign w:val="bottom"/>
            <w:gridSpan w:val="29"/>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380" w:type="dxa"/>
            <w:vAlign w:val="bottom"/>
            <w:gridSpan w:val="3"/>
          </w:tcPr>
          <w:p>
            <w:pPr>
              <w:jc w:val="center"/>
              <w:ind w:left="11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19</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40" w:type="dxa"/>
            <w:vAlign w:val="bottom"/>
            <w:gridSpan w:val="9"/>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3.</w:t>
            </w:r>
          </w:p>
        </w:tc>
        <w:tc>
          <w:tcPr>
            <w:tcW w:w="380" w:type="dxa"/>
            <w:vAlign w:val="bottom"/>
            <w:gridSpan w:val="2"/>
          </w:tcPr>
          <w:p>
            <w:pPr>
              <w:spacing w:after="0"/>
              <w:rPr>
                <w:sz w:val="18"/>
                <w:szCs w:val="18"/>
                <w:color w:val="auto"/>
              </w:rPr>
            </w:pPr>
          </w:p>
        </w:tc>
        <w:tc>
          <w:tcPr>
            <w:tcW w:w="4360" w:type="dxa"/>
            <w:vAlign w:val="bottom"/>
            <w:gridSpan w:val="22"/>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18"/>
                <w:szCs w:val="18"/>
                <w:color w:val="auto"/>
              </w:rPr>
            </w:pPr>
          </w:p>
        </w:tc>
        <w:tc>
          <w:tcPr>
            <w:tcW w:w="3240" w:type="dxa"/>
            <w:vAlign w:val="bottom"/>
            <w:gridSpan w:val="5"/>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35</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40" w:type="dxa"/>
            <w:vAlign w:val="bottom"/>
            <w:gridSpan w:val="9"/>
            <w:shd w:val="clear" w:color="auto" w:fill="0000FF"/>
          </w:tcPr>
          <w:p>
            <w:pPr>
              <w:spacing w:after="0" w:line="20" w:lineRule="exact"/>
              <w:rPr>
                <w:sz w:val="1"/>
                <w:szCs w:val="1"/>
                <w:color w:val="auto"/>
              </w:rPr>
            </w:pPr>
          </w:p>
        </w:tc>
        <w:tc>
          <w:tcPr>
            <w:tcW w:w="5340" w:type="dxa"/>
            <w:vAlign w:val="bottom"/>
            <w:tcBorders>
              <w:left w:val="single" w:sz="8" w:color="0000FF"/>
            </w:tcBorders>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4.</w:t>
              </w:r>
            </w:hyperlink>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780" w:type="dxa"/>
            <w:vAlign w:val="bottom"/>
            <w:gridSpan w:val="8"/>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Controls and Procedures</w:t>
              </w:r>
            </w:hyperlink>
          </w:p>
        </w:tc>
        <w:tc>
          <w:tcPr>
            <w:tcW w:w="2580" w:type="dxa"/>
            <w:vAlign w:val="bottom"/>
            <w:gridSpan w:val="14"/>
          </w:tcPr>
          <w:p>
            <w:pPr>
              <w:spacing w:after="0"/>
              <w:rPr>
                <w:sz w:val="18"/>
                <w:szCs w:val="18"/>
                <w:color w:val="auto"/>
              </w:rPr>
            </w:pPr>
          </w:p>
        </w:tc>
        <w:tc>
          <w:tcPr>
            <w:tcW w:w="5340" w:type="dxa"/>
            <w:vAlign w:val="bottom"/>
            <w:gridSpan w:val="7"/>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35</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60" w:type="dxa"/>
            <w:vAlign w:val="bottom"/>
            <w:tcBorders>
              <w:bottom w:val="single" w:sz="8" w:color="0000FF"/>
            </w:tcBorders>
            <w:gridSpan w:val="14"/>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 — OTHER INFORMATION</w:t>
              </w:r>
            </w:hyperlink>
          </w:p>
        </w:tc>
        <w:tc>
          <w:tcPr>
            <w:tcW w:w="7660" w:type="dxa"/>
            <w:vAlign w:val="bottom"/>
            <w:gridSpan w:val="19"/>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Item 1.</w:t>
              </w:r>
            </w:hyperlink>
          </w:p>
        </w:tc>
        <w:tc>
          <w:tcPr>
            <w:tcW w:w="380" w:type="dxa"/>
            <w:vAlign w:val="bottom"/>
            <w:gridSpan w:val="2"/>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Legal Proceedings</w:t>
              </w:r>
            </w:hyperlink>
          </w:p>
        </w:tc>
        <w:tc>
          <w:tcPr>
            <w:tcW w:w="8380" w:type="dxa"/>
            <w:vAlign w:val="bottom"/>
            <w:gridSpan w:val="25"/>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1A.</w:t>
              </w:r>
            </w:hyperlink>
          </w:p>
        </w:tc>
        <w:tc>
          <w:tcPr>
            <w:tcW w:w="9700" w:type="dxa"/>
            <w:vAlign w:val="bottom"/>
            <w:gridSpan w:val="29"/>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380" w:type="dxa"/>
            <w:vAlign w:val="bottom"/>
            <w:gridSpan w:val="3"/>
          </w:tcPr>
          <w:p>
            <w:pPr>
              <w:jc w:val="center"/>
              <w:ind w:left="11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Item 2.</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60" w:type="dxa"/>
            <w:vAlign w:val="bottom"/>
            <w:gridSpan w:val="22"/>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Unregistered Sales of Equity Securities and Use of Proceeds</w:t>
              </w:r>
            </w:hyperlink>
          </w:p>
        </w:tc>
        <w:tc>
          <w:tcPr>
            <w:tcW w:w="5340" w:type="dxa"/>
            <w:vAlign w:val="bottom"/>
            <w:gridSpan w:val="7"/>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9"/>
            <w:shd w:val="clear" w:color="auto" w:fill="0000FF"/>
          </w:tcPr>
          <w:p>
            <w:pPr>
              <w:spacing w:after="0" w:line="20" w:lineRule="exact"/>
              <w:rPr>
                <w:sz w:val="1"/>
                <w:szCs w:val="1"/>
                <w:color w:val="auto"/>
              </w:rPr>
            </w:pPr>
          </w:p>
        </w:tc>
        <w:tc>
          <w:tcPr>
            <w:tcW w:w="2040" w:type="dxa"/>
            <w:vAlign w:val="bottom"/>
            <w:gridSpan w:val="9"/>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Item 3.</w:t>
              </w:r>
            </w:hyperlink>
          </w:p>
        </w:tc>
        <w:tc>
          <w:tcPr>
            <w:tcW w:w="380" w:type="dxa"/>
            <w:vAlign w:val="bottom"/>
            <w:gridSpan w:val="2"/>
          </w:tcPr>
          <w:p>
            <w:pPr>
              <w:spacing w:after="0"/>
              <w:rPr>
                <w:sz w:val="18"/>
                <w:szCs w:val="18"/>
                <w:color w:val="auto"/>
              </w:rPr>
            </w:pPr>
          </w:p>
        </w:tc>
        <w:tc>
          <w:tcPr>
            <w:tcW w:w="4360" w:type="dxa"/>
            <w:vAlign w:val="bottom"/>
            <w:gridSpan w:val="2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Defaults Upon Senior Securities</w:t>
              </w:r>
            </w:hyperlink>
          </w:p>
        </w:tc>
        <w:tc>
          <w:tcPr>
            <w:tcW w:w="5340" w:type="dxa"/>
            <w:vAlign w:val="bottom"/>
            <w:gridSpan w:val="7"/>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9"/>
            <w:shd w:val="clear" w:color="auto" w:fill="0000FF"/>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Item 4.</w:t>
              </w:r>
            </w:hyperlink>
          </w:p>
        </w:tc>
        <w:tc>
          <w:tcPr>
            <w:tcW w:w="380" w:type="dxa"/>
            <w:vAlign w:val="bottom"/>
            <w:gridSpan w:val="2"/>
          </w:tcPr>
          <w:p>
            <w:pPr>
              <w:spacing w:after="0"/>
              <w:rPr>
                <w:sz w:val="18"/>
                <w:szCs w:val="18"/>
                <w:color w:val="auto"/>
              </w:rPr>
            </w:pPr>
          </w:p>
        </w:tc>
        <w:tc>
          <w:tcPr>
            <w:tcW w:w="1780" w:type="dxa"/>
            <w:vAlign w:val="bottom"/>
            <w:gridSpan w:val="8"/>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Mine Safety Disclosures</w:t>
              </w:r>
            </w:hyperlink>
          </w:p>
        </w:tc>
        <w:tc>
          <w:tcPr>
            <w:tcW w:w="540" w:type="dxa"/>
            <w:vAlign w:val="bottom"/>
            <w:gridSpan w:val="5"/>
          </w:tcPr>
          <w:p>
            <w:pPr>
              <w:spacing w:after="0"/>
              <w:rPr>
                <w:sz w:val="18"/>
                <w:szCs w:val="18"/>
                <w:color w:val="auto"/>
              </w:rPr>
            </w:pPr>
          </w:p>
        </w:tc>
        <w:tc>
          <w:tcPr>
            <w:tcW w:w="7380" w:type="dxa"/>
            <w:vAlign w:val="bottom"/>
            <w:gridSpan w:val="16"/>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7920" w:type="dxa"/>
            <w:vAlign w:val="bottom"/>
            <w:gridSpan w:val="21"/>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Item 5.</w:t>
              </w:r>
            </w:hyperlink>
          </w:p>
        </w:tc>
        <w:tc>
          <w:tcPr>
            <w:tcW w:w="380" w:type="dxa"/>
            <w:vAlign w:val="bottom"/>
            <w:gridSpan w:val="2"/>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Other Information</w:t>
              </w:r>
            </w:hyperlink>
          </w:p>
        </w:tc>
        <w:tc>
          <w:tcPr>
            <w:tcW w:w="460" w:type="dxa"/>
            <w:vAlign w:val="bottom"/>
            <w:gridSpan w:val="4"/>
          </w:tcPr>
          <w:p>
            <w:pPr>
              <w:spacing w:after="0"/>
              <w:rPr>
                <w:sz w:val="18"/>
                <w:szCs w:val="18"/>
                <w:color w:val="auto"/>
              </w:rPr>
            </w:pPr>
          </w:p>
        </w:tc>
        <w:tc>
          <w:tcPr>
            <w:tcW w:w="7920" w:type="dxa"/>
            <w:vAlign w:val="bottom"/>
            <w:gridSpan w:val="21"/>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80" w:type="dxa"/>
            <w:vAlign w:val="bottom"/>
            <w:gridSpan w:val="2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Item 6.</w:t>
              </w:r>
            </w:hyperlink>
          </w:p>
        </w:tc>
        <w:tc>
          <w:tcPr>
            <w:tcW w:w="380" w:type="dxa"/>
            <w:vAlign w:val="bottom"/>
            <w:gridSpan w:val="2"/>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8380" w:type="dxa"/>
            <w:vAlign w:val="bottom"/>
            <w:gridSpan w:val="25"/>
          </w:tcPr>
          <w:p>
            <w:pPr>
              <w:spacing w:after="0"/>
              <w:rPr>
                <w:sz w:val="18"/>
                <w:szCs w:val="18"/>
                <w:color w:val="auto"/>
              </w:rPr>
            </w:pPr>
          </w:p>
        </w:tc>
        <w:tc>
          <w:tcPr>
            <w:tcW w:w="380" w:type="dxa"/>
            <w:vAlign w:val="bottom"/>
            <w:gridSpan w:val="3"/>
          </w:tcPr>
          <w:p>
            <w:pPr>
              <w:jc w:val="center"/>
              <w:ind w:left="11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37</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100" w:type="dxa"/>
            <w:vAlign w:val="bottom"/>
            <w:gridSpan w:val="2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20" w:type="dxa"/>
            <w:vAlign w:val="bottom"/>
            <w:gridSpan w:val="33"/>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SIGNATURES</w:t>
              </w:r>
            </w:hyperlink>
          </w:p>
        </w:tc>
        <w:tc>
          <w:tcPr>
            <w:tcW w:w="380" w:type="dxa"/>
            <w:vAlign w:val="bottom"/>
            <w:gridSpan w:val="3"/>
          </w:tcPr>
          <w:p>
            <w:pPr>
              <w:jc w:val="center"/>
              <w:ind w:left="11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7"/>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8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1,867,901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1,655,939</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1,146,353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1,043,696</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612,243</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386,941</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225,302</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27,268</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Gain on sale of a business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(6,551)</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Earnings before provision for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289,250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213,500</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37,221</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232,769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176,279</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80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80" w:type="dxa"/>
            <w:vAlign w:val="bottom"/>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143,765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144,259</w:t>
            </w:r>
          </w:p>
        </w:tc>
      </w:tr>
      <w:tr>
        <w:trPr>
          <w:trHeight w:val="230"/>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145,782</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ind w:left="516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81"/>
        </w:trPr>
        <w:tc>
          <w:tcPr>
            <w:tcW w:w="8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8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176,279</w:t>
            </w:r>
          </w:p>
        </w:tc>
      </w:tr>
      <w:tr>
        <w:trPr>
          <w:trHeight w:val="209"/>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earnings, net of tax</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Foreign currency translation losses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(93,554)</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Total foreign currency translation adjustments (net of $(10,492) and $(5,139) tax provision,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(93,554)</w:t>
            </w:r>
          </w:p>
        </w:tc>
      </w:tr>
      <w:tr>
        <w:trPr>
          <w:trHeight w:val="209"/>
        </w:trPr>
        <w:tc>
          <w:tcPr>
            <w:tcW w:w="8080" w:type="dxa"/>
            <w:vAlign w:val="bottom"/>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8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actuarial losses included in net periodic pension cost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30"/>
        </w:trPr>
        <w:tc>
          <w:tcPr>
            <w:tcW w:w="80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Amortization of prior service costs included in net periodic pension cost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Total pension and other post-retirement benefit plans (net of $(773) and $(568) tax provision,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r>
      <w:tr>
        <w:trPr>
          <w:trHeight w:val="210"/>
        </w:trPr>
        <w:tc>
          <w:tcPr>
            <w:tcW w:w="8080" w:type="dxa"/>
            <w:vAlign w:val="bottom"/>
          </w:tcPr>
          <w:p>
            <w:pPr>
              <w:ind w:left="20"/>
              <w:spacing w:after="0"/>
              <w:rPr>
                <w:sz w:val="20"/>
                <w:szCs w:val="20"/>
                <w:color w:val="auto"/>
              </w:rPr>
            </w:pPr>
            <w:r>
              <w:rPr>
                <w:rFonts w:ascii="Arial" w:cs="Arial" w:eastAsia="Arial" w:hAnsi="Arial"/>
                <w:sz w:val="18"/>
                <w:szCs w:val="18"/>
                <w:color w:val="auto"/>
              </w:rPr>
              <w:t>Changes in fair value of cash flow hedges: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8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net gains (losses) arising during period</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r>
      <w:tr>
        <w:trPr>
          <w:trHeight w:val="229"/>
        </w:trPr>
        <w:tc>
          <w:tcPr>
            <w:tcW w:w="80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(gains) losses reclassified into earnings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 (net of $(871) and $1,121 tax (provision) benefit,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w:t>
            </w:r>
          </w:p>
        </w:tc>
      </w:tr>
      <w:tr>
        <w:trPr>
          <w:trHeight w:val="22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earnings (loss), net of tax</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(95,552)</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80,727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2020</w:t>
            </w:r>
          </w:p>
        </w:tc>
      </w:tr>
      <w:tr>
        <w:trPr>
          <w:trHeight w:val="209"/>
        </w:trPr>
        <w:tc>
          <w:tcPr>
            <w:tcW w:w="7160" w:type="dxa"/>
            <w:vAlign w:val="bottom"/>
            <w:tcBorders>
              <w:top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513,075</w:t>
            </w:r>
          </w:p>
        </w:tc>
      </w:tr>
      <w:tr>
        <w:trPr>
          <w:trHeight w:val="229"/>
        </w:trPr>
        <w:tc>
          <w:tcPr>
            <w:tcW w:w="7160" w:type="dxa"/>
            <w:vAlign w:val="bottom"/>
          </w:tcPr>
          <w:p>
            <w:pPr>
              <w:ind w:left="460"/>
              <w:spacing w:after="0"/>
              <w:rPr>
                <w:sz w:val="20"/>
                <w:szCs w:val="20"/>
                <w:color w:val="auto"/>
              </w:rPr>
            </w:pPr>
            <w:r>
              <w:rPr>
                <w:rFonts w:ascii="Arial" w:cs="Arial" w:eastAsia="Arial" w:hAnsi="Arial"/>
                <w:sz w:val="18"/>
                <w:szCs w:val="18"/>
                <w:color w:val="auto"/>
              </w:rPr>
              <w:t>Receivables, net of allowances of $39,641 and $40,474</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1,240,516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1,137,223</w:t>
            </w:r>
          </w:p>
        </w:tc>
      </w:tr>
      <w:tr>
        <w:trPr>
          <w:trHeight w:val="230"/>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835,804</w:t>
            </w:r>
          </w:p>
        </w:tc>
      </w:tr>
      <w:tr>
        <w:trPr>
          <w:trHeight w:val="229"/>
        </w:trPr>
        <w:tc>
          <w:tcPr>
            <w:tcW w:w="7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133,085</w:t>
            </w:r>
          </w:p>
        </w:tc>
      </w:tr>
      <w:tr>
        <w:trPr>
          <w:trHeight w:val="223"/>
        </w:trPr>
        <w:tc>
          <w:tcPr>
            <w:tcW w:w="7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2,815,085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2,619,187</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881,131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897,326</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4,046,552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4,072,542</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1,040,057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1,083,772</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 and deferred charges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479,247</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9,270,893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9,152,074</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229"/>
        </w:trPr>
        <w:tc>
          <w:tcPr>
            <w:tcW w:w="7160" w:type="dxa"/>
            <w:vAlign w:val="bottom"/>
          </w:tcPr>
          <w:p>
            <w:pPr>
              <w:ind w:left="4220"/>
              <w:spacing w:after="0"/>
              <w:rPr>
                <w:sz w:val="20"/>
                <w:szCs w:val="20"/>
                <w:color w:val="auto"/>
              </w:rPr>
            </w:pPr>
            <w:r>
              <w:rPr>
                <w:rFonts w:ascii="Arial" w:cs="Arial" w:eastAsia="Arial" w:hAnsi="Arial"/>
                <w:sz w:val="18"/>
                <w:szCs w:val="18"/>
                <w:b w:val="1"/>
                <w:bCs w:val="1"/>
                <w:color w:val="auto"/>
                <w:w w:val="96"/>
              </w:rPr>
              <w:t>Liabilities and Stockholders' Equity</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1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911,074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853,942</w:t>
            </w: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compensation and employee benefits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239,750</w:t>
            </w:r>
          </w:p>
        </w:tc>
      </w:tr>
      <w:tr>
        <w:trPr>
          <w:trHeight w:val="230"/>
        </w:trPr>
        <w:tc>
          <w:tcPr>
            <w:tcW w:w="716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195,201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184,845</w:t>
            </w:r>
          </w:p>
        </w:tc>
      </w:tr>
      <w:tr>
        <w:trPr>
          <w:trHeight w:val="230"/>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insurance</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98,954</w:t>
            </w:r>
          </w:p>
        </w:tc>
      </w:tr>
      <w:tr>
        <w:trPr>
          <w:trHeight w:val="229"/>
        </w:trPr>
        <w:tc>
          <w:tcPr>
            <w:tcW w:w="7160" w:type="dxa"/>
            <w:vAlign w:val="bottom"/>
          </w:tcPr>
          <w:p>
            <w:pPr>
              <w:ind w:left="460"/>
              <w:spacing w:after="0"/>
              <w:rPr>
                <w:sz w:val="20"/>
                <w:szCs w:val="20"/>
                <w:color w:val="auto"/>
              </w:rPr>
            </w:pPr>
            <w:r>
              <w:rPr>
                <w:rFonts w:ascii="Arial" w:cs="Arial" w:eastAsia="Arial" w:hAnsi="Arial"/>
                <w:sz w:val="18"/>
                <w:szCs w:val="18"/>
                <w:color w:val="auto"/>
              </w:rPr>
              <w:t>Other accrued expenses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335,555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343,637</w:t>
            </w:r>
          </w:p>
        </w:tc>
      </w:tr>
      <w:tr>
        <w:trPr>
          <w:trHeight w:val="230"/>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Federal and other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w:t>
            </w:r>
          </w:p>
        </w:tc>
      </w:tr>
      <w:tr>
        <w:trPr>
          <w:trHeight w:val="223"/>
        </w:trPr>
        <w:tc>
          <w:tcPr>
            <w:tcW w:w="71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1,775,362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1,738,798</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3,108,829</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314,165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298,423</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income tax payable</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49,937</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568,911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570,314</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1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3,499,144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3,385,773</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9,270,893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9,152,074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Common stock</w:t>
            </w:r>
          </w:p>
        </w:tc>
        <w:tc>
          <w:tcPr>
            <w:tcW w:w="12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 paid-</w:t>
            </w:r>
          </w:p>
        </w:tc>
        <w:tc>
          <w:tcPr>
            <w:tcW w:w="200" w:type="dxa"/>
            <w:vAlign w:val="bottom"/>
          </w:tcPr>
          <w:p>
            <w:pPr>
              <w:spacing w:after="0"/>
              <w:rPr>
                <w:sz w:val="16"/>
                <w:szCs w:val="16"/>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Retained</w:t>
            </w:r>
          </w:p>
        </w:tc>
        <w:tc>
          <w:tcPr>
            <w:tcW w:w="15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Accumulated other</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Treasury stock</w:t>
            </w:r>
          </w:p>
        </w:tc>
        <w:tc>
          <w:tcPr>
            <w:tcW w:w="160" w:type="dxa"/>
            <w:vAlign w:val="bottom"/>
          </w:tcPr>
          <w:p>
            <w:pPr>
              <w:spacing w:after="0"/>
              <w:rPr>
                <w:sz w:val="14"/>
                <w:szCs w:val="14"/>
                <w:color w:val="auto"/>
              </w:rPr>
            </w:pPr>
          </w:p>
        </w:tc>
        <w:tc>
          <w:tcPr>
            <w:tcW w:w="11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4"/>
              </w:rPr>
              <w:t>comprehensive loss</w:t>
            </w:r>
          </w:p>
        </w:tc>
        <w:tc>
          <w:tcPr>
            <w:tcW w:w="13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868,882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8,608,284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(153,254)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(6,197,121)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3,385,773</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232,769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232,769</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($0.495 per share)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(71,344)</w:t>
            </w:r>
          </w:p>
        </w:tc>
        <w:tc>
          <w:tcPr>
            <w:tcW w:w="0" w:type="dxa"/>
            <w:vAlign w:val="bottom"/>
          </w:tcPr>
          <w:p>
            <w:pPr>
              <w:spacing w:after="0"/>
              <w:rPr>
                <w:sz w:val="1"/>
                <w:szCs w:val="1"/>
                <w:color w:val="auto"/>
              </w:rPr>
            </w:pPr>
          </w:p>
        </w:tc>
      </w:tr>
      <w:tr>
        <w:trPr>
          <w:trHeight w:val="166"/>
        </w:trPr>
        <w:tc>
          <w:tcPr>
            <w:tcW w:w="3180" w:type="dxa"/>
            <w:vAlign w:val="bottom"/>
          </w:tcPr>
          <w:p>
            <w:pPr>
              <w:ind w:left="20"/>
              <w:spacing w:after="0" w:line="166" w:lineRule="exact"/>
              <w:rPr>
                <w:sz w:val="20"/>
                <w:szCs w:val="20"/>
                <w:color w:val="auto"/>
              </w:rPr>
            </w:pPr>
            <w:r>
              <w:rPr>
                <w:rFonts w:ascii="Arial" w:cs="Arial" w:eastAsia="Arial" w:hAnsi="Arial"/>
                <w:sz w:val="16"/>
                <w:szCs w:val="16"/>
                <w:color w:val="auto"/>
                <w:w w:val="92"/>
              </w:rPr>
              <w:t>Common stock issued for the exercise of share-</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(30,809)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1100" w:type="dxa"/>
            <w:vAlign w:val="bottom"/>
            <w:gridSpan w:val="2"/>
            <w:vMerge w:val="restart"/>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4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(30,453)</w:t>
            </w: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Arial" w:cs="Arial" w:eastAsia="Arial" w:hAnsi="Arial"/>
                <w:sz w:val="16"/>
                <w:szCs w:val="16"/>
                <w:color w:val="auto"/>
              </w:rPr>
              <w:t>based awards</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11,521</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(21,637)</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(7,476)</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8"/>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849,585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8,769,709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(160,730)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(6,218,758)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3,499,144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rPr>
              <w:t>Accumulated other</w:t>
            </w:r>
          </w:p>
        </w:tc>
        <w:tc>
          <w:tcPr>
            <w:tcW w:w="13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Treasury stock</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Total stockholders'</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paid-in capital</w:t>
            </w: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4"/>
              </w:rPr>
              <w:t>comprehensive loss</w:t>
            </w:r>
          </w:p>
        </w:tc>
        <w:tc>
          <w:tcPr>
            <w:tcW w:w="13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869,719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8,211,257</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(6,090,842)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3,032,660</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6"/>
                <w:szCs w:val="16"/>
                <w:color w:val="auto"/>
              </w:rPr>
              <w:t>Adoption of ASU 2016-13</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176,279</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color w:val="auto"/>
              </w:rPr>
              <w:t>Dividends paid ($0.49 per share)</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(70,899)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(70,899)</w:t>
            </w:r>
          </w:p>
        </w:tc>
        <w:tc>
          <w:tcPr>
            <w:tcW w:w="0" w:type="dxa"/>
            <w:vAlign w:val="bottom"/>
          </w:tcPr>
          <w:p>
            <w:pPr>
              <w:spacing w:after="0"/>
              <w:rPr>
                <w:sz w:val="1"/>
                <w:szCs w:val="1"/>
                <w:color w:val="auto"/>
              </w:rPr>
            </w:pPr>
          </w:p>
        </w:tc>
      </w:tr>
      <w:tr>
        <w:trPr>
          <w:trHeight w:val="166"/>
        </w:trPr>
        <w:tc>
          <w:tcPr>
            <w:tcW w:w="31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2"/>
              </w:rPr>
              <w:t>Common stock issued for the exercise of share-</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(10,019)</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based awards</w:t>
            </w: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(52,916)</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(95,552)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(95,552)</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258,745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862,747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8,314,525</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(311,578)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(6,143,758)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2,980,681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8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232,769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176,279</w:t>
            </w:r>
          </w:p>
        </w:tc>
      </w:tr>
      <w:tr>
        <w:trPr>
          <w:trHeight w:val="229"/>
        </w:trPr>
        <w:tc>
          <w:tcPr>
            <w:tcW w:w="8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Adjustments to reconcile net earnings to cash from operating activities:</w:t>
            </w:r>
          </w:p>
        </w:tc>
        <w:tc>
          <w:tcPr>
            <w:tcW w:w="220" w:type="dxa"/>
            <w:vAlign w:val="bottom"/>
            <w:shd w:val="clear" w:color="auto" w:fill="BFE4FF"/>
          </w:tcPr>
          <w:p>
            <w:pPr>
              <w:spacing w:after="0"/>
              <w:rPr>
                <w:sz w:val="19"/>
                <w:szCs w:val="19"/>
                <w:color w:val="auto"/>
              </w:rPr>
            </w:pPr>
          </w:p>
        </w:tc>
        <w:tc>
          <w:tcPr>
            <w:tcW w:w="13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73,806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68,752</w:t>
            </w: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11,521</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3,252</w:t>
            </w:r>
          </w:p>
        </w:tc>
      </w:tr>
      <w:tr>
        <w:trPr>
          <w:trHeight w:val="229"/>
        </w:trPr>
        <w:tc>
          <w:tcPr>
            <w:tcW w:w="8080" w:type="dxa"/>
            <w:vAlign w:val="bottom"/>
          </w:tcPr>
          <w:p>
            <w:pPr>
              <w:ind w:left="680"/>
              <w:spacing w:after="0"/>
              <w:rPr>
                <w:sz w:val="20"/>
                <w:szCs w:val="20"/>
                <w:color w:val="auto"/>
              </w:rPr>
            </w:pPr>
            <w:r>
              <w:rPr>
                <w:rFonts w:ascii="Arial" w:cs="Arial" w:eastAsia="Arial" w:hAnsi="Arial"/>
                <w:sz w:val="18"/>
                <w:szCs w:val="18"/>
                <w:color w:val="auto"/>
              </w:rPr>
              <w:t>Gain on sale of a business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(6,551)</w:t>
            </w:r>
          </w:p>
        </w:tc>
      </w:tr>
      <w:tr>
        <w:trPr>
          <w:trHeight w:val="230"/>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(9,031)</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(17,358)</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Cash effect of changes in assets and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(116,320)</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(25,313)</w:t>
            </w: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(75,421)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(61,936)</w:t>
            </w: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(22,005)</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(8,654)</w:t>
            </w: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63,766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(34,945)</w:t>
            </w: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Accrued compensation and employee benefits</w:t>
            </w:r>
          </w:p>
        </w:tc>
        <w:tc>
          <w:tcPr>
            <w:tcW w:w="22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(34,894)</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(67,247)</w:t>
            </w:r>
          </w:p>
        </w:tc>
      </w:tr>
      <w:tr>
        <w:trPr>
          <w:trHeight w:val="229"/>
        </w:trPr>
        <w:tc>
          <w:tcPr>
            <w:tcW w:w="8080" w:type="dxa"/>
            <w:vAlign w:val="bottom"/>
          </w:tcPr>
          <w:p>
            <w:pPr>
              <w:ind w:left="68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35,021</w:t>
            </w:r>
          </w:p>
        </w:tc>
      </w:tr>
      <w:tr>
        <w:trPr>
          <w:trHeight w:val="230"/>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Accrued and deferred taxes, net</w:t>
            </w:r>
          </w:p>
        </w:tc>
        <w:tc>
          <w:tcPr>
            <w:tcW w:w="220" w:type="dxa"/>
            <w:vAlign w:val="bottom"/>
            <w:tcBorders>
              <w:bottom w:val="single" w:sz="8" w:color="auto"/>
            </w:tcBorders>
            <w:shd w:val="clear" w:color="auto" w:fill="BFE4FF"/>
          </w:tcPr>
          <w:p>
            <w:pPr>
              <w:spacing w:after="0"/>
              <w:rPr>
                <w:sz w:val="19"/>
                <w:szCs w:val="19"/>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30,048</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14,563</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177,184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75,863</w:t>
            </w:r>
          </w:p>
        </w:tc>
      </w:tr>
      <w:tr>
        <w:trPr>
          <w:trHeight w:val="230"/>
        </w:trPr>
        <w:tc>
          <w:tcPr>
            <w:tcW w:w="808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shd w:val="clear" w:color="auto" w:fill="BFE4FF"/>
          </w:tcPr>
          <w:p>
            <w:pPr>
              <w:spacing w:after="0"/>
              <w:rPr>
                <w:sz w:val="19"/>
                <w:szCs w:val="19"/>
                <w:color w:val="auto"/>
              </w:rPr>
            </w:pPr>
          </w:p>
        </w:tc>
        <w:tc>
          <w:tcPr>
            <w:tcW w:w="13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r>
      <w:tr>
        <w:trPr>
          <w:trHeight w:val="229"/>
        </w:trPr>
        <w:tc>
          <w:tcPr>
            <w:tcW w:w="8080" w:type="dxa"/>
            <w:vAlign w:val="bottom"/>
          </w:tcPr>
          <w:p>
            <w:pPr>
              <w:ind w:left="68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(40,172)</w:t>
            </w:r>
          </w:p>
        </w:tc>
      </w:tr>
      <w:tr>
        <w:trPr>
          <w:trHeight w:val="230"/>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shd w:val="clear" w:color="auto" w:fill="BFE4FF"/>
          </w:tcPr>
          <w:p>
            <w:pPr>
              <w:spacing w:after="0"/>
              <w:rPr>
                <w:sz w:val="19"/>
                <w:szCs w:val="19"/>
                <w:color w:val="auto"/>
              </w:rPr>
            </w:pPr>
          </w:p>
        </w:tc>
        <w:tc>
          <w:tcPr>
            <w:tcW w:w="142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(208,421)</w:t>
            </w: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1,232</w:t>
            </w: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Proceeds from sale of businesses</w:t>
            </w:r>
          </w:p>
        </w:tc>
        <w:tc>
          <w:tcPr>
            <w:tcW w:w="220" w:type="dxa"/>
            <w:vAlign w:val="bottom"/>
            <w:shd w:val="clear" w:color="auto" w:fill="BFE4FF"/>
          </w:tcPr>
          <w:p>
            <w:pPr>
              <w:spacing w:after="0"/>
              <w:rPr>
                <w:sz w:val="19"/>
                <w:szCs w:val="19"/>
                <w:color w:val="auto"/>
              </w:rPr>
            </w:pPr>
          </w:p>
        </w:tc>
        <w:tc>
          <w:tcPr>
            <w:tcW w:w="142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16,850</w:t>
            </w:r>
          </w:p>
        </w:tc>
      </w:tr>
      <w:tr>
        <w:trPr>
          <w:trHeight w:val="230"/>
        </w:trPr>
        <w:tc>
          <w:tcPr>
            <w:tcW w:w="8080" w:type="dxa"/>
            <w:vAlign w:val="bottom"/>
            <w:tcBorders>
              <w:bottom w:val="single" w:sz="8" w:color="BFE4FF"/>
            </w:tcBorders>
          </w:tcPr>
          <w:p>
            <w:pPr>
              <w:ind w:left="6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12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(29,572)</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(230,511)</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Repurchase of common stock</w:t>
            </w:r>
          </w:p>
        </w:tc>
        <w:tc>
          <w:tcPr>
            <w:tcW w:w="22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(21,637)</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(52,916)</w:t>
            </w: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Change in notes payable</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415,300</w:t>
            </w:r>
          </w:p>
        </w:tc>
      </w:tr>
      <w:tr>
        <w:trPr>
          <w:trHeight w:val="229"/>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Dividends paid to stockholders</w:t>
            </w:r>
          </w:p>
        </w:tc>
        <w:tc>
          <w:tcPr>
            <w:tcW w:w="220" w:type="dxa"/>
            <w:vAlign w:val="bottom"/>
            <w:shd w:val="clear" w:color="auto" w:fill="BFE4FF"/>
          </w:tcPr>
          <w:p>
            <w:pPr>
              <w:spacing w:after="0"/>
              <w:rPr>
                <w:sz w:val="19"/>
                <w:szCs w:val="19"/>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(71,344)</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(70,899)</w:t>
            </w:r>
          </w:p>
        </w:tc>
      </w:tr>
      <w:tr>
        <w:trPr>
          <w:trHeight w:val="230"/>
        </w:trPr>
        <w:tc>
          <w:tcPr>
            <w:tcW w:w="8080" w:type="dxa"/>
            <w:vAlign w:val="bottom"/>
          </w:tcPr>
          <w:p>
            <w:pPr>
              <w:ind w:left="680"/>
              <w:spacing w:after="0"/>
              <w:rPr>
                <w:sz w:val="20"/>
                <w:szCs w:val="20"/>
                <w:color w:val="auto"/>
              </w:rPr>
            </w:pPr>
            <w:r>
              <w:rPr>
                <w:rFonts w:ascii="Arial" w:cs="Arial" w:eastAsia="Arial" w:hAnsi="Arial"/>
                <w:sz w:val="18"/>
                <w:szCs w:val="18"/>
                <w:color w:val="auto"/>
              </w:rPr>
              <w:t>Payments to settle employee tax obligations on exercise of share-based awards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(10,019)</w:t>
            </w:r>
          </w:p>
        </w:tc>
      </w:tr>
      <w:tr>
        <w:trPr>
          <w:trHeight w:val="230"/>
        </w:trPr>
        <w:tc>
          <w:tcPr>
            <w:tcW w:w="8080" w:type="dxa"/>
            <w:vAlign w:val="bottom"/>
            <w:shd w:val="clear" w:color="auto" w:fill="BFE4FF"/>
          </w:tcPr>
          <w:p>
            <w:pPr>
              <w:ind w:left="6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BFE4FF"/>
          </w:tcPr>
          <w:p>
            <w:pPr>
              <w:spacing w:after="0"/>
              <w:rPr>
                <w:sz w:val="19"/>
                <w:szCs w:val="19"/>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(512)</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(124,239)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280,954</w:t>
            </w:r>
          </w:p>
        </w:tc>
      </w:tr>
      <w:tr>
        <w:trPr>
          <w:trHeight w:val="230"/>
        </w:trPr>
        <w:tc>
          <w:tcPr>
            <w:tcW w:w="8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auto"/>
            </w:tcBorders>
            <w:shd w:val="clear" w:color="auto" w:fill="BFE4FF"/>
          </w:tcPr>
          <w:p>
            <w:pPr>
              <w:spacing w:after="0"/>
              <w:rPr>
                <w:sz w:val="19"/>
                <w:szCs w:val="19"/>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(14,652)</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111,654</w:t>
            </w:r>
          </w:p>
        </w:tc>
      </w:tr>
      <w:tr>
        <w:trPr>
          <w:trHeight w:val="230"/>
        </w:trPr>
        <w:tc>
          <w:tcPr>
            <w:tcW w:w="8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BFE4FF"/>
          </w:tcPr>
          <w:p>
            <w:pPr>
              <w:spacing w:after="0"/>
              <w:rPr>
                <w:sz w:val="19"/>
                <w:szCs w:val="19"/>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513,075</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397,253</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536,512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508,907</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Basis of Presentation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2020, included in the Company's Annual Report on Form 10-K filed with the SEC on February 12, 2021. The year end Condensed Consolidated Balance Sheet was derived from audited financial statements. Certain amounts in the prior periods have been reclassified to conform to the current year presentation.</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Revenue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Over 95% of the Company’s performance obligations are recognized at a point in time that relate to the manufacture and sale of a broad range of products and components. Revenue is recognized when control transfers to the customer upon shipment or completion of installation, testing, certification, or other substantive acceptance provisions required under the contract. Less than 5% of the Company’s revenue is recognized over time and relates to the sale of equipment or services in which the customer receives the benefit as they are performed or controls the assets being created, or engineered to order equipment that have no alternative use and in which the contract specifies the Company has a right to payment for its costs, plus a reasonable margin.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contracts with customers is disaggregated by segment and geographic location, as they best depict the nature and amount of the Company’s revenue. See Note 17 — Segment Information for revenue by segment and geographic location.</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2021, we estimated that $291 million in revenue is expected to be recognized in the future related to performance obligations that are unsatisfied (or partially unsatisfied) at the end of the reporting period. We expect to recognize approximately 77% of our unsatisfied (or partially unsatisfied) performance obligations as revenue through 2022, with the remaining balance to be recognized in 2023 and thereafter.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2019</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14,894</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195,201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184,845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104,901</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w:t>
            </w:r>
          </w:p>
        </w:tc>
      </w:tr>
    </w:tbl>
    <w:p>
      <w:pPr>
        <w:spacing w:after="0" w:line="200" w:lineRule="exact"/>
        <w:rPr>
          <w:sz w:val="20"/>
          <w:szCs w:val="20"/>
          <w:color w:val="auto"/>
        </w:rPr>
      </w:pP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fourth quarter of 2020, the Company adjusted its prior year balance sheet classification and footnote disclosure related to certain upfront cash consideration received from customers that should have been classified as contract liabilities (included in deferred revenue or other liabilities) rather than customer deposits (included in accounts payable).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recognized during the three months ended March 31, 2021 and 2020 that was included in contract liabilities at the beginning of the period, inclusive of adjustments, amounted to $104,617 and $51,905,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acquisitions during the three months ended March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2020, the Company acquired two businesses in separate transactions for total consideration of $208,421, net of cash acquired. These businesses were acquired to complement and expand upon existing operations within the Engineered Products and Imaging &amp; Identification segments. The goodwill recorded as a result of these acquisitions represents the economic benefits expected to be derived from product line expansions and operational synergies. Goodwill in the amount of $33,125 is deductible for U.S. income tax purposes and goodwill in the amount of $92,256 is non-deductible for U.S. income tax purposes for these acquisitions.</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February 18, 2020, the Company acquired 100% of the voting stock of So. Cal. Soft-Pak, Incorporated ("Soft-Pak") Software Solutions, a leading specialized provider of integrated back office, route management and customer relationship management software solutions to the waste and recycling fleet industry for $45,479, net of cash acquired. The Soft-Pak acquisition strengthens the digital offerings within the Engineered Products segment. In connection with this acquisition, the Company recorded goodwill of $33,125 and intangible assets of $12,800, primarily related to customer intangibles.</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24, 2020, the Company acquired 100% of the voting stock of Sys-Tech Solutions, Inc. ("Systech"), a leading provider of product traceability, regulatory compliance and brand-protection software and solutions to pharmaceutical and consumer products manufacturers, for $162,942, net of cash acquired. The Systech acquisition strengthens the portfolio of solutions offered by the Imaging &amp; Identification segment. In connection with this acquisition, the Company recorded goodwill of $92,256 and intangible assets of $76,100, primarily related to customer intangibles.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pro forma effects of acquisitions are not material to the Company's Consolidated Statements of Earnings.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Disposed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evaluates Dover's businesses periodically for their strategic fit within its operations and may from time to time sell or discontinue certain operations for various reasons.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dispositions for the three months ended March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6, 2020, the Company completed the sale of the Chino, California branch of The AMS Group ("AMS Chino"), a wholly owned subsidiary of the Company. The Company recognized total consideration of $16,850, which included a working capital adjustment. This sale resulted in a pre-tax gain on sale of $6,551 included within the Condensed Consolidated Statements of Earnings and within the Refrigeration &amp; Food Equipment Segment for the three months ended March 31, 2020. The sale did not represent a strategic shift that had a major effect on operations and financial results and, therefore, did not qualify for presentation as a discontinued operation.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5. Inventories, net</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7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89"/>
              </w:rPr>
              <w:t>497,604</w:t>
            </w: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Work in progress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193,691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center"/>
              <w:ind w:left="950"/>
              <w:spacing w:after="0"/>
              <w:rPr>
                <w:sz w:val="20"/>
                <w:szCs w:val="20"/>
                <w:color w:val="auto"/>
              </w:rPr>
            </w:pPr>
            <w:r>
              <w:rPr>
                <w:rFonts w:ascii="Arial" w:cs="Arial" w:eastAsia="Arial" w:hAnsi="Arial"/>
                <w:sz w:val="18"/>
                <w:szCs w:val="18"/>
                <w:color w:val="auto"/>
                <w:w w:val="89"/>
              </w:rPr>
              <w:t>152,360</w:t>
            </w:r>
          </w:p>
        </w:tc>
      </w:tr>
      <w:tr>
        <w:trPr>
          <w:trHeight w:val="22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89"/>
              </w:rPr>
              <w:t>304,760</w:t>
            </w:r>
          </w:p>
        </w:tc>
      </w:tr>
      <w:tr>
        <w:trPr>
          <w:trHeight w:val="223"/>
        </w:trPr>
        <w:tc>
          <w:tcPr>
            <w:tcW w:w="7180" w:type="dxa"/>
            <w:vAlign w:val="bottom"/>
            <w:gridSpan w:val="2"/>
          </w:tcPr>
          <w:p>
            <w:pPr>
              <w:ind w:left="20"/>
              <w:spacing w:after="0"/>
              <w:rPr>
                <w:sz w:val="20"/>
                <w:szCs w:val="20"/>
                <w:color w:val="auto"/>
              </w:rPr>
            </w:pPr>
            <w:r>
              <w:rPr>
                <w:rFonts w:ascii="Arial" w:cs="Arial" w:eastAsia="Arial" w:hAnsi="Arial"/>
                <w:sz w:val="18"/>
                <w:szCs w:val="18"/>
                <w:b w:val="1"/>
                <w:bCs w:val="1"/>
                <w:color w:val="auto"/>
              </w:rPr>
              <w:t>Subtotal</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1,024,224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center"/>
              <w:ind w:left="950"/>
              <w:spacing w:after="0"/>
              <w:rPr>
                <w:sz w:val="20"/>
                <w:szCs w:val="20"/>
                <w:color w:val="auto"/>
              </w:rPr>
            </w:pPr>
            <w:r>
              <w:rPr>
                <w:rFonts w:ascii="Arial" w:cs="Arial" w:eastAsia="Arial" w:hAnsi="Arial"/>
                <w:sz w:val="18"/>
                <w:szCs w:val="18"/>
                <w:color w:val="auto"/>
                <w:w w:val="89"/>
              </w:rPr>
              <w:t>954,724</w:t>
            </w:r>
          </w:p>
        </w:tc>
      </w:tr>
      <w:tr>
        <w:trPr>
          <w:trHeight w:val="22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reserves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90"/>
              </w:rPr>
              <w:t>(118,920)</w:t>
            </w:r>
          </w:p>
        </w:tc>
      </w:tr>
      <w:tr>
        <w:trPr>
          <w:trHeight w:val="223"/>
        </w:trPr>
        <w:tc>
          <w:tcPr>
            <w:tcW w:w="71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900,607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89"/>
              </w:rPr>
              <w:t>835,804</w:t>
            </w:r>
          </w:p>
        </w:tc>
      </w:tr>
      <w:tr>
        <w:trPr>
          <w:trHeight w:val="21"/>
        </w:trPr>
        <w:tc>
          <w:tcPr>
            <w:tcW w:w="13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77"/>
        </w:trPr>
        <w:tc>
          <w:tcPr>
            <w:tcW w:w="294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60,287</w:t>
            </w: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569,109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570,366</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Machinery, equipment and other</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1,767,836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1,772,772</w:t>
            </w:r>
          </w:p>
        </w:tc>
      </w:tr>
      <w:tr>
        <w:trPr>
          <w:trHeight w:val="223"/>
        </w:trPr>
        <w:tc>
          <w:tcPr>
            <w:tcW w:w="71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gross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2,397,512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2,403,425</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(1,516,381)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(1,506,099)</w:t>
            </w:r>
          </w:p>
        </w:tc>
      </w:tr>
      <w:tr>
        <w:trPr>
          <w:trHeight w:val="223"/>
        </w:trPr>
        <w:tc>
          <w:tcPr>
            <w:tcW w:w="71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881,131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897,326</w:t>
            </w:r>
          </w:p>
        </w:tc>
      </w:tr>
      <w:tr>
        <w:trPr>
          <w:trHeight w:val="21"/>
        </w:trPr>
        <w:tc>
          <w:tcPr>
            <w:tcW w:w="2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$38,194 and $34,555 for the three months ended March 31, 2021 and 2020,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 Credit Losses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January 1, 2020, the Company adopted ASU 2016-13, Financial Instruments – Credit Losses (Topic 326): Measurement of Credit Losses on Financial Instruments prospectively. This ASU replaces the incurred loss impairment model with an expected credit loss impairment model for financial instruments, including trade receivables. The amendment requires entities to consider forward-looking information to estimate expected credit losses, resulting in earlier recognition of losses for receivables that are current or not yet due, which were not considered under the previous accounting guidance. Upon adoption, the Company recorded a noncash cumulative effect adjustment to retained earnings of $2.1 million, net of $0.6 million of income taxes, on the opening consolidated balance sheet as of January 1, 2020.</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exposed to credit losses primarily through sales of products and services. Due to the short-term nature of such receivables, the estimate of amount of accounts receivable that may not be collected is based on aging of the accounts receivable balances and other historical and forward-looking information on the financial condition of customers. Balances are written off when determined to be uncollectible.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provides a roll-forward of the allowance for credit losses that is deducted from the amortized cost basis of accounts receivable to 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29,381</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Adoption of ASU 2016-13, cumulative-effect adjustment to retained earnings</w:t>
            </w:r>
          </w:p>
        </w:tc>
        <w:tc>
          <w:tcPr>
            <w:tcW w:w="9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 net of recoveries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Amounts written off charged against the allowance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dispositions and foreign currency translation</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Ending balance, March 31</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39,641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33,901</w:t>
            </w:r>
          </w:p>
        </w:tc>
      </w:tr>
      <w:tr>
        <w:trPr>
          <w:trHeight w:val="21"/>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Goodwill and Other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operating segments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Engineered</w:t>
            </w:r>
          </w:p>
        </w:tc>
        <w:tc>
          <w:tcPr>
            <w:tcW w:w="200" w:type="dxa"/>
            <w:vAlign w:val="bottom"/>
          </w:tcPr>
          <w:p>
            <w:pPr>
              <w:spacing w:after="0"/>
              <w:rPr>
                <w:sz w:val="18"/>
                <w:szCs w:val="18"/>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Fueling</w:t>
            </w:r>
          </w:p>
        </w:tc>
        <w:tc>
          <w:tcPr>
            <w:tcW w:w="140" w:type="dxa"/>
            <w:vAlign w:val="bottom"/>
          </w:tcPr>
          <w:p>
            <w:pPr>
              <w:spacing w:after="0"/>
              <w:rPr>
                <w:sz w:val="18"/>
                <w:szCs w:val="18"/>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6"/>
              </w:rPr>
              <w:t>Imaging &amp;</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Pumps &amp;</w:t>
            </w: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5"/>
              </w:rPr>
              <w:t>Refrigeration &amp;</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2"/>
              </w:rPr>
              <w:t>Process</w:t>
            </w:r>
          </w:p>
        </w:tc>
        <w:tc>
          <w:tcPr>
            <w:tcW w:w="15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Solutions</w:t>
            </w:r>
          </w:p>
        </w:tc>
        <w:tc>
          <w:tcPr>
            <w:tcW w:w="14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Identification</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Solutions</w:t>
            </w:r>
          </w:p>
        </w:tc>
        <w:tc>
          <w:tcPr>
            <w:tcW w:w="1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Food Equipment</w:t>
            </w: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1,117,589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786,280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4,072,542</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Purchase price adjustments</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(24,682)</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941,132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1,100,441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782,294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544,101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4,046,552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months ended March 31, 2021, the Company recorded purchase price adjustments that reduced goodwill by $1,308, principally related to working capital adjustments for 2020 acquisitions within the Fueling Solutions, Imaging &amp; Identification, and Pumps &amp; Process Solutions segments.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 2021</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7"/>
              </w:rPr>
              <w:t>December 31, 2020</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136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rPr>
              <w:t>Gross Carrying</w:t>
            </w:r>
          </w:p>
        </w:tc>
        <w:tc>
          <w:tcPr>
            <w:tcW w:w="100" w:type="dxa"/>
            <w:vAlign w:val="bottom"/>
          </w:tcPr>
          <w:p>
            <w:pPr>
              <w:spacing w:after="0"/>
              <w:rPr>
                <w:sz w:val="14"/>
                <w:szCs w:val="14"/>
                <w:color w:val="auto"/>
              </w:rPr>
            </w:pPr>
          </w:p>
        </w:tc>
        <w:tc>
          <w:tcPr>
            <w:tcW w:w="146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2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6"/>
              </w:rPr>
              <w:t>Net Carrying</w:t>
            </w:r>
          </w:p>
        </w:tc>
        <w:tc>
          <w:tcPr>
            <w:tcW w:w="120" w:type="dxa"/>
            <w:vAlign w:val="bottom"/>
          </w:tcPr>
          <w:p>
            <w:pPr>
              <w:spacing w:after="0"/>
              <w:rPr>
                <w:sz w:val="14"/>
                <w:szCs w:val="14"/>
                <w:color w:val="auto"/>
              </w:rPr>
            </w:pPr>
          </w:p>
        </w:tc>
        <w:tc>
          <w:tcPr>
            <w:tcW w:w="124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w w:val="93"/>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Accumulated</w:t>
            </w:r>
          </w:p>
        </w:tc>
        <w:tc>
          <w:tcPr>
            <w:tcW w:w="1200" w:type="dxa"/>
            <w:vAlign w:val="bottom"/>
            <w:gridSpan w:val="2"/>
          </w:tcPr>
          <w:p>
            <w:pPr>
              <w:jc w:val="right"/>
              <w:ind w:right="10"/>
              <w:spacing w:after="0" w:line="169" w:lineRule="exact"/>
              <w:rPr>
                <w:sz w:val="20"/>
                <w:szCs w:val="20"/>
                <w:color w:val="auto"/>
              </w:rPr>
            </w:pPr>
            <w:r>
              <w:rPr>
                <w:rFonts w:ascii="Arial" w:cs="Arial" w:eastAsia="Arial" w:hAnsi="Arial"/>
                <w:sz w:val="18"/>
                <w:szCs w:val="18"/>
                <w:b w:val="1"/>
                <w:bCs w:val="1"/>
                <w:color w:val="auto"/>
                <w:w w:val="99"/>
              </w:rPr>
              <w:t>Net Carrying</w:t>
            </w:r>
          </w:p>
        </w:tc>
        <w:tc>
          <w:tcPr>
            <w:tcW w:w="0" w:type="dxa"/>
            <w:vAlign w:val="bottom"/>
          </w:tcPr>
          <w:p>
            <w:pPr>
              <w:spacing w:after="0"/>
              <w:rPr>
                <w:sz w:val="1"/>
                <w:szCs w:val="1"/>
                <w:color w:val="auto"/>
              </w:rPr>
            </w:pPr>
          </w:p>
        </w:tc>
      </w:tr>
      <w:tr>
        <w:trPr>
          <w:trHeight w:val="229"/>
        </w:trPr>
        <w:tc>
          <w:tcPr>
            <w:tcW w:w="2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22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Customer intangibles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1,545,214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1,559,771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724,973</w:t>
            </w:r>
          </w:p>
        </w:tc>
        <w:tc>
          <w:tcPr>
            <w:tcW w:w="0" w:type="dxa"/>
            <w:vAlign w:val="bottom"/>
          </w:tcPr>
          <w:p>
            <w:pPr>
              <w:spacing w:after="0"/>
              <w:rPr>
                <w:sz w:val="1"/>
                <w:szCs w:val="1"/>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231,560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124,467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103,907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129,298</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Patents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22,117</w:t>
            </w:r>
          </w:p>
        </w:tc>
        <w:tc>
          <w:tcPr>
            <w:tcW w:w="0" w:type="dxa"/>
            <w:vAlign w:val="bottom"/>
          </w:tcPr>
          <w:p>
            <w:pPr>
              <w:spacing w:after="0"/>
              <w:rPr>
                <w:sz w:val="1"/>
                <w:szCs w:val="1"/>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Unpatented technologies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179,039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180,947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113,404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67,543</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Distributor relationships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35,417</w:t>
            </w:r>
          </w:p>
        </w:tc>
        <w:tc>
          <w:tcPr>
            <w:tcW w:w="0" w:type="dxa"/>
            <w:vAlign w:val="bottom"/>
          </w:tcPr>
          <w:p>
            <w:pPr>
              <w:spacing w:after="0"/>
              <w:rPr>
                <w:sz w:val="1"/>
                <w:szCs w:val="1"/>
                <w:color w:val="auto"/>
              </w:rPr>
            </w:pPr>
          </w:p>
        </w:tc>
      </w:tr>
      <w:tr>
        <w:trPr>
          <w:trHeight w:val="230"/>
        </w:trPr>
        <w:tc>
          <w:tcPr>
            <w:tcW w:w="2820" w:type="dxa"/>
            <w:vAlign w:val="bottom"/>
          </w:tcPr>
          <w:p>
            <w:pPr>
              <w:ind w:left="460"/>
              <w:spacing w:after="0"/>
              <w:rPr>
                <w:sz w:val="20"/>
                <w:szCs w:val="20"/>
                <w:color w:val="auto"/>
              </w:rPr>
            </w:pPr>
            <w:r>
              <w:rPr>
                <w:rFonts w:ascii="Arial" w:cs="Arial" w:eastAsia="Arial" w:hAnsi="Arial"/>
                <w:sz w:val="18"/>
                <w:szCs w:val="18"/>
                <w:color w:val="auto"/>
              </w:rPr>
              <w:t>Drawings &amp; manuals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2,256,138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1,312,871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943,267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2,277,349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1,290,419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986,930</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460"/>
              <w:spacing w:after="0"/>
              <w:rPr>
                <w:sz w:val="20"/>
                <w:szCs w:val="20"/>
                <w:color w:val="auto"/>
              </w:rPr>
            </w:pPr>
            <w:r>
              <w:rPr>
                <w:rFonts w:ascii="Arial" w:cs="Arial" w:eastAsia="Arial" w:hAnsi="Arial"/>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96,790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96,790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96,842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96,842</w:t>
            </w:r>
          </w:p>
        </w:tc>
        <w:tc>
          <w:tcPr>
            <w:tcW w:w="0" w:type="dxa"/>
            <w:vAlign w:val="bottom"/>
          </w:tcPr>
          <w:p>
            <w:pPr>
              <w:spacing w:after="0"/>
              <w:rPr>
                <w:sz w:val="1"/>
                <w:szCs w:val="1"/>
                <w:color w:val="auto"/>
              </w:rPr>
            </w:pPr>
          </w:p>
        </w:tc>
      </w:tr>
      <w:tr>
        <w:trPr>
          <w:trHeight w:val="24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1,040,057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1,083,772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was $35,612 and $34,197, respectively, including acquisition-related intangible amortization of $35,173 and $33,817 for the three months ended March 31, 2021 and 2020,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9. Restructuring Activities</w:t>
            </w:r>
          </w:p>
        </w:tc>
        <w:tc>
          <w:tcPr>
            <w:tcW w:w="6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8080" w:type="dxa"/>
            <w:vAlign w:val="bottom"/>
            <w:gridSpan w:val="2"/>
          </w:tcPr>
          <w:p>
            <w:pPr>
              <w:spacing w:after="0"/>
              <w:rPr>
                <w:sz w:val="20"/>
                <w:szCs w:val="20"/>
                <w:color w:val="auto"/>
              </w:rPr>
            </w:pPr>
            <w:r>
              <w:rPr>
                <w:rFonts w:ascii="Arial" w:cs="Arial" w:eastAsia="Arial" w:hAnsi="Arial"/>
                <w:sz w:val="18"/>
                <w:szCs w:val="18"/>
                <w:color w:val="auto"/>
              </w:rPr>
              <w:t>The Company's restructuring charges by segment were as follows:</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31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Fueling Solutions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Pumps &amp; Process Solutions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These amounts are classified in the Condensed Consolidated Statements of Earnings as follows: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0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restructuring expenses of $6,435 incurred during the three months ended March 31, 2021 were primarily the result of restructuring programs initiated in 2020 in response to lower demand conditions, asset charges related to a product line exit and broad-based operational efficiency initiatives focusing on footprint consolidation and IT centralization. Additional programs, beyond the scope of the announced programs, may be implemented during 2021 with related restructuring charges.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$6,435 of restructuring charges incurred during the first quarter of 2021 primarily included the following items:</w:t>
      </w:r>
    </w:p>
    <w:p>
      <w:pPr>
        <w:spacing w:after="0" w:line="2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Engineered Products segment recorded $3,991 of restructuring charges related principally to asset charges related to a product line exit.</w:t>
      </w:r>
    </w:p>
    <w:p>
      <w:pPr>
        <w:spacing w:after="0" w:line="249"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Fueling Solutions segment recorded $49 of restructuring charges primarily due to headcount reductions.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Imaging &amp; Identification segment recorded restructuring charges of $690 principally related to headcount reductions.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Pumps &amp; Process Solutions segment recorded $17 of restructuring benefit primarily due to a true-up of facility exit costs.</w:t>
      </w:r>
    </w:p>
    <w:p>
      <w:pPr>
        <w:spacing w:after="0" w:line="25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Refrigeration &amp; Food Equipment segment recorded $1,061 of restructuring expense primarily due to headcount reductions and facility restructuring costs.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recorded $661 of restructuring charges primarily related to exit costs associated with IT centralization initiatives.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The Company’s severance and exit accrual activities were as follows: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6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Severance</w:t>
            </w:r>
          </w:p>
        </w:tc>
        <w:tc>
          <w:tcPr>
            <w:tcW w:w="320" w:type="dxa"/>
            <w:vAlign w:val="bottom"/>
          </w:tcPr>
          <w:p>
            <w:pPr>
              <w:spacing w:after="0"/>
              <w:rPr>
                <w:sz w:val="22"/>
                <w:szCs w:val="22"/>
                <w:color w:val="auto"/>
              </w:rPr>
            </w:pPr>
          </w:p>
        </w:tc>
        <w:tc>
          <w:tcPr>
            <w:tcW w:w="138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Exit</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8"/>
              </w:rPr>
              <w:t>4,366</w:t>
            </w:r>
          </w:p>
        </w:tc>
        <w:tc>
          <w:tcPr>
            <w:tcW w:w="3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left="390"/>
              <w:spacing w:after="0"/>
              <w:rPr>
                <w:sz w:val="20"/>
                <w:szCs w:val="20"/>
                <w:color w:val="auto"/>
              </w:rPr>
            </w:pPr>
            <w:r>
              <w:rPr>
                <w:rFonts w:ascii="Arial" w:cs="Arial" w:eastAsia="Arial" w:hAnsi="Arial"/>
                <w:sz w:val="18"/>
                <w:szCs w:val="18"/>
                <w:color w:val="auto"/>
                <w:w w:val="88"/>
              </w:rPr>
              <w:t>4,380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6,435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4"/>
              </w:rPr>
              <w:t>(2,595)</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line="230" w:lineRule="exact"/>
              <w:rPr>
                <w:sz w:val="20"/>
                <w:szCs w:val="20"/>
                <w:color w:val="auto"/>
              </w:rPr>
            </w:pPr>
            <w:r>
              <w:rPr>
                <w:rFonts w:ascii="Arial" w:cs="Arial" w:eastAsia="Arial" w:hAnsi="Arial"/>
                <w:sz w:val="18"/>
                <w:szCs w:val="18"/>
                <w:color w:val="auto"/>
              </w:rPr>
              <w:t xml:space="preserve">(4,061)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(4,268)</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8"/>
              </w:rPr>
              <w:t>2,090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340" w:hanging="170"/>
        <w:spacing w:after="0"/>
        <w:tabs>
          <w:tab w:leader="none" w:pos="340" w:val="left"/>
        </w:tabs>
        <w:numPr>
          <w:ilvl w:val="1"/>
          <w:numId w:val="5"/>
        </w:numPr>
        <w:rPr>
          <w:rFonts w:ascii="Arial" w:cs="Arial" w:eastAsia="Arial" w:hAnsi="Arial"/>
          <w:sz w:val="20"/>
          <w:szCs w:val="20"/>
          <w:color w:val="auto"/>
          <w:vertAlign w:val="superscript"/>
        </w:rPr>
      </w:pPr>
      <w:r>
        <w:rPr>
          <w:rFonts w:ascii="Arial" w:cs="Arial" w:eastAsia="Arial" w:hAnsi="Arial"/>
          <w:sz w:val="15"/>
          <w:szCs w:val="15"/>
          <w:color w:val="auto"/>
        </w:rPr>
        <w:t>Other activity in exit reserves primarily represents asset charges related to a product line exit.</w:t>
      </w:r>
    </w:p>
    <w:p>
      <w:pPr>
        <w:spacing w:after="0" w:line="217" w:lineRule="exact"/>
        <w:rPr>
          <w:rFonts w:ascii="Arial" w:cs="Arial" w:eastAsia="Arial" w:hAnsi="Arial"/>
          <w:sz w:val="20"/>
          <w:szCs w:val="20"/>
          <w:color w:val="auto"/>
          <w:vertAlign w:val="superscript"/>
        </w:rPr>
      </w:pPr>
    </w:p>
    <w:p>
      <w:pPr>
        <w:ind w:left="280" w:hanging="272"/>
        <w:spacing w:after="0"/>
        <w:tabs>
          <w:tab w:leader="none" w:pos="280" w:val="left"/>
        </w:tabs>
        <w:numPr>
          <w:ilvl w:val="0"/>
          <w:numId w:val="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Borrowings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Borrowings consisted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 xml:space="preserve">Carrying amount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Principal</w:t>
            </w:r>
          </w:p>
        </w:tc>
        <w:tc>
          <w:tcPr>
            <w:tcW w:w="150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March 31, 2021</w:t>
            </w:r>
          </w:p>
        </w:tc>
        <w:tc>
          <w:tcPr>
            <w:tcW w:w="140" w:type="dxa"/>
            <w:vAlign w:val="bottom"/>
          </w:tcPr>
          <w:p>
            <w:pPr>
              <w:spacing w:after="0"/>
              <w:rPr>
                <w:sz w:val="14"/>
                <w:szCs w:val="14"/>
                <w:color w:val="auto"/>
              </w:rPr>
            </w:pPr>
          </w:p>
        </w:tc>
        <w:tc>
          <w:tcPr>
            <w:tcW w:w="126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67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Long-term</w:t>
            </w:r>
          </w:p>
        </w:tc>
        <w:tc>
          <w:tcPr>
            <w:tcW w:w="2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700" w:type="dxa"/>
            <w:vAlign w:val="bottom"/>
            <w:gridSpan w:val="3"/>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3.15%</w:t>
            </w:r>
          </w:p>
        </w:tc>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10-year notes due November 15, 2025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396,716</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1.25%</w:t>
            </w: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10-year notes due November 9, 2026 (euro-denominated)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699,283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724,310</w:t>
            </w:r>
          </w:p>
        </w:tc>
        <w:tc>
          <w:tcPr>
            <w:tcW w:w="0" w:type="dxa"/>
            <w:vAlign w:val="bottom"/>
          </w:tcPr>
          <w:p>
            <w:pPr>
              <w:spacing w:after="0"/>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0.750%</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8-year notes due November 4, 2027 (euro denominated)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603,107</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6.65%</w:t>
            </w: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30-year debentures due June 1, 2028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199,280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199,255</w:t>
            </w:r>
          </w:p>
        </w:tc>
        <w:tc>
          <w:tcPr>
            <w:tcW w:w="0" w:type="dxa"/>
            <w:vAlign w:val="bottom"/>
          </w:tcPr>
          <w:p>
            <w:pPr>
              <w:spacing w:after="0"/>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2.950%</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10-year notes due November 4, 2029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296,650</w:t>
            </w:r>
          </w:p>
        </w:tc>
        <w:tc>
          <w:tcPr>
            <w:tcW w:w="0" w:type="dxa"/>
            <w:vAlign w:val="bottom"/>
          </w:tcPr>
          <w:p>
            <w:pPr>
              <w:spacing w:after="0"/>
              <w:rPr>
                <w:sz w:val="1"/>
                <w:szCs w:val="1"/>
                <w:color w:val="auto"/>
              </w:rPr>
            </w:pPr>
          </w:p>
        </w:tc>
      </w:tr>
      <w:tr>
        <w:trPr>
          <w:trHeight w:val="229"/>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1"/>
              </w:rPr>
              <w:t>5.375%</w:t>
            </w:r>
          </w:p>
        </w:tc>
        <w:tc>
          <w:tcPr>
            <w:tcW w:w="6100" w:type="dxa"/>
            <w:vAlign w:val="bottom"/>
          </w:tcPr>
          <w:p>
            <w:pPr>
              <w:ind w:left="20"/>
              <w:spacing w:after="0"/>
              <w:rPr>
                <w:sz w:val="20"/>
                <w:szCs w:val="20"/>
                <w:color w:val="auto"/>
              </w:rPr>
            </w:pPr>
            <w:r>
              <w:rPr>
                <w:rFonts w:ascii="Arial" w:cs="Arial" w:eastAsia="Arial" w:hAnsi="Arial"/>
                <w:sz w:val="18"/>
                <w:szCs w:val="18"/>
                <w:color w:val="auto"/>
              </w:rPr>
              <w:t>30-year debentures due October 15, 2035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296,372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296,309</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6.60%</w:t>
            </w:r>
          </w:p>
        </w:tc>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30-year notes due March 15, 2038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248,053</w:t>
            </w:r>
          </w:p>
        </w:tc>
        <w:tc>
          <w:tcPr>
            <w:tcW w:w="0" w:type="dxa"/>
            <w:vAlign w:val="bottom"/>
          </w:tcPr>
          <w:p>
            <w:pPr>
              <w:spacing w:after="0"/>
              <w:rPr>
                <w:sz w:val="1"/>
                <w:szCs w:val="1"/>
                <w:color w:val="auto"/>
              </w:rPr>
            </w:pPr>
          </w:p>
        </w:tc>
      </w:tr>
      <w:tr>
        <w:trPr>
          <w:trHeight w:val="230"/>
        </w:trPr>
        <w:tc>
          <w:tcPr>
            <w:tcW w:w="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1"/>
              </w:rPr>
              <w:t>5.375%</w:t>
            </w:r>
          </w:p>
        </w:tc>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30-year notes due March 1, 2041</w:t>
            </w: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344,498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344,429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3,063,374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3,108,829</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40" w:hanging="170"/>
        <w:spacing w:after="0"/>
        <w:tabs>
          <w:tab w:leader="none" w:pos="34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Carrying amount is net of unamortized debt discount and deferred debt issuance costs. Total unamortized debt discounts were</w:t>
      </w:r>
    </w:p>
    <w:p>
      <w:pPr>
        <w:ind w:left="180"/>
        <w:spacing w:after="0" w:line="257" w:lineRule="auto"/>
        <w:rPr>
          <w:sz w:val="20"/>
          <w:szCs w:val="20"/>
          <w:color w:val="auto"/>
        </w:rPr>
      </w:pPr>
      <w:r>
        <w:rPr>
          <w:rFonts w:ascii="Arial" w:cs="Arial" w:eastAsia="Arial" w:hAnsi="Arial"/>
          <w:sz w:val="16"/>
          <w:szCs w:val="16"/>
          <w:color w:val="auto"/>
        </w:rPr>
        <w:t>$16.8 million and $17.6 million as of March 31, 2021 and December 31, 2020, respectively. Total deferred debt issuance costs were $13.9 million and $14.4 million as of March 31, 2021 and December 31, 2020, respectively.</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March 31, 2021, the Company maintained a $1.0 billion five-year unsecured revolving credit facility (the "Credit Agreement") with a syndicate of banks which expires on October 4, 2024. At the Company's election, loans under the Credit Agreement will bear interest at a base rate plus an applicable margin. The Credit Agreement requires the Company to pay a facility fee and imposes various restrictions on the Company such as, among other things, a requirement to maintain a minimum interest coverage ratio of EBITDA to consolidated net interest expense of not less than 3.0 to 1. The Company uses the Credit Agreement principally as liquidity back-up for its commercial paper program. On March 16, 2020, the Company borrowed $500 million under the Credit Agreement, which was subsequently repaid in full during the second quarter with proceeds from resumed commercial paper borrowings. Proceeds from the Credit Agreement borrowing were used to repay all of the Company's outstanding commercial paper and for general corporate purposes.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in compliance with all covenants in the Credit Agreement and other long-term debt covenants at March 31, 2021 and had an interest coverage ratio of consolidated EBITDA to consolidated net interest expense of 12.1 to 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the Company had approximately $145.7 million outstanding in letters of credit, surety bonds, and performance and other guarantees which expire on various dates through 2029. These letters of credit and bonds are primarily issued as security for insurance, warranty and other performance obligations. In general, we would only be liable for the amount of these guarantees in the event of default in the performance of our obligations.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ind w:right="9260" w:firstLine="8"/>
        <w:spacing w:after="0" w:line="566" w:lineRule="auto"/>
        <w:tabs>
          <w:tab w:leader="none" w:pos="260" w:val="left"/>
        </w:tabs>
        <w:numPr>
          <w:ilvl w:val="0"/>
          <w:numId w:val="8"/>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 xml:space="preserve">Financial Instruments </w:t>
      </w:r>
      <w:r>
        <w:rPr>
          <w:rFonts w:ascii="Arial" w:cs="Arial" w:eastAsia="Arial" w:hAnsi="Arial"/>
          <w:sz w:val="17"/>
          <w:szCs w:val="17"/>
          <w:b w:val="1"/>
          <w:bCs w:val="1"/>
          <w:color w:val="auto"/>
        </w:rPr>
        <w:t>Derivatives</w:t>
      </w:r>
    </w:p>
    <w:p>
      <w:pPr>
        <w:jc w:val="both"/>
        <w:spacing w:after="0" w:line="296" w:lineRule="auto"/>
        <w:rPr>
          <w:sz w:val="20"/>
          <w:szCs w:val="20"/>
          <w:color w:val="auto"/>
        </w:rPr>
      </w:pPr>
      <w:r>
        <w:rPr>
          <w:rFonts w:ascii="Arial" w:cs="Arial" w:eastAsia="Arial" w:hAnsi="Arial"/>
          <w:sz w:val="16"/>
          <w:szCs w:val="16"/>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to occur within the next twelve months that are denominated in non-functional currencies, with currency forward contracts designated as cash flow hedges. At March 31, 2021 and December 31, 2020, the Company had contracts with total notional amounts of $177,216 and $173,674, respectively, to exchange currencies, principally Euro, Pound Sterling, Swedish Krona, Chinese Yuan, Canadian Dollar, and Swiss Franc. The Company believes it is probable that all forecasted cash flow transactions will occur.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had outstanding contracts with a total notional amount of $77,916 and $73,755 as of March 31, 2021 and December 31, 2020,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fair values of derivative instruments held by the Company as of March 31, 2021 and December 31, 2020 and the balance sheet lines in which they are recorded: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gridSpan w:val="5"/>
          </w:tcPr>
          <w:p>
            <w:pPr>
              <w:ind w:left="720"/>
              <w:spacing w:after="0"/>
              <w:rPr>
                <w:sz w:val="20"/>
                <w:szCs w:val="20"/>
                <w:color w:val="auto"/>
              </w:rPr>
            </w:pPr>
            <w:r>
              <w:rPr>
                <w:rFonts w:ascii="Arial" w:cs="Arial" w:eastAsia="Arial" w:hAnsi="Arial"/>
                <w:sz w:val="18"/>
                <w:szCs w:val="18"/>
                <w:b w:val="1"/>
                <w:bCs w:val="1"/>
                <w:color w:val="auto"/>
              </w:rPr>
              <w:t>Fair Value Asset (Liability)</w:t>
            </w:r>
          </w:p>
        </w:tc>
        <w:tc>
          <w:tcPr>
            <w:tcW w:w="30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19"/>
                <w:szCs w:val="19"/>
                <w:color w:val="auto"/>
              </w:rPr>
            </w:pPr>
          </w:p>
        </w:tc>
        <w:tc>
          <w:tcPr>
            <w:tcW w:w="30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Balance Sheet Caption</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Foreign currency forward</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Other accrued expenses</w:t>
            </w:r>
          </w:p>
        </w:tc>
      </w:tr>
    </w:tbl>
    <w:p>
      <w:pPr>
        <w:spacing w:after="0" w:line="3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 cash flow hedge, the change in estimated fair value of a hedging instrument is recorded in accumulated other comprehensive (loss) earnings as a separate component of the Condensed Consolidated Statements of Stockholders' Equity and is reclassified into revenues and cost of goods and services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designated the €600,000 and €500,000 of euro-denominated notes issued November 9, 2016 and November 4, 2019, respectively, as hedges of a portion of its net investment in euro-denominated operations. Changes in the value of the euro-denominated debt are recognized in foreign currency translation adjustments within other comprehensive earnings of the Condensed Consolidated Statements of Comprehensive Earnings to offset changes in the value of the net investment in euro-denominated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earnings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8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euro-denominated 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7"/>
              </w:rPr>
              <w:t>46,433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23,624</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2"/>
              </w:rPr>
              <w:t>(10,492)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4"/>
              </w:rPr>
              <w:t>(5,139)</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on net investment hedges, net of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7"/>
              </w:rPr>
              <w:t>35,941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8"/>
              </w:rPr>
              <w:t>18,485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 as of March 31, 2021 and December 31, 2020:</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20"/>
                <w:szCs w:val="20"/>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23"/>
        </w:trPr>
        <w:tc>
          <w:tcPr>
            <w:tcW w:w="702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cash flow hedges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cash flow hedges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interim disclosures regarding the fair value of all of the Company’s financial instruments.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estimated fair value of long-term debt, net at March 31, 2021 and December 31, 2020, was $3,460,123 and $3,635,673, respectively. The estimated fair value of long-term debt is based on quoted market prices for similar instruments and is, therefore, classified as Level 2 within the fair value hierarchy.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trade receivables, accounts payable and notes payable are reasonable estimates of their fair values as of March 31, 2021 and December 31, 2020 due to the short-term nature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 Income Taxes</w:t>
      </w:r>
    </w:p>
    <w:p>
      <w:pPr>
        <w:spacing w:after="0" w:line="256"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The effective tax rates for the three months ended March 31, 2021 and 2020 were 19.5% and 17.4%, respectively. The increase in the effective tax rate for the three months ended March 31, 2021 relative to the prior comparable period was primarily driven by favorable audit settlements in the prior year.</w:t>
      </w:r>
    </w:p>
    <w:p>
      <w:pPr>
        <w:spacing w:after="0" w:line="15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zero to $13.4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Equity Incentive Program</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typically grants equity awards annually at its regularly scheduled first quarter meeting of the Compensation Committee of the Board of Directors. During the three months ended March 31, 2021, the Company issued stock-settled appreciation rights ("SARs") covering 411,814 shares, performance share awards of 50,371 and restricted stock units ("RSUs") of 82,469.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SARs is based on the U.S. Treasury yield curve in effect at the time of grant.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determining the fair value of the SARs awarded during the respective periods were as follows:</w:t>
      </w:r>
    </w:p>
    <w:p>
      <w:pPr>
        <w:spacing w:after="0" w:line="46" w:lineRule="exact"/>
        <w:rPr>
          <w:sz w:val="20"/>
          <w:szCs w:val="20"/>
          <w:color w:val="auto"/>
        </w:rPr>
      </w:pPr>
    </w:p>
    <w:p>
      <w:pPr>
        <w:ind w:left="9240"/>
        <w:spacing w:after="0"/>
        <w:rPr>
          <w:sz w:val="20"/>
          <w:szCs w:val="20"/>
          <w:color w:val="auto"/>
        </w:rPr>
      </w:pPr>
      <w:r>
        <w:rPr>
          <w:rFonts w:ascii="Arial" w:cs="Arial" w:eastAsia="Arial" w:hAnsi="Arial"/>
          <w:sz w:val="18"/>
          <w:szCs w:val="18"/>
          <w:b w:val="1"/>
          <w:bCs w:val="1"/>
          <w:color w:val="auto"/>
        </w:rPr>
        <w:t>SARs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66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3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660" w:type="dxa"/>
            <w:vAlign w:val="bottom"/>
          </w:tcPr>
          <w:p>
            <w:pPr>
              <w:jc w:val="right"/>
              <w:spacing w:after="0"/>
              <w:rPr>
                <w:sz w:val="20"/>
                <w:szCs w:val="20"/>
                <w:color w:val="auto"/>
              </w:rPr>
            </w:pPr>
            <w:r>
              <w:rPr>
                <w:rFonts w:ascii="Arial" w:cs="Arial" w:eastAsia="Arial" w:hAnsi="Arial"/>
                <w:sz w:val="18"/>
                <w:szCs w:val="18"/>
                <w:color w:val="auto"/>
                <w:w w:val="93"/>
              </w:rPr>
              <w:t>30.49 %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22.76 %</w:t>
            </w:r>
          </w:p>
        </w:tc>
      </w:tr>
      <w:tr>
        <w:trPr>
          <w:trHeight w:val="216"/>
        </w:trPr>
        <w:tc>
          <w:tcPr>
            <w:tcW w:w="7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9"/>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Grant price</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$122.73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$119.86</w:t>
            </w:r>
          </w:p>
        </w:tc>
      </w:tr>
      <w:tr>
        <w:trPr>
          <w:trHeight w:val="23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r>
    </w:tbl>
    <w:p>
      <w:pPr>
        <w:spacing w:after="0" w:line="33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performance share awards granted in 2021 and 2020 are market condition awards as attainment is based on Dover's performance relative to its peer group (companies listed under the S&amp;P 500 Industrials sector) for the relevant performance period. The performance period and vesting period for these awards is three years. These awards were valued on the date of grant using the Monte Carlo simulation model (a binomial lattice-based valuation model), and are generally recognized ratably over the vesting period, and the fair value is not subject to change based on future market conditions. The assumptions used in determining the fair value of the performance shares granted in the respective periods were as follows:</w:t>
      </w:r>
    </w:p>
    <w:p>
      <w:pPr>
        <w:spacing w:after="0" w:line="1"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Performance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0.19 %</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29"/>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1.62 %</w:t>
            </w:r>
          </w:p>
        </w:tc>
        <w:tc>
          <w:tcPr>
            <w:tcW w:w="142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3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w w:val="93"/>
              </w:rPr>
              <w:t>31.90 %</w:t>
            </w:r>
          </w:p>
        </w:tc>
        <w:tc>
          <w:tcPr>
            <w:tcW w:w="1420" w:type="dxa"/>
            <w:vAlign w:val="bottom"/>
          </w:tcPr>
          <w:p>
            <w:pPr>
              <w:jc w:val="right"/>
              <w:spacing w:after="0"/>
              <w:rPr>
                <w:sz w:val="20"/>
                <w:szCs w:val="20"/>
                <w:color w:val="auto"/>
              </w:rPr>
            </w:pPr>
            <w:r>
              <w:rPr>
                <w:rFonts w:ascii="Arial" w:cs="Arial" w:eastAsia="Arial" w:hAnsi="Arial"/>
                <w:sz w:val="18"/>
                <w:szCs w:val="18"/>
                <w:color w:val="auto"/>
              </w:rPr>
              <w:t>23.30 %</w:t>
            </w:r>
          </w:p>
        </w:tc>
      </w:tr>
      <w:tr>
        <w:trPr>
          <w:trHeight w:val="216"/>
        </w:trPr>
        <w:tc>
          <w:tcPr>
            <w:tcW w:w="7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Grant price</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w w:val="95"/>
              </w:rPr>
              <w:t>$122.73</w:t>
            </w:r>
          </w:p>
        </w:tc>
        <w:tc>
          <w:tcPr>
            <w:tcW w:w="1420" w:type="dxa"/>
            <w:vAlign w:val="bottom"/>
          </w:tcPr>
          <w:p>
            <w:pPr>
              <w:jc w:val="right"/>
              <w:spacing w:after="0"/>
              <w:rPr>
                <w:sz w:val="20"/>
                <w:szCs w:val="20"/>
                <w:color w:val="auto"/>
              </w:rPr>
            </w:pPr>
            <w:r>
              <w:rPr>
                <w:rFonts w:ascii="Arial" w:cs="Arial" w:eastAsia="Arial" w:hAnsi="Arial"/>
                <w:sz w:val="18"/>
                <w:szCs w:val="18"/>
                <w:color w:val="auto"/>
              </w:rPr>
              <w:t>$119.86</w:t>
            </w:r>
          </w:p>
        </w:tc>
      </w:tr>
      <w:tr>
        <w:trPr>
          <w:trHeight w:val="23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5"/>
              </w:rPr>
              <w:t>$148.29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has granted RSUs, and the fair value of these awards was determined using Dover's closing stock price on the date of grant.</w:t>
      </w:r>
    </w:p>
    <w:p>
      <w:pPr>
        <w:spacing w:after="0" w:line="26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1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8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expense</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11,521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(1,222)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10,299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stock-based compensation expense for the three months ended March 31, 2021 compared to the prior comparable period was primarily due to plan amendments in the current year accelerating the vesting on shares awarded to retirement-eligible employees and lower performance share attainment rates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ind w:right="7820" w:firstLine="8"/>
        <w:spacing w:after="0" w:line="534" w:lineRule="auto"/>
        <w:tabs>
          <w:tab w:leader="none" w:pos="270" w:val="left"/>
        </w:tabs>
        <w:numPr>
          <w:ilvl w:val="0"/>
          <w:numId w:val="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Commitments and Contingent Liabilities </w:t>
      </w:r>
      <w:r>
        <w:rPr>
          <w:rFonts w:ascii="Arial" w:cs="Arial" w:eastAsia="Arial" w:hAnsi="Arial"/>
          <w:sz w:val="18"/>
          <w:szCs w:val="18"/>
          <w:b w:val="1"/>
          <w:bCs w:val="1"/>
          <w:color w:val="auto"/>
        </w:rPr>
        <w:t>Litigation</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the Company’s subsidiaries are involved in legal proceedings relating to the cleanup of waste disposal sites identified under federal and state statutes that provide for the allocation of such costs among "potentially responsible parties." In each instance, the extent of the Company’s liability appears to be very small in relation to the total projected expenditures and the number of other "potentially responsible parties" involved and is anticipated to be immaterial to the Company. In addition, certain of the Company’s subsidiaries are involved in ongoing remedial activities at certain current and former plant sites, in cooperation with regulatory agencies, and appropriate estimated liabilities have been established. At March 31, 2021 and December 31, 2020, the Company had estimated liabilities totaling $29,296 and $30,431, respectively, for environmental and other matters, including private party claims for exposure to hazardous substances that are probable and estimable.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certain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the availability and extent of insurance coverage. The Company has estimated liabilities for legal matters that are probable and estimable, and at March 31, 2021 and December 31, 2020, these estimated liabilities were not significant.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Accruals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 The changes in the carrying amount of product warranties through March 31, 2021 and 2020,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49,116</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Provision for warranties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13,360</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(15,526)</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adjustments, including acquisitions and currency translation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March 31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9140" w:firstLine="8"/>
        <w:spacing w:after="0" w:line="534" w:lineRule="auto"/>
        <w:tabs>
          <w:tab w:leader="none" w:pos="270" w:val="left"/>
        </w:tabs>
        <w:numPr>
          <w:ilvl w:val="0"/>
          <w:numId w:val="1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Employee Benefit Plans </w:t>
      </w:r>
      <w:r>
        <w:rPr>
          <w:rFonts w:ascii="Arial" w:cs="Arial" w:eastAsia="Arial" w:hAnsi="Arial"/>
          <w:sz w:val="18"/>
          <w:szCs w:val="18"/>
          <w:b w:val="1"/>
          <w:bCs w:val="1"/>
          <w:color w:val="auto"/>
        </w:rPr>
        <w:t>Retirement Plans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qualified defined benefit pension plans covering certain employees of the Company and its subsidiaries, although the U.S. qualified and non-qualified defined benefit plans are closed to new entrants.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tables below set forth the components of the Company’s net periodic expense (income) relating to retirement benefit plans. The service cost component is recognized within selling, general and administrative expenses and cost of goods and services, depending on the functional area of the underlying employees included in the plans, and the non-operating components of pension costs are included within other income, net in the Condensed Consolidated Statements of Earnings.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Defined Benefits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9"/>
          </w:tcPr>
          <w:p>
            <w:pPr>
              <w:ind w:left="40"/>
              <w:spacing w:after="0"/>
              <w:rPr>
                <w:sz w:val="20"/>
                <w:szCs w:val="20"/>
                <w:color w:val="auto"/>
              </w:rPr>
            </w:pPr>
            <w:r>
              <w:rPr>
                <w:rFonts w:ascii="Arial" w:cs="Arial" w:eastAsia="Arial" w:hAnsi="Arial"/>
                <w:sz w:val="16"/>
                <w:szCs w:val="16"/>
                <w:b w:val="1"/>
                <w:bCs w:val="1"/>
                <w:color w:val="auto"/>
                <w:w w:val="94"/>
              </w:rPr>
              <w:t>Three Months Ended March 31,</w:t>
            </w: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U.S. Plan</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4"/>
              </w:rPr>
              <w:t>Non-U.S. Plans</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400" w:type="dxa"/>
            <w:vAlign w:val="bottom"/>
            <w:gridSpan w:val="3"/>
            <w:shd w:val="clear" w:color="auto" w:fill="CCEEFF"/>
          </w:tcPr>
          <w:p>
            <w:pPr>
              <w:jc w:val="right"/>
              <w:ind w:right="11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7"/>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(1,799)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(1,677)</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cost (credit)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Recognized actuarial loss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2,503</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periodic expense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400" w:type="dxa"/>
            <w:vAlign w:val="bottom"/>
            <w:gridSpan w:val="3"/>
            <w:shd w:val="clear" w:color="auto" w:fill="CCEEFF"/>
          </w:tcPr>
          <w:p>
            <w:pPr>
              <w:jc w:val="right"/>
              <w:ind w:right="11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7"/>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Non-Qualified Supplemental Benefits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8"/>
          </w:tcPr>
          <w:p>
            <w:pPr>
              <w:jc w:val="right"/>
              <w:ind w:right="255"/>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2020</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6"/>
              </w:rPr>
              <w:t>308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6"/>
              </w:rPr>
              <w:t>383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Recognized actuarial gain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Net periodic expense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663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Retirement Plans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offers defined contribution retirement plans which cover the majority of its U.S. employees, as well as employees in certain other countries. The related expense is recognized within selling, general and administrative expenses and cost of goods and services, depending on the functional area of the underlying employees included in the plans. The Company’s expense relating to defined contribution plans was $15,061 and $14,048 for the three months ended March 31, 2021 and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16. Other Comprehensive Earnings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Amounts reclassified from accumulated other comprehensive loss to earnings during the three months ended March 31, 2021 and 2020 were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808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2020</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Pension and other postretirement benefit plans: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Amortization of actuarial losses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2,158</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before tax</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2,523</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Cash flow hedges: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Net (gains) losses reclassified into earnings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(1,833)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1,420</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(benefit)</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(1,411)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r>
      <w:tr>
        <w:trPr>
          <w:trHeight w:val="20"/>
        </w:trPr>
        <w:tc>
          <w:tcPr>
            <w:tcW w:w="8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amortization of net actuarial gains and losses and prior service costs in other income, net within the Condensed Consolidated Statements of Earnings.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categorizes its operating companies into five reportable segments as follows:</w:t>
      </w:r>
    </w:p>
    <w:p>
      <w:pPr>
        <w:spacing w:after="0" w:line="252" w:lineRule="exact"/>
        <w:rPr>
          <w:sz w:val="20"/>
          <w:szCs w:val="20"/>
          <w:color w:val="auto"/>
        </w:rPr>
      </w:pPr>
    </w:p>
    <w:p>
      <w:pPr>
        <w:jc w:val="both"/>
        <w:ind w:left="660" w:right="2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Imaging &amp; Identification segment supplies precision marking and coding, product traceability and digital textile printing equipment, as well as related consumables, software and services.</w:t>
      </w:r>
    </w:p>
    <w:p>
      <w:pPr>
        <w:spacing w:after="0" w:line="19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Pumps &amp; Process Solutions segment manufactures specialty pumps, fluid handling components, plastics and polymer processing equipment, single use pumps, flow meters and connectors, and highly engineered components for rotating and reciprocating machines.</w:t>
      </w:r>
    </w:p>
    <w:p>
      <w:pPr>
        <w:spacing w:after="0" w:line="17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Refrigeration &amp; Food Equipment segment is a provider of innovative and energy-efficient equipment and systems that serve the commercial refrigeration, heating and cooling and food equipment markets.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w w:val="93"/>
              </w:rPr>
              <w:t>Segment financial information and a reconciliation of segment results to consolidated results was as follows: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8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8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80" w:type="dxa"/>
            <w:vAlign w:val="bottom"/>
          </w:tcPr>
          <w:p>
            <w:pPr>
              <w:ind w:left="460"/>
              <w:spacing w:after="0"/>
              <w:rPr>
                <w:sz w:val="20"/>
                <w:szCs w:val="20"/>
                <w:color w:val="auto"/>
              </w:rPr>
            </w:pPr>
            <w:r>
              <w:rPr>
                <w:rFonts w:ascii="Arial" w:cs="Arial" w:eastAsia="Arial" w:hAnsi="Arial"/>
                <w:sz w:val="18"/>
                <w:szCs w:val="18"/>
                <w:color w:val="auto"/>
              </w:rPr>
              <w:t>Engineered Products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428,127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408,160</w:t>
            </w:r>
          </w:p>
        </w:tc>
      </w:tr>
      <w:tr>
        <w:trPr>
          <w:trHeight w:val="230"/>
        </w:trPr>
        <w:tc>
          <w:tcPr>
            <w:tcW w:w="8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Fueling Solutions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359,982</w:t>
            </w:r>
          </w:p>
        </w:tc>
      </w:tr>
      <w:tr>
        <w:trPr>
          <w:trHeight w:val="229"/>
        </w:trPr>
        <w:tc>
          <w:tcPr>
            <w:tcW w:w="8080" w:type="dxa"/>
            <w:vAlign w:val="bottom"/>
          </w:tcPr>
          <w:p>
            <w:pPr>
              <w:ind w:left="460"/>
              <w:spacing w:after="0"/>
              <w:rPr>
                <w:sz w:val="20"/>
                <w:szCs w:val="20"/>
                <w:color w:val="auto"/>
              </w:rPr>
            </w:pPr>
            <w:r>
              <w:rPr>
                <w:rFonts w:ascii="Arial" w:cs="Arial" w:eastAsia="Arial" w:hAnsi="Arial"/>
                <w:sz w:val="18"/>
                <w:szCs w:val="18"/>
                <w:color w:val="auto"/>
              </w:rPr>
              <w:t>Imaging &amp; Identification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284,328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256,765</w:t>
            </w:r>
          </w:p>
        </w:tc>
      </w:tr>
      <w:tr>
        <w:trPr>
          <w:trHeight w:val="230"/>
        </w:trPr>
        <w:tc>
          <w:tcPr>
            <w:tcW w:w="8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Pumps &amp; Process Solutions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319,536</w:t>
            </w:r>
          </w:p>
        </w:tc>
      </w:tr>
      <w:tr>
        <w:trPr>
          <w:trHeight w:val="229"/>
        </w:trPr>
        <w:tc>
          <w:tcPr>
            <w:tcW w:w="8080" w:type="dxa"/>
            <w:vAlign w:val="bottom"/>
          </w:tcPr>
          <w:p>
            <w:pPr>
              <w:ind w:left="460"/>
              <w:spacing w:after="0"/>
              <w:rPr>
                <w:sz w:val="20"/>
                <w:szCs w:val="20"/>
                <w:color w:val="auto"/>
              </w:rPr>
            </w:pPr>
            <w:r>
              <w:rPr>
                <w:rFonts w:ascii="Arial" w:cs="Arial" w:eastAsia="Arial" w:hAnsi="Arial"/>
                <w:sz w:val="18"/>
                <w:szCs w:val="18"/>
                <w:color w:val="auto"/>
              </w:rPr>
              <w:t>Refrigeration &amp; Food Equipment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372,077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311,913</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consolidated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1,867,901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1,655,939</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Engineered Products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69,094</w:t>
            </w:r>
          </w:p>
        </w:tc>
      </w:tr>
      <w:tr>
        <w:trPr>
          <w:trHeight w:val="229"/>
        </w:trPr>
        <w:tc>
          <w:tcPr>
            <w:tcW w:w="8080" w:type="dxa"/>
            <w:vAlign w:val="bottom"/>
          </w:tcPr>
          <w:p>
            <w:pPr>
              <w:ind w:left="460"/>
              <w:spacing w:after="0"/>
              <w:rPr>
                <w:sz w:val="20"/>
                <w:szCs w:val="20"/>
                <w:color w:val="auto"/>
              </w:rPr>
            </w:pPr>
            <w:r>
              <w:rPr>
                <w:rFonts w:ascii="Arial" w:cs="Arial" w:eastAsia="Arial" w:hAnsi="Arial"/>
                <w:sz w:val="18"/>
                <w:szCs w:val="18"/>
                <w:color w:val="auto"/>
              </w:rPr>
              <w:t>Fueling Solutions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66,480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53,498</w:t>
            </w:r>
          </w:p>
        </w:tc>
      </w:tr>
      <w:tr>
        <w:trPr>
          <w:trHeight w:val="230"/>
        </w:trPr>
        <w:tc>
          <w:tcPr>
            <w:tcW w:w="8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Imaging &amp; Identification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51,482</w:t>
            </w:r>
          </w:p>
        </w:tc>
      </w:tr>
      <w:tr>
        <w:trPr>
          <w:trHeight w:val="229"/>
        </w:trPr>
        <w:tc>
          <w:tcPr>
            <w:tcW w:w="8080" w:type="dxa"/>
            <w:vAlign w:val="bottom"/>
          </w:tcPr>
          <w:p>
            <w:pPr>
              <w:ind w:left="460"/>
              <w:spacing w:after="0"/>
              <w:rPr>
                <w:sz w:val="20"/>
                <w:szCs w:val="20"/>
                <w:color w:val="auto"/>
              </w:rPr>
            </w:pPr>
            <w:r>
              <w:rPr>
                <w:rFonts w:ascii="Arial" w:cs="Arial" w:eastAsia="Arial" w:hAnsi="Arial"/>
                <w:sz w:val="18"/>
                <w:szCs w:val="18"/>
                <w:color w:val="auto"/>
              </w:rPr>
              <w:t>Pumps &amp; Process Solutions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123,645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66,079</w:t>
            </w:r>
          </w:p>
        </w:tc>
      </w:tr>
      <w:tr>
        <w:trPr>
          <w:trHeight w:val="229"/>
        </w:trPr>
        <w:tc>
          <w:tcPr>
            <w:tcW w:w="80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Refrigeration &amp; Food Equipment</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segment earnings (EBIT)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354,013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263,682</w:t>
            </w:r>
          </w:p>
        </w:tc>
      </w:tr>
      <w:tr>
        <w:trPr>
          <w:trHeight w:val="229"/>
        </w:trPr>
        <w:tc>
          <w:tcPr>
            <w:tcW w:w="8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24,097</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27,268</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289,250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213,500</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37,221</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232,769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176,279</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hanging="8"/>
        <w:spacing w:after="0"/>
        <w:tabs>
          <w:tab w:leader="none" w:pos="489"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Segment earnings (EBIT) includes non-operating income and expense directly attributable to the segments. Non-operating income and expense includes gain on sale of a business and other income, net.</w:t>
      </w:r>
    </w:p>
    <w:p>
      <w:pPr>
        <w:spacing w:after="0" w:line="1" w:lineRule="exact"/>
        <w:rPr>
          <w:rFonts w:ascii="Arial" w:cs="Arial" w:eastAsia="Arial" w:hAnsi="Arial"/>
          <w:sz w:val="19"/>
          <w:szCs w:val="19"/>
          <w:color w:val="auto"/>
          <w:vertAlign w:val="superscript"/>
        </w:rPr>
      </w:pPr>
    </w:p>
    <w:p>
      <w:pPr>
        <w:ind w:left="500" w:hanging="168"/>
        <w:spacing w:after="0" w:line="197" w:lineRule="auto"/>
        <w:tabs>
          <w:tab w:leader="none" w:pos="500"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The three months ended March 31, 2020 includes a $6,551 gain on the sale of AMS Chino.</w:t>
      </w:r>
    </w:p>
    <w:p>
      <w:pPr>
        <w:jc w:val="both"/>
        <w:ind w:left="340" w:right="20" w:hanging="8"/>
        <w:spacing w:after="0" w:line="224" w:lineRule="auto"/>
        <w:tabs>
          <w:tab w:leader="none" w:pos="50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overhead costs, deal related expenses and various administrative expenses relating to the corporate headquarters.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geography based on the location of the Company's customer:</w:t>
      </w:r>
    </w:p>
    <w:p>
      <w:pPr>
        <w:spacing w:after="0" w:line="46"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geography</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1,036,014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956,640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361,166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Asia</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154,275</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Americas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54,809</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1,867,901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1,655,939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18. Share Repurchases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2020, the Company's Board of Directors approved a new standing share repurchase authorization, whereby the Company may repurchase up to 20 million shares beginning on January 1, 2021 through December 31, 2023. This share repurchase authorization replaced the February 2018 share repurchase authorization.</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months ended March 31, 2021, the Company repurchased 182,951 shares of common stock at a total cost of $21,637, or $118.27 per share. During the three months ended March 31, 2020, the Company repurchased 548,659 shares of common stock at a total cost of $52,916, or $96.45.</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19,817,049 shares remain authorized for repurchase under the November 2020 share repurchase authorization.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19.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the information used in computing basic and diluted earnings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176,279</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8080" w:type="dxa"/>
            <w:vAlign w:val="bottom"/>
          </w:tcPr>
          <w:p>
            <w:pPr>
              <w:ind w:left="2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143,765,000</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144,259,000</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40"/>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4"/>
        </w:trPr>
        <w:tc>
          <w:tcPr>
            <w:tcW w:w="8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144,938,000</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145,782,000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is a reconciliation of the share amounts used in computing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143,765,000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144,259,000</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assumed exercise of SARs and vesting of performance shares and RSUs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1,173,000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1,523,000</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144,938,000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145,782,000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number of anti-dilutive potential common shares excluded from the calculation above were approximately 88,000 and 65,000 for the three months ended March 31, 2021 and 2020, respectively.</w:t>
      </w:r>
    </w:p>
    <w:p>
      <w:pPr>
        <w:spacing w:after="0" w:line="193" w:lineRule="exact"/>
        <w:rPr>
          <w:sz w:val="20"/>
          <w:szCs w:val="20"/>
          <w:color w:val="auto"/>
        </w:rPr>
      </w:pPr>
    </w:p>
    <w:p>
      <w:pPr>
        <w:ind w:right="8180" w:firstLine="8"/>
        <w:spacing w:after="0" w:line="641" w:lineRule="auto"/>
        <w:tabs>
          <w:tab w:leader="none" w:pos="270" w:val="left"/>
        </w:tabs>
        <w:numPr>
          <w:ilvl w:val="0"/>
          <w:numId w:val="13"/>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 xml:space="preserve">Recent Accounting Pronouncements </w:t>
      </w:r>
      <w:r>
        <w:rPr>
          <w:rFonts w:ascii="Arial" w:cs="Arial" w:eastAsia="Arial" w:hAnsi="Arial"/>
          <w:sz w:val="15"/>
          <w:szCs w:val="15"/>
          <w:b w:val="1"/>
          <w:bCs w:val="1"/>
          <w:color w:val="auto"/>
        </w:rPr>
        <w:t>Recently Issued Accounting Standards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The purpose of this update is to provide optional guidance for a limited time to ease the potential burden in accounting for (or recognizing the effects of) reference rate reform on financial reporting. The amendments provide optional expedients and exceptions for applying GAAP to contracts, hedging relationships, and other transactions affected by reference rate reform if certain criteria are met. The amendments in this update are elective and are effective upon issuance for all entities. Management is evaluating the impact of this ASU and does not expect this update to have a material impact on the Company's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21. Subsequent Event</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April 19, 2021, the Company completed the acquisition of AvaLAN Wireless Systems Incorporated ("AvaLAN"), a leading provider of highly-secure wireless and wired Ethernet solutions, managed routers, software-as-a-service and cloud-based services, for approximately $40.0 million. AvaLAN will be included in the Fueling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the section below entitled "Special Notes Regarding Forward-Looking Statements" for a discussion of factors that could cause our actual results to differ from the forward-looking statements contained below and throughout this quarterly report.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("MD&amp;A"), we refer to measures used by management to evaluate performance as well as liquidity, including a number of financial measures that are not defined under accounting principles generally accepted in the United States of America ("GAAP"). We believe these measures provide investors with important information that is useful in understanding our business results and trends. Explanations within this MD&amp;A provide more details on the use and derivation of these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Dover is a diversified global manufacturer and solutions provider delivering innovative equipment and components, consumable supplies, aftermarket parts, software and digital solutions, and support services through five operating segments: Engineered Products, Fueling Solutions, Imaging &amp; Identification, Pumps &amp; Process Solutions, and Refrigeration &amp; Food Equipment.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Dover's five operating segments are as follows:</w:t>
      </w:r>
    </w:p>
    <w:p>
      <w:pPr>
        <w:spacing w:after="0" w:line="252" w:lineRule="exact"/>
        <w:rPr>
          <w:sz w:val="20"/>
          <w:szCs w:val="20"/>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210"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w:t>
      </w:r>
    </w:p>
    <w:p>
      <w:pPr>
        <w:spacing w:after="0" w:line="19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Pumps &amp; Process Solutions segment manufactures specialty pumps, fluid handling components, plastics and polymer processing equipment, single use pumps, flow meters and connectors, and highly engineered components for rotating and reciprocating machines.</w:t>
      </w:r>
    </w:p>
    <w:p>
      <w:pPr>
        <w:spacing w:after="0" w:line="17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2021, revenue was $1.9 billion, which increased $212.0 million, or 12.8%, as compared to the first quarter of 2020. This was driven by an organic revenue growth of 8.8%, a favorable impact from foreign currency translation of 3.1%, and acquisition-related revenue growth of 1.2%. This increase was partially offset by a 0.3% impact due to dispositions.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8.8% organic revenue growth for the first quarter of 2021 was broad-based across our segments. The Pumps &amp; Process Solutions segment had organic revenue growth of 18.4% as a result of strength in biopharma pumps and connectors, and increased demand for industrial pumps and plastics &amp; polymer processing solutions, partially offset by a prolonged recovery in precision components. The Refrigeration &amp; Food Equipment segment posted organic revenue growth of 18.3% primarily driven by robust demand across key markets such as food retail, can-shaping equipment, and heat exchangers, while organic revenue declined for commercial foodservice equipment. The Imaging &amp; Identification segment experienced growth in organic revenue of 3.7% primarily driven by growth in marking &amp; coding equipment and consumables supported by increased demand for serialization and traceability software, partially offset by declines in our digital textile printing business caused by ongoing disruption in the apparel retail industry. The Fueling Solutions segment had organic revenue growth of 3.0% driven by sustained strength in retail fueling and improving demand in vehicle wash solutions. The Engineered Products segment had organic revenue growth of 2.3% primarily as a result of continued strength in vehicle services, industrial automation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aerospace and defense businesses, partially offset by a prolonged recovery in our industrial winch business and lower shipments in our waste handling business due to lower beginning backlog and supply chain constraints.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a geographic perspective, in the first quarter, organic revenue for the U.S., our largest market, increased 6.9%. Organic revenue in Asia and Europe grew 19.8% and 12.7%, respectively. This organic growth was due to improved market conditions since the prior year.</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Bookings were $2.3 billion for the three months ended March 31, 2021, an increase of $547.6 million, or 30.7% compared to the prior year comparable period. Included in this result was organic growth of 26.5%, a favorable impact from foreign currency translation of 3.0%, and acquisition-related bookings growth of 1.5%, partially offset by a 0.3% impact due to dispositions. Bookings grew organically in all five segments primarily as a result of strong demand and order intake in most end markets. Backlog as of March 31, 2021 was $2.2 billion, an increase from $1.6 billion in the prior year. See definition of bookings and backlog within "Segment Results of Operations".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Rightsizing charges of $4.2 million included restructuring costs of $6.4 million less other benefits of $2.3 million for the three months ended March 31, 2021. Restructuring expense and other rightsizing benefits were primarily a result of continued actions taken in response to lower demand during 2020, asset charges related to a product line exit, and broad-based operational efficiency initiatives focusing on footprint consolidation and IT centralization. Rightsizing benefits principally resulted from gain on sale of assets in the quarter.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global COVID-19 outbreak and associated countermeasures implemented by governments around the world, as well as increased business uncertainty, had an adverse impact on our financial results during 2020 through global shutdowns and supply chain and operational disruptions. We took a variety of actions during 2020 to help mitigate the financial impact, including executing temporary cost savings measures, reducing our capital spending, initiating restructuring actions and proactively managing our working capital. Activity in many of the end markets we serve sequentially improved as 2020 progressed, and this trend continued in the first quarter of 2021, although demand in certain businesses such as digital textile printing, food equipment and industrial winch is expected to take longer to recover with improvement expected in the second half of 2021.</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foremost focus has been on the health and safety of our employees throughout the pandemic and we will continue to maintain the safety protocols we established, including encouraging our associates to seek vaccination when eligible. Our core global manufacturing locations remained fully operational during the first quarter. As guidance from authorities such as the U.S. Centers for Disease Control and Prevention or World Health Organization evolves, we will update our practices accordingly, as we have done throughout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520"/>
        </w:trPr>
        <w:tc>
          <w:tcPr>
            <w:tcW w:w="382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(dollars in thousands, except per share data)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1,867,901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1,655,939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29"/>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and services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1,146,353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1,043,696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9.8 %</w:t>
            </w:r>
          </w:p>
        </w:tc>
      </w:tr>
      <w:tr>
        <w:trPr>
          <w:trHeight w:val="22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721,548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612,243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29"/>
        </w:trPr>
        <w:tc>
          <w:tcPr>
            <w:tcW w:w="6980" w:type="dxa"/>
            <w:vAlign w:val="bottom"/>
            <w:gridSpan w:val="2"/>
          </w:tcPr>
          <w:p>
            <w:pPr>
              <w:ind w:left="240"/>
              <w:spacing w:after="0"/>
              <w:rPr>
                <w:sz w:val="20"/>
                <w:szCs w:val="20"/>
                <w:color w:val="auto"/>
              </w:rPr>
            </w:pPr>
            <w:r>
              <w:rPr>
                <w:rFonts w:ascii="Arial" w:cs="Arial" w:eastAsia="Arial" w:hAnsi="Arial"/>
                <w:sz w:val="18"/>
                <w:szCs w:val="18"/>
                <w:i w:val="1"/>
                <w:iCs w:val="1"/>
                <w:color w:val="auto"/>
              </w:rPr>
              <w:t>Gross profit margin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38.6 %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37.0 %</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1.6</w:t>
            </w:r>
          </w:p>
        </w:tc>
      </w:tr>
      <w:tr>
        <w:trPr>
          <w:trHeight w:val="270"/>
        </w:trPr>
        <w:tc>
          <w:tcPr>
            <w:tcW w:w="698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408,998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386,941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6980" w:type="dxa"/>
            <w:vAlign w:val="bottom"/>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rPr>
              <w:t>Selling, general and administrative expenses as a percent of revenue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21.9 %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23.4 %</w:t>
            </w: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(1.5)</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Operating earnings</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312,550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225,302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26,823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27,268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a business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(6,551)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nm*</w:t>
            </w:r>
          </w:p>
        </w:tc>
      </w:tr>
      <w:tr>
        <w:trPr>
          <w:trHeight w:val="229"/>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(7,732)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nm*</w:t>
            </w:r>
          </w:p>
        </w:tc>
      </w:tr>
      <w:tr>
        <w:trPr>
          <w:trHeight w:val="22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289,250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213,500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35.5 %</w:t>
            </w: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56,481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37,221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51.7 %</w:t>
            </w:r>
          </w:p>
        </w:tc>
      </w:tr>
      <w:tr>
        <w:trPr>
          <w:trHeight w:val="229"/>
        </w:trPr>
        <w:tc>
          <w:tcPr>
            <w:tcW w:w="6980" w:type="dxa"/>
            <w:vAlign w:val="bottom"/>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19.5 %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17.4 %</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2.1</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232,769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176,279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32.0 %</w:t>
            </w: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 per common share -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33.1 %</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three months ended March 31, 2021 increased $212.0 million, or 12.8%, from the prior year comparable quarter. Results included an organic revenue growth of 8.8% primarily led by our Pumps &amp; Process Solutions and Refrigeration &amp; Food Equipment segments. Acquisition-related revenue growth of 1.2%, led by our Fueling Solutions and Imaging &amp; Identification segments, along with a favorable impact from foreign currency translation of 3.1%, was slightly offset by a 0.3% impact from a disposition within the Refrigeration &amp; Food Equipment segment. Customer pricing favorably impacted revenue by approximately 0.8% in the first quarter of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Gross profit for the three months ended March 31, 2021 increased $109.3 million, or 17.9%, and gross profit margin increased 160 basis points to 38.6%, from the prior year comparable quarter, due to organic revenue growth primarily driven by strong market conditions and improved demand, favorable operating leverage and product mix, and benefits from productivity and cost reduction actions, partially offset by increased material and logistics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expenses for the three months ended March 31, 2021 increased $22.1 million, or 5.7%, from the prior year comparable quarter, primarily due to adjustments to variable compensation to reflect current performance partially offset by a decrease in restructuring costs. As a percentage of revenue, selling, general and administrative expenses decreased 150 basis points to 21.9% due to an increase in the revenue base.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$41.2 million and $35.5 million for the three months ended March 31, 2021 and 2020, respectively. These costs as a percent of revenue were 2.2% and 2.1% for the three months ended March 31, 2021 and 2020, respectively.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 business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6, 2020, we sold the Chino, California branch of The AMS Group ("AMS Chino") within the Refrigeration &amp; Food Equipment segment for total consideration of $16.9 million. A gain of $6.6 million was recognized on this sale. The disposal did not represent a strategic shift in operations and, therefore, did not qualify for presentation as discontinued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three months ended March 31, 2021 decreased $4.9 million respectively from the prior year comparable period primarily due to foreign exchange losses from the remeasurement of foreign currency denominated balances.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effective tax rates for the three months ended March 31, 2021 and 2020 were 19.5% and 17.4%, respectively. The increase in the effective tax rate for the three months ended March 31, 2021 relative to the prior year comparable quarter was primarily driven by favorable audit settlements in the prior year. See Note 12 —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earnings for the three months ended March 31, 2021 increased 32.0% to $232.8 million, or $1.61 diluted earnings per share, from $176.3 million, or $1.21 diluted earnings per share, from the prior year comparable quarter. The increase in net earnings is mainly attributable to strong demand and robust recovery from prior year market conditions resulting in strong broad-based organic growth, favorable pricing initiatives and product mix, and benefits from productivity and restructuring actions.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Rightsizing Activities, which includes Restructuring and Other Costs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 months ended March 31, 2021, rightsizing activities included restructuring charges of $6.4 million and other benefits of $2.3 million. Restructuring expense was comprised primarily of new actions initiated in 2020 in response to lower demand conditions, asset charges related to a product line exit and broad-based operational efficiency initiatives focusing on footprint consolidation and IT centralization. Other benefits were comprised primarily of gain on sale of assets of $2.0 million and $1.3 million in our Pumps &amp; Process Solutions and Refrigeration &amp; Food Equipment segments, respectively, as a result of restructuring actions, partially offset by $1.0 million of restructuring related costs. These rightsizing charges were recorded in cost of goods and services and selling, general and administrative expenses in the Condensed Consolidated Statement of Earnings. Additional programs beyond the scope of the announced programs may be implemented during 2021 with related restructuring charges.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rightsizing costs for the three months ended March 31,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center"/>
              <w:ind w:left="359"/>
              <w:spacing w:after="0"/>
              <w:rPr>
                <w:sz w:val="20"/>
                <w:szCs w:val="20"/>
                <w:color w:val="auto"/>
              </w:rPr>
            </w:pPr>
            <w:r>
              <w:rPr>
                <w:rFonts w:ascii="Arial" w:cs="Arial" w:eastAsia="Arial" w:hAnsi="Arial"/>
                <w:sz w:val="16"/>
                <w:szCs w:val="16"/>
                <w:b w:val="1"/>
                <w:bCs w:val="1"/>
                <w:color w:val="auto"/>
                <w:w w:val="93"/>
              </w:rPr>
              <w:t>Three Months Ended March 31, 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rPr>
              <w:t>Refrigeration &amp;</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3"/>
              </w:rPr>
              <w:t>Process</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Food Equipment</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center"/>
              <w:ind w:left="279"/>
              <w:spacing w:after="0"/>
              <w:rPr>
                <w:sz w:val="20"/>
                <w:szCs w:val="20"/>
                <w:color w:val="auto"/>
              </w:rPr>
            </w:pPr>
            <w:r>
              <w:rPr>
                <w:rFonts w:ascii="Arial" w:cs="Arial" w:eastAsia="Arial" w:hAnsi="Arial"/>
                <w:sz w:val="16"/>
                <w:szCs w:val="16"/>
                <w:color w:val="auto"/>
                <w:w w:val="94"/>
              </w:rPr>
              <w:t>6,435</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w w:val="94"/>
              </w:rPr>
              <w:t>(2,273)</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center"/>
              <w:ind w:left="279"/>
              <w:spacing w:after="0"/>
              <w:rPr>
                <w:sz w:val="20"/>
                <w:szCs w:val="20"/>
                <w:color w:val="auto"/>
              </w:rPr>
            </w:pPr>
            <w:r>
              <w:rPr>
                <w:rFonts w:ascii="Arial" w:cs="Arial" w:eastAsia="Arial" w:hAnsi="Arial"/>
                <w:sz w:val="16"/>
                <w:szCs w:val="16"/>
                <w:color w:val="auto"/>
                <w:w w:val="94"/>
              </w:rPr>
              <w:t>4,162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2020, rightsizing activities included restructuring charges of $7.3 million and other costs of $0.5 million. Restructuring expense was comprised primarily of broad-based selling, general and administrative expense reduction initiatives and broad-based operational efficiency initiatives focusing on footprint consolidations, operational optimization and IT centralization designed to increase operating margin, enhance operations and position the Company for sustained growth and investment. Other costs were comprised primarily of other charges related to the restructuring actions. These rightsizing charges were recorded in cost of goods and services and selling, general and administrative expenses in the Condensed Consolidated Statement of Earnings.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rightsizing costs for the three months ended March 31, 2020:</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4" w:name="page25"/>
    <w:bookmarkEnd w:id="2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center"/>
              <w:ind w:left="259"/>
              <w:spacing w:after="0"/>
              <w:rPr>
                <w:sz w:val="20"/>
                <w:szCs w:val="20"/>
                <w:color w:val="auto"/>
              </w:rPr>
            </w:pPr>
            <w:r>
              <w:rPr>
                <w:rFonts w:ascii="Arial" w:cs="Arial" w:eastAsia="Arial" w:hAnsi="Arial"/>
                <w:sz w:val="16"/>
                <w:szCs w:val="16"/>
                <w:b w:val="1"/>
                <w:bCs w:val="1"/>
                <w:color w:val="auto"/>
                <w:w w:val="93"/>
              </w:rPr>
              <w:t>Three Months Ended March 31, 2020</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Engineered</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Fueling</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Pumps &amp;</w:t>
            </w: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rPr>
              <w:t>Refrigeration &amp;</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3"/>
              </w:rPr>
              <w:t>Process</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Products</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Solutions</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Food Equipment</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7,341</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Other costs (benefits),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34"/>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summary that follows provides a discussion of the results of operations of each of our five reportable operating segments (Engineered Products, Fueling Solutions, Imaging &amp; Identification, Pumps &amp; Process Solutions, and Refrigeration &amp; Food Equipment). Each of these segments is comprised of various product and service offerings that serve multiple markets. See Note 17 — Segment Information in the Condensed Consolidated Financial Statements in Item 1 of this Form 10-Q for a reconciliation of segment revenue and earnings to our consolidated revenue and net earnings. For further information, see "Non-GAAP Disclosures" at the end of this Item 2.</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198" w:lineRule="exact"/>
        <w:rPr>
          <w:sz w:val="20"/>
          <w:szCs w:val="20"/>
          <w:color w:val="auto"/>
        </w:rPr>
      </w:pPr>
    </w:p>
    <w:p>
      <w:pPr>
        <w:ind w:left="660" w:right="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Bookings represent total orders received from customers in the current reporting period. This metric is an important measure of performance and an indicator of revenue order trends.</w:t>
      </w:r>
    </w:p>
    <w:p>
      <w:pPr>
        <w:spacing w:after="0" w:line="197"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Organic bookings represent total orders received from customers in the current reporting period excluding the impact of foreign currency exchange rates and the impact of acquisitions and dispositions. This metric is an important measure of performance and an indicator of revenue order trends.</w:t>
      </w:r>
    </w:p>
    <w:p>
      <w:pPr>
        <w:spacing w:after="0" w:line="20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Backlog represents an estimate of the total remaining bookings at a point in time for which performance obligations have not yet been satisfied. This metric is useful as it represents the aggregate amount we expect to recognize as revenue in the future.</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Products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6"/>
          </w:tcPr>
          <w:p>
            <w:pPr>
              <w:jc w:val="right"/>
              <w:ind w:right="8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428,127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408,160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16"/>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 (EBIT)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68,779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69,094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14,047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10,122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38.8 %</w:t>
            </w: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82,826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79,216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16"/>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6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528,310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414,972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27.3 %</w:t>
            </w:r>
          </w:p>
        </w:tc>
      </w:tr>
      <w:tr>
        <w:trPr>
          <w:trHeight w:val="230"/>
        </w:trPr>
        <w:tc>
          <w:tcPr>
            <w:tcW w:w="6840" w:type="dxa"/>
            <w:vAlign w:val="bottom"/>
          </w:tcPr>
          <w:p>
            <w:pPr>
              <w:ind w:left="360"/>
              <w:spacing w:after="0"/>
              <w:rPr>
                <w:sz w:val="20"/>
                <w:szCs w:val="20"/>
                <w:color w:val="auto"/>
              </w:rPr>
            </w:pPr>
            <w:r>
              <w:rPr>
                <w:rFonts w:ascii="Arial" w:cs="Arial" w:eastAsia="Arial" w:hAnsi="Arial"/>
                <w:sz w:val="18"/>
                <w:szCs w:val="18"/>
                <w:color w:val="auto"/>
              </w:rPr>
              <w:t>Backlog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562,557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453,867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23.9 %</w:t>
            </w:r>
          </w:p>
        </w:tc>
      </w:tr>
      <w:tr>
        <w:trPr>
          <w:trHeight w:val="216"/>
        </w:trPr>
        <w:tc>
          <w:tcPr>
            <w:tcW w:w="6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684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3"/>
        </w:trPr>
        <w:tc>
          <w:tcPr>
            <w:tcW w:w="6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r>
      <w:tr>
        <w:trPr>
          <w:trHeight w:val="21"/>
        </w:trPr>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2021 Compared to the First Quarter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Engineered Products segment revenue for the first quarter of 2021 increased $20.0 million, or 4.9%, as compared to the first quarter of 2020, comprised of organic growth of 2.3%, a favorable impact from foreign currency translation of 2.3% and acquisition-related growth of 0.3%. Acquisition-related growth was driven by the acquisition of So. Cal. Soft-Pak ("Soft-Pak") in the first quarter of 2020. Customer pricing favorably impacted revenue by approximately 0.6% in the first quarter.</w:t>
      </w:r>
    </w:p>
    <w:p>
      <w:pPr>
        <w:spacing w:after="0" w:line="2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organic revenue growth was most notable in our vehicle service, industrial automation, and aerospace and defense businesses. Our industrial winch and hoist business declined in the quarter due to a prolonged recovery in its end-markets, however the trajectory has sequentially improved from the second half of 2020. Our waste handling business also experienced organic revenue decline compared to the prior year quarter, driven by lower backlog at the beginning of the quarter and supply chain constraints delaying shipments.</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Engineered Products segment earnings decreased $0.3 million, or 0.5%, compared to the first quarter of 2020. The decrease was primarily driven by increased rightsizing costs and material and logistics cost inflation, comprised of increased steel and freight costs, which more than offset higher earnings due to conversion on increased revenues and the benefits from productivity and rightsizing actions. Segment operating margin decreased 80 basis points to 16.1% from 16.9% as compared to the prior year quarter.</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Bookings increased 27.3% for the segment, comprised of organic growth of 24.8%, a favorable impact from foreign currency translation of 2.2%, and acquisition-related growth of 0.4%. The organic bookings growth was broad-based, most notably in our waste handling, vehicle service, industrial automation and aerospace and defense businesses. Segment book-to-bill was 1.23. Backlog increased 23.9% compared to the prior year comparable quarter.</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Fueling Solutions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6"/>
          </w:tcPr>
          <w:p>
            <w:pPr>
              <w:jc w:val="right"/>
              <w:ind w:right="8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389,678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359,982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16"/>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66,480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53,498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r>
      <w:tr>
        <w:trPr>
          <w:trHeight w:val="22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19,269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18,339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5.1 %</w:t>
            </w: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85,749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71,837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r>
      <w:tr>
        <w:trPr>
          <w:trHeight w:val="216"/>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6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422,668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373,070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29"/>
        </w:trPr>
        <w:tc>
          <w:tcPr>
            <w:tcW w:w="6840" w:type="dxa"/>
            <w:vAlign w:val="bottom"/>
          </w:tcPr>
          <w:p>
            <w:pPr>
              <w:ind w:left="360"/>
              <w:spacing w:after="0"/>
              <w:rPr>
                <w:sz w:val="20"/>
                <w:szCs w:val="20"/>
                <w:color w:val="auto"/>
              </w:rPr>
            </w:pPr>
            <w:r>
              <w:rPr>
                <w:rFonts w:ascii="Arial" w:cs="Arial" w:eastAsia="Arial" w:hAnsi="Arial"/>
                <w:sz w:val="18"/>
                <w:szCs w:val="18"/>
                <w:color w:val="auto"/>
              </w:rPr>
              <w:t>Backlog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238,822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211,518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16"/>
        </w:trPr>
        <w:tc>
          <w:tcPr>
            <w:tcW w:w="6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684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3"/>
        </w:trPr>
        <w:tc>
          <w:tcPr>
            <w:tcW w:w="6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8.2 %</w:t>
            </w:r>
          </w:p>
        </w:tc>
      </w:tr>
      <w:tr>
        <w:trPr>
          <w:trHeight w:val="20"/>
        </w:trPr>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2021 Compared to the First Quarter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Fueling Solutions segment revenue for the first quarter of 2021 increased $29.7 million, or 8.2%, as compared to the first quarter of 2020, comprised of organic growth of 3.0%, acquisition-related growth of 2.6%, and a favorable impact from foreign currency translation of 2.6%. Acquisition-related growth was driven by the acquisition of Innovative Control Systems, Inc. (“ICS”). Customer pricing favorably impacted revenue by approximately 1.2% in the first quarter.</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revenue growth for the Fueling Solutions segment was principally driven by strong demand in North American retail fueling, the European systems &amp; software business, and growth in vehicle wash solutions. Market conditions improved in Europe and remained subdued in Asia and South America. Demand continued to be strong for Europay, Mastercard, and Visa ("EMV")-compliant equipment ahead of the anticipated compliance deadline for the new payment technology standard in the second quarter of 2021, however we do expect demand to taper through 2021 as the market moves past the compliance deadline.</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Fueling Solutions segment earnings increased $13.0 million, or 24.3%, over the prior year comparable quarter. The increase was primarily driven by conversion on organic revenue growth, pricing initiatives, productivity actions and selling, general and administrative cost reductions, favorable geographic and product mix, and a favorable impact from acquisitions. Segment margin increased to 17.1% from 14.9% in the prior year quarter.</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bookings increased 13.3% as compared to the prior year comparable quarter, driven by organic growth of 7.3%, acquisition-related growth of 3.1% and a favorable impact from foreign currency translation of 2.9%. Organic bookings growth was primarily driven by strong demand in North American retail fueling and vehicle wash solutions. Segment book to bill was 1.08. Backlog increased 12.9% as compared to the prior year comparable quarter primarily driven by strong first quarter order intake.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&amp; Identification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6"/>
          </w:tcPr>
          <w:p>
            <w:pPr>
              <w:jc w:val="right"/>
              <w:ind w:right="89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284,328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256,765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16"/>
        </w:trPr>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56,992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51,482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8,769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9.4 %</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66,585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60,251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16"/>
        </w:trPr>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293,614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272,604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Backlog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198,556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170,119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16.7 %</w:t>
            </w:r>
          </w:p>
        </w:tc>
      </w:tr>
      <w:tr>
        <w:trPr>
          <w:trHeight w:val="216"/>
        </w:trPr>
        <w:tc>
          <w:tcPr>
            <w:tcW w:w="6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3"/>
        </w:trPr>
        <w:tc>
          <w:tcPr>
            <w:tcW w:w="6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10.7 %</w:t>
            </w:r>
          </w:p>
        </w:tc>
      </w:tr>
      <w:tr>
        <w:trPr>
          <w:trHeight w:val="20"/>
        </w:trPr>
        <w:tc>
          <w:tcPr>
            <w:tcW w:w="6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2021 Compared to the First Quarter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Imaging &amp; Identification segment revenue for the first quarter of 2021 increased $27.6 million, or 10.7%, as compared to the first quarter of 2020, comprised of organic growth of 3.7%, a favorable impact from foreign currency translation of 4.6%, and acquisition-related growth of 2.4%. Acquisition-related growth was driven by the acquisition of Sys-Tech Solutions, Inc. ("Systech") in the first quarter of 2020 and Solaris Laser S.A. ("Solaris") in the third quarter of 2020. Customer pricing favorably impacted revenue by approximately 0.9% in the first quarter.</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Organic revenue growth was primarily driven by our marking and coding business, which delivered strong growth in new equipment and associated services, as well as serialization software sales. Our digital textile printing business saw organic declines in the first quarter as textile printing activity remained restrained in the global retail industry due to COVID-19. We expect a resumption in digital textile printing activity and increased demand for our products as effects subside and apparel demand normalizes. We believe we remain favorably positioned to gain from a longer-term transition from analog to digital printing by our customers, and believe some business model shifts within the industry driven by the COVID-19 pandemic may accelerate our customers’ need to shift from analog to digital printing.</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Imaging &amp; Identification segment earnings increased $5.5 million, or 10.7%, over the prior year comparable quarter. This increase was primarily driven by conversion on increased revenue and the benefits from productivity initiatives and cost reduction actions. Segment margin decreased to 20.0% from 20.1% in the prior year comparable quarter.</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Overall bookings increased 7.7% as compared to the prior year comparable quarter, reflecting organic growth of 0.1%, a favorable impact from foreign currency translation of 4.0% and acquisition-related growth of 3.6%. Segment book to bill was 1.03. Backlog increased 16.7% as compared to the prior year quarter driven by the inclusion of backlog from the Systech and Solaris acquisitions, and increased order intake in our marking and coding business.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Pumps &amp; Process Solutions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Pumps &amp; Process Solutions segment manufactures specialty pumps, fluid handling components, plastics and polymer processing equipment, single use pumps, flow meters and connectors, and highly engineered components for rotating and reciprocating machines.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6"/>
          </w:tcPr>
          <w:p>
            <w:pPr>
              <w:jc w:val="right"/>
              <w:ind w:right="89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394,377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319,536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r>
      <w:tr>
        <w:trPr>
          <w:trHeight w:val="216"/>
        </w:trPr>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123,645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66,079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87.1 %</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16,926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18,336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140,571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84,415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66.5 %</w:t>
            </w:r>
          </w:p>
        </w:tc>
      </w:tr>
      <w:tr>
        <w:trPr>
          <w:trHeight w:val="216"/>
        </w:trPr>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551,365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369,403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49.3 %</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Backlog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539,097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397,969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35.5 %</w:t>
            </w:r>
          </w:p>
        </w:tc>
      </w:tr>
      <w:tr>
        <w:trPr>
          <w:trHeight w:val="216"/>
        </w:trPr>
        <w:tc>
          <w:tcPr>
            <w:tcW w:w="6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3"/>
        </w:trPr>
        <w:tc>
          <w:tcPr>
            <w:tcW w:w="6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23.4 %</w:t>
            </w:r>
          </w:p>
        </w:tc>
      </w:tr>
      <w:tr>
        <w:trPr>
          <w:trHeight w:val="20"/>
        </w:trPr>
        <w:tc>
          <w:tcPr>
            <w:tcW w:w="6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2021 Compared to the First Quarter 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Pumps &amp; Process Solutions segment revenue for the first quarter of 2021 increased $74.8 million, or 23.4%, as compared to the first quarter of 2020, comprised of organic growth of 18.4%, a favorable impact from foreign currency translation of 3.7%, and acquisition-related growth of 1.3%. Acquisition-related growth was primarily driven by the acquisition of Em-tec GmbH ("Em-tec"). Customer pricing favorably impacted revenue by approximately 1.0% in the first quarter.</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revenue growth was principally driven by strong performance in the biopharma and hygienic markets, where we continue to see strong demand for single use pumps and connectors used in biological production processes. We expect this positive trajectory to carry into the next quarter and beyond. Additionally, we saw increased demand for industrial pumps and plastics &amp; polymer processing solutions in the first quarter. These tailwinds were partially offset by reduced year over year revenues in bearings &amp; compression components markets, which are facing prolonged recovery in some of their end-markets and are expected to show improvement in the second half of the year.</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Pumps &amp; Process Solutions segment earnings increased $57.6 million, or 87.1%, over the prior year comparable quarter. The increase was primarily driven by strong conversion on organic revenue growth, product mix, pricing initiatives, productivity actions and the benefits from prior restructuring programs. Segment margin increased to 31.4% from 20.7% from the prior year comparable quarter.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bookings increased 49.3% as compared to the prior year comparable quarter, reflecting organic growth of 44.0%, a favorable impact from foreign currency translation of 4.2%, and acquisition-related growth of 1.1%. Organic bookings growth was primarily driven by the significant growth in the biopharma and hygienic pumps and connectors, as well as strong order intake in industrial pumps and plastics &amp; polymer processing solutions. Segment book to bill was 1.40. Backlog increased 35.5% compared to the prior year comparable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Refrigeration &amp; Food Equipment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6"/>
          </w:tcPr>
          <w:p>
            <w:pPr>
              <w:jc w:val="right"/>
              <w:ind w:right="8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372,077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311,913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16"/>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6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earnings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38,117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23,529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62.0 %</w:t>
            </w:r>
          </w:p>
        </w:tc>
      </w:tr>
      <w:tr>
        <w:trPr>
          <w:trHeight w:val="22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12,096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11,548</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4.7 %</w:t>
            </w:r>
          </w:p>
        </w:tc>
      </w:tr>
      <w:tr>
        <w:trPr>
          <w:trHeight w:val="223"/>
        </w:trPr>
        <w:tc>
          <w:tcPr>
            <w:tcW w:w="68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Segment EBITDA</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50,213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35,077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43.2 %</w:t>
            </w:r>
          </w:p>
        </w:tc>
      </w:tr>
      <w:tr>
        <w:trPr>
          <w:trHeight w:val="216"/>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6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margin</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6840" w:type="dxa"/>
            <w:vAlign w:val="bottom"/>
          </w:tcPr>
          <w:p>
            <w:pPr>
              <w:ind w:left="20"/>
              <w:spacing w:after="0" w:line="230" w:lineRule="exact"/>
              <w:rPr>
                <w:sz w:val="20"/>
                <w:szCs w:val="20"/>
                <w:color w:val="auto"/>
              </w:rPr>
            </w:pPr>
            <w:r>
              <w:rPr>
                <w:rFonts w:ascii="Arial" w:cs="Arial" w:eastAsia="Arial" w:hAnsi="Arial"/>
                <w:sz w:val="18"/>
                <w:szCs w:val="18"/>
                <w:color w:val="auto"/>
              </w:rPr>
              <w:t>Segment EBITDA margin</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6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537,326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355,157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51.3 %</w:t>
            </w:r>
          </w:p>
        </w:tc>
      </w:tr>
      <w:tr>
        <w:trPr>
          <w:trHeight w:val="230"/>
        </w:trPr>
        <w:tc>
          <w:tcPr>
            <w:tcW w:w="6840" w:type="dxa"/>
            <w:vAlign w:val="bottom"/>
          </w:tcPr>
          <w:p>
            <w:pPr>
              <w:ind w:left="360"/>
              <w:spacing w:after="0"/>
              <w:rPr>
                <w:sz w:val="20"/>
                <w:szCs w:val="20"/>
                <w:color w:val="auto"/>
              </w:rPr>
            </w:pPr>
            <w:r>
              <w:rPr>
                <w:rFonts w:ascii="Arial" w:cs="Arial" w:eastAsia="Arial" w:hAnsi="Arial"/>
                <w:sz w:val="18"/>
                <w:szCs w:val="18"/>
                <w:color w:val="auto"/>
              </w:rPr>
              <w:t>Backlog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677,309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356,133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90.2 %</w:t>
            </w:r>
          </w:p>
        </w:tc>
      </w:tr>
      <w:tr>
        <w:trPr>
          <w:trHeight w:val="216"/>
        </w:trPr>
        <w:tc>
          <w:tcPr>
            <w:tcW w:w="6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Components of revenue growth:</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29"/>
        </w:trPr>
        <w:tc>
          <w:tcPr>
            <w:tcW w:w="6840" w:type="dxa"/>
            <w:vAlign w:val="bottom"/>
          </w:tcPr>
          <w:p>
            <w:pPr>
              <w:ind w:left="360"/>
              <w:spacing w:after="0"/>
              <w:rPr>
                <w:sz w:val="20"/>
                <w:szCs w:val="20"/>
                <w:color w:val="auto"/>
              </w:rPr>
            </w:pPr>
            <w:r>
              <w:rPr>
                <w:rFonts w:ascii="Arial" w:cs="Arial" w:eastAsia="Arial" w:hAnsi="Arial"/>
                <w:sz w:val="18"/>
                <w:szCs w:val="18"/>
                <w:color w:val="auto"/>
              </w:rPr>
              <w:t>Dispositions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3"/>
        </w:trPr>
        <w:tc>
          <w:tcPr>
            <w:tcW w:w="6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19.3 %</w:t>
            </w:r>
          </w:p>
        </w:tc>
      </w:tr>
      <w:tr>
        <w:trPr>
          <w:trHeight w:val="20"/>
        </w:trPr>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500" w:hanging="168"/>
        <w:spacing w:after="0"/>
        <w:tabs>
          <w:tab w:leader="none" w:pos="500"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Segment earnings (EBIT) and Segment EBITDA for the three months ended March 31, 2020 include a $6,551 gain on the sale of AMS Chino.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2021 Compared to the First Quarter 2020</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Refrigeration &amp; Food Equipment segment revenue increased $60.2 million, or 19.3%, as compared to the first quarter of 2020, reflecting organic revenue growth of 18.3% and a favorable impact from foreign currency translation of 2.6%, partially offset by a 1.6% impact from the disposition of AMS Chino. Customer pricing favorably impacted revenue by approximately 0.3% in the first quarter.</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organic revenue growth was principally driven by robust growth in several of our key end markets. Retail refrigeration experienced strong growth across all product lines, driven by a broad-based increase in customer store renovation and remodel programs, as well as new product roll-outs and customer wins. Additionally, regulations requiring more environmentally friendly refrigerants drove strong growth for natural refrigerant systems in both Europe and the U.S. Can-shaping equipment revenues more than doubled from prior year, driven by COVID-19 impacts resulting in more at-home beverage consumption as well as continued macro trends for beverage producers to shift from plastic and glass packaging to aluminum containers for environmental reasons. Our heat exchanger business experienced healthy growth as well, fueled by regulation-driven heat pump demand in Europe and strengthening HVAC markets on a global basis. Commercial foodservice equipment revenues declined from prior year, but experienced improving demand throughout the quarter particularly from quick service restaurant chain customers, while institutional customer demand remained subdued. We expect near-term foodservice equipment demand to remain soft, but improve sequentially throughout the year as a successful rollout of the COVID-19 vaccine will facilitate for key school, institutional and event venue customers to re-open.</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Refrigeration &amp; Food Equipment segment earnings increased $14.6 million, or 62.0%, as compared to the first quarter of 2020. Segment margin increased to 10.2% from 7.5% in the prior year comparable quarter. The earnings increase was driven by leverage on increased volumes, improved operational efficiencies and benefits from prior restructuring and productivity programs, partially offset by increased material costs, most notably metals, and a prior year gain on the sale of AMS Chino.</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Bookings in the first quarter of 2021 increased 51.3% from the prior year comparable quarter, reflecting organic growth of 50.7% and a favorable impact from foreign currency translation of 2.3%, partially offset by a 1.7% impact from the disposition of AMS Chino. The organic bookings growth was principally driven by increased project activity for can-shaping equipment,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broad-based supermarket remodel programs in retail refrigeration products and strong global demand for brazed plate heat exchangers. Segment book to bill for the first quarter of 2021 was 1.44. Backlog increased 90.2% over the prior year comparable quarter, reflective of the improving outlook across several key end-markets, most notably can-shaping equipment, retail refrigeration, and heat exchangers.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repurchases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 Summary</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160" w:type="dxa"/>
            <w:vAlign w:val="bottom"/>
          </w:tcPr>
          <w:p>
            <w:pPr>
              <w:spacing w:after="0"/>
              <w:rPr>
                <w:sz w:val="20"/>
                <w:szCs w:val="20"/>
                <w:color w:val="auto"/>
              </w:rPr>
            </w:pPr>
            <w:r>
              <w:rPr>
                <w:rFonts w:ascii="Arial" w:cs="Arial" w:eastAsia="Arial" w:hAnsi="Arial"/>
                <w:sz w:val="18"/>
                <w:szCs w:val="18"/>
                <w:color w:val="auto"/>
                <w:w w:val="97"/>
              </w:rPr>
              <w:t>The following table is derived from our Condensed Consolidated Statements of Cash Flows:</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6"/>
        </w:trPr>
        <w:tc>
          <w:tcPr>
            <w:tcW w:w="71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i w:val="1"/>
                <w:iCs w:val="1"/>
                <w:color w:val="auto"/>
              </w:rPr>
              <w:t>(dollars in thousands)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177,184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75,863</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(230,511)</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(124,239)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280,954</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Cash provided by operating activities for the three months ended March 31, 2021 increased approximately $101.3 million compared to the comparable period in 2020. This increase was primarily driven by higher net earnings, excluding the impact of depreciation, amortization and gain on sale of a business as well as lower compensation payouts in 2021 compared to 2020.</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Working Capital: </w:t>
      </w:r>
      <w:r>
        <w:rPr>
          <w:rFonts w:ascii="Arial" w:cs="Arial" w:eastAsia="Arial" w:hAnsi="Arial"/>
          <w:sz w:val="18"/>
          <w:szCs w:val="18"/>
          <w:color w:val="auto"/>
        </w:rPr>
        <w:t>We believe adjusted working capital (a non-GAAP measure calculated as accounts receivable, plus inventory, less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provides a meaningful measure of our operational results by showing changes caused solely by revenue. The following table provides a reconciliation of adjusted working capital to the most directly comparable GAAP measure: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Working Capital </w:t>
            </w:r>
            <w:r>
              <w:rPr>
                <w:rFonts w:ascii="Arial" w:cs="Arial" w:eastAsia="Arial" w:hAnsi="Arial"/>
                <w:sz w:val="18"/>
                <w:szCs w:val="18"/>
                <w:i w:val="1"/>
                <w:iCs w:val="1"/>
                <w:color w:val="auto"/>
              </w:rPr>
              <w:t>(dollars in thousands)</w:t>
            </w: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1,240,516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1,137,223</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900,607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835,804</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Accounts payable</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853,942</w:t>
            </w:r>
          </w:p>
        </w:tc>
      </w:tr>
      <w:tr>
        <w:trPr>
          <w:trHeight w:val="224"/>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Adjusted working capital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1,230,049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1,119,085</w:t>
            </w:r>
          </w:p>
        </w:tc>
      </w:tr>
    </w:tbl>
    <w:p>
      <w:pPr>
        <w:spacing w:after="0" w:line="3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Adjusted working capital increased from December 31, 2020 by $111.0 million, or 9.9%, to $1.2 billion at March 31, 2021, which reflected an increase of $103.3 million in accounts receivable and $64.8 million in inventory, partially offset by an increase in accounts payable of $57.1 million. These amounts include the effects of acquisitions, dispositions and foreign currency translation. Accounts receivable increased compared to the prior year as a result of higher revenue. Inventories increased to meet higher backlog which also drove an increase in accounts payable.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facilitate the opportunity for suppliers to participate in voluntary supply chain financing (“SCF”) programs with participating financial institutions. Participating suppliers have the ability to sell receivables due from us to SCF financial institutions at the discretion of both the suppliers and the SCF financial institutions, at no economic impact to the Company. The Company and our suppliers agree on commercial terms, including payment terms, for the goods and services we procure regardless of whether the supplier participates in SCF. For participating suppliers, our responsibility is limited to making all payments to the SCF financial institutions on the terms originally negotiated with the supplier, irrespective of whether the supplier elects to sell receivables to the SCF financial institution. The SCF financial institution pays the supplier on the invoice due date for any invoices that were not previously sold by the supplier to the SCF financial institution. Thus, suppliers using SCF have additional potential flexibility in managing their liquidity by accelerating, at their option and cost, collection of receivables due from Dover.</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Outstanding payments related to SCF programs are recorded within accounts payable in our consolidated balance sheets. As of March 31, 2021 and December 31, 2020, amounts due to financial institutions for suppliers using SCF were approximately $160 million and $139 million, respectively. SCF related payments are classified as a reduction to cash flows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operations. During the three months ended March 31, 2021 and 2020 amounts paid to SCF financial institutions were approximately $108 million and $150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from investing activities is derived from cash outflows for capital expenditures and acquisitions, offset by proceeds from sales of businesses and property, plant and equipment. For the three months ended March 31, 2021 and 2020, we used cash in investing activities of $29.6 million and $230.5 million, respectively, driven mainly by the following factors:</w:t>
      </w:r>
    </w:p>
    <w:p>
      <w:pPr>
        <w:spacing w:after="0" w:line="211" w:lineRule="exact"/>
        <w:rPr>
          <w:sz w:val="20"/>
          <w:szCs w:val="20"/>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There were no acquisitions during the three months ended March 31, 2021. During the three months ended March 31, 2020, we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Systech and Soft-Pak within the Imaging &amp; Identification and Engineered Products segments, respectively, for $208.4 million, net of cash acquired.</w:t>
      </w:r>
    </w:p>
    <w:p>
      <w:pPr>
        <w:spacing w:after="0" w:line="210" w:lineRule="exact"/>
        <w:rPr>
          <w:rFonts w:ascii="Arial" w:cs="Arial" w:eastAsia="Arial" w:hAnsi="Arial"/>
          <w:sz w:val="18"/>
          <w:szCs w:val="18"/>
          <w:i w:val="1"/>
          <w:iCs w:val="1"/>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Capital spending: </w:t>
      </w:r>
      <w:r>
        <w:rPr>
          <w:rFonts w:ascii="Arial" w:cs="Arial" w:eastAsia="Arial" w:hAnsi="Arial"/>
          <w:sz w:val="18"/>
          <w:szCs w:val="18"/>
          <w:color w:val="auto"/>
        </w:rPr>
        <w:t>Our capital expenditures decreased $8.9 million during the three months ended March 31, 2021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The decrease is primarily due to the completion of large projects in the prior year. We expect full year 2021 capital expenditures to be approximately $175-$200 million.</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sale of businesses: </w:t>
      </w:r>
      <w:r>
        <w:rPr>
          <w:rFonts w:ascii="Arial" w:cs="Arial" w:eastAsia="Arial" w:hAnsi="Arial"/>
          <w:sz w:val="18"/>
          <w:szCs w:val="18"/>
          <w:color w:val="auto"/>
        </w:rPr>
        <w:t>There were no proceeds from the sale of businesses during the three months ended March 31, 2021.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we received proceeds of $16.9 million from the sale of AMS Chino within the Refrigeration &amp; Food Equipment segment.</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anticipate that capital expenditures and any acquisitions we make through the remainder of 2021 will be funded from available cash and internally generated funds and through the issuance of commercial paper, use of lines of credit or public or private debt markets, as necessary.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flow from financing activities generally relates to the use of cash for purchases of our common stock and payment of dividends, offset by net borrowing activity. For the three months ended March 31, 2021 and 2020, we used cash totaling $124.2 million and generated cash totaling $281.0 million, respectively, for financing activities, with the activity primarily attributable to the following:</w:t>
      </w:r>
    </w:p>
    <w:p>
      <w:pPr>
        <w:spacing w:after="0" w:line="211" w:lineRule="exact"/>
        <w:rPr>
          <w:sz w:val="20"/>
          <w:szCs w:val="20"/>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Repurchase of common stock: </w:t>
      </w:r>
      <w:r>
        <w:rPr>
          <w:rFonts w:ascii="Arial" w:cs="Arial" w:eastAsia="Arial" w:hAnsi="Arial"/>
          <w:sz w:val="18"/>
          <w:szCs w:val="18"/>
          <w:color w:val="auto"/>
        </w:rPr>
        <w:t>During the three months ended March 31, 2021, we used $21.6 million to repurchase 182,951 shares.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we used $52.9 million to repurchase 548,659 shares.</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Long-term debt, commercial paper and notes payable: </w:t>
      </w:r>
      <w:r>
        <w:rPr>
          <w:rFonts w:ascii="Arial" w:cs="Arial" w:eastAsia="Arial" w:hAnsi="Arial"/>
          <w:sz w:val="18"/>
          <w:szCs w:val="18"/>
          <w:color w:val="auto"/>
        </w:rPr>
        <w:t>During the three months ended March 31, 2021, we did not borrow or have proceeds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debt, commercial paper and notes payable. During the three months ended March 31, 2020, we borrowed $500 million under the $1.0 billion five-year unsecured revolving credit facility ("Credit Agreement"). Proceeds from the borrowing were used to repay all of the Company's outstanding commercial paper and for general corporate purposes.</w:t>
      </w:r>
    </w:p>
    <w:p>
      <w:pPr>
        <w:spacing w:after="0" w:line="213" w:lineRule="exact"/>
        <w:rPr>
          <w:rFonts w:ascii="Arial" w:cs="Arial" w:eastAsia="Arial" w:hAnsi="Arial"/>
          <w:sz w:val="18"/>
          <w:szCs w:val="18"/>
          <w:i w:val="1"/>
          <w:iCs w:val="1"/>
          <w:color w:val="auto"/>
        </w:rPr>
      </w:pPr>
    </w:p>
    <w:p>
      <w:pPr>
        <w:jc w:val="both"/>
        <w:ind w:left="660" w:hanging="328"/>
        <w:spacing w:after="0" w:line="301"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Dividend payments: </w:t>
      </w:r>
      <w:r>
        <w:rPr>
          <w:rFonts w:ascii="Arial" w:cs="Arial" w:eastAsia="Arial" w:hAnsi="Arial"/>
          <w:sz w:val="16"/>
          <w:szCs w:val="16"/>
          <w:color w:val="auto"/>
        </w:rPr>
        <w:t>Dividends paid to shareholders during the three months ended March 31, 2021 totaled $71.3 million as compared to $70.9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during the same period in 2020. Our dividends paid per common share increased 1.0% to $0.495 during the three months ended March 31, 2021 compared to $0.49 during the same period in 2020. The number of common shares outstanding decreased during the three months ended March 31, 2021 compared to the same period in 2020 as a result of share repurchases completed in 2021 and the fourth quarter of 2020.</w:t>
      </w:r>
    </w:p>
    <w:p>
      <w:pPr>
        <w:spacing w:after="0" w:line="18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to settle employee tax obligations: </w:t>
      </w:r>
      <w:r>
        <w:rPr>
          <w:rFonts w:ascii="Arial" w:cs="Arial" w:eastAsia="Arial" w:hAnsi="Arial"/>
          <w:sz w:val="18"/>
          <w:szCs w:val="18"/>
          <w:color w:val="auto"/>
        </w:rPr>
        <w:t>Payments to settle tax obligations from the exercise of share-based awards increased $20.4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period. The increase is primarily due to the increase in the number of shares exercised and an increase in the average stock price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operating performance because it provides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The following table reconciles our free cash flow to cash flow provided by operating activities:</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75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i w:val="1"/>
                <w:iCs w:val="1"/>
                <w:color w:val="auto"/>
              </w:rPr>
              <w:t>(dollars in thousands)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provided by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177,184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75,863</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 expenditures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(31,260)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(40,172)</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145,924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35,691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68"/>
        </w:trPr>
        <w:tc>
          <w:tcPr>
            <w:tcW w:w="7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revenue</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122"/>
        </w:trPr>
        <w:tc>
          <w:tcPr>
            <w:tcW w:w="7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as a percentage of net earnings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r>
    </w:tbl>
    <w:p>
      <w:pPr>
        <w:spacing w:after="0" w:line="31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the three months ended March 31, 2021, we generated free cash flow of $145.9 million, representing 7.8% of revenue and 62.7% of net earnings. Free cash flow for the three months ended March 31, 2021 increased $110.2 million compared to the prior year period, due to higher operating cash flow primarily as a result of higher earnings and lower compensation payments, as previously noted, and lower capital expenditures.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commercial paper borrowings for general corporate purposes, including the funding of acquisitions and the repurchase of our common stock. As of March 31, 2021, we maintained a $1 billion Credit Agreement with a syndicate of banks with an expiration date of October 4, 2024. The Credit Agreement is used as liquidity back-up for our commercial paper program.</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Beginning in early-to-mid-March 2020, the commercial paper market began to experience very high levels of volatility as a result of COVID-19 related uncertainties. Volatility was most pronounced for "Tier-2" issuers, such as Dover, and impacted both market access and pricing. As a result, on March 16, 2020, the Company borrowed $500 million under the Credit Agreement. Proceeds from the borrowing were used to repay all of the Company's outstanding commercial paper and for general corporate purposes. We subsequently repaid the $500 million in the second quarter of 2020 using proceeds from commercial paper as volatility in the commercial paper market stabilized and we resumed borrowing commercial paper.</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the Credit Agreement, we are required to pay a facility fee and to maintain an interest coverage ratio of consolidated EBITDA to consolidated net interest expense of not less than 3.0 to 1.0. We were in compliance with this covenant and our other long-term debt covenants at March 31, 2021 and had a coverage ratio of 12.1 to 1. We are not aware of any potential impairment to our liquidity and expect to remain in compliance with all of our debt covenants. Additionally, our earliest long-term debt maturity is in 2025.</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2021, our cash and cash equivalents totaled $536.5 million, of which $379.6 million was held outside the United States. At December 31, 2020, our cash and cash equivalents totaled $513.1 million, of which $345.9 million was held outside the United States. Cash and cash equivalents are invested in highly liquid investment-grade money market instruments and bank deposits with maturities of three months or less. We invest any cash in excess of near-term requirements in money market instruments or short-term investments, which consist of investment grade time deposits with original maturity dates at the time of purchase of no greater than three months.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 xml:space="preserve">Net Debt to Net Capitalization Ratio </w:t>
            </w:r>
            <w:r>
              <w:rPr>
                <w:rFonts w:ascii="Arial" w:cs="Arial" w:eastAsia="Arial" w:hAnsi="Arial"/>
                <w:sz w:val="18"/>
                <w:szCs w:val="18"/>
                <w:i w:val="1"/>
                <w:iCs w:val="1"/>
                <w:color w:val="auto"/>
              </w:rPr>
              <w:t>(dollars in thousands)</w:t>
            </w:r>
          </w:p>
        </w:tc>
        <w:tc>
          <w:tcPr>
            <w:tcW w:w="30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tcPr>
          <w:p>
            <w:pPr>
              <w:spacing w:after="0"/>
              <w:rPr>
                <w:sz w:val="20"/>
                <w:szCs w:val="20"/>
                <w:color w:val="auto"/>
              </w:rPr>
            </w:pPr>
          </w:p>
        </w:tc>
        <w:tc>
          <w:tcPr>
            <w:tcW w:w="202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December 31, 2020</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3,063,374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20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3,108,829</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19"/>
                <w:szCs w:val="19"/>
                <w:color w:val="auto"/>
              </w:rPr>
            </w:pPr>
          </w:p>
        </w:tc>
        <w:tc>
          <w:tcPr>
            <w:tcW w:w="1920" w:type="dxa"/>
            <w:vAlign w:val="bottom"/>
          </w:tcPr>
          <w:p>
            <w:pPr>
              <w:jc w:val="right"/>
              <w:ind w:right="130"/>
              <w:spacing w:after="0"/>
              <w:rPr>
                <w:sz w:val="20"/>
                <w:szCs w:val="20"/>
                <w:color w:val="auto"/>
              </w:rPr>
            </w:pPr>
            <w:r>
              <w:rPr>
                <w:rFonts w:ascii="Arial" w:cs="Arial" w:eastAsia="Arial" w:hAnsi="Arial"/>
                <w:sz w:val="18"/>
                <w:szCs w:val="18"/>
                <w:color w:val="auto"/>
              </w:rPr>
              <w:t>3,063,374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3,108,829</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(536,512)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(513,075)</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Net debt</w:t>
            </w:r>
          </w:p>
        </w:tc>
        <w:tc>
          <w:tcPr>
            <w:tcW w:w="300" w:type="dxa"/>
            <w:vAlign w:val="bottom"/>
          </w:tcPr>
          <w:p>
            <w:pPr>
              <w:spacing w:after="0"/>
              <w:rPr>
                <w:sz w:val="19"/>
                <w:szCs w:val="19"/>
                <w:color w:val="auto"/>
              </w:rPr>
            </w:pPr>
          </w:p>
        </w:tc>
        <w:tc>
          <w:tcPr>
            <w:tcW w:w="1920" w:type="dxa"/>
            <w:vAlign w:val="bottom"/>
          </w:tcPr>
          <w:p>
            <w:pPr>
              <w:jc w:val="right"/>
              <w:ind w:right="130"/>
              <w:spacing w:after="0"/>
              <w:rPr>
                <w:sz w:val="20"/>
                <w:szCs w:val="20"/>
                <w:color w:val="auto"/>
              </w:rPr>
            </w:pPr>
            <w:r>
              <w:rPr>
                <w:rFonts w:ascii="Arial" w:cs="Arial" w:eastAsia="Arial" w:hAnsi="Arial"/>
                <w:sz w:val="18"/>
                <w:szCs w:val="18"/>
                <w:color w:val="auto"/>
              </w:rPr>
              <w:t>2,526,862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2,595,754</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3,499,144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3,385,773</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Net capitalization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6,026,006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5,981,527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debt to net capitalization</w:t>
            </w:r>
          </w:p>
        </w:tc>
        <w:tc>
          <w:tcPr>
            <w:tcW w:w="30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debt to net capitalization ratio decreased to 41.9% at March 31, 2021 compared to 43.4% at December 31, 2020. Net debt decreased $68.9 million during the period primarily due to a decrease in long-term debt as a result of foreign currency translation on Euro denominated notes and an increase in cash and cash equivalents. Stockholders' equity increased $113.4 million primarily as a result of earnings during the period, partially offset by dividends paid, exercises of share-based awards and share repurchases.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cash flow, existing capacity of our Credit Agreement and access to capital markets are expected to satisfy our various cash flow requirements, including acquisitions, capital expenditures and share repurchases.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Part 1, Notes to Condensed Consolidated Financial Statements, Note 20 — Recent Accounting Pronouncements. The adoption of recent accounting standards as included in Note 20 — Recent Accounting Pronouncements in the Condensed Consolidated Financial Statements has not had, and is not expected to have, a significant impact on our revenue, earnings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Notes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especially "Management’s Discussion and Analysis of Financial Condition and Results of Operations," contains "forward-looking" statements within the meaning of the Private Securities Litigation Reform Act of 1995. All statements in this document other than statements of historical fact are statements that are, or could be deemed, “forward-looking” statements. Some of these statements may be indicated by words such as “may”, “anticipate”, “expect”, believe”, “intend”, “guidance”, “estimates”, “suggest”, “will”, “plan”, “should”, “would”, “could”, “forecast”, "headwind", "tailwind" and other words and terms that use the future tense or have a similar meaning. Forward-looking statements are based on current expectations and are subject to numerous important risks, uncertainties, assumptions and other factors, some of which are beyond the Company’s control. Factors that could cause actual results to differ materially from current expectations include, among other things, the impacts of COVID-19 or other future pandemics, on the global economy and on our customers, suppliers, employees, business and cash flows, other general economic conditions and conditions in the particular markets in which we operate, changes in customer demand and capital spending, competitive factors and pricing pressures, our ability to develop and launch new products in a cost-effective manner, changes in law, including the effect of U.S. tax reform and developments with respect to trade policy and tariffs, our ability to identify and complete acquisitions and integrate and realize synergies from newly acquired businesses, the impact of interest rate and currency exchange rate fluctuations, capital allocation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plans and changes in those plans, including with respect to dividends, share repurchases, investments in research and development, capital expenditures and acquisitions, our ability to derive expected benefits from restructuring, productivity initiatives and other cost reduction actions, changes in material costs or the supply of input materials, the impact of legal compliance risks and litigation, including with respect to product quality and safety, cybersecurity and privacy, our ability to capture and protect intellectual property rights, and various other factors that are described in our periodic reports filed with or furnished to the Securities and Exchange Commission, including our Annual Report on Form 10-K for the year ended December 31, 2020. The Company undertakes no obligation to publicly update any forward-looking statement, whether as a result of new information, future events or otherwise.</w:t>
      </w:r>
    </w:p>
    <w:p>
      <w:pPr>
        <w:spacing w:after="0" w:line="19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 effort to provide investors with additional information regarding our results as determined by GAAP, we also disclose non-GAAP information which we believe provides useful information to investors. Segment EBITDA, segment EBITDA margin, free cash flow, free cash flow as a percentage of revenue, free cash flow as a percentage of net earnings, net debt, net capitalization, net debt to net capitalization ratio, adjusted working capital, organic revenue growth and rightsizing costs are not financial measures under GAAP and should not be considered as a substitute for earnings, cash flows from operating activities, debt or equity, working capital, revenue or restructuring costs as determined in accordance with GAAP, and they may not be comparable to similarly titled measures reported by other companies.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segment EBITDA and segment EBITDA margin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Segment EBITDA is calculated by adding back depreciation and amortization expense to segment earnings, which is the most directly comparable GAAP measure. We do not present segment net income because corporate expenses, interest and taxes are not allocated at a segment level. Segment EBITDA margin is calculated as segment EBITDA divided by segment revenue.</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net earnings equals free cash flow divided by net earnings. We believe that reporting adjusted working capital, which is calculated as accounts receivable, plus inventory, less accounts payable, provides a meaningful measure of our operational results by showing the changes caused solely by revenue. We believe that reporting organic revenue growth, which excludes the impact of foreign currency exchange rates and the impact of acquisitions and divestitures, provides a useful comparison of our revenue performance and trends between periods. We believe that reporting rightsizing costs, which include restructuring and other charges, is important as it enables management and investors to better understand the financial impact of our broad-based cost reduction and operational improvement initiatives.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non-GAAP measures can be found above in this Item 2, Management's Discussion &amp; Analysis.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significant change in our exposure to market risk during the three months ended March 31, 2021. For a discussion of our exposure to market risk, refer to Item 7A, "Quantitative and Qualitative Disclosures about Market Risk," contained in our Annual Report on Form 10-K for the fiscal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March 31, 2021.</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quarter of 2021, there were no changes in the Company’s internal control over financial reporting that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Part I, Notes to Condensed Consolidated Financial Statements, Note 14 — Commitments and Contingent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31, 2020.</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table below presents shares of Dover stock that we acquired during the quarter.</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5"/>
              </w:rPr>
              <w:t>Maximum Number (or</w:t>
            </w: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Total Number of Shares</w:t>
            </w:r>
          </w:p>
        </w:tc>
        <w:tc>
          <w:tcPr>
            <w:tcW w:w="19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Value) of Shares that</w:t>
            </w: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5"/>
                <w:szCs w:val="15"/>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20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19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176"/>
        </w:trPr>
        <w:tc>
          <w:tcPr>
            <w:tcW w:w="4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Publicly Announced</w:t>
            </w:r>
          </w:p>
        </w:tc>
        <w:tc>
          <w:tcPr>
            <w:tcW w:w="19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0"/>
        </w:trPr>
        <w:tc>
          <w:tcPr>
            <w:tcW w:w="4140" w:type="dxa"/>
            <w:vAlign w:val="bottom"/>
            <w:vMerge w:val="continue"/>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Paid per Share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Plans or Programs</w:t>
            </w:r>
          </w:p>
        </w:tc>
        <w:tc>
          <w:tcPr>
            <w:tcW w:w="196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3"/>
                <w:szCs w:val="23"/>
                <w:b w:val="1"/>
                <w:bCs w:val="1"/>
                <w:color w:val="auto"/>
                <w:w w:val="85"/>
                <w:vertAlign w:val="superscript"/>
              </w:rPr>
              <w:t>(1)</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to January 31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39,400</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19,960,600</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February 1 to February 28</w:t>
            </w:r>
          </w:p>
        </w:tc>
        <w:tc>
          <w:tcPr>
            <w:tcW w:w="1440" w:type="dxa"/>
            <w:vAlign w:val="bottom"/>
          </w:tcPr>
          <w:p>
            <w:pPr>
              <w:jc w:val="right"/>
              <w:spacing w:after="0"/>
              <w:rPr>
                <w:sz w:val="20"/>
                <w:szCs w:val="20"/>
                <w:color w:val="auto"/>
              </w:rPr>
            </w:pPr>
            <w:r>
              <w:rPr>
                <w:rFonts w:ascii="Arial" w:cs="Arial" w:eastAsia="Arial" w:hAnsi="Arial"/>
                <w:sz w:val="18"/>
                <w:szCs w:val="18"/>
                <w:color w:val="auto"/>
              </w:rPr>
              <w:t>143,551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117.95</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143,551</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19,817,049</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to March 31</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19,817,049</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For the First Quarter</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182,951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118.27</w:t>
            </w:r>
          </w:p>
        </w:tc>
        <w:tc>
          <w:tcPr>
            <w:tcW w:w="12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182,951</w:t>
            </w:r>
          </w:p>
        </w:tc>
        <w:tc>
          <w:tcPr>
            <w:tcW w:w="10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19,817,049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8"/>
        <w:spacing w:after="0" w:line="254" w:lineRule="auto"/>
        <w:tabs>
          <w:tab w:leader="none" w:pos="188"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In November 2020, the Company's Board of Directors approved a new standing share repurchase authorization, whereby the Company may repurchase up to 20 million shares beginning on January 1, 2021 through December 31, 2023. The Company repurchased 182,951 shares under the November 2020 authorization during the three months ended March 31, 2021. As of March 31, 2021, the number of shares still available for repurchase under the November 2020 share repurchase authorization was 19,817,049.</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10.1 </w:t>
      </w:r>
      <w:hyperlink w:anchor="page41">
        <w:r>
          <w:rPr>
            <w:rFonts w:ascii="Arial" w:cs="Arial" w:eastAsia="Arial" w:hAnsi="Arial"/>
            <w:sz w:val="16"/>
            <w:szCs w:val="16"/>
            <w:u w:val="single" w:color="auto"/>
            <w:color w:val="0000FF"/>
          </w:rPr>
          <w:t>Amendment Number 3, adopted and effective as of February 12, 2021, to the Dover Corporation 2012 Equity and Cash Incentive Plan. *</w:t>
        </w:r>
      </w:hyperlink>
    </w:p>
    <w:p>
      <w:pPr>
        <w:spacing w:after="0" w:line="194" w:lineRule="exact"/>
        <w:rPr>
          <w:sz w:val="20"/>
          <w:szCs w:val="20"/>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 xml:space="preserve">10.2 </w:t>
      </w:r>
      <w:hyperlink w:anchor="page47">
        <w:r>
          <w:rPr>
            <w:rFonts w:ascii="Arial" w:cs="Arial" w:eastAsia="Arial" w:hAnsi="Arial"/>
            <w:sz w:val="18"/>
            <w:szCs w:val="18"/>
            <w:u w:val="single" w:color="auto"/>
            <w:color w:val="0000FF"/>
          </w:rPr>
          <w:t>Form of 2021 award grant letter for SSAR grants made under the Dover Corporation 2012 Equity and Cash Incentive Plan. *</w:t>
        </w:r>
      </w:hyperlink>
    </w:p>
    <w:p>
      <w:pPr>
        <w:spacing w:after="0" w:line="171"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10.3 </w:t>
      </w:r>
      <w:hyperlink w:anchor="page49">
        <w:r>
          <w:rPr>
            <w:rFonts w:ascii="Arial" w:cs="Arial" w:eastAsia="Arial" w:hAnsi="Arial"/>
            <w:sz w:val="16"/>
            <w:szCs w:val="16"/>
            <w:u w:val="single" w:color="auto"/>
            <w:color w:val="0000FF"/>
          </w:rPr>
          <w:t>Form of 2021 award grant letter for cash performance awards made under the Dover Corporation 2012 Equity and Cash Incentive Plan. *</w:t>
        </w:r>
      </w:hyperlink>
    </w:p>
    <w:p>
      <w:pPr>
        <w:spacing w:after="0" w:line="194"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10.4 </w:t>
      </w:r>
      <w:hyperlink w:anchor="page52">
        <w:r>
          <w:rPr>
            <w:rFonts w:ascii="Arial" w:cs="Arial" w:eastAsia="Arial" w:hAnsi="Arial"/>
            <w:sz w:val="16"/>
            <w:szCs w:val="16"/>
            <w:u w:val="single" w:color="auto"/>
            <w:color w:val="0000FF"/>
          </w:rPr>
          <w:t>Form of 2021 award grant letter for performance share awards made under the Dover Corporation 2012 Equity and Cash Incentive Plan. *</w:t>
        </w:r>
      </w:hyperlink>
    </w:p>
    <w:p>
      <w:pPr>
        <w:spacing w:after="0" w:line="194" w:lineRule="exact"/>
        <w:rPr>
          <w:sz w:val="20"/>
          <w:szCs w:val="20"/>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 xml:space="preserve">10.5 </w:t>
      </w:r>
      <w:hyperlink w:anchor="page54">
        <w:r>
          <w:rPr>
            <w:rFonts w:ascii="Arial" w:cs="Arial" w:eastAsia="Arial" w:hAnsi="Arial"/>
            <w:sz w:val="18"/>
            <w:szCs w:val="18"/>
            <w:u w:val="single" w:color="auto"/>
            <w:color w:val="0000FF"/>
          </w:rPr>
          <w:t>Form of 2021 award grant letter for RSU awards made under the Dover Corporation 2012 Equity and Cash Incentive Plan. *</w:t>
        </w:r>
      </w:hyperlink>
    </w:p>
    <w:p>
      <w:pPr>
        <w:spacing w:after="0" w:line="171" w:lineRule="exact"/>
        <w:rPr>
          <w:sz w:val="20"/>
          <w:szCs w:val="20"/>
          <w:color w:val="auto"/>
        </w:rPr>
      </w:pPr>
    </w:p>
    <w:p>
      <w:pPr>
        <w:ind w:left="980" w:right="200" w:hanging="35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r:id="rId48">
        <w:r>
          <w:rPr>
            <w:rFonts w:ascii="Arial" w:cs="Arial" w:eastAsia="Arial" w:hAnsi="Arial"/>
            <w:sz w:val="18"/>
            <w:szCs w:val="18"/>
            <w:u w:val="single" w:color="auto"/>
            <w:color w:val="0000FF"/>
          </w:rPr>
          <w:t>Amendment to Employment Agreement of Richard J. Tobin, dated as of February 19, 2021, filed as Exhibit 10.1 to the Company’s Current</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FF"/>
          </w:rPr>
          <w:t>Report on Form 8-K filed February 19, 2021, (SEC File No. 001-04018) is incorporated by reference. *</w:t>
        </w:r>
      </w:hyperlink>
    </w:p>
    <w:p>
      <w:pPr>
        <w:spacing w:after="0" w:line="148" w:lineRule="exact"/>
        <w:rPr>
          <w:sz w:val="20"/>
          <w:szCs w:val="20"/>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 xml:space="preserve">31.1 </w:t>
      </w:r>
      <w:hyperlink w:anchor="page56">
        <w:r>
          <w:rPr>
            <w:rFonts w:ascii="Arial" w:cs="Arial" w:eastAsia="Arial" w:hAnsi="Arial"/>
            <w:sz w:val="17"/>
            <w:szCs w:val="17"/>
            <w:u w:val="single" w:color="auto"/>
            <w:color w:val="0000FF"/>
          </w:rPr>
          <w:t>Certificate pursuant to Rule 13a-14(a) of the Securities Exchange Act of 1934, as amended, signed and dated by Brad M. Cerepak.</w:t>
        </w:r>
      </w:hyperlink>
    </w:p>
    <w:p>
      <w:pPr>
        <w:spacing w:after="0" w:line="183" w:lineRule="exact"/>
        <w:rPr>
          <w:sz w:val="20"/>
          <w:szCs w:val="20"/>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 xml:space="preserve">31.2 </w:t>
      </w:r>
      <w:hyperlink w:anchor="page57">
        <w:r>
          <w:rPr>
            <w:rFonts w:ascii="Arial" w:cs="Arial" w:eastAsia="Arial" w:hAnsi="Arial"/>
            <w:sz w:val="17"/>
            <w:szCs w:val="17"/>
            <w:u w:val="single" w:color="auto"/>
            <w:color w:val="0000FF"/>
          </w:rPr>
          <w:t>Certificate pursuant to Rule 13a-14(a) of the Securities Exchange Act of 1934, as amended, signed and dated by Richard J. Tobin.</w:t>
        </w:r>
      </w:hyperlink>
    </w:p>
    <w:p>
      <w:pPr>
        <w:spacing w:after="0" w:line="156" w:lineRule="exact"/>
        <w:rPr>
          <w:sz w:val="20"/>
          <w:szCs w:val="20"/>
          <w:color w:val="auto"/>
        </w:rPr>
      </w:pPr>
    </w:p>
    <w:p>
      <w:pPr>
        <w:ind w:left="980" w:right="40" w:hanging="215"/>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w:anchor="page58">
        <w:r>
          <w:rPr>
            <w:rFonts w:ascii="Arial" w:cs="Arial" w:eastAsia="Arial" w:hAnsi="Arial"/>
            <w:sz w:val="18"/>
            <w:szCs w:val="18"/>
            <w:u w:val="single" w:color="auto"/>
            <w:color w:val="0000FF"/>
          </w:rPr>
          <w:t>Certification pursuant to 18 U.S.C. Section 1350, as adopted pursuant to Section 906 of the Sarbanes-Oxley Act of 2002, signed and dated by</w:t>
        </w:r>
      </w:hyperlink>
      <w:r>
        <w:rPr>
          <w:rFonts w:ascii="Arial" w:cs="Arial" w:eastAsia="Arial" w:hAnsi="Arial"/>
          <w:sz w:val="18"/>
          <w:szCs w:val="18"/>
          <w:color w:val="auto"/>
        </w:rPr>
        <w:t xml:space="preserve"> </w:t>
      </w:r>
      <w:hyperlink w:anchor="page58">
        <w:r>
          <w:rPr>
            <w:rFonts w:ascii="Arial" w:cs="Arial" w:eastAsia="Arial" w:hAnsi="Arial"/>
            <w:sz w:val="18"/>
            <w:szCs w:val="18"/>
            <w:u w:val="single" w:color="auto"/>
            <w:color w:val="0000FF"/>
          </w:rPr>
          <w:t>Richard J. Tobin and Brad M. Cerepak.</w:t>
        </w:r>
      </w:hyperlink>
    </w:p>
    <w:p>
      <w:pPr>
        <w:spacing w:after="0" w:line="148" w:lineRule="exact"/>
        <w:rPr>
          <w:sz w:val="20"/>
          <w:szCs w:val="20"/>
          <w:color w:val="auto"/>
        </w:rPr>
      </w:pPr>
    </w:p>
    <w:p>
      <w:pPr>
        <w:ind w:left="980" w:hanging="369"/>
        <w:spacing w:after="0" w:line="21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materials from Dover Corporation’s Quarterly Report on Form 10-Q for the quarter ended March 31, 2021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p>
      <w:pPr>
        <w:spacing w:after="0" w:line="149" w:lineRule="exact"/>
        <w:rPr>
          <w:sz w:val="20"/>
          <w:szCs w:val="20"/>
          <w:color w:val="auto"/>
        </w:rPr>
      </w:pPr>
    </w:p>
    <w:p>
      <w:pPr>
        <w:ind w:left="980" w:right="5300" w:hanging="369"/>
        <w:spacing w:after="0" w:line="29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formatted in Inline XBRL and contained in Exhibit 101. *Executive compensation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00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9" w:name="page40"/>
    <w:bookmarkEnd w:id="39"/>
    <w:p>
      <w:pPr>
        <w:spacing w:after="0"/>
        <w:rPr>
          <w:rFonts w:ascii="Arial" w:cs="Arial" w:eastAsia="Arial" w:hAnsi="Arial"/>
          <w:sz w:val="16"/>
          <w:szCs w:val="16"/>
          <w:u w:val="single" w:color="auto"/>
          <w:color w:val="026DCE"/>
        </w:rPr>
      </w:pPr>
      <w:hyperlink w:anchor="page1">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DOVER CORPORATION</w:t>
            </w:r>
          </w:p>
        </w:tc>
      </w:tr>
      <w:tr>
        <w:trPr>
          <w:trHeight w:val="45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tcPr>
          <w:p>
            <w:pPr>
              <w:ind w:left="100"/>
              <w:spacing w:after="0"/>
              <w:rPr>
                <w:sz w:val="20"/>
                <w:szCs w:val="20"/>
                <w:color w:val="auto"/>
              </w:rPr>
            </w:pPr>
            <w:r>
              <w:rPr>
                <w:rFonts w:ascii="Arial" w:cs="Arial" w:eastAsia="Arial" w:hAnsi="Arial"/>
                <w:sz w:val="18"/>
                <w:szCs w:val="18"/>
                <w:color w:val="auto"/>
              </w:rPr>
              <w:t>April 20, 2021</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29"/>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5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tcPr>
          <w:p>
            <w:pPr>
              <w:ind w:left="100"/>
              <w:spacing w:after="0"/>
              <w:rPr>
                <w:sz w:val="20"/>
                <w:szCs w:val="20"/>
                <w:color w:val="auto"/>
              </w:rPr>
            </w:pPr>
            <w:r>
              <w:rPr>
                <w:rFonts w:ascii="Arial" w:cs="Arial" w:eastAsia="Arial" w:hAnsi="Arial"/>
                <w:sz w:val="18"/>
                <w:szCs w:val="18"/>
                <w:color w:val="auto"/>
              </w:rPr>
              <w:t>April 20, 2021</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W. Paulson</w:t>
            </w:r>
          </w:p>
        </w:tc>
      </w:tr>
      <w:tr>
        <w:trPr>
          <w:trHeight w:val="222"/>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Ryan W. Paulson</w:t>
            </w:r>
          </w:p>
        </w:tc>
      </w:tr>
      <w:tr>
        <w:trPr>
          <w:trHeight w:val="229"/>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Vice President, Controller</w:t>
            </w:r>
          </w:p>
        </w:tc>
      </w:tr>
      <w:tr>
        <w:trPr>
          <w:trHeight w:val="230"/>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3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10.1</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Number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Dover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2012 Equity and Cash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as of February 12, 2021)</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9"/>
          <w:szCs w:val="19"/>
          <w:color w:val="auto"/>
        </w:rPr>
        <w:t>The following amendment is effective with respect to awards on or after February 12, 2021 under the Dover Corporation 2012</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Equity and Cash Incentive Plan (Effective as of May 3, 2012) (the "Plan"):</w:t>
      </w:r>
    </w:p>
    <w:p>
      <w:pPr>
        <w:spacing w:after="0" w:line="229" w:lineRule="exact"/>
        <w:rPr>
          <w:sz w:val="20"/>
          <w:szCs w:val="20"/>
          <w:color w:val="auto"/>
        </w:rPr>
      </w:pPr>
    </w:p>
    <w:p>
      <w:pPr>
        <w:ind w:left="660" w:right="80" w:hanging="652"/>
        <w:spacing w:after="0" w:line="473" w:lineRule="auto"/>
        <w:tabs>
          <w:tab w:leader="none" w:pos="44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Section 2 of the Plan entitled </w:t>
      </w:r>
      <w:r>
        <w:rPr>
          <w:rFonts w:ascii="Arial" w:cs="Arial" w:eastAsia="Arial" w:hAnsi="Arial"/>
          <w:sz w:val="22"/>
          <w:szCs w:val="22"/>
          <w:i w:val="1"/>
          <w:iCs w:val="1"/>
          <w:color w:val="auto"/>
        </w:rPr>
        <w:t>"Definitions"</w:t>
      </w:r>
      <w:r>
        <w:rPr>
          <w:rFonts w:ascii="Arial" w:cs="Arial" w:eastAsia="Arial" w:hAnsi="Arial"/>
          <w:sz w:val="22"/>
          <w:szCs w:val="22"/>
          <w:color w:val="auto"/>
        </w:rPr>
        <w:t xml:space="preserve"> is amended by deleting the following definitions from Section 2 in their entirety: "Early Retirement I" shall be deleted in its entirety.</w:t>
      </w:r>
    </w:p>
    <w:p>
      <w:pPr>
        <w:spacing w:after="0" w:line="1" w:lineRule="exact"/>
        <w:rPr>
          <w:rFonts w:ascii="Arial" w:cs="Arial" w:eastAsia="Arial" w:hAnsi="Arial"/>
          <w:sz w:val="22"/>
          <w:szCs w:val="22"/>
          <w:color w:val="auto"/>
        </w:rPr>
      </w:pPr>
    </w:p>
    <w:p>
      <w:pPr>
        <w:jc w:val="both"/>
        <w:ind w:left="660" w:right="6020"/>
        <w:spacing w:after="0" w:line="548" w:lineRule="auto"/>
        <w:rPr>
          <w:rFonts w:ascii="Arial" w:cs="Arial" w:eastAsia="Arial" w:hAnsi="Arial"/>
          <w:sz w:val="22"/>
          <w:szCs w:val="22"/>
          <w:color w:val="auto"/>
        </w:rPr>
      </w:pPr>
      <w:r>
        <w:rPr>
          <w:rFonts w:ascii="Arial" w:cs="Arial" w:eastAsia="Arial" w:hAnsi="Arial"/>
          <w:sz w:val="19"/>
          <w:szCs w:val="19"/>
          <w:color w:val="auto"/>
        </w:rPr>
        <w:t>"Early Retirement II" shall be deleted in its entirety. "Early Retirement III" shall be deleted in its entirety.</w:t>
      </w:r>
    </w:p>
    <w:p>
      <w:pPr>
        <w:spacing w:after="0" w:line="1" w:lineRule="exact"/>
        <w:rPr>
          <w:rFonts w:ascii="Arial" w:cs="Arial" w:eastAsia="Arial" w:hAnsi="Arial"/>
          <w:sz w:val="22"/>
          <w:szCs w:val="22"/>
          <w:color w:val="auto"/>
        </w:rPr>
      </w:pPr>
    </w:p>
    <w:p>
      <w:pPr>
        <w:ind w:right="420" w:firstLine="8"/>
        <w:spacing w:after="0" w:line="263" w:lineRule="auto"/>
        <w:tabs>
          <w:tab w:leader="none" w:pos="378"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Section 2 of the Plan entitled "</w:t>
      </w:r>
      <w:r>
        <w:rPr>
          <w:rFonts w:ascii="Arial" w:cs="Arial" w:eastAsia="Arial" w:hAnsi="Arial"/>
          <w:sz w:val="22"/>
          <w:szCs w:val="22"/>
          <w:i w:val="1"/>
          <w:iCs w:val="1"/>
          <w:color w:val="auto"/>
        </w:rPr>
        <w:t>Definitions</w:t>
      </w:r>
      <w:r>
        <w:rPr>
          <w:rFonts w:ascii="Arial" w:cs="Arial" w:eastAsia="Arial" w:hAnsi="Arial"/>
          <w:sz w:val="22"/>
          <w:szCs w:val="22"/>
          <w:color w:val="auto"/>
        </w:rPr>
        <w:t>" is amended by deleting the following definition in its entirety and replacing it with the following:</w:t>
      </w:r>
    </w:p>
    <w:p>
      <w:pPr>
        <w:spacing w:after="0" w:line="202"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"Normal Retirement" shall mean (i) the termination of a Participant's employment with the Corporation and its Affiliates if, at the time of such termination of employment, the Participant has attained age sixty-two (62), and (ii) the Participant complies with the non-competition restrictions in Paragraph 43. In the event that the stock or assets of a business unit of the Corporation or an Affiliate that employs a Participant is sold, a Participant who has attained age sixty-two (62) and remains employed by such business unit in good standing through the date of such sale, shall be treated as having terminated employment with the Corporation and its Affiliates in a Normal Retirement on the date of such sale, provided that the Participant complies with the non-compete restrictions in Paragraph 43.</w:t>
      </w:r>
    </w:p>
    <w:p>
      <w:pPr>
        <w:spacing w:after="0" w:line="207"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Section 2 of the Plan entitled </w:t>
      </w:r>
      <w:r>
        <w:rPr>
          <w:rFonts w:ascii="Arial" w:cs="Arial" w:eastAsia="Arial" w:hAnsi="Arial"/>
          <w:sz w:val="22"/>
          <w:szCs w:val="22"/>
          <w:i w:val="1"/>
          <w:iCs w:val="1"/>
          <w:color w:val="auto"/>
        </w:rPr>
        <w:t>"Definitions"</w:t>
      </w:r>
      <w:r>
        <w:rPr>
          <w:rFonts w:ascii="Arial" w:cs="Arial" w:eastAsia="Arial" w:hAnsi="Arial"/>
          <w:sz w:val="22"/>
          <w:szCs w:val="22"/>
          <w:color w:val="auto"/>
        </w:rPr>
        <w:t xml:space="preserve"> is amended by adding the following definitions:</w:t>
      </w:r>
    </w:p>
    <w:p>
      <w:pPr>
        <w:spacing w:after="0" w:line="2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21"/>
          <w:szCs w:val="21"/>
          <w:color w:val="auto"/>
        </w:rPr>
        <w:t>"Early Retirement" shall mean the termination of a Participant's employment with the Corporation and its Affiliates if, at the time of such termination of employment, (i) the Participant has at least ten (10) years of service with the Corporation and its Affiliates (service with an Affiliate shall be credited only for the period an Affiliate is owned by the Corporation), (ii) the Participant has attained age fifty five (55), (iii) the Participant satisfies the notice requirements set forth in the Plan, and (iv) the Participant complies with the non-competition restrictions in Paragraph 43. In order to be eligible for Early Retirement, a Participant must give six (6) months advance notice of retirement and must continue to be employed by the Corporation (or any Affiliate provided such Affiliate continues to be owned by the Corporation throughout the notice period) and perform his or her duties throughout such notice period.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55" w:right="339" w:bottom="1440" w:gutter="0" w:footer="0" w:header="0"/>
        </w:sectPr>
      </w:pPr>
    </w:p>
    <w:bookmarkStart w:id="41" w:name="page42"/>
    <w:bookmarkEnd w:id="41"/>
    <w:p>
      <w:pPr>
        <w:spacing w:after="0" w:line="250" w:lineRule="auto"/>
        <w:rPr>
          <w:sz w:val="20"/>
          <w:szCs w:val="20"/>
          <w:color w:val="auto"/>
        </w:rPr>
      </w:pPr>
      <w:r>
        <w:rPr>
          <w:rFonts w:ascii="Arial" w:cs="Arial" w:eastAsia="Arial" w:hAnsi="Arial"/>
          <w:sz w:val="22"/>
          <w:szCs w:val="22"/>
          <w:color w:val="auto"/>
        </w:rPr>
        <w:t>Failure to satisfy the notice requirement will render the Participant ineligible for Early Retirement notwithstanding the satisfaction by the Participant of all other applicable requirements. The Committee and, with respect to Participants who are not Section 16 Persons, Dover's CEO (unless otherwise determined by the Committee) shall have the authority to reduce or waive the notice requirement.</w:t>
      </w:r>
    </w:p>
    <w:p>
      <w:pPr>
        <w:spacing w:after="0" w:line="215"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"Sale of Business Rule" shall mean (i) the termination of a Participant's employment with the Corporation and its Affiliates due to the sale of stock or assets of the business unit by which the Participant is employed, (ii) the Participant is so employed in good standing by the business unit through the date of such sale, and (iii) the Participant complies with the non-competition restrictions in Paragraph 43.</w:t>
      </w:r>
    </w:p>
    <w:p>
      <w:pPr>
        <w:spacing w:after="0" w:line="215" w:lineRule="exact"/>
        <w:rPr>
          <w:sz w:val="20"/>
          <w:szCs w:val="20"/>
          <w:color w:val="auto"/>
        </w:rPr>
      </w:pPr>
    </w:p>
    <w:p>
      <w:pPr>
        <w:ind w:right="80" w:firstLine="8"/>
        <w:spacing w:after="0" w:line="263" w:lineRule="auto"/>
        <w:tabs>
          <w:tab w:leader="none" w:pos="378" w:val="left"/>
        </w:tabs>
        <w:numPr>
          <w:ilvl w:val="0"/>
          <w:numId w:val="25"/>
        </w:numPr>
        <w:rPr>
          <w:rFonts w:ascii="Arial" w:cs="Arial" w:eastAsia="Arial" w:hAnsi="Arial"/>
          <w:sz w:val="22"/>
          <w:szCs w:val="22"/>
          <w:color w:val="auto"/>
        </w:rPr>
      </w:pPr>
      <w:r>
        <w:rPr>
          <w:rFonts w:ascii="Arial" w:cs="Arial" w:eastAsia="Arial" w:hAnsi="Arial"/>
          <w:sz w:val="22"/>
          <w:szCs w:val="22"/>
          <w:color w:val="auto"/>
        </w:rPr>
        <w:t>Section 10(b) of the Plan entitled "</w:t>
      </w:r>
      <w:r>
        <w:rPr>
          <w:rFonts w:ascii="Arial" w:cs="Arial" w:eastAsia="Arial" w:hAnsi="Arial"/>
          <w:sz w:val="22"/>
          <w:szCs w:val="22"/>
          <w:i w:val="1"/>
          <w:iCs w:val="1"/>
          <w:color w:val="auto"/>
        </w:rPr>
        <w:t>Early Retirement</w:t>
      </w:r>
      <w:r>
        <w:rPr>
          <w:rFonts w:ascii="Arial" w:cs="Arial" w:eastAsia="Arial" w:hAnsi="Arial"/>
          <w:sz w:val="22"/>
          <w:szCs w:val="22"/>
          <w:color w:val="auto"/>
        </w:rPr>
        <w:t>" is amended by deleting such section in its entirety and replacing it with the following:</w:t>
      </w:r>
    </w:p>
    <w:p>
      <w:pPr>
        <w:spacing w:after="0" w:line="202"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i w:val="1"/>
          <w:iCs w:val="1"/>
          <w:color w:val="auto"/>
        </w:rPr>
        <w:t>Early Retirement; Sale of Business Rule</w:t>
      </w:r>
      <w:r>
        <w:rPr>
          <w:rFonts w:ascii="Arial" w:cs="Arial" w:eastAsia="Arial" w:hAnsi="Arial"/>
          <w:sz w:val="19"/>
          <w:szCs w:val="19"/>
          <w:color w:val="auto"/>
        </w:rPr>
        <w:t>. If a Participant's employment terminates as the result of Early Retirement, the Participant shall have the right, on or before the earlier of the expiration date of the Option or SSAR or thirty-six (36) months following the date of such Early Retirement, to exercise, and acquire shares under, any Option or SSAR which at the date of Early Retirement are, or within thirty-six (36) months following such termination become, exercisable. If a Participant's employment terminates as the result of the Sale of Business Rule, the Participant shall have the right, on or before the earlier of the expiration date of the Option or SSAR or twelve (12) months following the date of such termination of employment under the Sale of Business Rule, to exercise, and acquire shares under, any Option or SSAR which at the date of termination of employment are, or within twelve (12) months following such termination become, exercisable. Notwithstanding the above, if a Participant eligible for the Sale of Business Rule would also qualify for Early Retirement excluding the notice requirement, the Participant shall be entitled to the benefits of Early Retirement, as appropriate."</w:t>
      </w:r>
    </w:p>
    <w:p>
      <w:pPr>
        <w:spacing w:after="0" w:line="186" w:lineRule="exact"/>
        <w:rPr>
          <w:sz w:val="20"/>
          <w:szCs w:val="20"/>
          <w:color w:val="auto"/>
        </w:rPr>
      </w:pPr>
    </w:p>
    <w:p>
      <w:pPr>
        <w:ind w:right="800" w:firstLine="8"/>
        <w:spacing w:after="0" w:line="263" w:lineRule="auto"/>
        <w:tabs>
          <w:tab w:leader="none" w:pos="432" w:val="left"/>
        </w:tabs>
        <w:numPr>
          <w:ilvl w:val="0"/>
          <w:numId w:val="26"/>
        </w:numPr>
        <w:rPr>
          <w:rFonts w:ascii="Arial" w:cs="Arial" w:eastAsia="Arial" w:hAnsi="Arial"/>
          <w:sz w:val="22"/>
          <w:szCs w:val="22"/>
          <w:color w:val="auto"/>
        </w:rPr>
      </w:pPr>
      <w:r>
        <w:rPr>
          <w:rFonts w:ascii="Arial" w:cs="Arial" w:eastAsia="Arial" w:hAnsi="Arial"/>
          <w:sz w:val="22"/>
          <w:szCs w:val="22"/>
          <w:color w:val="auto"/>
        </w:rPr>
        <w:t>Section 18 of the Plan entitled "</w:t>
      </w:r>
      <w:r>
        <w:rPr>
          <w:rFonts w:ascii="Arial" w:cs="Arial" w:eastAsia="Arial" w:hAnsi="Arial"/>
          <w:sz w:val="22"/>
          <w:szCs w:val="22"/>
          <w:i w:val="1"/>
          <w:iCs w:val="1"/>
          <w:color w:val="auto"/>
        </w:rPr>
        <w:t>Termination of Employment</w:t>
      </w:r>
      <w:r>
        <w:rPr>
          <w:rFonts w:ascii="Arial" w:cs="Arial" w:eastAsia="Arial" w:hAnsi="Arial"/>
          <w:sz w:val="22"/>
          <w:szCs w:val="22"/>
          <w:color w:val="auto"/>
        </w:rPr>
        <w:t>" is amended by deleting such section in its entirety and replacing it with the following: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i w:val="1"/>
          <w:iCs w:val="1"/>
          <w:color w:val="auto"/>
        </w:rPr>
        <w:t>Termination of Employment</w:t>
      </w:r>
      <w:r>
        <w:rPr>
          <w:rFonts w:ascii="Arial" w:cs="Arial" w:eastAsia="Arial" w:hAnsi="Arial"/>
          <w:sz w:val="22"/>
          <w:szCs w:val="22"/>
          <w:color w:val="auto"/>
        </w:rPr>
        <w:t>.</w:t>
      </w:r>
    </w:p>
    <w:p>
      <w:pPr>
        <w:spacing w:after="0" w:line="247" w:lineRule="exact"/>
        <w:rPr>
          <w:sz w:val="20"/>
          <w:szCs w:val="20"/>
          <w:color w:val="auto"/>
        </w:rPr>
      </w:pPr>
    </w:p>
    <w:p>
      <w:pPr>
        <w:ind w:right="80" w:firstLine="656"/>
        <w:spacing w:after="0" w:line="294" w:lineRule="auto"/>
        <w:tabs>
          <w:tab w:leader="none" w:pos="1104" w:val="left"/>
        </w:tabs>
        <w:numPr>
          <w:ilvl w:val="0"/>
          <w:numId w:val="27"/>
        </w:numPr>
        <w:rPr>
          <w:rFonts w:ascii="Arial" w:cs="Arial" w:eastAsia="Arial" w:hAnsi="Arial"/>
          <w:sz w:val="19"/>
          <w:szCs w:val="19"/>
          <w:color w:val="auto"/>
        </w:rPr>
      </w:pPr>
      <w:r>
        <w:rPr>
          <w:rFonts w:ascii="Arial" w:cs="Arial" w:eastAsia="Arial" w:hAnsi="Arial"/>
          <w:sz w:val="19"/>
          <w:szCs w:val="19"/>
          <w:i w:val="1"/>
          <w:iCs w:val="1"/>
          <w:color w:val="auto"/>
        </w:rPr>
        <w:t>Death, Disability, Special Circumstances</w:t>
      </w:r>
      <w:r>
        <w:rPr>
          <w:rFonts w:ascii="Arial" w:cs="Arial" w:eastAsia="Arial" w:hAnsi="Arial"/>
          <w:sz w:val="19"/>
          <w:szCs w:val="19"/>
          <w:color w:val="auto"/>
        </w:rPr>
        <w:t>. In the case of a Participant's Disability, death, or special circumstances as</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determined by the Committee, any purely temporal restrictions remaining with respect to Restricted Stock or Restricted Stock Unit Awards as of the date of such Disability, death, or such special circumstances, shall lapse and, if any Performance Targets are applicable, the Restricted Stock or Restricted Stock Unit Awards shall continue to vest as if the Participant's employment had not terminated until the prescribed time for determining attainment of Performance Targets has passed and the appropriate determination of attainment of Performance Targets has been made.</w:t>
      </w:r>
    </w:p>
    <w:p>
      <w:pPr>
        <w:spacing w:after="0" w:line="176" w:lineRule="exact"/>
        <w:rPr>
          <w:rFonts w:ascii="Arial" w:cs="Arial" w:eastAsia="Arial" w:hAnsi="Arial"/>
          <w:sz w:val="19"/>
          <w:szCs w:val="19"/>
          <w:color w:val="auto"/>
        </w:rPr>
      </w:pPr>
    </w:p>
    <w:p>
      <w:pPr>
        <w:ind w:right="960" w:firstLine="656"/>
        <w:spacing w:after="0" w:line="263" w:lineRule="auto"/>
        <w:tabs>
          <w:tab w:leader="none" w:pos="1116"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Normal Retirement</w:t>
      </w:r>
      <w:r>
        <w:rPr>
          <w:rFonts w:ascii="Arial" w:cs="Arial" w:eastAsia="Arial" w:hAnsi="Arial"/>
          <w:sz w:val="22"/>
          <w:szCs w:val="22"/>
          <w:color w:val="auto"/>
        </w:rPr>
        <w:t>. If the Participant's employment with the Corporation terminates as a result of Normal</w:t>
      </w:r>
      <w:r>
        <w:rPr>
          <w:rFonts w:ascii="Arial" w:cs="Arial" w:eastAsia="Arial" w:hAnsi="Arial"/>
          <w:sz w:val="22"/>
          <w:szCs w:val="22"/>
          <w:i w:val="1"/>
          <w:iCs w:val="1"/>
          <w:color w:val="auto"/>
        </w:rPr>
        <w:t xml:space="preserve"> </w:t>
      </w:r>
      <w:r>
        <w:rPr>
          <w:rFonts w:ascii="Arial" w:cs="Arial" w:eastAsia="Arial" w:hAnsi="Arial"/>
          <w:sz w:val="22"/>
          <w:szCs w:val="22"/>
          <w:color w:val="auto"/>
        </w:rPr>
        <w:t>Retirement, subject to compliance with the non-competition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8" w:right="359" w:bottom="1440" w:gutter="0" w:footer="0" w:header="0"/>
        </w:sectPr>
      </w:pPr>
    </w:p>
    <w:bookmarkStart w:id="42" w:name="page43"/>
    <w:bookmarkEnd w:id="42"/>
    <w:p>
      <w:pPr>
        <w:spacing w:after="0" w:line="285" w:lineRule="auto"/>
        <w:rPr>
          <w:sz w:val="20"/>
          <w:szCs w:val="20"/>
          <w:color w:val="auto"/>
        </w:rPr>
      </w:pPr>
      <w:r>
        <w:rPr>
          <w:rFonts w:ascii="Arial" w:cs="Arial" w:eastAsia="Arial" w:hAnsi="Arial"/>
          <w:sz w:val="19"/>
          <w:szCs w:val="19"/>
          <w:color w:val="auto"/>
        </w:rPr>
        <w:t>provisions of Paragraph 43 below applicable to Normal Retirement, the Restricted Stock and Restricted Stock Unit Awards shall continue to vest as if the Participant's employment had not terminated until the earlier of (i) sixty (60) months from the date of termination, and (ii) such time as the remaining temporal restrictions lapse. If, on the date of such Normal Retirement, the participant holds one or more performance-based Restricted Stock or Restricted Stock Unit Awards, the oldest outstanding performance-based Restricted Stock or Restricted Stock Unit Award shall remain outstanding and the Participant shall be entitled to receive on the regular payment date for such performance-based Restricted Stock or Restricted Stock Unit Award the same number of shares that the Participant would have earned had such Participant been an employee of the Corporation as of such payment date, subject to the satisfaction of the applicable Performance Targets and certification by the Committee of the attainment of such Performance Targets and the amount of the payment to the extent required by Paragraphs 31-32. With respect to any other performance-based Restricted Stock or Restricted Stock Unit Awards outstanding on the date of Normal Retirement, the Committee, or if the Committee delegates to the CEO such authority, the CEO, shall determine in its sole discretion whether the Participant is eligible to receive any shares with respect to such awards and, if so, the amount thereof, in which event such payment shall be made on the regular payment date for such performance-based Restricted Stock or Restricted Stock Unit Award following the date of the Participant's Normal Retirement. Any such payment to a Participant shall be subject to the satisfaction of the applicable Performance Targets and certification by the Committee of the attainment of such Performance Targets and the amount of the payment. Except as provided in this Paragraph 18(b), if the Participant is the subject of Normal Retirement, all performance-based Restricted Stock and Restricted Stock Unit Awards held by such Participant shall be canceled and all of the Participant's awards thereunder shall terminate as of the effective date of such Normal Retirement.</w:t>
      </w:r>
    </w:p>
    <w:p>
      <w:pPr>
        <w:spacing w:after="0" w:line="190" w:lineRule="exact"/>
        <w:rPr>
          <w:sz w:val="20"/>
          <w:szCs w:val="20"/>
          <w:color w:val="auto"/>
        </w:rPr>
      </w:pPr>
    </w:p>
    <w:p>
      <w:pPr>
        <w:ind w:firstLine="656"/>
        <w:spacing w:after="0" w:line="286" w:lineRule="auto"/>
        <w:tabs>
          <w:tab w:leader="none" w:pos="1104"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Early Retirement; Sale of Business Rule</w:t>
      </w:r>
      <w:r>
        <w:rPr>
          <w:rFonts w:ascii="Arial" w:cs="Arial" w:eastAsia="Arial" w:hAnsi="Arial"/>
          <w:sz w:val="19"/>
          <w:szCs w:val="19"/>
          <w:color w:val="auto"/>
        </w:rPr>
        <w:t>. If the Participant's employment with the Corporation terminates as a result</w:t>
      </w:r>
      <w:r>
        <w:rPr>
          <w:rFonts w:ascii="Arial" w:cs="Arial" w:eastAsia="Arial" w:hAnsi="Arial"/>
          <w:sz w:val="19"/>
          <w:szCs w:val="19"/>
          <w:i w:val="1"/>
          <w:iCs w:val="1"/>
          <w:color w:val="auto"/>
        </w:rPr>
        <w:t xml:space="preserve"> </w:t>
      </w:r>
      <w:r>
        <w:rPr>
          <w:rFonts w:ascii="Arial" w:cs="Arial" w:eastAsia="Arial" w:hAnsi="Arial"/>
          <w:sz w:val="19"/>
          <w:szCs w:val="19"/>
          <w:color w:val="auto"/>
        </w:rPr>
        <w:t>of Early Retirement or the Sale of Business Rule, subject to compliance with the non-competition provisions of Paragraph 43 below applicable to Early Retirement, the Restricted Stock and Restricted Stock Unit Awards shall continue to vest as if the Participant's employment had not terminated until the earlier of (i) thirty-six (36) months from the date of termination in the case of Early Retirement, and twelve (12) months in the case of the Sale of Business Rule, and (ii) such time as the remaining temporal restrictions lapse. With respect to any outstanding performance-based Restricted Stock or Restricted Stock Unit Awards on the date of Early Retirement, the Committee, or if the Committee delegates to the CEO such authority, the CEO, shall determine in its sole discretion whether the Participant is eligible to receive any shares with respect to such awards and, if so, the amount thereof, in which event such payment shall be made on the regular payment date for such performance-based Restricted Stock or Restricted Stock Unit Award following the date of the Participant's Early Retirement. Any such payment to a Participant shall be subject to the satisfaction of the applicable Performance Targets and certification by the Committee of the attainment of such Performance Targets and the amount of the payment to the extent required by Paragraphs 31-32. Except as provided in this Paragraph 18(c), if the Participant is the subject of Early Retirement, all performance-based Restricted Stock and Restricted Stock Unit Awards held by such Participant shall be canceled and all of the Participant's awards thereunder shall terminate as of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428" w:right="399" w:bottom="1440" w:gutter="0" w:footer="0" w:header="0"/>
        </w:sectPr>
      </w:pPr>
    </w:p>
    <w:bookmarkStart w:id="43" w:name="page44"/>
    <w:bookmarkEnd w:id="43"/>
    <w:p>
      <w:pPr>
        <w:jc w:val="both"/>
        <w:ind w:right="320"/>
        <w:spacing w:after="0" w:line="288" w:lineRule="auto"/>
        <w:rPr>
          <w:sz w:val="20"/>
          <w:szCs w:val="20"/>
          <w:color w:val="auto"/>
        </w:rPr>
      </w:pPr>
      <w:r>
        <w:rPr>
          <w:rFonts w:ascii="Arial" w:cs="Arial" w:eastAsia="Arial" w:hAnsi="Arial"/>
          <w:sz w:val="19"/>
          <w:szCs w:val="19"/>
          <w:color w:val="auto"/>
        </w:rPr>
        <w:t>date of such Early Retirement. If the Participant in the Plan is the subject of the Sale of Business Rule, all performance-based Restricted Stock and Restricted Stock Unit Awards held by such Participant shall be canceled and all of the Participant's rights thereunder shall terminate as of the effective date of such termination of employment under the Sale of Business Rule.</w:t>
      </w:r>
    </w:p>
    <w:p>
      <w:pPr>
        <w:spacing w:after="0" w:line="1" w:lineRule="exact"/>
        <w:rPr>
          <w:sz w:val="20"/>
          <w:szCs w:val="20"/>
          <w:color w:val="auto"/>
        </w:rPr>
      </w:pPr>
    </w:p>
    <w:p>
      <w:pPr>
        <w:ind w:right="760"/>
        <w:spacing w:after="0" w:line="323" w:lineRule="auto"/>
        <w:rPr>
          <w:sz w:val="20"/>
          <w:szCs w:val="20"/>
          <w:color w:val="auto"/>
        </w:rPr>
      </w:pPr>
      <w:r>
        <w:rPr>
          <w:rFonts w:ascii="Arial" w:cs="Arial" w:eastAsia="Arial" w:hAnsi="Arial"/>
          <w:sz w:val="19"/>
          <w:szCs w:val="19"/>
          <w:color w:val="auto"/>
        </w:rPr>
        <w:t>Notwithstanding the above, if a Participant eligible for the Sale of Business Rule would also qualify for Early Retirement excluding the notice requirement, the Participant shall be entitled to the benefits of Early Retirement, as appropriate.</w:t>
      </w:r>
    </w:p>
    <w:p>
      <w:pPr>
        <w:spacing w:after="0" w:line="150" w:lineRule="exact"/>
        <w:rPr>
          <w:sz w:val="20"/>
          <w:szCs w:val="20"/>
          <w:color w:val="auto"/>
        </w:rPr>
      </w:pPr>
    </w:p>
    <w:p>
      <w:pPr>
        <w:ind w:right="140" w:firstLine="656"/>
        <w:spacing w:after="0" w:line="253" w:lineRule="auto"/>
        <w:tabs>
          <w:tab w:leader="none" w:pos="1116" w:val="left"/>
        </w:tabs>
        <w:numPr>
          <w:ilvl w:val="1"/>
          <w:numId w:val="29"/>
        </w:numPr>
        <w:rPr>
          <w:rFonts w:ascii="Arial" w:cs="Arial" w:eastAsia="Arial" w:hAnsi="Arial"/>
          <w:sz w:val="22"/>
          <w:szCs w:val="22"/>
          <w:color w:val="auto"/>
        </w:rPr>
      </w:pPr>
      <w:r>
        <w:rPr>
          <w:rFonts w:ascii="Arial" w:cs="Arial" w:eastAsia="Arial" w:hAnsi="Arial"/>
          <w:sz w:val="22"/>
          <w:szCs w:val="22"/>
          <w:i w:val="1"/>
          <w:iCs w:val="1"/>
          <w:color w:val="auto"/>
        </w:rPr>
        <w:t>Other</w:t>
      </w:r>
      <w:r>
        <w:rPr>
          <w:rFonts w:ascii="Arial" w:cs="Arial" w:eastAsia="Arial" w:hAnsi="Arial"/>
          <w:sz w:val="22"/>
          <w:szCs w:val="22"/>
          <w:color w:val="auto"/>
        </w:rPr>
        <w:t>. If a Participant's employment with the Corporation voluntarily or involuntarily terminates for any other</w:t>
      </w:r>
      <w:r>
        <w:rPr>
          <w:rFonts w:ascii="Arial" w:cs="Arial" w:eastAsia="Arial" w:hAnsi="Arial"/>
          <w:sz w:val="22"/>
          <w:szCs w:val="22"/>
          <w:i w:val="1"/>
          <w:iCs w:val="1"/>
          <w:color w:val="auto"/>
        </w:rPr>
        <w:t xml:space="preserve"> </w:t>
      </w:r>
      <w:r>
        <w:rPr>
          <w:rFonts w:ascii="Arial" w:cs="Arial" w:eastAsia="Arial" w:hAnsi="Arial"/>
          <w:sz w:val="22"/>
          <w:szCs w:val="22"/>
          <w:color w:val="auto"/>
        </w:rPr>
        <w:t>reason during the Restricted Period, the Restricted Stock and Restricted Stock Unit Awards shall be forfeited on the date of such termination of employment."</w:t>
      </w:r>
    </w:p>
    <w:p>
      <w:pPr>
        <w:spacing w:after="0" w:line="212" w:lineRule="exact"/>
        <w:rPr>
          <w:rFonts w:ascii="Arial" w:cs="Arial" w:eastAsia="Arial" w:hAnsi="Arial"/>
          <w:sz w:val="22"/>
          <w:szCs w:val="22"/>
          <w:color w:val="auto"/>
        </w:rPr>
      </w:pPr>
    </w:p>
    <w:p>
      <w:pPr>
        <w:ind w:right="40" w:firstLine="8"/>
        <w:spacing w:after="0" w:line="263" w:lineRule="auto"/>
        <w:tabs>
          <w:tab w:leader="none" w:pos="432" w:val="left"/>
        </w:tabs>
        <w:numPr>
          <w:ilvl w:val="0"/>
          <w:numId w:val="30"/>
        </w:numPr>
        <w:rPr>
          <w:rFonts w:ascii="Arial" w:cs="Arial" w:eastAsia="Arial" w:hAnsi="Arial"/>
          <w:sz w:val="22"/>
          <w:szCs w:val="22"/>
          <w:color w:val="auto"/>
        </w:rPr>
      </w:pPr>
      <w:r>
        <w:rPr>
          <w:rFonts w:ascii="Arial" w:cs="Arial" w:eastAsia="Arial" w:hAnsi="Arial"/>
          <w:sz w:val="22"/>
          <w:szCs w:val="22"/>
          <w:color w:val="auto"/>
        </w:rPr>
        <w:t>Section 21(b) of the Plan entitled "</w:t>
      </w:r>
      <w:r>
        <w:rPr>
          <w:rFonts w:ascii="Arial" w:cs="Arial" w:eastAsia="Arial" w:hAnsi="Arial"/>
          <w:sz w:val="22"/>
          <w:szCs w:val="22"/>
          <w:i w:val="1"/>
          <w:iCs w:val="1"/>
          <w:color w:val="auto"/>
        </w:rPr>
        <w:t>Early Retirement</w:t>
      </w:r>
      <w:r>
        <w:rPr>
          <w:rFonts w:ascii="Arial" w:cs="Arial" w:eastAsia="Arial" w:hAnsi="Arial"/>
          <w:sz w:val="22"/>
          <w:szCs w:val="22"/>
          <w:color w:val="auto"/>
        </w:rPr>
        <w:t>" is amended by deleting such section in its entirety and replacing it with the following:</w:t>
      </w:r>
    </w:p>
    <w:p>
      <w:pPr>
        <w:spacing w:after="0" w:line="201" w:lineRule="exact"/>
        <w:rPr>
          <w:rFonts w:ascii="Arial" w:cs="Arial" w:eastAsia="Arial" w:hAnsi="Arial"/>
          <w:sz w:val="22"/>
          <w:szCs w:val="22"/>
          <w:color w:val="auto"/>
        </w:rPr>
      </w:pPr>
    </w:p>
    <w:p>
      <w:pPr>
        <w:ind w:firstLine="656"/>
        <w:spacing w:after="0" w:line="285" w:lineRule="auto"/>
        <w:tabs>
          <w:tab w:leader="none" w:pos="1116" w:val="left"/>
        </w:tabs>
        <w:numPr>
          <w:ilvl w:val="1"/>
          <w:numId w:val="30"/>
        </w:numPr>
        <w:rPr>
          <w:rFonts w:ascii="Arial" w:cs="Arial" w:eastAsia="Arial" w:hAnsi="Arial"/>
          <w:sz w:val="19"/>
          <w:szCs w:val="19"/>
          <w:color w:val="auto"/>
        </w:rPr>
      </w:pPr>
      <w:r>
        <w:rPr>
          <w:rFonts w:ascii="Arial" w:cs="Arial" w:eastAsia="Arial" w:hAnsi="Arial"/>
          <w:sz w:val="19"/>
          <w:szCs w:val="19"/>
          <w:i w:val="1"/>
          <w:iCs w:val="1"/>
          <w:color w:val="auto"/>
        </w:rPr>
        <w:t>Early Retirement; Sale of Business Rule</w:t>
      </w:r>
      <w:r>
        <w:rPr>
          <w:rFonts w:ascii="Arial" w:cs="Arial" w:eastAsia="Arial" w:hAnsi="Arial"/>
          <w:sz w:val="19"/>
          <w:szCs w:val="19"/>
          <w:color w:val="auto"/>
        </w:rPr>
        <w:t>. If the Participant's employment terminates pursuant to Early Retirement,</w:t>
      </w:r>
      <w:r>
        <w:rPr>
          <w:rFonts w:ascii="Arial" w:cs="Arial" w:eastAsia="Arial" w:hAnsi="Arial"/>
          <w:sz w:val="19"/>
          <w:szCs w:val="19"/>
          <w:i w:val="1"/>
          <w:iCs w:val="1"/>
          <w:color w:val="auto"/>
        </w:rPr>
        <w:t xml:space="preserve"> </w:t>
      </w:r>
      <w:r>
        <w:rPr>
          <w:rFonts w:ascii="Arial" w:cs="Arial" w:eastAsia="Arial" w:hAnsi="Arial"/>
          <w:sz w:val="19"/>
          <w:szCs w:val="19"/>
          <w:color w:val="auto"/>
        </w:rPr>
        <w:t>and, on the date of such Early Retirement, the Participant holds one or more outstanding Cash Performance Awards, the Committee, or if the Committee delegates to the CEO such authority, the CEO, shall determine in its sole discretion whether the Participant is eligible to receive any payment and, if so, the amount thereof, in which event such payment shall be made on the date or dates following the date of the Participant's Early Retirement on which the Corporation pays Cash Performance Awards for the Performance Period relating to any such outstanding Cash Performance Award held by such Participant. Except as provided in Paragraphs 31-32, any such payment to a Participant shall be subject to the satisfaction of the applicable Performance Targets, certification by the Committee of the satisfaction of such Performance Targets and determination of the amount of the payment by the Committee, and may not exceed the amount that the Participant would have been entitled to receive had the Participant been an employee of the Corporation on such payment date. Except as provided in this Paragraph 21(b) and Paragraph 23(b), if the Participant is the subject of Early Retirement, all Cash Performance Awards held by such Participant shall be canceled and all of the Participant's awards thereunder shall terminate as of the effective date of such Early Retirement. If the Participant in the Plan is the subject of the Sale of Business Rule, all Cash Performance Awards held by such Participant shall be canceled and all of the Participant's rights thereunder shall terminate as of the effective date of such termination of employment under the Sale of Business Rule except as provided in Paragraph 23(b). Notwithstanding the above, if a Participant eligible for the Sale of Business Rule would also qualify for Early Retirement excluding the notice requirement, the Participant shall be entitled to the benefits of Early Retirement, as appropriate.</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right="100" w:firstLine="8"/>
        <w:spacing w:after="0" w:line="263" w:lineRule="auto"/>
        <w:tabs>
          <w:tab w:leader="none" w:pos="378" w:val="left"/>
        </w:tabs>
        <w:numPr>
          <w:ilvl w:val="0"/>
          <w:numId w:val="30"/>
        </w:numPr>
        <w:rPr>
          <w:rFonts w:ascii="Arial" w:cs="Arial" w:eastAsia="Arial" w:hAnsi="Arial"/>
          <w:sz w:val="22"/>
          <w:szCs w:val="22"/>
          <w:color w:val="auto"/>
        </w:rPr>
      </w:pPr>
      <w:r>
        <w:rPr>
          <w:rFonts w:ascii="Arial" w:cs="Arial" w:eastAsia="Arial" w:hAnsi="Arial"/>
          <w:sz w:val="22"/>
          <w:szCs w:val="22"/>
          <w:color w:val="auto"/>
        </w:rPr>
        <w:t>Section 25(b) of the Plan entitled "</w:t>
      </w:r>
      <w:r>
        <w:rPr>
          <w:rFonts w:ascii="Arial" w:cs="Arial" w:eastAsia="Arial" w:hAnsi="Arial"/>
          <w:sz w:val="22"/>
          <w:szCs w:val="22"/>
          <w:i w:val="1"/>
          <w:iCs w:val="1"/>
          <w:color w:val="auto"/>
        </w:rPr>
        <w:t>Early Retirement</w:t>
      </w:r>
      <w:r>
        <w:rPr>
          <w:rFonts w:ascii="Arial" w:cs="Arial" w:eastAsia="Arial" w:hAnsi="Arial"/>
          <w:sz w:val="22"/>
          <w:szCs w:val="22"/>
          <w:color w:val="auto"/>
        </w:rPr>
        <w:t>" is amended by deleting such section in its entirety and replacing it with the following:</w:t>
      </w:r>
    </w:p>
    <w:p>
      <w:pPr>
        <w:spacing w:after="0" w:line="201" w:lineRule="exact"/>
        <w:rPr>
          <w:rFonts w:ascii="Arial" w:cs="Arial" w:eastAsia="Arial" w:hAnsi="Arial"/>
          <w:sz w:val="22"/>
          <w:szCs w:val="22"/>
          <w:color w:val="auto"/>
        </w:rPr>
      </w:pPr>
    </w:p>
    <w:p>
      <w:pPr>
        <w:ind w:right="340" w:firstLine="656"/>
        <w:spacing w:after="0" w:line="263" w:lineRule="auto"/>
        <w:tabs>
          <w:tab w:leader="none" w:pos="1116" w:val="left"/>
        </w:tabs>
        <w:numPr>
          <w:ilvl w:val="1"/>
          <w:numId w:val="30"/>
        </w:numPr>
        <w:rPr>
          <w:rFonts w:ascii="Arial" w:cs="Arial" w:eastAsia="Arial" w:hAnsi="Arial"/>
          <w:sz w:val="22"/>
          <w:szCs w:val="22"/>
          <w:color w:val="auto"/>
        </w:rPr>
      </w:pPr>
      <w:r>
        <w:rPr>
          <w:rFonts w:ascii="Arial" w:cs="Arial" w:eastAsia="Arial" w:hAnsi="Arial"/>
          <w:sz w:val="22"/>
          <w:szCs w:val="22"/>
          <w:i w:val="1"/>
          <w:iCs w:val="1"/>
          <w:color w:val="auto"/>
        </w:rPr>
        <w:t>Early Retirement; Sale of Business Rule</w:t>
      </w:r>
      <w:r>
        <w:rPr>
          <w:rFonts w:ascii="Arial" w:cs="Arial" w:eastAsia="Arial" w:hAnsi="Arial"/>
          <w:sz w:val="22"/>
          <w:szCs w:val="22"/>
          <w:color w:val="auto"/>
        </w:rPr>
        <w:t>. If the Participant's employment terminates pursuant to Early Retirement</w:t>
      </w:r>
      <w:r>
        <w:rPr>
          <w:rFonts w:ascii="Arial" w:cs="Arial" w:eastAsia="Arial" w:hAnsi="Arial"/>
          <w:sz w:val="22"/>
          <w:szCs w:val="22"/>
          <w:i w:val="1"/>
          <w:iCs w:val="1"/>
          <w:color w:val="auto"/>
        </w:rPr>
        <w:t xml:space="preserve"> </w:t>
      </w:r>
      <w:r>
        <w:rPr>
          <w:rFonts w:ascii="Arial" w:cs="Arial" w:eastAsia="Arial" w:hAnsi="Arial"/>
          <w:sz w:val="22"/>
          <w:szCs w:val="22"/>
          <w:color w:val="auto"/>
        </w:rPr>
        <w:t>and on the date of such Early Retirement the Participant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44" w:name="page45"/>
    <w:bookmarkEnd w:id="44"/>
    <w:p>
      <w:pPr>
        <w:spacing w:after="0" w:line="286" w:lineRule="auto"/>
        <w:rPr>
          <w:sz w:val="20"/>
          <w:szCs w:val="20"/>
          <w:color w:val="auto"/>
        </w:rPr>
      </w:pPr>
      <w:r>
        <w:rPr>
          <w:rFonts w:ascii="Arial" w:cs="Arial" w:eastAsia="Arial" w:hAnsi="Arial"/>
          <w:sz w:val="19"/>
          <w:szCs w:val="19"/>
          <w:color w:val="auto"/>
        </w:rPr>
        <w:t>holds one or more outstanding Performance Share Awards, the Committee, or if the Committee delegates to the CEO such authority, the CEO, shall determine in its sole discretion whether the Participant shall receive any payment and, if so, the amount thereof, in which event such payment shall be made on the date or dates following the date of the Participant's Early Retirement on which the Corporation pays Performance Share Awards for the Performance Period relating to any such outstanding Performance Share Award held by such Participant. Except as provided in Paragraphs 31-32, any such payment to the Participant shall be subject to the satisfaction of the applicable Performance Targets, and certification by the Committee of such satisfaction and determination by the Committee of the amount of payment, and may not exceed the number of shares that the Participant would have been entitled to receive had the Participant been an employee of the Corporation on such payment date. Except as provided in this Paragraph 25(b) and in Paragraph 27(b), if the Participant is the subject of Early Retirement, all Performance Share Awards held by such Participant shall be canceled, and all of the Participant's Awards thereunder shall terminate as of the effective date of such Early Retirement. If the Participant in the Plan is the subject of the Sale of Business Rule, all Performance Share Awards held by such Participant shall be canceled and all of the Participant's rights thereunder shall terminate as of the effective date of such termination of employment under the Sale of Business Rule, except as provided in Paragraph 27(b). Notwithstanding the above, if a Participant eligible for the Sale of Business Rule would also qualify for Early Retirement excluding the notice requirement, the Participant shall be entitled to the benefits of Early Retirement, as appropriate."</w:t>
      </w:r>
    </w:p>
    <w:p>
      <w:pPr>
        <w:spacing w:after="0" w:line="185" w:lineRule="exact"/>
        <w:rPr>
          <w:sz w:val="20"/>
          <w:szCs w:val="20"/>
          <w:color w:val="auto"/>
        </w:rPr>
      </w:pPr>
    </w:p>
    <w:p>
      <w:pPr>
        <w:ind w:right="180" w:firstLine="8"/>
        <w:spacing w:after="0" w:line="263" w:lineRule="auto"/>
        <w:tabs>
          <w:tab w:leader="none" w:pos="432" w:val="left"/>
        </w:tabs>
        <w:numPr>
          <w:ilvl w:val="0"/>
          <w:numId w:val="31"/>
        </w:numPr>
        <w:rPr>
          <w:rFonts w:ascii="Arial" w:cs="Arial" w:eastAsia="Arial" w:hAnsi="Arial"/>
          <w:sz w:val="22"/>
          <w:szCs w:val="22"/>
          <w:color w:val="auto"/>
        </w:rPr>
      </w:pPr>
      <w:r>
        <w:rPr>
          <w:rFonts w:ascii="Arial" w:cs="Arial" w:eastAsia="Arial" w:hAnsi="Arial"/>
          <w:sz w:val="22"/>
          <w:szCs w:val="22"/>
          <w:color w:val="auto"/>
        </w:rPr>
        <w:t>Section 43 of the Plan entitled "</w:t>
      </w:r>
      <w:r>
        <w:rPr>
          <w:rFonts w:ascii="Arial" w:cs="Arial" w:eastAsia="Arial" w:hAnsi="Arial"/>
          <w:sz w:val="22"/>
          <w:szCs w:val="22"/>
          <w:i w:val="1"/>
          <w:iCs w:val="1"/>
          <w:color w:val="auto"/>
        </w:rPr>
        <w:t>Non-Compete</w:t>
      </w:r>
      <w:r>
        <w:rPr>
          <w:rFonts w:ascii="Arial" w:cs="Arial" w:eastAsia="Arial" w:hAnsi="Arial"/>
          <w:sz w:val="22"/>
          <w:szCs w:val="22"/>
          <w:color w:val="auto"/>
        </w:rPr>
        <w:t>" is amended by deleting such section in its entirety and replacing it with the following:</w:t>
      </w:r>
    </w:p>
    <w:p>
      <w:pPr>
        <w:spacing w:after="0" w:line="201" w:lineRule="exact"/>
        <w:rPr>
          <w:rFonts w:ascii="Arial" w:cs="Arial" w:eastAsia="Arial" w:hAnsi="Arial"/>
          <w:sz w:val="22"/>
          <w:szCs w:val="22"/>
          <w:color w:val="auto"/>
        </w:rPr>
      </w:pPr>
    </w:p>
    <w:p>
      <w:pPr>
        <w:ind w:left="1140" w:hanging="484"/>
        <w:spacing w:after="0"/>
        <w:tabs>
          <w:tab w:leader="none" w:pos="1140" w:val="left"/>
        </w:tabs>
        <w:numPr>
          <w:ilvl w:val="1"/>
          <w:numId w:val="31"/>
        </w:numPr>
        <w:rPr>
          <w:rFonts w:ascii="Arial" w:cs="Arial" w:eastAsia="Arial" w:hAnsi="Arial"/>
          <w:sz w:val="22"/>
          <w:szCs w:val="22"/>
          <w:color w:val="auto"/>
        </w:rPr>
      </w:pPr>
      <w:r>
        <w:rPr>
          <w:rFonts w:ascii="Arial" w:cs="Arial" w:eastAsia="Arial" w:hAnsi="Arial"/>
          <w:sz w:val="22"/>
          <w:szCs w:val="22"/>
          <w:i w:val="1"/>
          <w:iCs w:val="1"/>
          <w:color w:val="auto"/>
        </w:rPr>
        <w:t>Non-compete</w:t>
      </w:r>
      <w:r>
        <w:rPr>
          <w:rFonts w:ascii="Arial" w:cs="Arial" w:eastAsia="Arial" w:hAnsi="Arial"/>
          <w:sz w:val="22"/>
          <w:szCs w:val="22"/>
          <w:color w:val="auto"/>
        </w:rPr>
        <w:t>.</w:t>
      </w:r>
    </w:p>
    <w:p>
      <w:pPr>
        <w:spacing w:after="0" w:line="247" w:lineRule="exact"/>
        <w:rPr>
          <w:sz w:val="20"/>
          <w:szCs w:val="20"/>
          <w:color w:val="auto"/>
        </w:rPr>
      </w:pPr>
    </w:p>
    <w:p>
      <w:pPr>
        <w:ind w:right="20" w:firstLine="656"/>
        <w:spacing w:after="0" w:line="283" w:lineRule="auto"/>
        <w:tabs>
          <w:tab w:leader="none" w:pos="1104" w:val="left"/>
        </w:tabs>
        <w:numPr>
          <w:ilvl w:val="1"/>
          <w:numId w:val="32"/>
        </w:numPr>
        <w:rPr>
          <w:rFonts w:ascii="Arial" w:cs="Arial" w:eastAsia="Arial" w:hAnsi="Arial"/>
          <w:sz w:val="19"/>
          <w:szCs w:val="19"/>
          <w:color w:val="auto"/>
        </w:rPr>
      </w:pPr>
      <w:r>
        <w:rPr>
          <w:rFonts w:ascii="Arial" w:cs="Arial" w:eastAsia="Arial" w:hAnsi="Arial"/>
          <w:sz w:val="19"/>
          <w:szCs w:val="19"/>
          <w:i w:val="1"/>
          <w:iCs w:val="1"/>
          <w:color w:val="auto"/>
        </w:rPr>
        <w:t>Non-Competition</w:t>
      </w:r>
      <w:r>
        <w:rPr>
          <w:rFonts w:ascii="Arial" w:cs="Arial" w:eastAsia="Arial" w:hAnsi="Arial"/>
          <w:sz w:val="19"/>
          <w:szCs w:val="19"/>
          <w:color w:val="auto"/>
        </w:rPr>
        <w:t>. The enhanced benefits of any Normal Retirement, Early Retirement or under the Sale of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Rule provided to a Participant, unless such benefits are waived in writing by the Participant, shall be subject to the provisions of this Paragraph 43. Any Participant who is the beneficiary of any such Normal Retirement, Early Retirement or Sale of Business Rule shall be deemed to have expressly agreed not to engage, directly or indirectly in any capacity, in any business in which the Corporation or any Affiliate at which such Participant was employed at any time in the three (3) years immediately prior to termination of employment was engaged, as the case may be, in the geographic area in which the Corporation or such Affiliate actively carried on business at the end of the Participant’s employment there, for the period with respect to which such Normal Retirement, Early Retirement or Sale of Business Rule affords the Participant enhanced benefits, which period shall be, (a) with respect to Options or SSARs, the additional period allowed the Participant for the vesting and exercise of Options or SSARs outstanding at termination of employment, (b) with respect to Restricted Stock or Restricted Stock Unit Awards, the period remaining after the Participant’s termination of employment until the end of the original Restricted Period for such Award, and</w:t>
      </w:r>
    </w:p>
    <w:p>
      <w:pPr>
        <w:spacing w:after="0" w:line="5" w:lineRule="exact"/>
        <w:rPr>
          <w:rFonts w:ascii="Arial" w:cs="Arial" w:eastAsia="Arial" w:hAnsi="Arial"/>
          <w:sz w:val="19"/>
          <w:szCs w:val="19"/>
          <w:color w:val="auto"/>
        </w:rPr>
      </w:pPr>
    </w:p>
    <w:p>
      <w:pPr>
        <w:ind w:right="640" w:firstLine="8"/>
        <w:spacing w:after="0" w:line="246" w:lineRule="auto"/>
        <w:tabs>
          <w:tab w:leader="none" w:pos="294" w:val="left"/>
        </w:tabs>
        <w:numPr>
          <w:ilvl w:val="0"/>
          <w:numId w:val="33"/>
        </w:numPr>
        <w:rPr>
          <w:rFonts w:ascii="Arial" w:cs="Arial" w:eastAsia="Arial" w:hAnsi="Arial"/>
          <w:sz w:val="22"/>
          <w:szCs w:val="22"/>
          <w:color w:val="auto"/>
        </w:rPr>
      </w:pPr>
      <w:r>
        <w:rPr>
          <w:rFonts w:ascii="Arial" w:cs="Arial" w:eastAsia="Arial" w:hAnsi="Arial"/>
          <w:sz w:val="22"/>
          <w:szCs w:val="22"/>
          <w:color w:val="auto"/>
        </w:rPr>
        <w:t>with respect to Cash Performance Awards and Performance Shares Awards granted under the Plan, the period until the payment date following the end of the last applicable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1428" w:right="399" w:bottom="1440" w:gutter="0" w:footer="0" w:header="0"/>
        </w:sectPr>
      </w:pPr>
    </w:p>
    <w:bookmarkStart w:id="45" w:name="page46"/>
    <w:bookmarkEnd w:id="45"/>
    <w:p>
      <w:pPr>
        <w:ind w:left="-8" w:right="40" w:firstLine="656"/>
        <w:spacing w:after="0" w:line="261" w:lineRule="auto"/>
        <w:tabs>
          <w:tab w:leader="none" w:pos="1108" w:val="left"/>
        </w:tabs>
        <w:numPr>
          <w:ilvl w:val="1"/>
          <w:numId w:val="34"/>
        </w:numPr>
        <w:rPr>
          <w:rFonts w:ascii="Arial" w:cs="Arial" w:eastAsia="Arial" w:hAnsi="Arial"/>
          <w:sz w:val="21"/>
          <w:szCs w:val="21"/>
          <w:color w:val="auto"/>
        </w:rPr>
      </w:pPr>
      <w:r>
        <w:rPr>
          <w:rFonts w:ascii="Arial" w:cs="Arial" w:eastAsia="Arial" w:hAnsi="Arial"/>
          <w:sz w:val="21"/>
          <w:szCs w:val="21"/>
          <w:i w:val="1"/>
          <w:iCs w:val="1"/>
          <w:color w:val="auto"/>
        </w:rPr>
        <w:t>Breach</w:t>
      </w:r>
      <w:r>
        <w:rPr>
          <w:rFonts w:ascii="Arial" w:cs="Arial" w:eastAsia="Arial" w:hAnsi="Arial"/>
          <w:sz w:val="21"/>
          <w:szCs w:val="21"/>
          <w:color w:val="auto"/>
        </w:rPr>
        <w:t>. In the event that a Participant shall fail to comply with the provisions of this Paragraph 43, the Normal</w:t>
      </w:r>
      <w:r>
        <w:rPr>
          <w:rFonts w:ascii="Arial" w:cs="Arial" w:eastAsia="Arial" w:hAnsi="Arial"/>
          <w:sz w:val="21"/>
          <w:szCs w:val="21"/>
          <w:i w:val="1"/>
          <w:iCs w:val="1"/>
          <w:color w:val="auto"/>
        </w:rPr>
        <w:t xml:space="preserve"> </w:t>
      </w:r>
      <w:r>
        <w:rPr>
          <w:rFonts w:ascii="Arial" w:cs="Arial" w:eastAsia="Arial" w:hAnsi="Arial"/>
          <w:sz w:val="21"/>
          <w:szCs w:val="21"/>
          <w:color w:val="auto"/>
        </w:rPr>
        <w:t>Retirement, Early Retirement or Sale of Business Rule shall be automatically rescinded and the Participant shall forfeit the enhanced benefits referred to above and shall return to the Corporation the economic value theretofore realized by reason of such benefits as determined by the Committee. If the provisions of this Paragraph 43 or the corresponding provisions of an Award shall be unenforceable as to any Participant, the Committee may rescind the benefits of any such Normal Retirement, Early Retirement or Sale of Business Rule with respect to such Participant.</w:t>
      </w:r>
    </w:p>
    <w:p>
      <w:pPr>
        <w:spacing w:after="0" w:line="206" w:lineRule="exact"/>
        <w:rPr>
          <w:rFonts w:ascii="Arial" w:cs="Arial" w:eastAsia="Arial" w:hAnsi="Arial"/>
          <w:sz w:val="21"/>
          <w:szCs w:val="21"/>
          <w:color w:val="auto"/>
        </w:rPr>
      </w:pPr>
    </w:p>
    <w:p>
      <w:pPr>
        <w:ind w:left="-8" w:firstLine="656"/>
        <w:spacing w:after="0" w:line="263" w:lineRule="auto"/>
        <w:tabs>
          <w:tab w:leader="none" w:pos="1096" w:val="left"/>
        </w:tabs>
        <w:numPr>
          <w:ilvl w:val="1"/>
          <w:numId w:val="34"/>
        </w:numPr>
        <w:rPr>
          <w:rFonts w:ascii="Arial" w:cs="Arial" w:eastAsia="Arial" w:hAnsi="Arial"/>
          <w:sz w:val="22"/>
          <w:szCs w:val="22"/>
          <w:color w:val="auto"/>
        </w:rPr>
      </w:pPr>
      <w:r>
        <w:rPr>
          <w:rFonts w:ascii="Arial" w:cs="Arial" w:eastAsia="Arial" w:hAnsi="Arial"/>
          <w:sz w:val="22"/>
          <w:szCs w:val="22"/>
          <w:i w:val="1"/>
          <w:iCs w:val="1"/>
          <w:color w:val="auto"/>
        </w:rPr>
        <w:t>Other Termination</w:t>
      </w:r>
      <w:r>
        <w:rPr>
          <w:rFonts w:ascii="Arial" w:cs="Arial" w:eastAsia="Arial" w:hAnsi="Arial"/>
          <w:sz w:val="22"/>
          <w:szCs w:val="22"/>
          <w:color w:val="auto"/>
        </w:rPr>
        <w:t>. The Committee may, in its discretion, adopt such other non-competition restrictions applicable to</w:t>
      </w:r>
      <w:r>
        <w:rPr>
          <w:rFonts w:ascii="Arial" w:cs="Arial" w:eastAsia="Arial" w:hAnsi="Arial"/>
          <w:sz w:val="22"/>
          <w:szCs w:val="22"/>
          <w:i w:val="1"/>
          <w:iCs w:val="1"/>
          <w:color w:val="auto"/>
        </w:rPr>
        <w:t xml:space="preserve"> </w:t>
      </w:r>
      <w:r>
        <w:rPr>
          <w:rFonts w:ascii="Arial" w:cs="Arial" w:eastAsia="Arial" w:hAnsi="Arial"/>
          <w:sz w:val="22"/>
          <w:szCs w:val="22"/>
          <w:color w:val="auto"/>
        </w:rPr>
        <w:t>Awards as it deems appropriate from time to time.</w:t>
      </w:r>
    </w:p>
    <w:p>
      <w:pPr>
        <w:spacing w:after="0" w:line="201" w:lineRule="exact"/>
        <w:rPr>
          <w:rFonts w:ascii="Arial" w:cs="Arial" w:eastAsia="Arial" w:hAnsi="Arial"/>
          <w:sz w:val="22"/>
          <w:szCs w:val="22"/>
          <w:color w:val="auto"/>
        </w:rPr>
      </w:pPr>
    </w:p>
    <w:p>
      <w:pPr>
        <w:ind w:left="-8" w:right="20" w:firstLine="656"/>
        <w:spacing w:after="0" w:line="294" w:lineRule="auto"/>
        <w:tabs>
          <w:tab w:leader="none" w:pos="1108" w:val="left"/>
        </w:tabs>
        <w:numPr>
          <w:ilvl w:val="1"/>
          <w:numId w:val="34"/>
        </w:numPr>
        <w:rPr>
          <w:rFonts w:ascii="Arial" w:cs="Arial" w:eastAsia="Arial" w:hAnsi="Arial"/>
          <w:sz w:val="19"/>
          <w:szCs w:val="19"/>
          <w:color w:val="auto"/>
        </w:rPr>
      </w:pPr>
      <w:r>
        <w:rPr>
          <w:rFonts w:ascii="Arial" w:cs="Arial" w:eastAsia="Arial" w:hAnsi="Arial"/>
          <w:sz w:val="19"/>
          <w:szCs w:val="19"/>
          <w:i w:val="1"/>
          <w:iCs w:val="1"/>
          <w:color w:val="auto"/>
        </w:rPr>
        <w:t>Revision</w:t>
      </w:r>
      <w:r>
        <w:rPr>
          <w:rFonts w:ascii="Arial" w:cs="Arial" w:eastAsia="Arial" w:hAnsi="Arial"/>
          <w:sz w:val="19"/>
          <w:szCs w:val="19"/>
          <w:color w:val="auto"/>
        </w:rPr>
        <w:t>. If any provision of this Paragraph 43 or the corresponding provisions of an Award is determined by a court</w:t>
      </w:r>
      <w:r>
        <w:rPr>
          <w:rFonts w:ascii="Arial" w:cs="Arial" w:eastAsia="Arial" w:hAnsi="Arial"/>
          <w:sz w:val="19"/>
          <w:szCs w:val="19"/>
          <w:i w:val="1"/>
          <w:iCs w:val="1"/>
          <w:color w:val="auto"/>
        </w:rPr>
        <w:t xml:space="preserve"> </w:t>
      </w:r>
      <w:r>
        <w:rPr>
          <w:rFonts w:ascii="Arial" w:cs="Arial" w:eastAsia="Arial" w:hAnsi="Arial"/>
          <w:sz w:val="19"/>
          <w:szCs w:val="19"/>
          <w:color w:val="auto"/>
        </w:rPr>
        <w:t>to be unenforceable because of its scope in terms of geographic area or duration in time or otherwise, the Corporation and the Participant agree that the court making such determination is specifically authorized to reduce the duration and/or geographical area and/or other scope of such provision and, in its reduced form, such provision shall then be enforceable; and in every case the remainder of this Paragraph 43, or the corresponding provisions of an Award, shall not be affected thereby and shall remain valid and enforceable, as if such affected provision were not contained herein or therein.</w:t>
      </w:r>
    </w:p>
    <w:p>
      <w:pPr>
        <w:spacing w:after="0" w:line="176" w:lineRule="exact"/>
        <w:rPr>
          <w:rFonts w:ascii="Arial" w:cs="Arial" w:eastAsia="Arial" w:hAnsi="Arial"/>
          <w:sz w:val="19"/>
          <w:szCs w:val="19"/>
          <w:color w:val="auto"/>
        </w:rPr>
      </w:pPr>
    </w:p>
    <w:p>
      <w:pPr>
        <w:ind w:left="-8" w:right="60" w:firstLine="8"/>
        <w:spacing w:after="0" w:line="263" w:lineRule="auto"/>
        <w:tabs>
          <w:tab w:leader="none" w:pos="208" w:val="left"/>
        </w:tabs>
        <w:numPr>
          <w:ilvl w:val="0"/>
          <w:numId w:val="35"/>
        </w:numPr>
        <w:rPr>
          <w:rFonts w:ascii="Arial" w:cs="Arial" w:eastAsia="Arial" w:hAnsi="Arial"/>
          <w:sz w:val="22"/>
          <w:szCs w:val="22"/>
          <w:color w:val="auto"/>
        </w:rPr>
      </w:pPr>
      <w:r>
        <w:rPr>
          <w:rFonts w:ascii="Arial" w:cs="Arial" w:eastAsia="Arial" w:hAnsi="Arial"/>
          <w:sz w:val="22"/>
          <w:szCs w:val="22"/>
          <w:color w:val="auto"/>
        </w:rPr>
        <w:t>Except as specifically amended by the foregoing, the Plan remains in full force and effect in accordance with the terms thereof prior to such amendment.</w:t>
      </w:r>
    </w:p>
    <w:p>
      <w:pPr>
        <w:spacing w:after="0" w:line="201" w:lineRule="exact"/>
        <w:rPr>
          <w:rFonts w:ascii="Arial" w:cs="Arial" w:eastAsia="Arial" w:hAnsi="Arial"/>
          <w:sz w:val="22"/>
          <w:szCs w:val="22"/>
          <w:color w:val="auto"/>
        </w:rPr>
      </w:pPr>
    </w:p>
    <w:p>
      <w:pPr>
        <w:ind w:left="-8" w:right="200" w:firstLine="8"/>
        <w:spacing w:after="0" w:line="287" w:lineRule="auto"/>
        <w:tabs>
          <w:tab w:leader="none" w:pos="474"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foregoing amendment was duly approved by resolution of the Board of Directors of Dover Corporation at its meeting held on February 12, 2021 and shall be effective with respect to awards made on or after February 12, 2021.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12"/>
          </w:cols>
          <w:pgMar w:left="328" w:top="1428"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191260" cy="394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1912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404040"/>
        </w:rPr>
        <w:t>SSAR Award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404040"/>
        </w:rPr>
        <w:t>DATE: /$CurrentDate$/</w:t>
      </w:r>
    </w:p>
    <w:p>
      <w:pPr>
        <w:sectPr>
          <w:pgSz w:w="11900" w:h="16838" w:orient="portrait"/>
          <w:cols w:equalWidth="0" w:num="1">
            <w:col w:w="11240"/>
          </w:cols>
          <w:pgMar w:left="320" w:top="855"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404040"/>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404040"/>
        </w:rPr>
        <w:t>/$ParticipantName$/</w:t>
      </w:r>
    </w:p>
    <w:p>
      <w:pPr>
        <w:spacing w:after="0" w:line="211" w:lineRule="exact"/>
        <w:rPr>
          <w:sz w:val="20"/>
          <w:szCs w:val="20"/>
          <w:color w:val="auto"/>
        </w:rPr>
      </w:pPr>
    </w:p>
    <w:p>
      <w:pPr>
        <w:sectPr>
          <w:pgSz w:w="11900" w:h="16838" w:orient="portrait"/>
          <w:cols w:equalWidth="0" w:num="2">
            <w:col w:w="300" w:space="300"/>
            <w:col w:w="10640"/>
          </w:cols>
          <w:pgMar w:left="320" w:top="855" w:right="339"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404040"/>
        </w:rPr>
        <w:t>Here are the details for your SSAR grant:</w:t>
      </w:r>
    </w:p>
    <w:p>
      <w:pPr>
        <w:sectPr>
          <w:pgSz w:w="11900" w:h="16838" w:orient="portrait"/>
          <w:cols w:equalWidth="0" w:num="1">
            <w:col w:w="11240"/>
          </w:cols>
          <w:pgMar w:left="320" w:top="855" w:right="339" w:bottom="1440" w:gutter="0" w:footer="0" w:header="0"/>
          <w:type w:val="continuous"/>
        </w:sectPr>
      </w:pPr>
    </w:p>
    <w:p>
      <w:pPr>
        <w:spacing w:after="0" w:line="248" w:lineRule="exact"/>
        <w:rPr>
          <w:sz w:val="20"/>
          <w:szCs w:val="20"/>
          <w:color w:val="auto"/>
        </w:rPr>
      </w:pPr>
    </w:p>
    <w:p>
      <w:pPr>
        <w:ind w:left="1320"/>
        <w:spacing w:after="0"/>
        <w:rPr>
          <w:sz w:val="20"/>
          <w:szCs w:val="20"/>
          <w:color w:val="auto"/>
        </w:rPr>
      </w:pPr>
      <w:r>
        <w:rPr>
          <w:rFonts w:ascii="Arial" w:cs="Arial" w:eastAsia="Arial" w:hAnsi="Arial"/>
          <w:sz w:val="16"/>
          <w:szCs w:val="16"/>
          <w:color w:val="404040"/>
        </w:rPr>
        <w:t>Number of shares of Dover Common Stock -</w:t>
      </w:r>
    </w:p>
    <w:p>
      <w:pPr>
        <w:spacing w:after="0" w:line="46" w:lineRule="exact"/>
        <w:rPr>
          <w:sz w:val="20"/>
          <w:szCs w:val="20"/>
          <w:color w:val="auto"/>
        </w:rPr>
      </w:pPr>
    </w:p>
    <w:p>
      <w:pPr>
        <w:ind w:left="1320"/>
        <w:spacing w:after="0"/>
        <w:rPr>
          <w:sz w:val="20"/>
          <w:szCs w:val="20"/>
          <w:color w:val="auto"/>
        </w:rPr>
      </w:pPr>
      <w:r>
        <w:rPr>
          <w:rFonts w:ascii="Arial" w:cs="Arial" w:eastAsia="Arial" w:hAnsi="Arial"/>
          <w:sz w:val="18"/>
          <w:szCs w:val="18"/>
          <w:color w:val="404040"/>
        </w:rPr>
        <w:t>SSAR Base Price Per Share -</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404040"/>
        </w:rPr>
        <w:t>Date of Grant -</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404040"/>
        </w:rPr>
        <w:t>Expiration Date -</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404040"/>
        </w:rPr>
        <w:t>/$AwardsGranted$/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404040"/>
        </w:rPr>
        <w:t>$_____</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404040"/>
        </w:rPr>
        <w:t>February __, 2021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404040"/>
        </w:rPr>
        <w:t>February __, 2031</w:t>
      </w:r>
    </w:p>
    <w:p>
      <w:pPr>
        <w:spacing w:after="0" w:line="222" w:lineRule="exact"/>
        <w:rPr>
          <w:sz w:val="20"/>
          <w:szCs w:val="20"/>
          <w:color w:val="auto"/>
        </w:rPr>
      </w:pPr>
    </w:p>
    <w:p>
      <w:pPr>
        <w:sectPr>
          <w:pgSz w:w="11900" w:h="16838" w:orient="portrait"/>
          <w:cols w:equalWidth="0" w:num="2">
            <w:col w:w="5060" w:space="720"/>
            <w:col w:w="5460"/>
          </w:cols>
          <w:pgMar w:left="320" w:top="855" w:right="339" w:bottom="1440" w:gutter="0" w:footer="0" w:header="0"/>
          <w:type w:val="continuous"/>
        </w:sectPr>
      </w:pPr>
    </w:p>
    <w:p>
      <w:pPr>
        <w:spacing w:after="0" w:line="22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Your Stock Settled Appreciation Right (SSAR) Award is subject to all the terms and provisions of the Dover Corporation ("Dover") 2012 Equity and Cash Incentive Plan, as amended from time to time ("Plan"), which terms and provisions are expressly incorporated into and made a part of the Award as if set forth in full herein. Capitalized terms used but not defined herein have the meanings ascribed to them in the Plan. A copy of the Plan and any Plan amendments can be found at </w:t>
      </w:r>
      <w:r>
        <w:rPr>
          <w:rFonts w:ascii="Arial" w:cs="Arial" w:eastAsia="Arial" w:hAnsi="Arial"/>
          <w:sz w:val="18"/>
          <w:szCs w:val="18"/>
          <w:u w:val="single" w:color="auto"/>
          <w:color w:val="0E32E1"/>
        </w:rPr>
        <w:t>www.dovercorporation.com</w:t>
      </w:r>
      <w:r>
        <w:rPr>
          <w:rFonts w:ascii="Arial" w:cs="Arial" w:eastAsia="Arial" w:hAnsi="Arial"/>
          <w:sz w:val="18"/>
          <w:szCs w:val="18"/>
          <w:color w:val="auto"/>
        </w:rPr>
        <w:t>, in the Investor Information area, under SEC Filings, in the Proxy Statement filed on March 19, 2012, Appendix 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SSAR Award is subject to the following:</w:t>
      </w:r>
    </w:p>
    <w:p>
      <w:pPr>
        <w:spacing w:after="0" w:line="239" w:lineRule="exact"/>
        <w:rPr>
          <w:sz w:val="20"/>
          <w:szCs w:val="20"/>
          <w:color w:val="auto"/>
        </w:rPr>
      </w:pPr>
    </w:p>
    <w:p>
      <w:pPr>
        <w:ind w:left="660" w:right="80" w:hanging="409"/>
        <w:spacing w:after="0" w:line="279" w:lineRule="auto"/>
        <w:tabs>
          <w:tab w:leader="none" w:pos="695" w:val="left"/>
        </w:tabs>
        <w:numPr>
          <w:ilvl w:val="0"/>
          <w:numId w:val="36"/>
        </w:numPr>
        <w:rPr>
          <w:rFonts w:ascii="Arial" w:cs="Arial" w:eastAsia="Arial" w:hAnsi="Arial"/>
          <w:sz w:val="19"/>
          <w:szCs w:val="19"/>
          <w:color w:val="404040"/>
        </w:rPr>
      </w:pPr>
      <w:r>
        <w:rPr>
          <w:rFonts w:ascii="Arial" w:cs="Arial" w:eastAsia="Arial" w:hAnsi="Arial"/>
          <w:sz w:val="17"/>
          <w:szCs w:val="17"/>
          <w:color w:val="404040"/>
        </w:rPr>
        <w:t>The earliest date on which the SSAR Award may be exercised is the third anniversary of the Grant Date. Earlier exercise may be permitted in the event of a Change of Control or death or disability as provided in the Plan. No payment is required to exercise a SSAR Award.</w:t>
      </w:r>
    </w:p>
    <w:p>
      <w:pPr>
        <w:spacing w:after="0" w:line="176" w:lineRule="exact"/>
        <w:rPr>
          <w:rFonts w:ascii="Arial" w:cs="Arial" w:eastAsia="Arial" w:hAnsi="Arial"/>
          <w:sz w:val="19"/>
          <w:szCs w:val="19"/>
          <w:color w:val="404040"/>
        </w:rPr>
      </w:pPr>
    </w:p>
    <w:p>
      <w:pPr>
        <w:ind w:left="660" w:right="300" w:hanging="382"/>
        <w:spacing w:after="0" w:line="282" w:lineRule="auto"/>
        <w:tabs>
          <w:tab w:leader="none" w:pos="687"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It is your responsibility to keep track of your SSAR Award and to ensure that you exercise your SSAR Award before it expires. Dover will not remind or notify you that your SSAR Award is nearing its expiration date.</w:t>
      </w:r>
    </w:p>
    <w:p>
      <w:pPr>
        <w:spacing w:after="0" w:line="165" w:lineRule="exact"/>
        <w:rPr>
          <w:rFonts w:ascii="Arial" w:cs="Arial" w:eastAsia="Arial" w:hAnsi="Arial"/>
          <w:sz w:val="18"/>
          <w:szCs w:val="18"/>
          <w:color w:val="auto"/>
        </w:rPr>
      </w:pPr>
    </w:p>
    <w:p>
      <w:pPr>
        <w:ind w:left="660" w:right="220" w:hanging="382"/>
        <w:spacing w:after="0" w:line="277"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Your SSAR Award is subject to earlier termination as provided in the Plan, for example, upon termination of employment (including retirement) prior to the expiration date.</w:t>
      </w:r>
    </w:p>
    <w:p>
      <w:pPr>
        <w:spacing w:after="0" w:line="170" w:lineRule="exact"/>
        <w:rPr>
          <w:rFonts w:ascii="Arial" w:cs="Arial" w:eastAsia="Arial" w:hAnsi="Arial"/>
          <w:sz w:val="18"/>
          <w:szCs w:val="18"/>
          <w:color w:val="auto"/>
        </w:rPr>
      </w:pPr>
    </w:p>
    <w:p>
      <w:pPr>
        <w:ind w:left="660" w:right="40" w:hanging="382"/>
        <w:spacing w:after="0" w:line="293" w:lineRule="auto"/>
        <w:tabs>
          <w:tab w:leader="none" w:pos="6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Upon exercise of your SSAR Award, you will be entitled to receive from Dover that number of whole shares of Common Stock equal in value, on the date of exercise of the SSAR Award, to the excess of (A) the value of a share of Common Stock on the date of exercise of the SSAR Award multiplied by the number of SSARs being exercised over (B) the sum of (i) the per share base price of the SSAR Award being exercised multiplied by the number of SSARs being exercised, plus (ii) unless you elect to pay such tax in cash, any amount of tax that must be withheld in connection with such exercise; provided, however, for any Section 16 Person, (B) above will automatically include any amount of tax that must be withheld in connection with such exercise. Fractional shares shall be disregarded unless otherwise determined by the Plan Committee.</w:t>
      </w:r>
    </w:p>
    <w:p>
      <w:pPr>
        <w:spacing w:after="0" w:line="177" w:lineRule="exact"/>
        <w:rPr>
          <w:rFonts w:ascii="Arial" w:cs="Arial" w:eastAsia="Arial" w:hAnsi="Arial"/>
          <w:sz w:val="16"/>
          <w:szCs w:val="16"/>
          <w:color w:val="auto"/>
        </w:rPr>
      </w:pPr>
    </w:p>
    <w:p>
      <w:pPr>
        <w:ind w:left="660" w:right="80" w:hanging="409"/>
        <w:spacing w:after="0" w:line="250" w:lineRule="auto"/>
        <w:tabs>
          <w:tab w:leader="none" w:pos="695" w:val="left"/>
        </w:tabs>
        <w:numPr>
          <w:ilvl w:val="0"/>
          <w:numId w:val="36"/>
        </w:numPr>
        <w:rPr>
          <w:rFonts w:ascii="Arial" w:cs="Arial" w:eastAsia="Arial" w:hAnsi="Arial"/>
          <w:sz w:val="20"/>
          <w:szCs w:val="20"/>
          <w:color w:val="404040"/>
        </w:rPr>
      </w:pPr>
      <w:r>
        <w:rPr>
          <w:rFonts w:ascii="Arial" w:cs="Arial" w:eastAsia="Arial" w:hAnsi="Arial"/>
          <w:sz w:val="18"/>
          <w:szCs w:val="18"/>
          <w:color w:val="404040"/>
        </w:rPr>
        <w:t>As a condition of receiving your SSAR Award, you agree to be bound by the terms and conditions of Dover’s Anti-hedging and Anti-pledging Policy (which is part of Dover’s Securities Trading and Confidentiality Policy) and by Dover’s Clawback Policy, as such policies may be in effect from time to</w:t>
      </w:r>
    </w:p>
    <w:p>
      <w:pPr>
        <w:sectPr>
          <w:pgSz w:w="11900" w:h="16838" w:orient="portrait"/>
          <w:cols w:equalWidth="0" w:num="1">
            <w:col w:w="11240"/>
          </w:cols>
          <w:pgMar w:left="320" w:top="855" w:right="339" w:bottom="1440" w:gutter="0" w:footer="0" w:header="0"/>
          <w:type w:val="continuous"/>
        </w:sectPr>
      </w:pPr>
    </w:p>
    <w:bookmarkStart w:id="47" w:name="page48"/>
    <w:bookmarkEnd w:id="47"/>
    <w:p>
      <w:pPr>
        <w:ind w:left="382"/>
        <w:spacing w:after="0" w:line="301" w:lineRule="auto"/>
        <w:rPr>
          <w:sz w:val="20"/>
          <w:szCs w:val="20"/>
          <w:color w:val="auto"/>
        </w:rPr>
      </w:pPr>
      <w:r>
        <w:rPr>
          <w:rFonts w:ascii="Arial" w:cs="Arial" w:eastAsia="Arial" w:hAnsi="Arial"/>
          <w:sz w:val="16"/>
          <w:szCs w:val="16"/>
          <w:color w:val="404040"/>
        </w:rPr>
        <w:t xml:space="preserve">time. The Anti-hedging and Anti-pledging Policy prohibits hedging or pledging </w:t>
      </w:r>
      <w:r>
        <w:rPr>
          <w:rFonts w:ascii="Arial" w:cs="Arial" w:eastAsia="Arial" w:hAnsi="Arial"/>
          <w:sz w:val="16"/>
          <w:szCs w:val="16"/>
          <w:u w:val="single" w:color="auto"/>
          <w:color w:val="404040"/>
        </w:rPr>
        <w:t>any</w:t>
      </w:r>
      <w:r>
        <w:rPr>
          <w:rFonts w:ascii="Arial" w:cs="Arial" w:eastAsia="Arial" w:hAnsi="Arial"/>
          <w:sz w:val="16"/>
          <w:szCs w:val="16"/>
          <w:color w:val="404040"/>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w:t>
      </w:r>
    </w:p>
    <w:p>
      <w:pPr>
        <w:spacing w:after="0" w:line="171" w:lineRule="exact"/>
        <w:rPr>
          <w:sz w:val="20"/>
          <w:szCs w:val="20"/>
          <w:color w:val="auto"/>
        </w:rPr>
      </w:pPr>
    </w:p>
    <w:p>
      <w:pPr>
        <w:ind w:left="382" w:right="260" w:hanging="382"/>
        <w:spacing w:after="0" w:line="277" w:lineRule="auto"/>
        <w:tabs>
          <w:tab w:leader="none" w:pos="3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Non-US Employees, your SSAR Award is subject to the terms and conditions of the Addendum for Non-US Employees attached to your SSAR Award letter.</w:t>
      </w:r>
    </w:p>
    <w:p>
      <w:pPr>
        <w:spacing w:after="0" w:line="170" w:lineRule="exact"/>
        <w:rPr>
          <w:rFonts w:ascii="Arial" w:cs="Arial" w:eastAsia="Arial" w:hAnsi="Arial"/>
          <w:sz w:val="18"/>
          <w:szCs w:val="18"/>
          <w:color w:val="auto"/>
        </w:rPr>
      </w:pPr>
    </w:p>
    <w:p>
      <w:pPr>
        <w:ind w:left="382" w:right="240" w:hanging="382"/>
        <w:spacing w:after="0" w:line="277" w:lineRule="auto"/>
        <w:tabs>
          <w:tab w:leader="none" w:pos="357"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Your SSAR Award is not transferrable by you other than by will or the laws of descent and distribution and in accordance with the applicable terms and conditions of the Plan.</w:t>
      </w:r>
    </w:p>
    <w:p>
      <w:pPr>
        <w:spacing w:after="0" w:line="170" w:lineRule="exact"/>
        <w:rPr>
          <w:rFonts w:ascii="Arial" w:cs="Arial" w:eastAsia="Arial" w:hAnsi="Arial"/>
          <w:sz w:val="18"/>
          <w:szCs w:val="18"/>
          <w:color w:val="auto"/>
        </w:rPr>
      </w:pPr>
    </w:p>
    <w:p>
      <w:pPr>
        <w:ind w:left="402" w:hanging="402"/>
        <w:spacing w:after="0"/>
        <w:tabs>
          <w:tab w:leader="none" w:pos="4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ectPr>
          <w:pgSz w:w="11900" w:h="16838" w:orient="portrait"/>
          <w:cols w:equalWidth="0" w:num="1">
            <w:col w:w="10762"/>
          </w:cols>
          <w:pgMar w:left="598" w:top="1421" w:right="5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1525905" cy="5657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Cash Performance Award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/$CurrentDate$/</w:t>
      </w:r>
    </w:p>
    <w:p>
      <w:pPr>
        <w:spacing w:after="0" w:line="19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/$ParticipantName$/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Here are the details for your Cash Performance Award: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Your business unit -</w:t>
            </w:r>
          </w:p>
        </w:tc>
        <w:tc>
          <w:tcPr>
            <w:tcW w:w="1880" w:type="dxa"/>
            <w:vAlign w:val="bottom"/>
          </w:tcPr>
          <w:p>
            <w:pPr>
              <w:ind w:left="540"/>
              <w:spacing w:after="0"/>
              <w:rPr>
                <w:sz w:val="20"/>
                <w:szCs w:val="20"/>
                <w:color w:val="auto"/>
              </w:rPr>
            </w:pPr>
            <w:r>
              <w:rPr>
                <w:rFonts w:ascii="Arial" w:cs="Arial" w:eastAsia="Arial" w:hAnsi="Arial"/>
                <w:sz w:val="18"/>
                <w:szCs w:val="18"/>
                <w:color w:val="auto"/>
              </w:rPr>
              <w:t>/$UserCode3$/</w:t>
            </w:r>
          </w:p>
        </w:tc>
        <w:tc>
          <w:tcPr>
            <w:tcW w:w="1120" w:type="dxa"/>
            <w:vAlign w:val="bottom"/>
          </w:tcPr>
          <w:p>
            <w:pPr>
              <w:spacing w:after="0"/>
              <w:rPr>
                <w:sz w:val="18"/>
                <w:szCs w:val="18"/>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w w:val="96"/>
              </w:rPr>
              <w:t>The Performance Period is the three-year period -</w:t>
            </w:r>
          </w:p>
        </w:tc>
        <w:tc>
          <w:tcPr>
            <w:tcW w:w="1120" w:type="dxa"/>
            <w:vAlign w:val="bottom"/>
          </w:tcPr>
          <w:p>
            <w:pPr>
              <w:jc w:val="right"/>
              <w:spacing w:after="0"/>
              <w:rPr>
                <w:sz w:val="20"/>
                <w:szCs w:val="20"/>
                <w:color w:val="auto"/>
              </w:rPr>
            </w:pPr>
            <w:r>
              <w:rPr>
                <w:rFonts w:ascii="Arial" w:cs="Arial" w:eastAsia="Arial" w:hAnsi="Arial"/>
                <w:sz w:val="18"/>
                <w:szCs w:val="18"/>
                <w:color w:val="auto"/>
              </w:rPr>
              <w:t>2021 - 2023</w:t>
            </w:r>
          </w:p>
        </w:tc>
      </w:tr>
    </w:tbl>
    <w:p>
      <w:pPr>
        <w:spacing w:after="0"/>
        <w:tabs>
          <w:tab w:leader="none" w:pos="4800" w:val="left"/>
        </w:tabs>
        <w:rPr>
          <w:sz w:val="20"/>
          <w:szCs w:val="20"/>
          <w:color w:val="auto"/>
        </w:rPr>
      </w:pPr>
      <w:r>
        <w:rPr>
          <w:rFonts w:ascii="Arial" w:cs="Arial" w:eastAsia="Arial" w:hAnsi="Arial"/>
          <w:sz w:val="18"/>
          <w:szCs w:val="18"/>
          <w:color w:val="auto"/>
        </w:rPr>
        <w:t>Your target Cash Performance Award payout at the 100% level -</w:t>
      </w:r>
      <w:r>
        <w:rPr>
          <w:sz w:val="20"/>
          <w:szCs w:val="20"/>
          <w:color w:val="auto"/>
        </w:rPr>
        <w:tab/>
      </w:r>
      <w:r>
        <w:rPr>
          <w:rFonts w:ascii="Arial" w:cs="Arial" w:eastAsia="Arial" w:hAnsi="Arial"/>
          <w:sz w:val="16"/>
          <w:szCs w:val="16"/>
          <w:color w:val="auto"/>
        </w:rPr>
        <w:t>/$AwardsGranted$//$GrantCode4$/</w:t>
      </w:r>
    </w:p>
    <w:p>
      <w:pPr>
        <w:spacing w:after="0" w:line="200" w:lineRule="exact"/>
        <w:rPr>
          <w:sz w:val="20"/>
          <w:szCs w:val="20"/>
          <w:color w:val="auto"/>
        </w:rPr>
      </w:pPr>
    </w:p>
    <w:p>
      <w:pPr>
        <w:spacing w:after="0" w:line="2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actual Cash Performance Award amount to be paid to you, if any, will be derived from the Cash Performance Payout Table included in this Award agreement.</w:t>
      </w:r>
    </w:p>
    <w:p>
      <w:pPr>
        <w:spacing w:after="0" w:line="19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Your Cash Performance Award is subject to all the terms and provisions of the Dover Corporation ("Dover") 2012 Equity and Cash Incentive Plan, as amended from time to time ("Plan"), which terms and provisions are expressly incorporated into and made a part of the award as if set forth in full herein. Capitalized terms used but not defined herein have the meanings ascribed to them in the Plan. A copy of the Plan and any Plan amendments can be found at www.dovercorporation.com in the Investor Information area, under SEC Filings, in the Proxy Statement filed on March 19, 2012, Appendix 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Cash Performance Award is subject to the following:</w:t>
      </w:r>
    </w:p>
    <w:p>
      <w:pPr>
        <w:spacing w:after="0" w:line="252" w:lineRule="exact"/>
        <w:rPr>
          <w:sz w:val="20"/>
          <w:szCs w:val="20"/>
          <w:color w:val="auto"/>
        </w:rPr>
      </w:pPr>
    </w:p>
    <w:p>
      <w:pPr>
        <w:ind w:left="660" w:right="14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Within two and one-half months following the end of the Performance Period, your Dover Operating Company will pay you a Cash Performance Award payout if your business unit has reached certain levels of internal total shareholder return (“iTSR”), as set forth in the Cash Performance Payout Table, and the other conditions of your Cash Performance Award are satisfied.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summary of the definition of iTSR for your business unit is set forth in the Definition of iTSR included in this Award agreement.</w:t>
      </w:r>
    </w:p>
    <w:p>
      <w:pPr>
        <w:spacing w:after="0" w:line="252" w:lineRule="exact"/>
        <w:rPr>
          <w:rFonts w:ascii="Arial" w:cs="Arial" w:eastAsia="Arial" w:hAnsi="Arial"/>
          <w:sz w:val="18"/>
          <w:szCs w:val="18"/>
          <w:color w:val="auto"/>
        </w:rPr>
      </w:pPr>
    </w:p>
    <w:p>
      <w:pPr>
        <w:ind w:left="660" w:right="40" w:hanging="328"/>
        <w:spacing w:after="0" w:line="30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aggregate maximum cash payout for each business unit (determined after applying the individual payout limitation noted in the next sentence, if applicable) in respect of all Cash Performance Awards for a specific Performance Period shall not exceed the product of (i) 1.75%, times (ii) the sum of the business unit’s change in entity value plus free cash flow (as such terms are defined in the Definition of iTSR) for that Performance Period. In no event will the Cash Performance Award payout to any one individual exceed $10 million for the Performance Period.</w:t>
      </w:r>
    </w:p>
    <w:p>
      <w:pPr>
        <w:spacing w:after="0" w:line="184" w:lineRule="exact"/>
        <w:rPr>
          <w:rFonts w:ascii="Arial" w:cs="Arial" w:eastAsia="Arial" w:hAnsi="Arial"/>
          <w:sz w:val="16"/>
          <w:szCs w:val="16"/>
          <w:color w:val="auto"/>
        </w:rPr>
      </w:pPr>
    </w:p>
    <w:p>
      <w:pPr>
        <w:ind w:left="660" w:right="40" w:hanging="328"/>
        <w:spacing w:after="0" w:line="25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a condition of receiving your Cash Performance Award, you agree to be bound by the terms and conditions of Dover’s Anti- hedging and Anti-pledging Policy (which is part of Dover’s Securities Trading and Confidentiality Policy) and by Dover’s Clawback Policy, as such policies may be in effect from time to time. The Anti-hedging and Anti-pledging Policy prohibits hedging or pledging any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Policy and Anti-pledging Policy, and the Clawback Policy, by contacting the Benefits Department at 630-541-1540.</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Non-US Employees, your Cash Performance Award is subject to the terms and conditions of the Addendum for Non-US Employees.</w:t>
      </w:r>
    </w:p>
    <w:p>
      <w:pPr>
        <w:sectPr>
          <w:pgSz w:w="11900" w:h="16838" w:orient="portrait"/>
          <w:cols w:equalWidth="0" w:num="1">
            <w:col w:w="11240"/>
          </w:cols>
          <w:pgMar w:left="320" w:top="612" w:right="339" w:bottom="1440" w:gutter="0" w:footer="0" w:header="0"/>
        </w:sectPr>
      </w:pPr>
    </w:p>
    <w:bookmarkStart w:id="49" w:name="page50"/>
    <w:bookmarkEnd w:id="49"/>
    <w:p>
      <w:pPr>
        <w:spacing w:after="0"/>
        <w:tabs>
          <w:tab w:leader="none" w:pos="4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«/$ParticipantName$/</w:t>
      </w:r>
    </w:p>
    <w:p>
      <w:pPr>
        <w:spacing w:after="0" w:line="200" w:lineRule="exact"/>
        <w:rPr>
          <w:sz w:val="20"/>
          <w:szCs w:val="20"/>
          <w:color w:val="auto"/>
        </w:rPr>
      </w:pPr>
    </w:p>
    <w:p>
      <w:pPr>
        <w:spacing w:after="0" w:line="295" w:lineRule="exact"/>
        <w:rPr>
          <w:sz w:val="20"/>
          <w:szCs w:val="20"/>
          <w:color w:val="auto"/>
        </w:rPr>
      </w:pPr>
    </w:p>
    <w:p>
      <w:pPr>
        <w:ind w:left="660" w:right="3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Your Cash Performance Award is not transferrable by you other than by will or the laws of descent and distribution and in accordance with the applicable terms and conditions of the Plan.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80" w:type="dxa"/>
            <w:vAlign w:val="bottom"/>
            <w:gridSpan w:val="3"/>
          </w:tcPr>
          <w:p>
            <w:pPr>
              <w:spacing w:after="0"/>
              <w:rPr>
                <w:sz w:val="20"/>
                <w:szCs w:val="20"/>
                <w:color w:val="auto"/>
              </w:rPr>
            </w:pPr>
            <w:r>
              <w:rPr>
                <w:rFonts w:ascii="Arial" w:cs="Arial" w:eastAsia="Arial" w:hAnsi="Arial"/>
                <w:sz w:val="18"/>
                <w:szCs w:val="18"/>
                <w:b w:val="1"/>
                <w:bCs w:val="1"/>
                <w:color w:val="auto"/>
              </w:rPr>
              <w:t>Cash Performance Payout Table</w:t>
            </w:r>
          </w:p>
        </w:tc>
      </w:tr>
      <w:tr>
        <w:trPr>
          <w:trHeight w:val="47"/>
        </w:trPr>
        <w:tc>
          <w:tcPr>
            <w:tcW w:w="26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60" w:type="dxa"/>
            <w:vAlign w:val="bottom"/>
            <w:tcBorders>
              <w:top w:val="single" w:sz="8" w:color="auto"/>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r>
      <w:tr>
        <w:trPr>
          <w:trHeight w:val="223"/>
        </w:trPr>
        <w:tc>
          <w:tcPr>
            <w:tcW w:w="4380" w:type="dxa"/>
            <w:vAlign w:val="bottom"/>
            <w:tcBorders>
              <w:left w:val="single" w:sz="8" w:color="auto"/>
              <w:bottom w:val="single" w:sz="8" w:color="auto"/>
            </w:tcBorders>
            <w:gridSpan w:val="3"/>
          </w:tcPr>
          <w:p>
            <w:pPr>
              <w:ind w:left="1760"/>
              <w:spacing w:after="0"/>
              <w:rPr>
                <w:sz w:val="20"/>
                <w:szCs w:val="20"/>
                <w:color w:val="auto"/>
              </w:rPr>
            </w:pPr>
            <w:r>
              <w:rPr>
                <w:rFonts w:ascii="Arial" w:cs="Arial" w:eastAsia="Arial" w:hAnsi="Arial"/>
                <w:sz w:val="18"/>
                <w:szCs w:val="18"/>
                <w:color w:val="auto"/>
              </w:rPr>
              <w:t>iTSR for Performance Period</w:t>
            </w:r>
          </w:p>
        </w:tc>
        <w:tc>
          <w:tcPr>
            <w:tcW w:w="12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Payout (% of target)</w:t>
            </w:r>
          </w:p>
        </w:tc>
      </w:tr>
      <w:tr>
        <w:trPr>
          <w:trHeight w:val="223"/>
        </w:trPr>
        <w:tc>
          <w:tcPr>
            <w:tcW w:w="3040" w:type="dxa"/>
            <w:vAlign w:val="bottom"/>
            <w:tcBorders>
              <w:left w:val="single" w:sz="8" w:color="auto"/>
              <w:bottom w:val="single" w:sz="8" w:color="auto"/>
            </w:tcBorders>
            <w:gridSpan w:val="2"/>
          </w:tcPr>
          <w:p>
            <w:pPr>
              <w:jc w:val="center"/>
              <w:ind w:left="2530"/>
              <w:spacing w:after="0"/>
              <w:rPr>
                <w:sz w:val="20"/>
                <w:szCs w:val="20"/>
                <w:color w:val="auto"/>
              </w:rPr>
            </w:pPr>
            <w:r>
              <w:rPr>
                <w:rFonts w:ascii="Arial" w:cs="Arial" w:eastAsia="Arial" w:hAnsi="Arial"/>
                <w:sz w:val="18"/>
                <w:szCs w:val="18"/>
                <w:color w:val="auto"/>
                <w:w w:val="92"/>
              </w:rPr>
              <w:t>&lt;5%</w:t>
            </w:r>
          </w:p>
        </w:tc>
        <w:tc>
          <w:tcPr>
            <w:tcW w:w="13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0%</w:t>
            </w:r>
          </w:p>
        </w:tc>
      </w:tr>
      <w:tr>
        <w:trPr>
          <w:trHeight w:val="223"/>
        </w:trPr>
        <w:tc>
          <w:tcPr>
            <w:tcW w:w="3040" w:type="dxa"/>
            <w:vAlign w:val="bottom"/>
            <w:tcBorders>
              <w:left w:val="single" w:sz="8" w:color="auto"/>
              <w:bottom w:val="single" w:sz="8" w:color="auto"/>
            </w:tcBorders>
            <w:gridSpan w:val="2"/>
          </w:tcPr>
          <w:p>
            <w:pPr>
              <w:jc w:val="center"/>
              <w:ind w:left="2510"/>
              <w:spacing w:after="0"/>
              <w:rPr>
                <w:sz w:val="20"/>
                <w:szCs w:val="20"/>
                <w:color w:val="auto"/>
              </w:rPr>
            </w:pPr>
            <w:r>
              <w:rPr>
                <w:rFonts w:ascii="Arial" w:cs="Arial" w:eastAsia="Arial" w:hAnsi="Arial"/>
                <w:sz w:val="18"/>
                <w:szCs w:val="18"/>
                <w:color w:val="auto"/>
                <w:w w:val="92"/>
              </w:rPr>
              <w:t>5%</w:t>
            </w:r>
          </w:p>
        </w:tc>
        <w:tc>
          <w:tcPr>
            <w:tcW w:w="13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25%</w:t>
            </w:r>
          </w:p>
        </w:tc>
      </w:tr>
      <w:tr>
        <w:trPr>
          <w:trHeight w:val="223"/>
        </w:trPr>
        <w:tc>
          <w:tcPr>
            <w:tcW w:w="3040" w:type="dxa"/>
            <w:vAlign w:val="bottom"/>
            <w:tcBorders>
              <w:left w:val="single" w:sz="8" w:color="auto"/>
              <w:bottom w:val="single" w:sz="8" w:color="auto"/>
            </w:tcBorders>
            <w:gridSpan w:val="2"/>
          </w:tcPr>
          <w:p>
            <w:pPr>
              <w:jc w:val="center"/>
              <w:ind w:left="2510"/>
              <w:spacing w:after="0"/>
              <w:rPr>
                <w:sz w:val="20"/>
                <w:szCs w:val="20"/>
                <w:color w:val="auto"/>
              </w:rPr>
            </w:pPr>
            <w:r>
              <w:rPr>
                <w:rFonts w:ascii="Arial" w:cs="Arial" w:eastAsia="Arial" w:hAnsi="Arial"/>
                <w:sz w:val="18"/>
                <w:szCs w:val="18"/>
                <w:color w:val="auto"/>
                <w:w w:val="92"/>
              </w:rPr>
              <w:t>8%</w:t>
            </w:r>
          </w:p>
        </w:tc>
        <w:tc>
          <w:tcPr>
            <w:tcW w:w="13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100%</w:t>
            </w:r>
          </w:p>
        </w:tc>
      </w:tr>
      <w:tr>
        <w:trPr>
          <w:trHeight w:val="223"/>
        </w:trPr>
        <w:tc>
          <w:tcPr>
            <w:tcW w:w="3040" w:type="dxa"/>
            <w:vAlign w:val="bottom"/>
            <w:tcBorders>
              <w:left w:val="single" w:sz="8" w:color="auto"/>
              <w:bottom w:val="single" w:sz="8" w:color="auto"/>
            </w:tcBorders>
            <w:gridSpan w:val="2"/>
          </w:tcPr>
          <w:p>
            <w:pPr>
              <w:jc w:val="center"/>
              <w:ind w:left="2510"/>
              <w:spacing w:after="0"/>
              <w:rPr>
                <w:sz w:val="20"/>
                <w:szCs w:val="20"/>
                <w:color w:val="auto"/>
              </w:rPr>
            </w:pPr>
            <w:r>
              <w:rPr>
                <w:rFonts w:ascii="Arial" w:cs="Arial" w:eastAsia="Arial" w:hAnsi="Arial"/>
                <w:sz w:val="18"/>
                <w:szCs w:val="18"/>
                <w:color w:val="auto"/>
                <w:w w:val="88"/>
              </w:rPr>
              <w:t>16%</w:t>
            </w:r>
          </w:p>
        </w:tc>
        <w:tc>
          <w:tcPr>
            <w:tcW w:w="13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300%</w:t>
            </w:r>
          </w:p>
        </w:tc>
      </w:tr>
      <w:tr>
        <w:trPr>
          <w:trHeight w:val="183"/>
        </w:trPr>
        <w:tc>
          <w:tcPr>
            <w:tcW w:w="4380" w:type="dxa"/>
            <w:vAlign w:val="bottom"/>
            <w:tcBorders>
              <w:left w:val="single" w:sz="8" w:color="auto"/>
            </w:tcBorders>
            <w:gridSpan w:val="3"/>
          </w:tcPr>
          <w:p>
            <w:pPr>
              <w:jc w:val="center"/>
              <w:ind w:left="1170"/>
              <w:spacing w:after="0" w:line="182" w:lineRule="exact"/>
              <w:rPr>
                <w:sz w:val="20"/>
                <w:szCs w:val="20"/>
                <w:color w:val="auto"/>
              </w:rPr>
            </w:pPr>
            <w:r>
              <w:rPr>
                <w:rFonts w:ascii="Arial" w:cs="Arial" w:eastAsia="Arial" w:hAnsi="Arial"/>
                <w:sz w:val="18"/>
                <w:szCs w:val="18"/>
                <w:color w:val="auto"/>
                <w:w w:val="94"/>
              </w:rPr>
              <w:t>&gt;30%</w:t>
            </w:r>
          </w:p>
        </w:tc>
        <w:tc>
          <w:tcPr>
            <w:tcW w:w="1260" w:type="dxa"/>
            <w:vAlign w:val="bottom"/>
            <w:tcBorders>
              <w:right w:val="single" w:sz="8" w:color="auto"/>
            </w:tcBorders>
          </w:tcPr>
          <w:p>
            <w:pPr>
              <w:spacing w:after="0"/>
              <w:rPr>
                <w:sz w:val="15"/>
                <w:szCs w:val="15"/>
                <w:color w:val="auto"/>
              </w:rPr>
            </w:pPr>
          </w:p>
        </w:tc>
        <w:tc>
          <w:tcPr>
            <w:tcW w:w="5620" w:type="dxa"/>
            <w:vAlign w:val="bottom"/>
            <w:tcBorders>
              <w:right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1"/>
              </w:rPr>
              <w:t>500%</w:t>
            </w:r>
          </w:p>
        </w:tc>
      </w:tr>
      <w:tr>
        <w:trPr>
          <w:trHeight w:val="21"/>
        </w:trPr>
        <w:tc>
          <w:tcPr>
            <w:tcW w:w="260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right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payout formula will be applied on a sliding scale based on the business unit’s iTSR for the Performance Period.</w:t>
      </w:r>
    </w:p>
    <w:p>
      <w:pPr>
        <w:spacing w:after="0" w:line="200" w:lineRule="exact"/>
        <w:rPr>
          <w:sz w:val="20"/>
          <w:szCs w:val="20"/>
          <w:color w:val="auto"/>
        </w:rPr>
      </w:pP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Definition of iTSR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Conceptual formula for iTSR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171450</wp:posOffset>
            </wp:positionV>
            <wp:extent cx="2597150"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5971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Explanation of iTSR formula:</w:t>
      </w:r>
    </w:p>
    <w:p>
      <w:pPr>
        <w:spacing w:after="0" w:line="256" w:lineRule="exact"/>
        <w:rPr>
          <w:sz w:val="20"/>
          <w:szCs w:val="20"/>
          <w:color w:val="auto"/>
        </w:rPr>
      </w:pPr>
    </w:p>
    <w:p>
      <w:pPr>
        <w:ind w:left="340" w:right="240"/>
        <w:spacing w:after="0" w:line="263" w:lineRule="auto"/>
        <w:rPr>
          <w:sz w:val="20"/>
          <w:szCs w:val="20"/>
          <w:color w:val="auto"/>
        </w:rPr>
      </w:pPr>
      <w:r>
        <w:rPr>
          <w:rFonts w:ascii="Arial" w:cs="Arial" w:eastAsia="Arial" w:hAnsi="Arial"/>
          <w:sz w:val="18"/>
          <w:szCs w:val="18"/>
          <w:color w:val="auto"/>
        </w:rPr>
        <w:t>Change in entity value is nine times the change in EBITDA values, comparing the full base year to the full final year of the performance period. The base year iTSR is the minimum value of an Operating Company, to which the 9X multiple is applied to calculate an EV. The base year iTSR is calculated using the highest of the following:</w:t>
      </w:r>
    </w:p>
    <w:p>
      <w:pPr>
        <w:spacing w:after="0" w:line="211" w:lineRule="exact"/>
        <w:rPr>
          <w:sz w:val="20"/>
          <w:szCs w:val="20"/>
          <w:color w:val="auto"/>
        </w:rPr>
      </w:pPr>
    </w:p>
    <w:p>
      <w:pPr>
        <w:ind w:left="1000" w:hanging="344"/>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Base-Year EBITDA</w:t>
      </w:r>
    </w:p>
    <w:p>
      <w:pPr>
        <w:spacing w:after="0" w:line="23" w:lineRule="exact"/>
        <w:rPr>
          <w:rFonts w:ascii="Arial" w:cs="Arial" w:eastAsia="Arial" w:hAnsi="Arial"/>
          <w:sz w:val="18"/>
          <w:szCs w:val="18"/>
          <w:color w:val="auto"/>
        </w:rPr>
      </w:pPr>
    </w:p>
    <w:p>
      <w:pPr>
        <w:ind w:left="1060" w:hanging="40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 of Base-Year Sales</w:t>
      </w:r>
    </w:p>
    <w:p>
      <w:pPr>
        <w:spacing w:after="0" w:line="9" w:lineRule="exact"/>
        <w:rPr>
          <w:rFonts w:ascii="Arial" w:cs="Arial" w:eastAsia="Arial" w:hAnsi="Arial"/>
          <w:sz w:val="18"/>
          <w:szCs w:val="18"/>
          <w:color w:val="auto"/>
        </w:rPr>
      </w:pPr>
    </w:p>
    <w:p>
      <w:pPr>
        <w:ind w:left="1100" w:hanging="444"/>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90% of Prior-to-Base-Year iTSR Base</w:t>
      </w:r>
    </w:p>
    <w:p>
      <w:pPr>
        <w:spacing w:after="0" w:line="238" w:lineRule="exact"/>
        <w:rPr>
          <w:sz w:val="20"/>
          <w:szCs w:val="20"/>
          <w:color w:val="auto"/>
        </w:rPr>
      </w:pPr>
    </w:p>
    <w:p>
      <w:pPr>
        <w:ind w:left="340" w:right="640"/>
        <w:spacing w:after="0" w:line="342" w:lineRule="auto"/>
        <w:rPr>
          <w:sz w:val="20"/>
          <w:szCs w:val="20"/>
          <w:color w:val="auto"/>
        </w:rPr>
      </w:pPr>
      <w:r>
        <w:rPr>
          <w:rFonts w:ascii="Arial" w:cs="Arial" w:eastAsia="Arial" w:hAnsi="Arial"/>
          <w:sz w:val="16"/>
          <w:szCs w:val="16"/>
          <w:color w:val="auto"/>
        </w:rPr>
        <w:t>Free cash flow is cash flow generated by your Operating Company that is returned to Dover and is operating profit (EBIT) of the business plus depreciation and amortization, minus taxes, minus the change in working capital, and investments made for future growth (capital spending).</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EBITDA is pre-tax income adjusted for non-operating and non-recurring items plus depreciation and amortization.</w:t>
      </w:r>
    </w:p>
    <w:p>
      <w:pPr>
        <w:sectPr>
          <w:pgSz w:w="11900" w:h="16838" w:orient="portrait"/>
          <w:cols w:equalWidth="0" w:num="1">
            <w:col w:w="11260"/>
          </w:cols>
          <w:pgMar w:left="320" w:top="611" w:right="319" w:bottom="1440" w:gutter="0" w:footer="0" w:header="0"/>
        </w:sectPr>
      </w:pPr>
    </w:p>
    <w:bookmarkStart w:id="50" w:name="page51"/>
    <w:bookmarkEnd w:id="50"/>
    <w:p>
      <w:pPr>
        <w:spacing w:after="0"/>
        <w:tabs>
          <w:tab w:leader="none" w:pos="4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«/$ParticipantName$/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Mathematical Formula for 3 Year iTSR Cash Performance Plan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171450</wp:posOffset>
            </wp:positionV>
            <wp:extent cx="3557270" cy="325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55727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Rules for Transfers/Promotions</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following rules will apply to you if you are transferred from one Dover business unit to another Dover business unit. These rules apply to all Cash Performance payments you may be entitled to under this and any other Cash Performance Award under the Plan you may have, as if part of your original Award.</w:t>
      </w:r>
    </w:p>
    <w:p>
      <w:pPr>
        <w:spacing w:after="0" w:line="200" w:lineRule="exact"/>
        <w:rPr>
          <w:sz w:val="20"/>
          <w:szCs w:val="20"/>
          <w:color w:val="auto"/>
        </w:rPr>
      </w:pPr>
    </w:p>
    <w:p>
      <w:pPr>
        <w:spacing w:after="0" w:line="254" w:lineRule="exact"/>
        <w:rPr>
          <w:sz w:val="20"/>
          <w:szCs w:val="20"/>
          <w:color w:val="auto"/>
        </w:rPr>
      </w:pPr>
    </w:p>
    <w:p>
      <w:pPr>
        <w:ind w:left="660" w:right="140" w:hanging="4"/>
        <w:spacing w:after="0" w:line="277"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first Cash Performance payment date that occurs after your transfer, any Cash Performance payment that may be due will be based on the performance of your old business unit.</w:t>
      </w:r>
    </w:p>
    <w:p>
      <w:pPr>
        <w:spacing w:after="0" w:line="197" w:lineRule="exact"/>
        <w:rPr>
          <w:rFonts w:ascii="Arial" w:cs="Arial" w:eastAsia="Arial" w:hAnsi="Arial"/>
          <w:sz w:val="18"/>
          <w:szCs w:val="18"/>
          <w:color w:val="auto"/>
        </w:rPr>
      </w:pPr>
    </w:p>
    <w:p>
      <w:pPr>
        <w:ind w:left="660" w:right="100" w:hanging="4"/>
        <w:spacing w:after="0" w:line="308" w:lineRule="auto"/>
        <w:tabs>
          <w:tab w:leader="none" w:pos="925"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the second Cash Performance payment date that occurs after your transfer, any Cash Performance payment that may be due will be based on the performance of either your old business unit or your new business unit, whichever results in the higher payment to you.</w:t>
      </w:r>
    </w:p>
    <w:p>
      <w:pPr>
        <w:spacing w:after="0" w:line="173" w:lineRule="exact"/>
        <w:rPr>
          <w:rFonts w:ascii="Arial" w:cs="Arial" w:eastAsia="Arial" w:hAnsi="Arial"/>
          <w:sz w:val="17"/>
          <w:szCs w:val="17"/>
          <w:color w:val="auto"/>
        </w:rPr>
      </w:pPr>
    </w:p>
    <w:p>
      <w:pPr>
        <w:ind w:left="660" w:hanging="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third Cash Performance payment date that occurs after your transfer, any Cash Performance payment that may be due will be based on the performance of your new business unit.</w:t>
      </w:r>
    </w:p>
    <w:p>
      <w:pPr>
        <w:spacing w:after="0" w:line="197" w:lineRule="exact"/>
        <w:rPr>
          <w:rFonts w:ascii="Arial" w:cs="Arial" w:eastAsia="Arial" w:hAnsi="Arial"/>
          <w:sz w:val="18"/>
          <w:szCs w:val="18"/>
          <w:color w:val="auto"/>
        </w:rPr>
      </w:pPr>
    </w:p>
    <w:p>
      <w:pPr>
        <w:ind w:left="660" w:right="220" w:hanging="4"/>
        <w:spacing w:after="0" w:line="277" w:lineRule="auto"/>
        <w:tabs>
          <w:tab w:leader="none" w:pos="9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Cash Performance payment under an award made at one business unit that becomes payable after you transfer to another business unit will still be based on that Award’s original dollar amount.</w:t>
      </w:r>
    </w:p>
    <w:p>
      <w:pPr>
        <w:spacing w:after="0" w:line="200" w:lineRule="exact"/>
        <w:rPr>
          <w:sz w:val="20"/>
          <w:szCs w:val="20"/>
          <w:color w:val="auto"/>
        </w:rPr>
      </w:pPr>
    </w:p>
    <w:p>
      <w:pPr>
        <w:spacing w:after="0" w:line="24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purposes of these rules your old business unit is the business unit indicated on your Award. Your new business unit is the business unit where you are employed on the payment date.</w:t>
      </w:r>
    </w:p>
    <w:p>
      <w:pPr>
        <w:sectPr>
          <w:pgSz w:w="11900" w:h="16838" w:orient="portrait"/>
          <w:cols w:equalWidth="0" w:num="1">
            <w:col w:w="11200"/>
          </w:cols>
          <w:pgMar w:left="320" w:top="611" w:right="37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242570</wp:posOffset>
            </wp:positionV>
            <wp:extent cx="1525905" cy="539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52590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6"/>
        <w:spacing w:after="0"/>
        <w:rPr>
          <w:sz w:val="20"/>
          <w:szCs w:val="20"/>
          <w:color w:val="auto"/>
        </w:rPr>
      </w:pPr>
      <w:r>
        <w:rPr>
          <w:rFonts w:ascii="Arial" w:cs="Arial" w:eastAsia="Arial" w:hAnsi="Arial"/>
          <w:sz w:val="32"/>
          <w:szCs w:val="32"/>
          <w:b w:val="1"/>
          <w:bCs w:val="1"/>
          <w:color w:val="auto"/>
        </w:rPr>
        <w:t>Performance Share Award</w:t>
      </w:r>
    </w:p>
    <w:p>
      <w:pPr>
        <w:spacing w:after="0" w:line="347" w:lineRule="exact"/>
        <w:rPr>
          <w:sz w:val="20"/>
          <w:szCs w:val="20"/>
          <w:color w:val="auto"/>
        </w:rPr>
      </w:pPr>
    </w:p>
    <w:p>
      <w:pPr>
        <w:ind w:left="4"/>
        <w:spacing w:after="0"/>
        <w:rPr>
          <w:sz w:val="20"/>
          <w:szCs w:val="20"/>
          <w:color w:val="auto"/>
        </w:rPr>
      </w:pPr>
      <w:r>
        <w:rPr>
          <w:rFonts w:ascii="Arial" w:cs="Arial" w:eastAsia="Arial" w:hAnsi="Arial"/>
          <w:sz w:val="18"/>
          <w:szCs w:val="18"/>
          <w:color w:val="auto"/>
        </w:rPr>
        <w:t>/$CurrentDate$/</w:t>
      </w:r>
    </w:p>
    <w:p>
      <w:pPr>
        <w:spacing w:after="0" w:line="252" w:lineRule="exact"/>
        <w:rPr>
          <w:sz w:val="20"/>
          <w:szCs w:val="20"/>
          <w:color w:val="auto"/>
        </w:rPr>
      </w:pPr>
    </w:p>
    <w:p>
      <w:pPr>
        <w:ind w:left="4"/>
        <w:spacing w:after="0"/>
        <w:tabs>
          <w:tab w:leader="none" w:pos="444"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/$ParticipantName$/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Here are the details for your Performance Share Award:</w:t>
      </w:r>
    </w:p>
    <w:p>
      <w:pPr>
        <w:spacing w:after="0" w:line="225" w:lineRule="exact"/>
        <w:rPr>
          <w:sz w:val="20"/>
          <w:szCs w:val="20"/>
          <w:color w:val="auto"/>
        </w:rPr>
      </w:pPr>
    </w:p>
    <w:p>
      <w:pPr>
        <w:ind w:left="984"/>
        <w:spacing w:after="0"/>
        <w:tabs>
          <w:tab w:leader="none" w:pos="4724" w:val="left"/>
        </w:tabs>
        <w:rPr>
          <w:sz w:val="20"/>
          <w:szCs w:val="20"/>
          <w:color w:val="auto"/>
        </w:rPr>
      </w:pPr>
      <w:r>
        <w:rPr>
          <w:rFonts w:ascii="Arial" w:cs="Arial" w:eastAsia="Arial" w:hAnsi="Arial"/>
          <w:sz w:val="18"/>
          <w:szCs w:val="18"/>
          <w:color w:val="auto"/>
        </w:rPr>
        <w:t>The Performance Period is the three-year period -</w:t>
      </w:r>
      <w:r>
        <w:rPr>
          <w:sz w:val="20"/>
          <w:szCs w:val="20"/>
          <w:color w:val="auto"/>
        </w:rPr>
        <w:tab/>
      </w:r>
      <w:r>
        <w:rPr>
          <w:rFonts w:ascii="Arial" w:cs="Arial" w:eastAsia="Arial" w:hAnsi="Arial"/>
          <w:sz w:val="16"/>
          <w:szCs w:val="16"/>
          <w:color w:val="auto"/>
        </w:rPr>
        <w:t>2021 - 2023</w:t>
      </w:r>
    </w:p>
    <w:p>
      <w:pPr>
        <w:spacing w:after="0" w:line="23" w:lineRule="exact"/>
        <w:rPr>
          <w:sz w:val="20"/>
          <w:szCs w:val="20"/>
          <w:color w:val="auto"/>
        </w:rPr>
      </w:pPr>
    </w:p>
    <w:p>
      <w:pPr>
        <w:ind w:left="984"/>
        <w:spacing w:after="0"/>
        <w:tabs>
          <w:tab w:leader="none" w:pos="5284" w:val="left"/>
        </w:tabs>
        <w:rPr>
          <w:sz w:val="20"/>
          <w:szCs w:val="20"/>
          <w:color w:val="auto"/>
        </w:rPr>
      </w:pPr>
      <w:r>
        <w:rPr>
          <w:rFonts w:ascii="Arial" w:cs="Arial" w:eastAsia="Arial" w:hAnsi="Arial"/>
          <w:sz w:val="18"/>
          <w:szCs w:val="18"/>
          <w:color w:val="auto"/>
        </w:rPr>
        <w:t>Your target Performance Share Award at the 100% level -</w:t>
      </w:r>
      <w:r>
        <w:rPr>
          <w:sz w:val="20"/>
          <w:szCs w:val="20"/>
          <w:color w:val="auto"/>
        </w:rPr>
        <w:tab/>
      </w:r>
      <w:r>
        <w:rPr>
          <w:rFonts w:ascii="Arial" w:cs="Arial" w:eastAsia="Arial" w:hAnsi="Arial"/>
          <w:sz w:val="16"/>
          <w:szCs w:val="16"/>
          <w:color w:val="auto"/>
        </w:rPr>
        <w:t>/$AwardsGranted$/ Shares</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actual Performance Shares to be paid to you, if any, will be derived from the Performance Share Payout Table included in this Award agreement.</w:t>
      </w:r>
    </w:p>
    <w:p>
      <w:pPr>
        <w:spacing w:after="0" w:line="289" w:lineRule="exact"/>
        <w:rPr>
          <w:sz w:val="20"/>
          <w:szCs w:val="20"/>
          <w:color w:val="auto"/>
        </w:rPr>
      </w:pPr>
    </w:p>
    <w:p>
      <w:pPr>
        <w:ind w:left="4" w:right="140"/>
        <w:spacing w:after="0" w:line="272" w:lineRule="auto"/>
        <w:rPr>
          <w:sz w:val="20"/>
          <w:szCs w:val="20"/>
          <w:color w:val="auto"/>
        </w:rPr>
      </w:pPr>
      <w:r>
        <w:rPr>
          <w:rFonts w:ascii="Arial" w:cs="Arial" w:eastAsia="Arial" w:hAnsi="Arial"/>
          <w:sz w:val="18"/>
          <w:szCs w:val="18"/>
          <w:color w:val="auto"/>
        </w:rPr>
        <w:t xml:space="preserve">Your Performance Share Award is subject to all the terms and provisions of the Dover Corporation ("Dover") 2012 Equity and Cash Incentive Plan, as amended from time to time ("Plan"), which terms and provisions are expressly incorporated into and made a part of the Award as if set forth in full herein. Capitalized terms used but not defined herein have the meanings ascribed to them in the Plan. A copy of the Plan and any Plan amendments can be found at </w:t>
      </w:r>
      <w:r>
        <w:rPr>
          <w:rFonts w:ascii="Arial" w:cs="Arial" w:eastAsia="Arial" w:hAnsi="Arial"/>
          <w:sz w:val="18"/>
          <w:szCs w:val="18"/>
          <w:u w:val="single" w:color="auto"/>
          <w:color w:val="0E32E1"/>
        </w:rPr>
        <w:t>www.dovercorporation.com</w:t>
      </w:r>
      <w:r>
        <w:rPr>
          <w:rFonts w:ascii="Arial" w:cs="Arial" w:eastAsia="Arial" w:hAnsi="Arial"/>
          <w:sz w:val="18"/>
          <w:szCs w:val="18"/>
          <w:color w:val="auto"/>
        </w:rPr>
        <w:t>, in the Investor Information area, under SEC Filings, in the Proxy Statement filed on March 19, 2012, Appendix A.</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addition, your Performance Share Award is subject to the following:</w:t>
      </w:r>
    </w:p>
    <w:p>
      <w:pPr>
        <w:spacing w:after="0" w:line="266" w:lineRule="exact"/>
        <w:rPr>
          <w:sz w:val="20"/>
          <w:szCs w:val="20"/>
          <w:color w:val="auto"/>
        </w:rPr>
      </w:pPr>
    </w:p>
    <w:p>
      <w:pPr>
        <w:ind w:left="324" w:right="480" w:hanging="324"/>
        <w:spacing w:after="0" w:line="275" w:lineRule="auto"/>
        <w:tabs>
          <w:tab w:leader="none" w:pos="3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Within two and one-half months following the end of the Performance Period, Dover will issue you Common Stock based on Dover’s TSR Ranking, as set forth in the Performance Share Payout Table included in this Award agreement, and if the other conditions of your Performance Share Award are satisfied. For any Section 16 Person, Dover shall issue shares of Common Stock for the vested Performance Share Award less applicable tax withholding.</w:t>
      </w:r>
    </w:p>
    <w:p>
      <w:pPr>
        <w:spacing w:after="0" w:line="212" w:lineRule="exact"/>
        <w:rPr>
          <w:rFonts w:ascii="Arial" w:cs="Arial" w:eastAsia="Arial" w:hAnsi="Arial"/>
          <w:sz w:val="18"/>
          <w:szCs w:val="18"/>
          <w:color w:val="auto"/>
        </w:rPr>
      </w:pPr>
    </w:p>
    <w:p>
      <w:pPr>
        <w:ind w:left="324" w:hanging="324"/>
        <w:spacing w:after="0"/>
        <w:tabs>
          <w:tab w:leader="none" w:pos="3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summary of the components of the Dover’s TSR Ranking is set forth in the Definitions Section included in this Award agreement.</w:t>
      </w:r>
    </w:p>
    <w:p>
      <w:pPr>
        <w:spacing w:after="0" w:line="265" w:lineRule="exact"/>
        <w:rPr>
          <w:rFonts w:ascii="Arial" w:cs="Arial" w:eastAsia="Arial" w:hAnsi="Arial"/>
          <w:sz w:val="18"/>
          <w:szCs w:val="18"/>
          <w:color w:val="auto"/>
        </w:rPr>
      </w:pPr>
    </w:p>
    <w:p>
      <w:pPr>
        <w:ind w:left="324" w:hanging="324"/>
        <w:spacing w:after="0"/>
        <w:tabs>
          <w:tab w:leader="none" w:pos="3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no event will the performance payout to any one individual exceed 500,000 shares of Common Stock for the Performance Period.</w:t>
      </w:r>
    </w:p>
    <w:p>
      <w:pPr>
        <w:spacing w:after="0" w:line="265" w:lineRule="exact"/>
        <w:rPr>
          <w:rFonts w:ascii="Arial" w:cs="Arial" w:eastAsia="Arial" w:hAnsi="Arial"/>
          <w:sz w:val="18"/>
          <w:szCs w:val="18"/>
          <w:color w:val="auto"/>
        </w:rPr>
      </w:pPr>
    </w:p>
    <w:p>
      <w:pPr>
        <w:ind w:left="324" w:right="200" w:hanging="324"/>
        <w:spacing w:after="0" w:line="311" w:lineRule="auto"/>
        <w:tabs>
          <w:tab w:leader="none" w:pos="3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a condition of receiving your Performance Share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any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 hedging and Anti-pledging Policy, and the Clawback Policy, by contacting the Benefits Department at 630- 541-1540.</w:t>
      </w:r>
    </w:p>
    <w:p>
      <w:pPr>
        <w:spacing w:after="0" w:line="189" w:lineRule="exact"/>
        <w:rPr>
          <w:rFonts w:ascii="Arial" w:cs="Arial" w:eastAsia="Arial" w:hAnsi="Arial"/>
          <w:sz w:val="16"/>
          <w:szCs w:val="16"/>
          <w:color w:val="auto"/>
        </w:rPr>
      </w:pPr>
    </w:p>
    <w:p>
      <w:pPr>
        <w:ind w:left="324" w:hanging="324"/>
        <w:spacing w:after="0"/>
        <w:tabs>
          <w:tab w:leader="none" w:pos="324"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Non-US Employees, your Performance Share Award is subject to the terms and conditions of the Addendum for Non-US Employees.</w:t>
      </w:r>
    </w:p>
    <w:p>
      <w:pPr>
        <w:sectPr>
          <w:pgSz w:w="11900" w:h="16838" w:orient="portrait"/>
          <w:cols w:equalWidth="0" w:num="1">
            <w:col w:w="11124"/>
          </w:cols>
          <w:pgMar w:left="436" w:top="855" w:right="339" w:bottom="1440" w:gutter="0" w:footer="0" w:header="0"/>
        </w:sectPr>
      </w:pPr>
    </w:p>
    <w:bookmarkStart w:id="52" w:name="page53"/>
    <w:bookmarkEnd w:id="52"/>
    <w:p>
      <w:pPr>
        <w:spacing w:after="0" w:line="49" w:lineRule="exact"/>
        <w:rPr>
          <w:sz w:val="20"/>
          <w:szCs w:val="20"/>
          <w:color w:val="auto"/>
        </w:rPr>
      </w:pPr>
    </w:p>
    <w:p>
      <w:pPr>
        <w:ind w:left="440" w:right="340" w:hanging="324"/>
        <w:spacing w:after="0" w:line="293"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Your Performance Share Award is not transferrable by you other than by will or the laws of descent and distribution and in accordance with the applicable terms and conditions of the Plan.</w:t>
      </w:r>
    </w:p>
    <w:p>
      <w:pPr>
        <w:spacing w:after="0" w:line="196"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Performance Share Payout Table</w:t>
      </w:r>
    </w:p>
    <w:p>
      <w:pPr>
        <w:spacing w:after="0" w:line="200" w:lineRule="exact"/>
        <w:rPr>
          <w:sz w:val="20"/>
          <w:szCs w:val="20"/>
          <w:color w:val="auto"/>
        </w:rPr>
      </w:pPr>
    </w:p>
    <w:p>
      <w:pPr>
        <w:spacing w:after="0" w:line="3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Dover’s TSR Ranking for Performance Period</w:t>
            </w:r>
          </w:p>
        </w:tc>
        <w:tc>
          <w:tcPr>
            <w:tcW w:w="5280" w:type="dxa"/>
            <w:vAlign w:val="bottom"/>
            <w:tcBorders>
              <w:top w:val="single" w:sz="8" w:color="auto"/>
              <w:bottom w:val="single" w:sz="8" w:color="auto"/>
              <w:right w:val="single" w:sz="8" w:color="auto"/>
            </w:tcBorders>
          </w:tcPr>
          <w:p>
            <w:pPr>
              <w:ind w:left="1900"/>
              <w:spacing w:after="0"/>
              <w:rPr>
                <w:sz w:val="20"/>
                <w:szCs w:val="20"/>
                <w:color w:val="auto"/>
              </w:rPr>
            </w:pPr>
            <w:r>
              <w:rPr>
                <w:rFonts w:ascii="Arial" w:cs="Arial" w:eastAsia="Arial" w:hAnsi="Arial"/>
                <w:sz w:val="18"/>
                <w:szCs w:val="18"/>
                <w:color w:val="auto"/>
              </w:rPr>
              <w:t>Payout (% of target)</w:t>
            </w:r>
          </w:p>
        </w:tc>
      </w:tr>
      <w:tr>
        <w:trPr>
          <w:trHeight w:val="236"/>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90th Percentile or above</w:t>
            </w:r>
          </w:p>
        </w:tc>
        <w:tc>
          <w:tcPr>
            <w:tcW w:w="5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300%</w:t>
            </w:r>
          </w:p>
        </w:tc>
      </w:tr>
      <w:tr>
        <w:trPr>
          <w:trHeight w:val="237"/>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75th Percentile</w:t>
            </w:r>
          </w:p>
        </w:tc>
        <w:tc>
          <w:tcPr>
            <w:tcW w:w="5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36"/>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50th Percentile</w:t>
            </w:r>
          </w:p>
        </w:tc>
        <w:tc>
          <w:tcPr>
            <w:tcW w:w="5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36"/>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25th Percentile</w:t>
            </w:r>
          </w:p>
        </w:tc>
        <w:tc>
          <w:tcPr>
            <w:tcW w:w="5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r>
      <w:tr>
        <w:trPr>
          <w:trHeight w:val="237"/>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Below 25th Percentile</w:t>
            </w:r>
          </w:p>
        </w:tc>
        <w:tc>
          <w:tcPr>
            <w:tcW w:w="5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bl>
    <w:p>
      <w:pPr>
        <w:spacing w:after="0" w:line="200" w:lineRule="exact"/>
        <w:rPr>
          <w:sz w:val="20"/>
          <w:szCs w:val="20"/>
          <w:color w:val="auto"/>
        </w:rPr>
      </w:pPr>
    </w:p>
    <w:p>
      <w:pPr>
        <w:spacing w:after="0" w:line="29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If Dover’s TSR Ranking for the Performance Period is between two of the levels set forth in the table above, the Payout percentage shall be determined using linear interpolation. In the event Dover’s TSR for the Performance Period is negative, the Payout percentage shall not exceed 100%.</w:t>
      </w: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Award, the terms below have the following meanings:</w:t>
      </w:r>
    </w:p>
    <w:p>
      <w:pPr>
        <w:spacing w:after="0" w:line="248" w:lineRule="exact"/>
        <w:rPr>
          <w:sz w:val="20"/>
          <w:szCs w:val="20"/>
          <w:color w:val="auto"/>
        </w:rPr>
      </w:pPr>
    </w:p>
    <w:p>
      <w:pPr>
        <w:ind w:left="440"/>
        <w:spacing w:after="0" w:line="282" w:lineRule="auto"/>
        <w:rPr>
          <w:sz w:val="20"/>
          <w:szCs w:val="20"/>
          <w:color w:val="auto"/>
        </w:rPr>
      </w:pPr>
      <w:r>
        <w:rPr>
          <w:rFonts w:ascii="Arial" w:cs="Arial" w:eastAsia="Arial" w:hAnsi="Arial"/>
          <w:sz w:val="18"/>
          <w:szCs w:val="18"/>
          <w:b w:val="1"/>
          <w:bCs w:val="1"/>
          <w:color w:val="auto"/>
        </w:rPr>
        <w:t xml:space="preserve">Beginning Stock Price: </w:t>
      </w:r>
      <w:r>
        <w:rPr>
          <w:rFonts w:ascii="Arial" w:cs="Arial" w:eastAsia="Arial" w:hAnsi="Arial"/>
          <w:sz w:val="18"/>
          <w:szCs w:val="18"/>
          <w:color w:val="auto"/>
        </w:rPr>
        <w:t>The closing price of a share of stock, as reported in transactions on the applicable stock exchange or market, on the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day immediately prior to the first trading day of the Performance Period.</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Change in Stock Price: </w:t>
      </w:r>
      <w:r>
        <w:rPr>
          <w:rFonts w:ascii="Arial" w:cs="Arial" w:eastAsia="Arial" w:hAnsi="Arial"/>
          <w:sz w:val="18"/>
          <w:szCs w:val="18"/>
          <w:color w:val="auto"/>
        </w:rPr>
        <w:t>The Ending Stock Price minus the Beginning Stock Price.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TSR: </w:t>
      </w:r>
      <w:r>
        <w:rPr>
          <w:rFonts w:ascii="Arial" w:cs="Arial" w:eastAsia="Arial" w:hAnsi="Arial"/>
          <w:sz w:val="18"/>
          <w:szCs w:val="18"/>
          <w:color w:val="auto"/>
        </w:rPr>
        <w:t>(Change in Stock Price + Dividends Paid)/Beginning Stock Price</w:t>
      </w:r>
    </w:p>
    <w:p>
      <w:pPr>
        <w:spacing w:after="0" w:line="252" w:lineRule="exact"/>
        <w:rPr>
          <w:sz w:val="20"/>
          <w:szCs w:val="20"/>
          <w:color w:val="auto"/>
        </w:rPr>
      </w:pPr>
    </w:p>
    <w:p>
      <w:pPr>
        <w:ind w:left="440" w:right="260"/>
        <w:spacing w:after="0" w:line="282" w:lineRule="auto"/>
        <w:rPr>
          <w:sz w:val="20"/>
          <w:szCs w:val="20"/>
          <w:color w:val="auto"/>
        </w:rPr>
      </w:pPr>
      <w:r>
        <w:rPr>
          <w:rFonts w:ascii="Arial" w:cs="Arial" w:eastAsia="Arial" w:hAnsi="Arial"/>
          <w:sz w:val="18"/>
          <w:szCs w:val="18"/>
          <w:b w:val="1"/>
          <w:bCs w:val="1"/>
          <w:color w:val="auto"/>
        </w:rPr>
        <w:t xml:space="preserve">Dividends Paid: </w:t>
      </w:r>
      <w:r>
        <w:rPr>
          <w:rFonts w:ascii="Arial" w:cs="Arial" w:eastAsia="Arial" w:hAnsi="Arial"/>
          <w:sz w:val="18"/>
          <w:szCs w:val="18"/>
          <w:color w:val="auto"/>
        </w:rPr>
        <w:t>The total of all dividends paid on one share of stock during the Performance Period, provided that dividends shall be treated as</w:t>
      </w:r>
      <w:r>
        <w:rPr>
          <w:rFonts w:ascii="Arial" w:cs="Arial" w:eastAsia="Arial" w:hAnsi="Arial"/>
          <w:sz w:val="18"/>
          <w:szCs w:val="18"/>
          <w:b w:val="1"/>
          <w:bCs w:val="1"/>
          <w:color w:val="auto"/>
        </w:rPr>
        <w:t xml:space="preserve"> </w:t>
      </w:r>
      <w:r>
        <w:rPr>
          <w:rFonts w:ascii="Arial" w:cs="Arial" w:eastAsia="Arial" w:hAnsi="Arial"/>
          <w:sz w:val="18"/>
          <w:szCs w:val="18"/>
          <w:color w:val="auto"/>
        </w:rPr>
        <w:t>though they are reinvested on the date the dividend is paid.</w:t>
      </w:r>
    </w:p>
    <w:p>
      <w:pPr>
        <w:spacing w:after="0" w:line="270" w:lineRule="exact"/>
        <w:rPr>
          <w:sz w:val="20"/>
          <w:szCs w:val="20"/>
          <w:color w:val="auto"/>
        </w:rPr>
      </w:pPr>
    </w:p>
    <w:p>
      <w:pPr>
        <w:ind w:left="440" w:right="660"/>
        <w:spacing w:after="0" w:line="282" w:lineRule="auto"/>
        <w:rPr>
          <w:sz w:val="20"/>
          <w:szCs w:val="20"/>
          <w:color w:val="auto"/>
        </w:rPr>
      </w:pPr>
      <w:r>
        <w:rPr>
          <w:rFonts w:ascii="Arial" w:cs="Arial" w:eastAsia="Arial" w:hAnsi="Arial"/>
          <w:sz w:val="18"/>
          <w:szCs w:val="18"/>
          <w:b w:val="1"/>
          <w:bCs w:val="1"/>
          <w:color w:val="auto"/>
        </w:rPr>
        <w:t xml:space="preserve">Ending Stock Price: </w:t>
      </w:r>
      <w:r>
        <w:rPr>
          <w:rFonts w:ascii="Arial" w:cs="Arial" w:eastAsia="Arial" w:hAnsi="Arial"/>
          <w:sz w:val="18"/>
          <w:szCs w:val="18"/>
          <w:color w:val="auto"/>
        </w:rPr>
        <w:t>The average closing price of a share of stock, as reported in transactions on the applicable stock exchange or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last 30 trading days of the Performance Period.</w:t>
      </w:r>
    </w:p>
    <w:p>
      <w:pPr>
        <w:spacing w:after="0" w:line="189" w:lineRule="exact"/>
        <w:rPr>
          <w:sz w:val="20"/>
          <w:szCs w:val="20"/>
          <w:color w:val="auto"/>
        </w:rPr>
      </w:pPr>
    </w:p>
    <w:p>
      <w:pPr>
        <w:ind w:left="440" w:right="60"/>
        <w:spacing w:after="0" w:line="294" w:lineRule="auto"/>
        <w:rPr>
          <w:sz w:val="20"/>
          <w:szCs w:val="20"/>
          <w:color w:val="auto"/>
        </w:rPr>
      </w:pPr>
      <w:r>
        <w:rPr>
          <w:rFonts w:ascii="Arial" w:cs="Arial" w:eastAsia="Arial" w:hAnsi="Arial"/>
          <w:sz w:val="16"/>
          <w:szCs w:val="16"/>
          <w:b w:val="1"/>
          <w:bCs w:val="1"/>
          <w:color w:val="auto"/>
        </w:rPr>
        <w:t xml:space="preserve">Peer Group: </w:t>
      </w:r>
      <w:r>
        <w:rPr>
          <w:rFonts w:ascii="Arial" w:cs="Arial" w:eastAsia="Arial" w:hAnsi="Arial"/>
          <w:sz w:val="16"/>
          <w:szCs w:val="16"/>
          <w:color w:val="auto"/>
        </w:rPr>
        <w:t>The companies in the S&amp;P 500 Industrials Sector; provided, that (i) the Peer Group will not include any company that is not publicly</w:t>
      </w:r>
      <w:r>
        <w:rPr>
          <w:rFonts w:ascii="Arial" w:cs="Arial" w:eastAsia="Arial" w:hAnsi="Arial"/>
          <w:sz w:val="16"/>
          <w:szCs w:val="16"/>
          <w:b w:val="1"/>
          <w:bCs w:val="1"/>
          <w:color w:val="auto"/>
        </w:rPr>
        <w:t xml:space="preserve"> </w:t>
      </w:r>
      <w:r>
        <w:rPr>
          <w:rFonts w:ascii="Arial" w:cs="Arial" w:eastAsia="Arial" w:hAnsi="Arial"/>
          <w:sz w:val="16"/>
          <w:szCs w:val="16"/>
          <w:color w:val="auto"/>
        </w:rPr>
        <w:t>traded (</w:t>
      </w:r>
      <w:r>
        <w:rPr>
          <w:rFonts w:ascii="Arial" w:cs="Arial" w:eastAsia="Arial" w:hAnsi="Arial"/>
          <w:sz w:val="16"/>
          <w:szCs w:val="16"/>
          <w:i w:val="1"/>
          <w:iCs w:val="1"/>
          <w:color w:val="auto"/>
        </w:rPr>
        <w:t>i.e.</w:t>
      </w:r>
      <w:r>
        <w:rPr>
          <w:rFonts w:ascii="Arial" w:cs="Arial" w:eastAsia="Arial" w:hAnsi="Arial"/>
          <w:sz w:val="16"/>
          <w:szCs w:val="16"/>
          <w:color w:val="auto"/>
        </w:rPr>
        <w:t>, has no ticker symbol) at the end of the Performance Period; (ii) the performance of the surviving entities will be used in the event there is a combination of any of the Peer Group companies during the Performance Period; and (iii) no new companies will be added to the Peer Group during the Performance Period (including a company that is not a Peer Group member which acquires a member of the Peer Group). Notwithstanding the foregoing, the Dover Compensation Committee may disregard any of these guidelines when evaluating changes in the membership of the Peer Group during the Performance Period in any particular situation, as it deems reasonable in the exercise of its discretion.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TSR Ranking: </w:t>
      </w:r>
      <w:r>
        <w:rPr>
          <w:rFonts w:ascii="Arial" w:cs="Arial" w:eastAsia="Arial" w:hAnsi="Arial"/>
          <w:sz w:val="18"/>
          <w:szCs w:val="18"/>
          <w:color w:val="auto"/>
        </w:rPr>
        <w:t>The percentage of companies in the Peer Group that have a lower TSR for the Performance Period than Dover.</w:t>
      </w:r>
    </w:p>
    <w:p>
      <w:pPr>
        <w:sectPr>
          <w:pgSz w:w="11900" w:h="16838" w:orient="portrait"/>
          <w:cols w:equalWidth="0" w:num="1">
            <w:col w:w="11080"/>
          </w:cols>
          <w:pgMar w:left="320" w:top="1440" w:right="49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191260" cy="394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1912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640"/>
        <w:spacing w:after="0"/>
        <w:rPr>
          <w:sz w:val="20"/>
          <w:szCs w:val="20"/>
          <w:color w:val="auto"/>
        </w:rPr>
      </w:pPr>
      <w:r>
        <w:rPr>
          <w:rFonts w:ascii="Arial" w:cs="Arial" w:eastAsia="Arial" w:hAnsi="Arial"/>
          <w:sz w:val="32"/>
          <w:szCs w:val="32"/>
          <w:b w:val="1"/>
          <w:bCs w:val="1"/>
          <w:color w:val="auto"/>
        </w:rPr>
        <w:t>Restricted Stock Unit Award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DATE: /$CurrentDate$/ Date of Grant: 02/__/2021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/$ParticipantName$/ /$AwardsGranted$/ Restricted Stock Units</w:t>
      </w:r>
    </w:p>
    <w:p>
      <w:pPr>
        <w:spacing w:after="0" w:line="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Your Restricted Stock Unit Award is subject to all the terms and provisions of the Dover Corporation ("Dover") 2012 Equity and Cash Incentive Plan, as amended from time to time ("Plan"), which terms and provisions are expressly incorporated into and made a part of the award as if set forth in full herein. Capitalized terms used but not defined herein have the meanings ascribed to them in the Plan. A copy of the Plan and any Plan amendments can be found at www.dovercorporation.com, in the Investor Information area, under SEC Filings, in the Proxy Statement filed on March 19, 2012, Appendix A. In addition, your Restricted Stock Unit Award is subject to the following:</w:t>
      </w:r>
    </w:p>
    <w:p>
      <w:pPr>
        <w:spacing w:after="0" w:line="2" w:lineRule="exact"/>
        <w:rPr>
          <w:sz w:val="20"/>
          <w:szCs w:val="20"/>
          <w:color w:val="auto"/>
        </w:rPr>
      </w:pPr>
    </w:p>
    <w:p>
      <w:pPr>
        <w:ind w:left="660" w:right="6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Restricted Stock Unit is a bookkeeping entry on the books of Dover. No shares of Dover common stock shall be issued to you in respect of the Restricted Stock Unit Award until the restrictions have lapsed at the end of a Restricted Period. Within 30 days following the end of the Restricted Period, Dover shall issue shares of Common Stock in your name equal to the number of Restricted Stock Units that have vested during the Restricted Period less applicable tax withholding. In the event that your employment shall terminate prior to your vesting in the Restricted Stock Units, the Restricted Stock Units shall be forfeited.</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You shall vest in the Restricted Stock Unit Award, and all restrictions thereon shall lapse, with respect to 33% of your Restricted Stock Units on March 15, 2022 (or the last trading day preceding such date if such date is not a trading day), with respect to 33% of your Restricted Stock Units on March 15, 2023 (or the last trading day preceding such date if such date is not a trading day) and with respect to 34% of your Restricted Stock Units on March 15, 2024 (or the last trading day preceding such date if such date is not a trading day), subject to the forfeiture provisions of the Plan. You must be an active employee of Dover or an affiliate at the end of each Restricted Period in order for your Restricted Stock Units to vest, with certain exceptions as provided in the Plan.</w:t>
      </w:r>
    </w:p>
    <w:p>
      <w:pPr>
        <w:spacing w:after="0" w:line="2"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Restricted Period you shall not have any rights of a stockholder or the right to receive any dividends declared and other distributions paid with respect to the Restricted Stock Units. Within 30 days after the end of each Restricted Period you shall be paid all Dividend Equivalents with respect to the Restricted Stock Units that have vested.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You do not have any voting rights with respect to Restricted Stock Units.</w:t>
      </w:r>
    </w:p>
    <w:p>
      <w:pPr>
        <w:spacing w:after="0" w:line="9" w:lineRule="exact"/>
        <w:rPr>
          <w:rFonts w:ascii="Arial" w:cs="Arial" w:eastAsia="Arial" w:hAnsi="Arial"/>
          <w:sz w:val="18"/>
          <w:szCs w:val="18"/>
          <w:color w:val="auto"/>
        </w:rPr>
      </w:pPr>
    </w:p>
    <w:p>
      <w:pPr>
        <w:ind w:left="660" w:right="80" w:hanging="328"/>
        <w:spacing w:after="0" w:line="25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condition of receiving your Restricted Stock Unit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any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w:t>
      </w:r>
    </w:p>
    <w:p>
      <w:pPr>
        <w:sectPr>
          <w:pgSz w:w="11900" w:h="16838" w:orient="portrait"/>
          <w:cols w:equalWidth="0" w:num="1">
            <w:col w:w="11240"/>
          </w:cols>
          <w:pgMar w:left="320" w:top="855" w:right="339" w:bottom="1440" w:gutter="0" w:footer="0" w:header="0"/>
        </w:sectPr>
      </w:pPr>
    </w:p>
    <w:bookmarkStart w:id="54" w:name="page55"/>
    <w:bookmarkEnd w:id="54"/>
    <w:p>
      <w:pPr>
        <w:ind w:left="328"/>
        <w:spacing w:after="0"/>
        <w:rPr>
          <w:sz w:val="20"/>
          <w:szCs w:val="20"/>
          <w:color w:val="auto"/>
        </w:rPr>
      </w:pPr>
      <w:r>
        <w:rPr>
          <w:rFonts w:ascii="Arial" w:cs="Arial" w:eastAsia="Arial" w:hAnsi="Arial"/>
          <w:sz w:val="17"/>
          <w:szCs w:val="17"/>
          <w:color w:val="auto"/>
        </w:rPr>
        <w:t>version of the Anti-hedging and Anti-pledging Policy, and the Clawback Policy, by contacting the Benefits Department at 630-541-1540.</w:t>
      </w:r>
    </w:p>
    <w:p>
      <w:pPr>
        <w:spacing w:after="0" w:line="35" w:lineRule="exact"/>
        <w:rPr>
          <w:sz w:val="20"/>
          <w:szCs w:val="20"/>
          <w:color w:val="auto"/>
        </w:rPr>
      </w:pPr>
    </w:p>
    <w:p>
      <w:pPr>
        <w:ind w:left="328" w:hanging="328"/>
        <w:spacing w:after="0"/>
        <w:tabs>
          <w:tab w:leader="none" w:pos="328"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Non-US Employees, your Restricted Stock Unit Award is subject to the terms and conditions of the Addendum for Non-US Employees.</w:t>
      </w:r>
    </w:p>
    <w:p>
      <w:pPr>
        <w:spacing w:after="0" w:line="20" w:lineRule="exact"/>
        <w:rPr>
          <w:rFonts w:ascii="Arial" w:cs="Arial" w:eastAsia="Arial" w:hAnsi="Arial"/>
          <w:sz w:val="17"/>
          <w:szCs w:val="17"/>
          <w:color w:val="auto"/>
        </w:rPr>
      </w:pPr>
    </w:p>
    <w:p>
      <w:pPr>
        <w:ind w:left="328" w:hanging="328"/>
        <w:spacing w:after="0" w:line="250"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Your Restricted Stock Unit Award is not transferable by you other than by will or the laws of descent and distribution and in accordance with the applicable terms and conditions of the Plan.</w:t>
      </w: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ectPr>
          <w:pgSz w:w="11900" w:h="16838" w:orient="portrait"/>
          <w:cols w:equalWidth="0" w:num="1">
            <w:col w:w="10748"/>
          </w:cols>
          <w:pgMar w:left="652" w:top="1421" w:right="4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April 20,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April 20,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30"/>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Dover Corporation</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88" w:lineRule="exact"/>
        <w:rPr>
          <w:sz w:val="20"/>
          <w:szCs w:val="20"/>
          <w:color w:val="auto"/>
        </w:rPr>
      </w:pPr>
    </w:p>
    <w:p>
      <w:pPr>
        <w:ind w:left="660" w:hanging="328"/>
        <w:spacing w:after="0" w:line="28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2021 (the “Form 10-Q</w:t>
      </w:r>
      <w:r>
        <w:rPr>
          <w:rFonts w:ascii="Arial" w:cs="Arial" w:eastAsia="Arial" w:hAnsi="Arial"/>
          <w:sz w:val="18"/>
          <w:szCs w:val="18"/>
          <w:b w:val="1"/>
          <w:bCs w:val="1"/>
          <w:color w:val="auto"/>
        </w:rPr>
        <w:t>”</w:t>
      </w:r>
      <w:r>
        <w:rPr>
          <w:rFonts w:ascii="Arial" w:cs="Arial" w:eastAsia="Arial" w:hAnsi="Arial"/>
          <w:sz w:val="18"/>
          <w:szCs w:val="18"/>
          <w:color w:val="auto"/>
        </w:rPr>
        <w:t>) fully complies with the requirements of Section 13(a) of the Securities Exchange Act of 1934, as amended;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April 20,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J. Tobin</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Richard J. Tobin</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980" w:type="dxa"/>
            <w:vAlign w:val="bottom"/>
          </w:tcPr>
          <w:p>
            <w:pPr>
              <w:ind w:left="120"/>
              <w:spacing w:after="0"/>
              <w:rPr>
                <w:sz w:val="20"/>
                <w:szCs w:val="20"/>
                <w:color w:val="auto"/>
              </w:rPr>
            </w:pPr>
            <w:r>
              <w:rPr>
                <w:rFonts w:ascii="Arial" w:cs="Arial" w:eastAsia="Arial" w:hAnsi="Arial"/>
                <w:sz w:val="18"/>
                <w:szCs w:val="18"/>
                <w:color w:val="auto"/>
              </w:rPr>
              <w:t>April 20,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r>
      <w:tr>
        <w:trPr>
          <w:trHeight w:val="222"/>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30"/>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30"/>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lvl w:ilvl="1">
      <w:lvlJc w:val="left"/>
      <w:lvlText w:val="(%2)"/>
      <w:numFmt w:val="decimal"/>
      <w:start w:val="1"/>
    </w:lvl>
  </w:abstractNum>
  <w:abstractNum w:abstractNumId="5">
    <w:nsid w:val="54E49EB4"/>
    <w:multiLevelType w:val="hybridMultilevel"/>
    <w:lvl w:ilvl="0">
      <w:lvlJc w:val="left"/>
      <w:lvlText w:val="%1."/>
      <w:numFmt w:val="decimal"/>
      <w:start w:val="10"/>
    </w:lvl>
    <w:lvl w:ilvl="1">
      <w:lvlJc w:val="left"/>
      <w:lvlText w:val="%2"/>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1"/>
    </w:lvl>
  </w:abstractNum>
  <w:abstractNum w:abstractNumId="8">
    <w:nsid w:val="836C40E"/>
    <w:multiLevelType w:val="hybridMultilevel"/>
    <w:lvl w:ilvl="0">
      <w:lvlJc w:val="left"/>
      <w:lvlText w:val="%1."/>
      <w:numFmt w:val="decimal"/>
      <w:start w:val="14"/>
    </w:lvl>
  </w:abstractNum>
  <w:abstractNum w:abstractNumId="9">
    <w:nsid w:val="2901D82"/>
    <w:multiLevelType w:val="hybridMultilevel"/>
    <w:lvl w:ilvl="0">
      <w:lvlJc w:val="left"/>
      <w:lvlText w:val="%1."/>
      <w:numFmt w:val="decimal"/>
      <w:start w:val="15"/>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20"/>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01"/>
    </w:lvl>
  </w:abstractNum>
  <w:abstractNum w:abstractNumId="21">
    <w:nsid w:val="5577F8E1"/>
    <w:multiLevelType w:val="hybridMultilevel"/>
    <w:lvl w:ilvl="0">
      <w:lvlJc w:val="left"/>
      <w:lvlText w:val="%1"/>
      <w:numFmt w:val="decimal"/>
      <w:start w:val="104"/>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3"/>
    </w:lvl>
  </w:abstractNum>
  <w:abstractNum w:abstractNumId="24">
    <w:nsid w:val="3804823E"/>
    <w:multiLevelType w:val="hybridMultilevel"/>
    <w:lvl w:ilvl="0">
      <w:lvlJc w:val="left"/>
      <w:lvlText w:val="%1."/>
      <w:numFmt w:val="decimal"/>
      <w:start w:val="4"/>
    </w:lvl>
  </w:abstractNum>
  <w:abstractNum w:abstractNumId="25">
    <w:nsid w:val="77465F01"/>
    <w:multiLevelType w:val="hybridMultilevel"/>
    <w:lvl w:ilvl="0">
      <w:lvlJc w:val="left"/>
      <w:lvlText w:val="%1."/>
      <w:numFmt w:val="decimal"/>
      <w:start w:val="5"/>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3"/>
    </w:lvl>
  </w:abstractNum>
  <w:abstractNum w:abstractNumId="28">
    <w:nsid w:val="2463B9EA"/>
    <w:multiLevelType w:val="hybridMultilevel"/>
    <w:lvl w:ilvl="0">
      <w:lvlJc w:val="left"/>
      <w:lvlText w:val="%1"/>
      <w:numFmt w:val="decimal"/>
      <w:start w:val="1"/>
    </w:lvl>
    <w:lvl w:ilvl="1">
      <w:lvlJc w:val="left"/>
      <w:lvlText w:val="(%2)"/>
      <w:numFmt w:val="lowerLetter"/>
      <w:start w:val="4"/>
    </w:lvl>
  </w:abstractNum>
  <w:abstractNum w:abstractNumId="29">
    <w:nsid w:val="5E884ADC"/>
    <w:multiLevelType w:val="hybridMultilevel"/>
    <w:lvl w:ilvl="0">
      <w:lvlJc w:val="left"/>
      <w:lvlText w:val="%1."/>
      <w:numFmt w:val="decimal"/>
      <w:start w:val="6"/>
    </w:lvl>
    <w:lvl w:ilvl="1">
      <w:lvlJc w:val="left"/>
      <w:lvlText w:val="(%2)"/>
      <w:numFmt w:val="lowerLetter"/>
      <w:start w:val="2"/>
    </w:lvl>
  </w:abstractNum>
  <w:abstractNum w:abstractNumId="30">
    <w:nsid w:val="51EAD36B"/>
    <w:multiLevelType w:val="hybridMultilevel"/>
    <w:lvl w:ilvl="0">
      <w:lvlJc w:val="left"/>
      <w:lvlText w:val="%1."/>
      <w:numFmt w:val="decimal"/>
      <w:start w:val="8"/>
    </w:lvl>
    <w:lvl w:ilvl="1">
      <w:lvlJc w:val="left"/>
      <w:lvlText w:val="%2."/>
      <w:numFmt w:val="decimal"/>
      <w:start w:val="43"/>
    </w:lvl>
  </w:abstractNum>
  <w:abstractNum w:abstractNumId="31">
    <w:nsid w:val="2D517796"/>
    <w:multiLevelType w:val="hybridMultilevel"/>
    <w:lvl w:ilvl="0">
      <w:lvlJc w:val="left"/>
      <w:lvlText w:val="%1"/>
      <w:numFmt w:val="lowerLetter"/>
      <w:start w:val="1"/>
    </w:lvl>
    <w:lvl w:ilvl="1">
      <w:lvlJc w:val="left"/>
      <w:lvlText w:val="(%2)"/>
      <w:numFmt w:val="lowerLetter"/>
      <w:start w:val="1"/>
    </w:lvl>
  </w:abstractNum>
  <w:abstractNum w:abstractNumId="32">
    <w:nsid w:val="580BD78F"/>
    <w:multiLevelType w:val="hybridMultilevel"/>
    <w:lvl w:ilvl="0">
      <w:lvlJc w:val="left"/>
      <w:lvlText w:val="(%1)"/>
      <w:numFmt w:val="lowerLetter"/>
      <w:start w:val="3"/>
    </w:lvl>
    <w:lvl w:ilvl="1">
      <w:lvlJc w:val="left"/>
      <w:lvlText w:val="%2"/>
      <w:numFmt w:val="lowerLetter"/>
      <w:start w:val="1"/>
    </w:lvl>
  </w:abstractNum>
  <w:abstractNum w:abstractNumId="33">
    <w:nsid w:val="153EA438"/>
    <w:multiLevelType w:val="hybridMultilevel"/>
    <w:lvl w:ilvl="0">
      <w:lvlJc w:val="left"/>
      <w:lvlText w:val="%1"/>
      <w:numFmt w:val="decimal"/>
      <w:start w:val="1"/>
    </w:lvl>
    <w:lvl w:ilvl="1">
      <w:lvlJc w:val="left"/>
      <w:lvlText w:val="(%2)"/>
      <w:numFmt w:val="lowerLetter"/>
      <w:start w:val="2"/>
    </w:lvl>
  </w:abstractNum>
  <w:abstractNum w:abstractNumId="34">
    <w:nsid w:val="3855585C"/>
    <w:multiLevelType w:val="hybridMultilevel"/>
    <w:lvl w:ilvl="0">
      <w:lvlJc w:val="left"/>
      <w:lvlText w:val="%1."/>
      <w:numFmt w:val="decimal"/>
      <w:start w:val="9"/>
    </w:lvl>
    <w:lvl w:ilvl="1">
      <w:lvlJc w:val="left"/>
      <w:lvlText w:val="%2"/>
      <w:numFmt w:val="lowerLetter"/>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6"/>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6"/>
    </w:lvl>
  </w:abstractNum>
  <w:abstractNum w:abstractNumId="39">
    <w:nsid w:val="725A06FB"/>
    <w:multiLevelType w:val="hybridMultilevel"/>
    <w:lvl w:ilvl="0">
      <w:lvlJc w:val="left"/>
      <w:lvlText w:val="(%1)"/>
      <w:numFmt w:val="lowerRoman"/>
      <w:start w:val="1"/>
    </w:lvl>
  </w:abstractNum>
  <w:abstractNum w:abstractNumId="40">
    <w:nsid w:val="2CD89A32"/>
    <w:multiLevelType w:val="hybridMultilevel"/>
    <w:lvl w:ilvl="0">
      <w:lvlJc w:val="left"/>
      <w:lvlText w:val="(%1)"/>
      <w:numFmt w:val="lowerRoman"/>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6"/>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6"/>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48" Type="http://schemas.openxmlformats.org/officeDocument/2006/relationships/hyperlink" Target="http://www.sec.gov/Archives/edgar/data/29905/000119312521049108/d10152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2021-04-20T05:38:46Z</dcterms:created>
  <dcterms:modified xsi:type="dcterms:W3CDTF">2021-04-20T05:38:46Z</dcterms:modified>
</cp:coreProperties>
</file>