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68580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58000" cy="1714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9"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______________________________________</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47" w:lineRule="exact"/>
        <w:rPr>
          <w:sz w:val="24"/>
          <w:szCs w:val="24"/>
          <w:color w:val="auto"/>
        </w:rPr>
      </w:pPr>
    </w:p>
    <w:p>
      <w:pPr>
        <w:ind w:left="3740"/>
        <w:spacing w:after="0"/>
        <w:rPr>
          <w:sz w:val="20"/>
          <w:szCs w:val="20"/>
          <w:color w:val="auto"/>
        </w:rPr>
      </w:pPr>
      <w:r>
        <w:rPr>
          <w:rFonts w:ascii="Arial" w:cs="Arial" w:eastAsia="Arial" w:hAnsi="Arial"/>
          <w:sz w:val="22"/>
          <w:szCs w:val="22"/>
          <w:color w:val="auto"/>
        </w:rPr>
        <w:t>_______________________________</w:t>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April 23, 2026</w:t>
      </w:r>
    </w:p>
    <w:p>
      <w:pPr>
        <w:spacing w:after="0" w:line="35" w:lineRule="exact"/>
        <w:rPr>
          <w:sz w:val="24"/>
          <w:szCs w:val="24"/>
          <w:color w:val="auto"/>
        </w:rPr>
      </w:pPr>
    </w:p>
    <w:p>
      <w:pPr>
        <w:ind w:left="3760"/>
        <w:spacing w:after="0"/>
        <w:rPr>
          <w:sz w:val="20"/>
          <w:szCs w:val="20"/>
          <w:color w:val="auto"/>
        </w:rPr>
      </w:pPr>
      <w:r>
        <w:rPr>
          <w:rFonts w:ascii="Arial" w:cs="Arial" w:eastAsia="Arial" w:hAnsi="Arial"/>
          <w:sz w:val="22"/>
          <w:szCs w:val="22"/>
          <w:color w:val="auto"/>
        </w:rPr>
        <w:t>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1685290</wp:posOffset>
            </wp:positionH>
            <wp:positionV relativeFrom="paragraph">
              <wp:posOffset>-1270</wp:posOffset>
            </wp:positionV>
            <wp:extent cx="3771900" cy="5740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771900" cy="5740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jc w:val="center"/>
        <w:spacing w:after="0"/>
        <w:rPr>
          <w:sz w:val="20"/>
          <w:szCs w:val="20"/>
          <w:color w:val="auto"/>
        </w:rPr>
      </w:pPr>
      <w:r>
        <w:rPr>
          <w:rFonts w:ascii="Arial" w:cs="Arial" w:eastAsia="Arial" w:hAnsi="Arial"/>
          <w:sz w:val="11"/>
          <w:szCs w:val="11"/>
          <w:color w:val="FFFFFF"/>
        </w:rPr>
        <w:t>DOVER CORPORATION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4" w:lineRule="exact"/>
        <w:rPr>
          <w:sz w:val="24"/>
          <w:szCs w:val="24"/>
          <w:color w:val="auto"/>
        </w:rPr>
      </w:pPr>
    </w:p>
    <w:p>
      <w:pPr>
        <w:ind w:left="3780"/>
        <w:spacing w:after="0"/>
        <w:rPr>
          <w:sz w:val="20"/>
          <w:szCs w:val="20"/>
          <w:color w:val="auto"/>
        </w:rPr>
      </w:pPr>
      <w:r>
        <w:rPr>
          <w:rFonts w:ascii="Arial" w:cs="Arial" w:eastAsia="Arial" w:hAnsi="Arial"/>
          <w:sz w:val="14"/>
          <w:szCs w:val="14"/>
          <w:color w:val="auto"/>
        </w:rPr>
        <w:t>______________________________________________</w:t>
      </w:r>
    </w:p>
    <w:p>
      <w:pPr>
        <w:sectPr>
          <w:pgSz w:w="11900" w:h="16838" w:orient="portrait"/>
          <w:cols w:equalWidth="0" w:num="1">
            <w:col w:w="11240"/>
          </w:cols>
          <w:pgMar w:left="320" w:top="1263" w:right="339" w:bottom="1440" w:gutter="0" w:footer="0" w:header="0"/>
        </w:sectPr>
      </w:pPr>
    </w:p>
    <w:p>
      <w:pPr>
        <w:spacing w:after="0" w:line="32" w:lineRule="exact"/>
        <w:rPr>
          <w:sz w:val="24"/>
          <w:szCs w:val="24"/>
          <w:color w:val="auto"/>
        </w:rPr>
      </w:pPr>
    </w:p>
    <w:p>
      <w:pPr>
        <w:jc w:val="center"/>
        <w:ind w:left="440"/>
        <w:spacing w:after="0"/>
        <w:rPr>
          <w:sz w:val="20"/>
          <w:szCs w:val="20"/>
          <w:color w:val="auto"/>
        </w:rPr>
      </w:pPr>
      <w:r>
        <w:rPr>
          <w:rFonts w:ascii="Arial" w:cs="Arial" w:eastAsia="Arial" w:hAnsi="Arial"/>
          <w:sz w:val="18"/>
          <w:szCs w:val="18"/>
          <w:b w:val="1"/>
          <w:bCs w:val="1"/>
          <w:color w:val="auto"/>
        </w:rPr>
        <w:t>Delaware</w:t>
      </w:r>
    </w:p>
    <w:p>
      <w:pPr>
        <w:spacing w:after="0" w:line="40" w:lineRule="exact"/>
        <w:rPr>
          <w:sz w:val="24"/>
          <w:szCs w:val="24"/>
          <w:color w:val="auto"/>
        </w:rPr>
      </w:pPr>
    </w:p>
    <w:p>
      <w:pPr>
        <w:jc w:val="center"/>
        <w:ind w:left="440"/>
        <w:spacing w:after="0"/>
        <w:rPr>
          <w:sz w:val="20"/>
          <w:szCs w:val="20"/>
          <w:color w:val="auto"/>
        </w:rPr>
      </w:pPr>
      <w:r>
        <w:rPr>
          <w:rFonts w:ascii="Arial" w:cs="Arial" w:eastAsia="Arial" w:hAnsi="Arial"/>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1-4018</w:t>
      </w:r>
    </w:p>
    <w:p>
      <w:pPr>
        <w:spacing w:after="0" w:line="40" w:lineRule="exact"/>
        <w:rPr>
          <w:sz w:val="24"/>
          <w:szCs w:val="24"/>
          <w:color w:val="auto"/>
        </w:rPr>
      </w:pPr>
    </w:p>
    <w:p>
      <w:pPr>
        <w:jc w:val="center"/>
        <w:ind w:right="140"/>
        <w:spacing w:after="0"/>
        <w:rPr>
          <w:sz w:val="20"/>
          <w:szCs w:val="20"/>
          <w:color w:val="auto"/>
        </w:rPr>
      </w:pPr>
      <w:r>
        <w:rPr>
          <w:rFonts w:ascii="Arial" w:cs="Arial" w:eastAsia="Arial" w:hAnsi="Arial"/>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jc w:val="center"/>
        <w:ind w:right="660"/>
        <w:spacing w:after="0"/>
        <w:rPr>
          <w:sz w:val="20"/>
          <w:szCs w:val="20"/>
          <w:color w:val="auto"/>
        </w:rPr>
      </w:pPr>
      <w:r>
        <w:rPr>
          <w:rFonts w:ascii="Arial" w:cs="Arial" w:eastAsia="Arial" w:hAnsi="Arial"/>
          <w:sz w:val="18"/>
          <w:szCs w:val="18"/>
          <w:b w:val="1"/>
          <w:bCs w:val="1"/>
          <w:color w:val="auto"/>
        </w:rPr>
        <w:t>53-0257888</w:t>
      </w:r>
    </w:p>
    <w:p>
      <w:pPr>
        <w:spacing w:after="0" w:line="40" w:lineRule="exact"/>
        <w:rPr>
          <w:sz w:val="24"/>
          <w:szCs w:val="24"/>
          <w:color w:val="auto"/>
        </w:rPr>
      </w:pPr>
    </w:p>
    <w:p>
      <w:pPr>
        <w:jc w:val="center"/>
        <w:ind w:right="660"/>
        <w:spacing w:after="0"/>
        <w:rPr>
          <w:sz w:val="20"/>
          <w:szCs w:val="20"/>
          <w:color w:val="auto"/>
        </w:rPr>
      </w:pPr>
      <w:r>
        <w:rPr>
          <w:rFonts w:ascii="Arial" w:cs="Arial" w:eastAsia="Arial" w:hAnsi="Arial"/>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4080" w:space="720"/>
            <w:col w:w="2280" w:space="720"/>
            <w:col w:w="3440"/>
          </w:cols>
          <w:pgMar w:left="320" w:top="1263" w:right="339" w:bottom="1440" w:gutter="0" w:footer="0" w:header="0"/>
          <w:type w:val="continuous"/>
        </w:sectPr>
      </w:pPr>
    </w:p>
    <w:p>
      <w:pPr>
        <w:spacing w:after="0" w:line="35" w:lineRule="exact"/>
        <w:rPr>
          <w:sz w:val="24"/>
          <w:szCs w:val="24"/>
          <w:color w:val="auto"/>
        </w:rPr>
      </w:pPr>
    </w:p>
    <w:p>
      <w:pPr>
        <w:jc w:val="center"/>
        <w:ind w:right="3500"/>
        <w:spacing w:after="0"/>
        <w:rPr>
          <w:sz w:val="20"/>
          <w:szCs w:val="20"/>
          <w:color w:val="auto"/>
        </w:rPr>
      </w:pPr>
      <w:r>
        <w:rPr>
          <w:rFonts w:ascii="Arial" w:cs="Arial" w:eastAsia="Arial" w:hAnsi="Arial"/>
          <w:sz w:val="18"/>
          <w:szCs w:val="18"/>
          <w:b w:val="1"/>
          <w:bCs w:val="1"/>
          <w:color w:val="auto"/>
        </w:rPr>
        <w:t>3005 Highland Parkway</w:t>
      </w:r>
    </w:p>
    <w:p>
      <w:pPr>
        <w:spacing w:after="0" w:line="40" w:lineRule="exact"/>
        <w:rPr>
          <w:sz w:val="24"/>
          <w:szCs w:val="24"/>
          <w:color w:val="auto"/>
        </w:rPr>
      </w:pPr>
    </w:p>
    <w:p>
      <w:pPr>
        <w:jc w:val="center"/>
        <w:ind w:right="3500"/>
        <w:spacing w:after="0"/>
        <w:rPr>
          <w:sz w:val="20"/>
          <w:szCs w:val="20"/>
          <w:color w:val="auto"/>
        </w:rPr>
      </w:pPr>
      <w:r>
        <w:rPr>
          <w:rFonts w:ascii="Arial" w:cs="Arial" w:eastAsia="Arial" w:hAnsi="Arial"/>
          <w:sz w:val="18"/>
          <w:szCs w:val="18"/>
          <w:b w:val="1"/>
          <w:bCs w:val="1"/>
          <w:color w:val="auto"/>
        </w:rPr>
        <w:t>Downers Grove, Illinois</w:t>
      </w:r>
    </w:p>
    <w:p>
      <w:pPr>
        <w:spacing w:after="0" w:line="23" w:lineRule="exact"/>
        <w:rPr>
          <w:sz w:val="24"/>
          <w:szCs w:val="24"/>
          <w:color w:val="auto"/>
        </w:rPr>
      </w:pPr>
    </w:p>
    <w:p>
      <w:pPr>
        <w:jc w:val="center"/>
        <w:ind w:right="3500"/>
        <w:spacing w:after="0"/>
        <w:rPr>
          <w:sz w:val="20"/>
          <w:szCs w:val="20"/>
          <w:color w:val="auto"/>
        </w:rPr>
      </w:pPr>
      <w:r>
        <w:rPr>
          <w:rFonts w:ascii="Arial" w:cs="Arial" w:eastAsia="Arial" w:hAnsi="Arial"/>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44" w:lineRule="exact"/>
        <w:rPr>
          <w:sz w:val="24"/>
          <w:szCs w:val="24"/>
          <w:color w:val="auto"/>
        </w:rPr>
      </w:pPr>
    </w:p>
    <w:p>
      <w:pPr>
        <w:jc w:val="center"/>
        <w:ind w:right="1620"/>
        <w:spacing w:after="0"/>
        <w:rPr>
          <w:sz w:val="20"/>
          <w:szCs w:val="20"/>
          <w:color w:val="auto"/>
        </w:rPr>
      </w:pPr>
      <w:r>
        <w:rPr>
          <w:rFonts w:ascii="Arial" w:cs="Arial" w:eastAsia="Arial" w:hAnsi="Arial"/>
          <w:sz w:val="18"/>
          <w:szCs w:val="18"/>
          <w:b w:val="1"/>
          <w:bCs w:val="1"/>
          <w:color w:val="auto"/>
        </w:rPr>
        <w:t>60515</w:t>
      </w:r>
    </w:p>
    <w:p>
      <w:pPr>
        <w:spacing w:after="0" w:line="40" w:lineRule="exact"/>
        <w:rPr>
          <w:sz w:val="24"/>
          <w:szCs w:val="24"/>
          <w:color w:val="auto"/>
        </w:rPr>
      </w:pPr>
    </w:p>
    <w:p>
      <w:pPr>
        <w:jc w:val="center"/>
        <w:ind w:right="1620"/>
        <w:spacing w:after="0"/>
        <w:rPr>
          <w:sz w:val="20"/>
          <w:szCs w:val="20"/>
          <w:color w:val="auto"/>
        </w:rPr>
      </w:pPr>
      <w:r>
        <w:rPr>
          <w:rFonts w:ascii="Arial" w:cs="Arial" w:eastAsia="Arial" w:hAnsi="Arial"/>
          <w:sz w:val="18"/>
          <w:szCs w:val="18"/>
          <w:color w:val="auto"/>
        </w:rPr>
        <w:t>(Zip Code)</w:t>
      </w:r>
    </w:p>
    <w:p>
      <w:pPr>
        <w:spacing w:after="0" w:line="86" w:lineRule="exact"/>
        <w:rPr>
          <w:sz w:val="24"/>
          <w:szCs w:val="24"/>
          <w:color w:val="auto"/>
        </w:rPr>
      </w:pPr>
    </w:p>
    <w:p>
      <w:pPr>
        <w:sectPr>
          <w:pgSz w:w="11900" w:h="16838" w:orient="portrait"/>
          <w:cols w:equalWidth="0" w:num="2">
            <w:col w:w="8040" w:space="720"/>
            <w:col w:w="2480"/>
          </w:cols>
          <w:pgMar w:left="320" w:top="1263" w:right="3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(630) 541-1540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(Registrant’s telephone number, including area code)</w:t>
      </w:r>
    </w:p>
    <w:p>
      <w:pPr>
        <w:sectPr>
          <w:pgSz w:w="11900" w:h="16838" w:orient="portrait"/>
          <w:cols w:equalWidth="0" w:num="1">
            <w:col w:w="11240"/>
          </w:cols>
          <w:pgMar w:left="320" w:top="1263" w:right="339" w:bottom="1440" w:gutter="0" w:footer="0" w:header="0"/>
          <w:type w:val="continuous"/>
        </w:sectPr>
      </w:pPr>
    </w:p>
    <w:p>
      <w:pPr>
        <w:spacing w:after="0" w:line="39" w:lineRule="exact"/>
        <w:rPr>
          <w:sz w:val="24"/>
          <w:szCs w:val="24"/>
          <w:color w:val="auto"/>
        </w:rPr>
      </w:pPr>
    </w:p>
    <w:p>
      <w:pPr>
        <w:ind w:left="3800"/>
        <w:spacing w:after="0"/>
        <w:rPr>
          <w:sz w:val="20"/>
          <w:szCs w:val="20"/>
          <w:color w:val="auto"/>
        </w:rPr>
      </w:pPr>
      <w:r>
        <w:rPr>
          <w:rFonts w:ascii="Arial" w:cs="Arial" w:eastAsia="Arial" w:hAnsi="Arial"/>
          <w:sz w:val="14"/>
          <w:szCs w:val="14"/>
          <w:color w:val="auto"/>
        </w:rPr>
        <w:t>______________________________________________</w:t>
      </w:r>
    </w:p>
    <w:p>
      <w:pPr>
        <w:spacing w:after="0" w:line="180" w:lineRule="exact"/>
        <w:rPr>
          <w:sz w:val="24"/>
          <w:szCs w:val="24"/>
          <w:color w:val="auto"/>
        </w:rPr>
      </w:pPr>
    </w:p>
    <w:p>
      <w:pPr>
        <w:spacing w:after="0" w:line="28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39"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40"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4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5"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26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Title of each class</w:t>
            </w:r>
          </w:p>
        </w:tc>
        <w:tc>
          <w:tcPr>
            <w:tcW w:w="26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Trading Symbol(s)</w:t>
            </w:r>
          </w:p>
        </w:tc>
        <w:tc>
          <w:tcPr>
            <w:tcW w:w="55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Name of each exchange on which registered</w:t>
            </w:r>
          </w:p>
        </w:tc>
      </w:tr>
      <w:tr>
        <w:trPr>
          <w:trHeight w:val="223"/>
        </w:trPr>
        <w:tc>
          <w:tcPr>
            <w:tcW w:w="26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Common Stock</w:t>
            </w:r>
          </w:p>
        </w:tc>
        <w:tc>
          <w:tcPr>
            <w:tcW w:w="26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DOV</w:t>
            </w:r>
          </w:p>
        </w:tc>
        <w:tc>
          <w:tcPr>
            <w:tcW w:w="55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New York Stock Exchange</w:t>
            </w:r>
          </w:p>
        </w:tc>
      </w:tr>
      <w:tr>
        <w:trPr>
          <w:trHeight w:val="223"/>
        </w:trPr>
        <w:tc>
          <w:tcPr>
            <w:tcW w:w="26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1.250% Notes due 2026</w:t>
            </w:r>
          </w:p>
        </w:tc>
        <w:tc>
          <w:tcPr>
            <w:tcW w:w="26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DOV 26</w:t>
            </w:r>
          </w:p>
        </w:tc>
        <w:tc>
          <w:tcPr>
            <w:tcW w:w="55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New York Stock Exchange</w:t>
            </w:r>
          </w:p>
        </w:tc>
      </w:tr>
      <w:tr>
        <w:trPr>
          <w:trHeight w:val="223"/>
        </w:trPr>
        <w:tc>
          <w:tcPr>
            <w:tcW w:w="26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0.750% Notes due 2027</w:t>
            </w:r>
          </w:p>
        </w:tc>
        <w:tc>
          <w:tcPr>
            <w:tcW w:w="26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DOV 27</w:t>
            </w:r>
          </w:p>
        </w:tc>
        <w:tc>
          <w:tcPr>
            <w:tcW w:w="55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New York Stock Exchange</w:t>
            </w:r>
          </w:p>
        </w:tc>
      </w:tr>
      <w:tr>
        <w:trPr>
          <w:trHeight w:val="223"/>
        </w:trPr>
        <w:tc>
          <w:tcPr>
            <w:tcW w:w="26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3.500% Notes due 2033</w:t>
            </w:r>
          </w:p>
        </w:tc>
        <w:tc>
          <w:tcPr>
            <w:tcW w:w="26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DOV 33</w:t>
            </w:r>
          </w:p>
        </w:tc>
        <w:tc>
          <w:tcPr>
            <w:tcW w:w="55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New York Stock Exchange</w:t>
            </w:r>
          </w:p>
        </w:tc>
      </w:tr>
    </w:tbl>
    <w:p>
      <w:pPr>
        <w:spacing w:after="0" w:line="170"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828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03" w:lineRule="exact"/>
        <w:rPr>
          <w:sz w:val="24"/>
          <w:szCs w:val="24"/>
          <w:color w:val="auto"/>
        </w:rPr>
      </w:pPr>
    </w:p>
    <w:p>
      <w:pPr>
        <w:ind w:right="200"/>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26035</wp:posOffset>
            </wp:positionV>
            <wp:extent cx="685800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00" cy="17145"/>
                    </a:xfrm>
                    <a:prstGeom prst="rect">
                      <a:avLst/>
                    </a:prstGeom>
                    <a:noFill/>
                  </pic:spPr>
                </pic:pic>
              </a:graphicData>
            </a:graphic>
          </wp:anchor>
        </w:drawing>
      </w:r>
    </w:p>
    <w:p>
      <w:pPr>
        <w:sectPr>
          <w:pgSz w:w="11900" w:h="16838" w:orient="portrait"/>
          <w:cols w:equalWidth="0" w:num="1">
            <w:col w:w="11240"/>
          </w:cols>
          <w:pgMar w:left="320" w:top="1263"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On April 23, 2026, Dover Corporation ("Dover") issued the Press Release attached hereto as Exhibit 99.1 announcing its results of operations for the quarter ended March 31, 2026.</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information in this Current Report on Form 8-K, including Exhibit 99.1, is being furnished to the Securities and Exchange Commission (the “SEC”) and shall not be deemed to be incorporated by reference into any of Dover’s filings with the SEC under the Securities Act of 1933, as amended.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As previously announced, on April 23, 2026, Dover will hold an investor conference call and webcast at 8:30 a.m. Central time (9:30 a.m.</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Eastern time) to discuss its results of operations for the quarter ended March 31, 2026.</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2" w:lineRule="exact"/>
        <w:rPr>
          <w:sz w:val="20"/>
          <w:szCs w:val="20"/>
          <w:color w:val="auto"/>
        </w:rPr>
      </w:pPr>
    </w:p>
    <w:p>
      <w:pPr>
        <w:ind w:left="440" w:hanging="270"/>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exhibits are furnished as part of this report: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0000FF"/>
        </w:rPr>
        <w:t>99.1 Press Release dated April 23, 2026</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104 Cover Page Interactive Data File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870585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Current Report on Form 8-K to be signed on its behalf by the undersigned hereunto duly authorized.</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2960" w:type="dxa"/>
            <w:vAlign w:val="bottom"/>
          </w:tcPr>
          <w:p>
            <w:pPr>
              <w:spacing w:after="0"/>
              <w:rPr>
                <w:sz w:val="20"/>
                <w:szCs w:val="20"/>
                <w:color w:val="auto"/>
              </w:rPr>
            </w:pPr>
            <w:r>
              <w:rPr>
                <w:rFonts w:ascii="Arial" w:cs="Arial" w:eastAsia="Arial" w:hAnsi="Arial"/>
                <w:sz w:val="18"/>
                <w:szCs w:val="18"/>
                <w:color w:val="auto"/>
              </w:rPr>
              <w:t>Date:   April 23, 2026</w:t>
            </w:r>
          </w:p>
        </w:tc>
        <w:tc>
          <w:tcPr>
            <w:tcW w:w="6920" w:type="dxa"/>
            <w:vAlign w:val="bottom"/>
            <w:gridSpan w:val="2"/>
          </w:tcPr>
          <w:p>
            <w:pPr>
              <w:ind w:left="1200"/>
              <w:spacing w:after="0"/>
              <w:rPr>
                <w:sz w:val="20"/>
                <w:szCs w:val="20"/>
                <w:color w:val="auto"/>
              </w:rPr>
            </w:pPr>
            <w:r>
              <w:rPr>
                <w:rFonts w:ascii="Arial" w:cs="Arial" w:eastAsia="Arial" w:hAnsi="Arial"/>
                <w:sz w:val="18"/>
                <w:szCs w:val="18"/>
                <w:b w:val="1"/>
                <w:bCs w:val="1"/>
                <w:color w:val="auto"/>
              </w:rPr>
              <w:t>DOVER CORPORATION</w:t>
            </w:r>
          </w:p>
        </w:tc>
      </w:tr>
      <w:tr>
        <w:trPr>
          <w:trHeight w:val="239"/>
        </w:trPr>
        <w:tc>
          <w:tcPr>
            <w:tcW w:w="2960" w:type="dxa"/>
            <w:vAlign w:val="bottom"/>
          </w:tcPr>
          <w:p>
            <w:pPr>
              <w:spacing w:after="0"/>
              <w:rPr>
                <w:sz w:val="20"/>
                <w:szCs w:val="20"/>
                <w:color w:val="auto"/>
              </w:rPr>
            </w:pPr>
          </w:p>
        </w:tc>
        <w:tc>
          <w:tcPr>
            <w:tcW w:w="6920" w:type="dxa"/>
            <w:vAlign w:val="bottom"/>
            <w:gridSpan w:val="2"/>
          </w:tcPr>
          <w:p>
            <w:pPr>
              <w:ind w:left="1200"/>
              <w:spacing w:after="0"/>
              <w:rPr>
                <w:sz w:val="20"/>
                <w:szCs w:val="20"/>
                <w:color w:val="auto"/>
              </w:rPr>
            </w:pPr>
            <w:r>
              <w:rPr>
                <w:rFonts w:ascii="Arial" w:cs="Arial" w:eastAsia="Arial" w:hAnsi="Arial"/>
                <w:sz w:val="18"/>
                <w:szCs w:val="18"/>
                <w:color w:val="auto"/>
              </w:rPr>
              <w:t>(Registrant)</w:t>
            </w:r>
          </w:p>
        </w:tc>
      </w:tr>
      <w:tr>
        <w:trPr>
          <w:trHeight w:val="455"/>
        </w:trPr>
        <w:tc>
          <w:tcPr>
            <w:tcW w:w="2960" w:type="dxa"/>
            <w:vAlign w:val="bottom"/>
          </w:tcPr>
          <w:p>
            <w:pPr>
              <w:spacing w:after="0"/>
              <w:rPr>
                <w:sz w:val="24"/>
                <w:szCs w:val="24"/>
                <w:color w:val="auto"/>
              </w:rPr>
            </w:pPr>
          </w:p>
        </w:tc>
        <w:tc>
          <w:tcPr>
            <w:tcW w:w="6920" w:type="dxa"/>
            <w:vAlign w:val="bottom"/>
            <w:gridSpan w:val="2"/>
          </w:tcPr>
          <w:p>
            <w:pPr>
              <w:ind w:left="1200"/>
              <w:spacing w:after="0"/>
              <w:rPr>
                <w:sz w:val="20"/>
                <w:szCs w:val="20"/>
                <w:color w:val="auto"/>
              </w:rPr>
            </w:pPr>
            <w:r>
              <w:rPr>
                <w:rFonts w:ascii="Arial" w:cs="Arial" w:eastAsia="Arial" w:hAnsi="Arial"/>
                <w:sz w:val="18"/>
                <w:szCs w:val="18"/>
                <w:color w:val="auto"/>
              </w:rPr>
              <w:t>By:  /s/ Ivonne M. Cabrera</w:t>
            </w:r>
          </w:p>
        </w:tc>
      </w:tr>
      <w:tr>
        <w:trPr>
          <w:trHeight w:val="218"/>
        </w:trPr>
        <w:tc>
          <w:tcPr>
            <w:tcW w:w="29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Ivonne M. Cabrera</w:t>
            </w:r>
          </w:p>
        </w:tc>
      </w:tr>
      <w:tr>
        <w:trPr>
          <w:trHeight w:val="239"/>
        </w:trPr>
        <w:tc>
          <w:tcPr>
            <w:tcW w:w="29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Senior Vice President, General Counsel &amp; Secretary</w:t>
            </w:r>
          </w:p>
        </w:tc>
      </w:tr>
    </w:tbl>
    <w:p>
      <w:pPr>
        <w:sectPr>
          <w:pgSz w:w="11900" w:h="16838" w:orient="portrait"/>
          <w:cols w:equalWidth="0" w:num="1">
            <w:col w:w="11240"/>
          </w:cols>
          <w:pgMar w:left="320" w:top="89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1577340" cy="5397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539750"/>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Investor Contact:</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Jack Dickens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7"/>
          <w:szCs w:val="17"/>
          <w:color w:val="auto"/>
        </w:rPr>
        <w:t>Vice President - Investor Relations</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(630) 743-2566</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jdickens@dovercorp.com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Adrian Sakowicz</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Vice President - Communications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(630) 743-5039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asakowicz@dovercorp.com</w:t>
      </w:r>
    </w:p>
    <w:p>
      <w:pPr>
        <w:spacing w:after="0" w:line="200" w:lineRule="exact"/>
        <w:rPr>
          <w:sz w:val="20"/>
          <w:szCs w:val="20"/>
          <w:color w:val="auto"/>
        </w:rPr>
      </w:pPr>
    </w:p>
    <w:p>
      <w:pPr>
        <w:sectPr>
          <w:pgSz w:w="11900" w:h="16838" w:orient="portrait"/>
          <w:cols w:equalWidth="0" w:num="2">
            <w:col w:w="7060" w:space="720"/>
            <w:col w:w="3460"/>
          </w:cols>
          <w:pgMar w:left="320" w:top="764" w:right="339" w:bottom="1440" w:gutter="0" w:footer="0" w:header="0"/>
          <w:type w:val="continuous"/>
        </w:sect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DOVER REPORTS FIRST QUARTER 2026 RESULTS</w:t>
      </w:r>
    </w:p>
    <w:p>
      <w:pPr>
        <w:sectPr>
          <w:pgSz w:w="11900" w:h="16838" w:orient="portrait"/>
          <w:cols w:equalWidth="0" w:num="1">
            <w:col w:w="11240"/>
          </w:cols>
          <w:pgMar w:left="320" w:top="764" w:right="339" w:bottom="1440" w:gutter="0" w:footer="0" w:header="0"/>
          <w:type w:val="continuous"/>
        </w:sectPr>
      </w:pPr>
    </w:p>
    <w:p>
      <w:pPr>
        <w:spacing w:after="0" w:line="200" w:lineRule="exact"/>
        <w:rPr>
          <w:sz w:val="20"/>
          <w:szCs w:val="20"/>
          <w:color w:val="auto"/>
        </w:rPr>
      </w:pPr>
    </w:p>
    <w:p>
      <w:pPr>
        <w:spacing w:after="0" w:line="307" w:lineRule="exact"/>
        <w:rPr>
          <w:sz w:val="20"/>
          <w:szCs w:val="20"/>
          <w:color w:val="auto"/>
        </w:rPr>
      </w:pPr>
    </w:p>
    <w:p>
      <w:pPr>
        <w:spacing w:after="0" w:line="273" w:lineRule="auto"/>
        <w:rPr>
          <w:sz w:val="20"/>
          <w:szCs w:val="20"/>
          <w:color w:val="auto"/>
        </w:rPr>
      </w:pPr>
      <w:r>
        <w:rPr>
          <w:rFonts w:ascii="Arial" w:cs="Arial" w:eastAsia="Arial" w:hAnsi="Arial"/>
          <w:sz w:val="18"/>
          <w:szCs w:val="18"/>
          <w:b w:val="1"/>
          <w:bCs w:val="1"/>
          <w:color w:val="auto"/>
        </w:rPr>
        <w:t xml:space="preserve">DOWNERS GROVE, Ill., April 23, 2026 </w:t>
      </w:r>
      <w:r>
        <w:rPr>
          <w:rFonts w:ascii="Arial" w:cs="Arial" w:eastAsia="Arial" w:hAnsi="Arial"/>
          <w:sz w:val="18"/>
          <w:szCs w:val="18"/>
          <w:color w:val="auto"/>
        </w:rPr>
        <w:t>— Dover (NYSE: DOV), a diversified global manufacturer, announced its financial results for the first</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ended March 31, 2026. All comparisons are to the comparable period of the prior fiscal year, unless otherwise noted.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5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 in millions, except per share data)*</w:t>
            </w:r>
          </w:p>
        </w:tc>
        <w:tc>
          <w:tcPr>
            <w:tcW w:w="24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6"/>
          </w:tcPr>
          <w:p>
            <w:pPr>
              <w:jc w:val="right"/>
              <w:ind w:right="45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7520" w:type="dxa"/>
            <w:vAlign w:val="bottom"/>
            <w:tcBorders>
              <w:bottom w:val="single" w:sz="8" w:color="CCEEFF"/>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2026</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U.S. GAAP</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20" w:type="dxa"/>
            <w:vAlign w:val="bottom"/>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2,054</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1,866</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from continuing operations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7520" w:type="dxa"/>
            <w:vAlign w:val="bottom"/>
          </w:tcPr>
          <w:p>
            <w:pPr>
              <w:ind w:left="20"/>
              <w:spacing w:after="0"/>
              <w:rPr>
                <w:sz w:val="20"/>
                <w:szCs w:val="20"/>
                <w:color w:val="auto"/>
              </w:rPr>
            </w:pPr>
            <w:r>
              <w:rPr>
                <w:rFonts w:ascii="Arial" w:cs="Arial" w:eastAsia="Arial" w:hAnsi="Arial"/>
                <w:sz w:val="18"/>
                <w:szCs w:val="18"/>
                <w:color w:val="auto"/>
              </w:rPr>
              <w:t>Diluted EPS from continuing operations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1.73</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70"/>
        </w:trPr>
        <w:tc>
          <w:tcPr>
            <w:tcW w:w="75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520" w:type="dxa"/>
            <w:vAlign w:val="bottom"/>
          </w:tcPr>
          <w:p>
            <w:pPr>
              <w:ind w:left="20"/>
              <w:spacing w:after="0"/>
              <w:rPr>
                <w:sz w:val="20"/>
                <w:szCs w:val="20"/>
                <w:color w:val="auto"/>
              </w:rPr>
            </w:pPr>
            <w:r>
              <w:rPr>
                <w:rFonts w:ascii="Arial" w:cs="Arial" w:eastAsia="Arial" w:hAnsi="Arial"/>
                <w:sz w:val="18"/>
                <w:szCs w:val="18"/>
                <w:b w:val="1"/>
                <w:bCs w:val="1"/>
                <w:color w:val="auto"/>
              </w:rPr>
              <w:t>Non-GAAP</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Organic revenue change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30"/>
        </w:trPr>
        <w:tc>
          <w:tcPr>
            <w:tcW w:w="75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Adjusted earnings from continuing operations </w:t>
            </w:r>
            <w:r>
              <w:rPr>
                <w:rFonts w:ascii="Arial" w:cs="Arial" w:eastAsia="Arial" w:hAnsi="Arial"/>
                <w:sz w:val="23"/>
                <w:szCs w:val="23"/>
                <w:color w:val="auto"/>
                <w:vertAlign w:val="superscript"/>
              </w:rPr>
              <w:t>1</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283</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diluted EPS from continuing operations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bl>
    <w:p>
      <w:pPr>
        <w:spacing w:after="0" w:line="77" w:lineRule="exact"/>
        <w:rPr>
          <w:sz w:val="20"/>
          <w:szCs w:val="20"/>
          <w:color w:val="auto"/>
        </w:rPr>
      </w:pPr>
    </w:p>
    <w:p>
      <w:pPr>
        <w:ind w:right="1700" w:firstLine="8"/>
        <w:spacing w:after="0" w:line="216" w:lineRule="auto"/>
        <w:tabs>
          <w:tab w:leader="none" w:pos="80" w:val="left"/>
        </w:tabs>
        <w:numPr>
          <w:ilvl w:val="0"/>
          <w:numId w:val="3"/>
        </w:numPr>
        <w:rPr>
          <w:rFonts w:ascii="Arial" w:cs="Arial" w:eastAsia="Arial" w:hAnsi="Arial"/>
          <w:sz w:val="16"/>
          <w:szCs w:val="16"/>
          <w:color w:val="auto"/>
          <w:vertAlign w:val="superscript"/>
        </w:rPr>
      </w:pPr>
      <w:r>
        <w:rPr>
          <w:rFonts w:ascii="Arial" w:cs="Arial" w:eastAsia="Arial" w:hAnsi="Arial"/>
          <w:sz w:val="13"/>
          <w:szCs w:val="13"/>
          <w:color w:val="auto"/>
        </w:rPr>
        <w:t>Q1 2026 and 2025 adjusted earnings from continuing operations exclude after-tax purchase accounting expenses, restructuring and other costs, and gain on dispositions. * Totals, change and per share data may be impacted by rounding.</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quarter ended March 31, 2026, Dover generated revenue of $ 2.1 billion, an increase of 10% (+5% organic). GAAP earnings from continuing operations was $239 million, and GAAP diluted EPS from continuing operations of $1.76 was up 2%. On an adjusted basis, earnings from continuing operations of $309 million were up 9% and adjusted diluted EPS from continuing operations of $2.28 was up 11%.</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 full reconciliation between GAAP and adjusted measures and definitions of non-GAAP and other performance measures are included as an exhibit herein.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COMMENTARY:</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Dover’s President and Chief Executive Officer, Richard J. Tobin, said, "We delivered a solid start to the year, with double-digit revenue growth driven by continued strength in our secular-growth-exposed end markets and improving conditions across the portfolio. Performance in the quarter was broad-based, reflecting solid execution by our teams and healthy underlying demand. Bookings rates were excellent in the quarter, with book-to-bill well above one in all five segments, underscoring the momentum across the portfolio and providing improved visibility and confidence to our forecast.</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balance sheet remains strong and continues to provide flexibility to deploy capital toward long-term value creation. During the quarter, we continued to return capital to shareholders through opportunistic share repurchases, while also investing behind high-ROI capacity expansions and productivity investments. Our acquisition pipeline remains active as industrial M&amp;A activity begins to pick up. As always, we remain disciplined in our approach to capital deployment, maintaining our focus on strategic fit and accretive financial returns.</w:t>
      </w:r>
    </w:p>
    <w:p>
      <w:pPr>
        <w:sectPr>
          <w:pgSz w:w="11900" w:h="16838" w:orient="portrait"/>
          <w:cols w:equalWidth="0" w:num="1">
            <w:col w:w="11240"/>
          </w:cols>
          <w:pgMar w:left="320" w:top="764" w:right="339" w:bottom="1440" w:gutter="0" w:footer="0" w:header="0"/>
          <w:type w:val="continuous"/>
        </w:sectPr>
      </w:pPr>
    </w:p>
    <w:bookmarkStart w:id="4" w:name="page5"/>
    <w:bookmarkEnd w:id="4"/>
    <w:p>
      <w:pPr>
        <w:jc w:val="both"/>
        <w:spacing w:after="0" w:line="262" w:lineRule="auto"/>
        <w:rPr>
          <w:sz w:val="20"/>
          <w:szCs w:val="20"/>
          <w:color w:val="auto"/>
        </w:rPr>
      </w:pPr>
      <w:r>
        <w:rPr>
          <w:rFonts w:ascii="Arial" w:cs="Arial" w:eastAsia="Arial" w:hAnsi="Arial"/>
          <w:sz w:val="18"/>
          <w:szCs w:val="18"/>
          <w:color w:val="auto"/>
        </w:rPr>
        <w:t>"Despite a complicated global macroeconomic environment, we are well positioned to drive value creation for our shareholders given the underlying strength of our order books, the flexibility of our business model, the operational execution of our teams, and our strong liquidity position. We remain committed to delivering double-digit adjusted EPS growth at the midpoint of our guidance range in 2026, consistent with Dover’s long-term performance trajectory."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2026 GUIDANCE:</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2026, Dover expects to generate GAAP EPS in the range of $8.92 to $9.12 (adjusted EPS of $10.45 to $10.65), based on full year revenue growth of 5% to 7% (organic growth of 3% to 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Dover will host a webcast and conference call to discuss its first quarter results at 9:30 A.M. Eastern Time (8:30 A.M. Central Time) on Thursday, April 23, 2026. The webcast can be accessed on the Dover website at dovercorporation.com. The conference call will also be made available for replay on the website. Additional information on Dover's results and its operating segments can be found on the Company's website.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DOVER:</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Dover is a diversified global manufacturer and solutions provider with annual revenue of over $8 billion. We deliver innovative equipment and components, consumable supplies, aftermarket parts, software and digital solutions, and support services through five operating segments: Engineered Products, Clean Energy &amp; Fueling, Imaging &amp; Identification, Pumps &amp; Process Solutions and Climate &amp; Sustainability Technologies. Dover combines global scale with operational agility to lead the markets we serve. Recognized for our entrepreneurial approach for over 70 years, our team of approximately 24,000 employees takes an ownership mindset, collaborating with customers to redefine what's possible. Headquartered in Downers Grove, Illinois, Dover trades on the New York Stock Exchange under "DOV."</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as amended. All statements in this document other than statements of historical fact are statements that are, or could be deemed, "forward-looking" statements. Forward-looking statements are subject to numerous important risks, uncertainties, assumptions and other factors, some of which are beyond the Company's control. Factors that could cause actual results to differ materially from current expectations include, among other things, general economic conditions and conditions in the particular markets in which we operate; supply chain constraints and labor shortages that could result in production stoppages; inflation in material input costs and freight logistics; the impacts of natural or human-induced disasters, acts of war, terrorism, international conflicts, and public health crises or other future pandemics on the global economy and on our customers, suppliers, employees, business and cash flows; changes in customer demand and capital spending; competitive factors and pricing pressures; our ability to develop and launch new products in a cost-effective manner; changes in law, including the effect of tax laws and developments with respect to trade policy and tariffs; our ability to identify, consummate and successfully integrate and realize synergies from newly acquired businesses; acquisition valuation levels; the impact of interest rate and currency exchange rate fluctuations; capital allocation plans and changes in those plans, including with respect to dividends, share repurchases, investments in research and development, capital expenditures and acquisitions; our ability to effectively deploy capital resulting from dispositions; our ability to derive expected benefits from restructurings, productivity initiatives and other cost reduction actions; the impact of legal compliance risks and litigation, including with respect to product quality and safety, cybersecurity and privacy; and our ability to capture and protect intellectual property rights. For details on the risks and uncertainties that could cause our results to differ materially from the forward-looking statements contained herein, we refer you to the documents we file with the Securities and Exchange Commission, including our Annual Report on Form 10-K for the year ended December 31, 2025, and our Quarterly Reports on Form 10-Q and Current Reports on Form 8-K. These documents are available from the Securities and Exchange Commission, and on our website, dovercorporation.com. The Company undertakes no obligation to publicly update any forward-looking statement, whether as a result of new information, future events or otherwise.</w:t>
      </w:r>
    </w:p>
    <w:p>
      <w:pPr>
        <w:sectPr>
          <w:pgSz w:w="11900" w:h="16838" w:orient="portrait"/>
          <w:cols w:equalWidth="0" w:num="1">
            <w:col w:w="11240"/>
          </w:cols>
          <w:pgMar w:left="320" w:top="109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u w:val="single" w:color="auto"/>
          <w:color w:val="auto"/>
        </w:rPr>
        <w:t>INVESTOR SUPPLEMENT - FIRST QUARTER 2026</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0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299"/>
              <w:spacing w:after="0"/>
              <w:rPr>
                <w:sz w:val="20"/>
                <w:szCs w:val="20"/>
                <w:color w:val="auto"/>
              </w:rPr>
            </w:pPr>
            <w:r>
              <w:rPr>
                <w:rFonts w:ascii="Arial" w:cs="Arial" w:eastAsia="Arial" w:hAnsi="Arial"/>
                <w:sz w:val="16"/>
                <w:szCs w:val="16"/>
                <w:b w:val="1"/>
                <w:bCs w:val="1"/>
                <w:color w:val="auto"/>
              </w:rPr>
              <w:t>Three Months Ended March 31,</w:t>
            </w:r>
          </w:p>
        </w:tc>
      </w:tr>
      <w:tr>
        <w:trPr>
          <w:trHeight w:val="209"/>
        </w:trPr>
        <w:tc>
          <w:tcPr>
            <w:tcW w:w="80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r>
      <w:tr>
        <w:trPr>
          <w:trHeight w:val="210"/>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2,053,623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1,866,059</w:t>
            </w:r>
          </w:p>
        </w:tc>
      </w:tr>
      <w:tr>
        <w:trPr>
          <w:trHeight w:val="215"/>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and services</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1,255,488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1,120,559</w:t>
            </w:r>
          </w:p>
        </w:tc>
      </w:tr>
      <w:tr>
        <w:trPr>
          <w:trHeight w:val="210"/>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Gross profit</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798,135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745,500</w:t>
            </w:r>
          </w:p>
        </w:tc>
      </w:tr>
      <w:tr>
        <w:trPr>
          <w:trHeight w:val="215"/>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492,226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449,191</w:t>
            </w:r>
          </w:p>
        </w:tc>
      </w:tr>
      <w:tr>
        <w:trPr>
          <w:trHeight w:val="210"/>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earnings</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305,909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296,309</w:t>
            </w: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29,522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27,608</w:t>
            </w: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(14,060)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(20,254)</w:t>
            </w: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Gain on dispositions</w:t>
            </w:r>
          </w:p>
        </w:tc>
        <w:tc>
          <w:tcPr>
            <w:tcW w:w="2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(2,468)</w:t>
            </w: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net</w:t>
            </w: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(8,455)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(3,958)</w:t>
            </w:r>
          </w:p>
        </w:tc>
      </w:tr>
      <w:tr>
        <w:trPr>
          <w:trHeight w:val="209"/>
        </w:trPr>
        <w:tc>
          <w:tcPr>
            <w:tcW w:w="8060" w:type="dxa"/>
            <w:vAlign w:val="bottom"/>
          </w:tcPr>
          <w:p>
            <w:pPr>
              <w:ind w:left="20"/>
              <w:spacing w:after="0"/>
              <w:rPr>
                <w:sz w:val="20"/>
                <w:szCs w:val="20"/>
                <w:color w:val="auto"/>
              </w:rPr>
            </w:pPr>
            <w:r>
              <w:rPr>
                <w:rFonts w:ascii="Arial" w:cs="Arial" w:eastAsia="Arial" w:hAnsi="Arial"/>
                <w:sz w:val="16"/>
                <w:szCs w:val="16"/>
                <w:b w:val="1"/>
                <w:bCs w:val="1"/>
                <w:color w:val="auto"/>
              </w:rPr>
              <w:t>Earnings before provision for income taxes</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298,902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295,381</w:t>
            </w: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60,153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56,140</w:t>
            </w:r>
          </w:p>
        </w:tc>
      </w:tr>
      <w:tr>
        <w:trPr>
          <w:trHeight w:val="210"/>
        </w:trPr>
        <w:tc>
          <w:tcPr>
            <w:tcW w:w="8060" w:type="dxa"/>
            <w:vAlign w:val="bottom"/>
          </w:tcPr>
          <w:p>
            <w:pPr>
              <w:ind w:left="20"/>
              <w:spacing w:after="0"/>
              <w:rPr>
                <w:sz w:val="20"/>
                <w:szCs w:val="20"/>
                <w:color w:val="auto"/>
              </w:rPr>
            </w:pPr>
            <w:r>
              <w:rPr>
                <w:rFonts w:ascii="Arial" w:cs="Arial" w:eastAsia="Arial" w:hAnsi="Arial"/>
                <w:sz w:val="16"/>
                <w:szCs w:val="16"/>
                <w:b w:val="1"/>
                <w:bCs w:val="1"/>
                <w:color w:val="auto"/>
              </w:rPr>
              <w:t>Earnings from continuing operations</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238,749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239,241</w:t>
            </w:r>
          </w:p>
        </w:tc>
      </w:tr>
      <w:tr>
        <w:trPr>
          <w:trHeight w:val="215"/>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discontinued operations, net</w:t>
            </w: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(8,420)</w:t>
            </w:r>
          </w:p>
        </w:tc>
      </w:tr>
      <w:tr>
        <w:trPr>
          <w:trHeight w:val="210"/>
        </w:trPr>
        <w:tc>
          <w:tcPr>
            <w:tcW w:w="8060" w:type="dxa"/>
            <w:vAlign w:val="bottom"/>
          </w:tcPr>
          <w:p>
            <w:pPr>
              <w:ind w:left="20"/>
              <w:spacing w:after="0"/>
              <w:rPr>
                <w:sz w:val="20"/>
                <w:szCs w:val="20"/>
                <w:color w:val="auto"/>
              </w:rPr>
            </w:pPr>
            <w:r>
              <w:rPr>
                <w:rFonts w:ascii="Arial" w:cs="Arial" w:eastAsia="Arial" w:hAnsi="Arial"/>
                <w:sz w:val="16"/>
                <w:szCs w:val="16"/>
                <w:b w:val="1"/>
                <w:bCs w:val="1"/>
                <w:color w:val="auto"/>
              </w:rPr>
              <w:t>Net earnings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238,433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230,821</w:t>
            </w:r>
          </w:p>
        </w:tc>
      </w:tr>
      <w:tr>
        <w:trPr>
          <w:trHeight w:val="21"/>
        </w:trPr>
        <w:tc>
          <w:tcPr>
            <w:tcW w:w="8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8"/>
          <w:szCs w:val="18"/>
          <w:color w:val="auto"/>
        </w:rPr>
        <w:t>IS - 1</w:t>
      </w:r>
    </w:p>
    <w:p>
      <w:pPr>
        <w:sectPr>
          <w:pgSz w:w="11900" w:h="16838" w:orient="portrait"/>
          <w:cols w:equalWidth="0" w:num="1">
            <w:col w:w="11240"/>
          </w:cols>
          <w:pgMar w:left="320" w:top="60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(unaudited)(in thousands, except per share data*)</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680" w:type="dxa"/>
            <w:vAlign w:val="bottom"/>
            <w:gridSpan w:val="2"/>
          </w:tcPr>
          <w:p>
            <w:pPr>
              <w:spacing w:after="0"/>
              <w:rPr>
                <w:sz w:val="20"/>
                <w:szCs w:val="20"/>
                <w:color w:val="auto"/>
              </w:rPr>
            </w:pPr>
            <w:r>
              <w:rPr>
                <w:rFonts w:ascii="Arial" w:cs="Arial" w:eastAsia="Arial" w:hAnsi="Arial"/>
                <w:sz w:val="16"/>
                <w:szCs w:val="16"/>
                <w:b w:val="1"/>
                <w:bCs w:val="1"/>
                <w:color w:val="auto"/>
              </w:rPr>
              <w:t>Earnings Per Share</w:t>
            </w:r>
          </w:p>
        </w:tc>
        <w:tc>
          <w:tcPr>
            <w:tcW w:w="160" w:type="dxa"/>
            <w:vAlign w:val="bottom"/>
          </w:tcPr>
          <w:p>
            <w:pPr>
              <w:spacing w:after="0"/>
              <w:rPr>
                <w:sz w:val="16"/>
                <w:szCs w:val="16"/>
                <w:color w:val="auto"/>
              </w:rPr>
            </w:pPr>
          </w:p>
        </w:tc>
        <w:tc>
          <w:tcPr>
            <w:tcW w:w="70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2025</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4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tcPr>
          <w:p>
            <w:pPr>
              <w:spacing w:after="0"/>
              <w:rPr>
                <w:sz w:val="18"/>
                <w:szCs w:val="18"/>
                <w:color w:val="auto"/>
              </w:rPr>
            </w:pPr>
          </w:p>
        </w:tc>
        <w:tc>
          <w:tcPr>
            <w:tcW w:w="4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Q1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Q1</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Q2</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Q3</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Q4</w:t>
            </w: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FY 2025</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Basic earnings (loss) per share:</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6"/>
                <w:szCs w:val="16"/>
                <w:color w:val="auto"/>
              </w:rPr>
              <w:t>Continuing operations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1.74</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2.04</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2.21</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2.02</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8.01</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Discontinued operations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6"/>
                <w:szCs w:val="16"/>
                <w:color w:val="auto"/>
              </w:rPr>
              <w:t>Net earnings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1.68</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2.03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2.20</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2.07</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7.99</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4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6"/>
                <w:szCs w:val="16"/>
                <w:b w:val="1"/>
                <w:bCs w:val="1"/>
                <w:color w:val="auto"/>
              </w:rPr>
              <w:t>Diluted earnings (loss) per share:</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Continuing operations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6"/>
                <w:szCs w:val="16"/>
                <w:color w:val="auto"/>
              </w:rPr>
              <w:t>Discontinued operations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(0.06)</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(0.01)</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(0.01)</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0.05</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(0.03)</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earnings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7.94</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5040" w:type="dxa"/>
            <w:vAlign w:val="bottom"/>
            <w:gridSpan w:val="3"/>
          </w:tcPr>
          <w:p>
            <w:pPr>
              <w:spacing w:after="0"/>
              <w:rPr>
                <w:sz w:val="23"/>
                <w:szCs w:val="23"/>
                <w:color w:val="auto"/>
              </w:rPr>
            </w:pPr>
          </w:p>
        </w:tc>
        <w:tc>
          <w:tcPr>
            <w:tcW w:w="2700" w:type="dxa"/>
            <w:vAlign w:val="bottom"/>
            <w:gridSpan w:val="7"/>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9240" w:type="dxa"/>
            <w:vAlign w:val="bottom"/>
            <w:gridSpan w:val="11"/>
            <w:shd w:val="clear" w:color="auto" w:fill="CCEEFF"/>
          </w:tcPr>
          <w:p>
            <w:pPr>
              <w:spacing w:after="0"/>
              <w:rPr>
                <w:sz w:val="20"/>
                <w:szCs w:val="20"/>
                <w:color w:val="auto"/>
              </w:rPr>
            </w:pPr>
            <w:r>
              <w:rPr>
                <w:rFonts w:ascii="Arial" w:cs="Arial" w:eastAsia="Arial" w:hAnsi="Arial"/>
                <w:sz w:val="16"/>
                <w:szCs w:val="16"/>
                <w:b w:val="1"/>
                <w:bCs w:val="1"/>
                <w:color w:val="auto"/>
              </w:rPr>
              <w:t>Net earnings (loss) and weighted average shares used in calculated earnings (loss) per share amounts are as follows: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6"/>
                <w:szCs w:val="16"/>
                <w:color w:val="auto"/>
              </w:rPr>
              <w:t>Continuing operations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238,749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239,241</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280,130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303,292</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274,766</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1,097,429</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Discontinued operations</w:t>
            </w: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(8,420)</w:t>
            </w: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(1,066)</w:t>
            </w: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(1,296)</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7,309</w:t>
            </w: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(3,473)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6"/>
                <w:szCs w:val="16"/>
                <w:color w:val="auto"/>
              </w:rPr>
              <w:t>Net earnings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238,433</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230,821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279,064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301,996</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282,075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1,093,956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4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6"/>
                <w:szCs w:val="16"/>
                <w:b w:val="1"/>
                <w:bCs w:val="1"/>
                <w:color w:val="auto"/>
              </w:rPr>
              <w:t>Weighted average shares outstanding:</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Basic</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134,977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137,267</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137,226</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137,236</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135,993</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136,935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6"/>
                <w:szCs w:val="16"/>
                <w:color w:val="auto"/>
              </w:rPr>
              <w:t>Diluted</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135,895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138,260</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137,974</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138,029</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136,826</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137,777</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4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6"/>
                <w:szCs w:val="16"/>
                <w:color w:val="auto"/>
              </w:rPr>
              <w:t>Dividends paid per common share</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0.52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0.515</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0.515</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0.52</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0.52</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2.07</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4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6"/>
                <w:szCs w:val="16"/>
                <w:color w:val="auto"/>
              </w:rPr>
              <w:t>* Per share data may be impacted by rounding.</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IS - 2</w:t>
      </w:r>
    </w:p>
    <w:p>
      <w:pPr>
        <w:sectPr>
          <w:pgSz w:w="11900" w:h="16838" w:orient="portrait"/>
          <w:cols w:equalWidth="0" w:num="1">
            <w:col w:w="11240"/>
          </w:cols>
          <w:pgMar w:left="320" w:top="36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SEGMENT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2026</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2025</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62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16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3"/>
              </w:rPr>
              <w:t>Q1</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Q1</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Q2</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Q3</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Q4</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FY 2025</w:t>
            </w:r>
          </w:p>
        </w:tc>
      </w:tr>
      <w:tr>
        <w:trPr>
          <w:trHeight w:val="155"/>
        </w:trPr>
        <w:tc>
          <w:tcPr>
            <w:tcW w:w="20" w:type="dxa"/>
            <w:vAlign w:val="bottom"/>
            <w:shd w:val="clear" w:color="auto" w:fill="CCEEFF"/>
          </w:tcPr>
          <w:p>
            <w:pPr>
              <w:spacing w:after="0"/>
              <w:rPr>
                <w:sz w:val="13"/>
                <w:szCs w:val="13"/>
                <w:color w:val="auto"/>
              </w:rPr>
            </w:pPr>
          </w:p>
        </w:tc>
        <w:tc>
          <w:tcPr>
            <w:tcW w:w="5220" w:type="dxa"/>
            <w:vAlign w:val="bottom"/>
            <w:gridSpan w:val="4"/>
            <w:shd w:val="clear" w:color="auto" w:fill="CCEEFF"/>
          </w:tcPr>
          <w:p>
            <w:pPr>
              <w:spacing w:after="0" w:line="155" w:lineRule="exact"/>
              <w:rPr>
                <w:sz w:val="20"/>
                <w:szCs w:val="20"/>
                <w:color w:val="auto"/>
              </w:rPr>
            </w:pPr>
            <w:r>
              <w:rPr>
                <w:rFonts w:ascii="Arial" w:cs="Arial" w:eastAsia="Arial" w:hAnsi="Arial"/>
                <w:sz w:val="16"/>
                <w:szCs w:val="16"/>
                <w:b w:val="1"/>
                <w:bCs w:val="1"/>
                <w:color w:val="auto"/>
              </w:rPr>
              <w:t>REVENUE</w:t>
            </w: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4"/>
          </w:tcPr>
          <w:p>
            <w:pPr>
              <w:spacing w:after="0"/>
              <w:rPr>
                <w:sz w:val="20"/>
                <w:szCs w:val="20"/>
                <w:color w:val="auto"/>
              </w:rPr>
            </w:pPr>
            <w:r>
              <w:rPr>
                <w:rFonts w:ascii="Arial" w:cs="Arial" w:eastAsia="Arial" w:hAnsi="Arial"/>
                <w:sz w:val="16"/>
                <w:szCs w:val="16"/>
                <w:color w:val="auto"/>
              </w:rPr>
              <w:t>Engineered Products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266,639</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254,646</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275,944</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279,705</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275,549</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1,085,844</w:t>
            </w:r>
          </w:p>
        </w:tc>
      </w:tr>
      <w:tr>
        <w:trPr>
          <w:trHeight w:val="216"/>
        </w:trPr>
        <w:tc>
          <w:tcPr>
            <w:tcW w:w="20" w:type="dxa"/>
            <w:vAlign w:val="bottom"/>
            <w:shd w:val="clear" w:color="auto" w:fill="CCEEFF"/>
          </w:tcPr>
          <w:p>
            <w:pPr>
              <w:spacing w:after="0"/>
              <w:rPr>
                <w:sz w:val="18"/>
                <w:szCs w:val="18"/>
                <w:color w:val="auto"/>
              </w:rPr>
            </w:pPr>
          </w:p>
        </w:tc>
        <w:tc>
          <w:tcPr>
            <w:tcW w:w="522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Clean Energy &amp; Fueling</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554,809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491,148</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546,097</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541,368</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551,894</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2,130,507</w:t>
            </w:r>
          </w:p>
        </w:tc>
      </w:tr>
      <w:tr>
        <w:trPr>
          <w:trHeight w:val="216"/>
        </w:trPr>
        <w:tc>
          <w:tcPr>
            <w:tcW w:w="20" w:type="dxa"/>
            <w:vAlign w:val="bottom"/>
          </w:tcPr>
          <w:p>
            <w:pPr>
              <w:spacing w:after="0"/>
              <w:rPr>
                <w:sz w:val="18"/>
                <w:szCs w:val="18"/>
                <w:color w:val="auto"/>
              </w:rPr>
            </w:pPr>
          </w:p>
        </w:tc>
        <w:tc>
          <w:tcPr>
            <w:tcW w:w="5220" w:type="dxa"/>
            <w:vAlign w:val="bottom"/>
            <w:gridSpan w:val="4"/>
          </w:tcPr>
          <w:p>
            <w:pPr>
              <w:spacing w:after="0"/>
              <w:rPr>
                <w:sz w:val="20"/>
                <w:szCs w:val="20"/>
                <w:color w:val="auto"/>
              </w:rPr>
            </w:pPr>
            <w:r>
              <w:rPr>
                <w:rFonts w:ascii="Arial" w:cs="Arial" w:eastAsia="Arial" w:hAnsi="Arial"/>
                <w:sz w:val="16"/>
                <w:szCs w:val="16"/>
                <w:color w:val="auto"/>
              </w:rPr>
              <w:t>Imaging &amp; Identification</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285,420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280,090</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292,009</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299,100</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302,244</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1,173,443</w:t>
            </w:r>
          </w:p>
        </w:tc>
      </w:tr>
      <w:tr>
        <w:trPr>
          <w:trHeight w:val="216"/>
        </w:trPr>
        <w:tc>
          <w:tcPr>
            <w:tcW w:w="20" w:type="dxa"/>
            <w:vAlign w:val="bottom"/>
            <w:shd w:val="clear" w:color="auto" w:fill="CCEEFF"/>
          </w:tcPr>
          <w:p>
            <w:pPr>
              <w:spacing w:after="0"/>
              <w:rPr>
                <w:sz w:val="18"/>
                <w:szCs w:val="18"/>
                <w:color w:val="auto"/>
              </w:rPr>
            </w:pPr>
          </w:p>
        </w:tc>
        <w:tc>
          <w:tcPr>
            <w:tcW w:w="522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Pumps &amp; Process Solutions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537,810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493,573</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520,554</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550,920</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583,623</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2,148,670</w:t>
            </w:r>
          </w:p>
        </w:tc>
      </w:tr>
      <w:tr>
        <w:trPr>
          <w:trHeight w:val="216"/>
        </w:trPr>
        <w:tc>
          <w:tcPr>
            <w:tcW w:w="20" w:type="dxa"/>
            <w:vAlign w:val="bottom"/>
          </w:tcPr>
          <w:p>
            <w:pPr>
              <w:spacing w:after="0"/>
              <w:rPr>
                <w:sz w:val="18"/>
                <w:szCs w:val="18"/>
                <w:color w:val="auto"/>
              </w:rPr>
            </w:pPr>
          </w:p>
        </w:tc>
        <w:tc>
          <w:tcPr>
            <w:tcW w:w="5220" w:type="dxa"/>
            <w:vAlign w:val="bottom"/>
            <w:gridSpan w:val="4"/>
          </w:tcPr>
          <w:p>
            <w:pPr>
              <w:spacing w:after="0"/>
              <w:rPr>
                <w:sz w:val="20"/>
                <w:szCs w:val="20"/>
                <w:color w:val="auto"/>
              </w:rPr>
            </w:pPr>
            <w:r>
              <w:rPr>
                <w:rFonts w:ascii="Arial" w:cs="Arial" w:eastAsia="Arial" w:hAnsi="Arial"/>
                <w:sz w:val="16"/>
                <w:szCs w:val="16"/>
                <w:color w:val="auto"/>
              </w:rPr>
              <w:t>Climate &amp; Sustainability Technologies</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411,060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347,888</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416,151</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408,529</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387,273</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1,559,841</w:t>
            </w:r>
          </w:p>
        </w:tc>
      </w:tr>
      <w:tr>
        <w:trPr>
          <w:trHeight w:val="216"/>
        </w:trPr>
        <w:tc>
          <w:tcPr>
            <w:tcW w:w="20" w:type="dxa"/>
            <w:vAlign w:val="bottom"/>
            <w:shd w:val="clear" w:color="auto" w:fill="CCEEFF"/>
          </w:tcPr>
          <w:p>
            <w:pPr>
              <w:spacing w:after="0"/>
              <w:rPr>
                <w:sz w:val="18"/>
                <w:szCs w:val="18"/>
                <w:color w:val="auto"/>
              </w:rPr>
            </w:pPr>
          </w:p>
        </w:tc>
        <w:tc>
          <w:tcPr>
            <w:tcW w:w="522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Intersegment eliminations</w:t>
            </w: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rPr>
              <w:t>(2,115)</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(1,286)</w:t>
            </w: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(1,163)</w:t>
            </w: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(1,781)</w:t>
            </w: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(1,504)</w:t>
            </w: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(5,734)</w:t>
            </w:r>
          </w:p>
        </w:tc>
      </w:tr>
      <w:tr>
        <w:trPr>
          <w:trHeight w:val="209"/>
        </w:trPr>
        <w:tc>
          <w:tcPr>
            <w:tcW w:w="20" w:type="dxa"/>
            <w:vAlign w:val="bottom"/>
          </w:tcPr>
          <w:p>
            <w:pPr>
              <w:spacing w:after="0"/>
              <w:rPr>
                <w:sz w:val="18"/>
                <w:szCs w:val="18"/>
                <w:color w:val="auto"/>
              </w:rPr>
            </w:pPr>
          </w:p>
        </w:tc>
        <w:tc>
          <w:tcPr>
            <w:tcW w:w="5220" w:type="dxa"/>
            <w:vAlign w:val="bottom"/>
            <w:gridSpan w:val="4"/>
          </w:tcPr>
          <w:p>
            <w:pPr>
              <w:spacing w:after="0"/>
              <w:rPr>
                <w:sz w:val="20"/>
                <w:szCs w:val="20"/>
                <w:color w:val="auto"/>
              </w:rPr>
            </w:pPr>
            <w:r>
              <w:rPr>
                <w:rFonts w:ascii="Arial" w:cs="Arial" w:eastAsia="Arial" w:hAnsi="Arial"/>
                <w:sz w:val="16"/>
                <w:szCs w:val="16"/>
                <w:color w:val="auto"/>
              </w:rPr>
              <w:t>Total consolidated revenue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2,053,623</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1,866,059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2,049,592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2,077,841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2,099,079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8,092,571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175"/>
        </w:trPr>
        <w:tc>
          <w:tcPr>
            <w:tcW w:w="20" w:type="dxa"/>
            <w:vAlign w:val="bottom"/>
          </w:tcPr>
          <w:p>
            <w:pPr>
              <w:spacing w:after="0"/>
              <w:rPr>
                <w:sz w:val="15"/>
                <w:szCs w:val="15"/>
                <w:color w:val="auto"/>
              </w:rPr>
            </w:pPr>
          </w:p>
        </w:tc>
        <w:tc>
          <w:tcPr>
            <w:tcW w:w="5220" w:type="dxa"/>
            <w:vAlign w:val="bottom"/>
            <w:gridSpan w:val="4"/>
          </w:tcPr>
          <w:p>
            <w:pPr>
              <w:spacing w:after="0" w:line="175" w:lineRule="exact"/>
              <w:rPr>
                <w:sz w:val="20"/>
                <w:szCs w:val="20"/>
                <w:color w:val="auto"/>
              </w:rPr>
            </w:pPr>
            <w:r>
              <w:rPr>
                <w:rFonts w:ascii="Arial" w:cs="Arial" w:eastAsia="Arial" w:hAnsi="Arial"/>
                <w:sz w:val="16"/>
                <w:szCs w:val="16"/>
                <w:b w:val="1"/>
                <w:bCs w:val="1"/>
                <w:color w:val="auto"/>
              </w:rPr>
              <w:t>EARNINGS FROM CONTINUING OPERATIONS</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22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Segment Earnings: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gridSpan w:val="4"/>
          </w:tcPr>
          <w:p>
            <w:pPr>
              <w:spacing w:after="0"/>
              <w:rPr>
                <w:sz w:val="20"/>
                <w:szCs w:val="20"/>
                <w:color w:val="auto"/>
              </w:rPr>
            </w:pPr>
            <w:r>
              <w:rPr>
                <w:rFonts w:ascii="Arial" w:cs="Arial" w:eastAsia="Arial" w:hAnsi="Arial"/>
                <w:sz w:val="16"/>
                <w:szCs w:val="16"/>
                <w:color w:val="auto"/>
              </w:rPr>
              <w:t>Engineered Products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44,991</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44,114</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53,511</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57,483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62,158</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217,266</w:t>
            </w:r>
          </w:p>
        </w:tc>
      </w:tr>
      <w:tr>
        <w:trPr>
          <w:trHeight w:val="216"/>
        </w:trPr>
        <w:tc>
          <w:tcPr>
            <w:tcW w:w="20" w:type="dxa"/>
            <w:vAlign w:val="bottom"/>
            <w:shd w:val="clear" w:color="auto" w:fill="CCEEFF"/>
          </w:tcPr>
          <w:p>
            <w:pPr>
              <w:spacing w:after="0"/>
              <w:rPr>
                <w:sz w:val="18"/>
                <w:szCs w:val="18"/>
                <w:color w:val="auto"/>
              </w:rPr>
            </w:pPr>
          </w:p>
        </w:tc>
        <w:tc>
          <w:tcPr>
            <w:tcW w:w="522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Clean Energy &amp; Fueling</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99,041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85,644</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107,771</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118,665</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105,990</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418,070</w:t>
            </w:r>
          </w:p>
        </w:tc>
      </w:tr>
      <w:tr>
        <w:trPr>
          <w:trHeight w:val="216"/>
        </w:trPr>
        <w:tc>
          <w:tcPr>
            <w:tcW w:w="20" w:type="dxa"/>
            <w:vAlign w:val="bottom"/>
          </w:tcPr>
          <w:p>
            <w:pPr>
              <w:spacing w:after="0"/>
              <w:rPr>
                <w:sz w:val="18"/>
                <w:szCs w:val="18"/>
                <w:color w:val="auto"/>
              </w:rPr>
            </w:pPr>
          </w:p>
        </w:tc>
        <w:tc>
          <w:tcPr>
            <w:tcW w:w="5220" w:type="dxa"/>
            <w:vAlign w:val="bottom"/>
            <w:gridSpan w:val="4"/>
          </w:tcPr>
          <w:p>
            <w:pPr>
              <w:spacing w:after="0"/>
              <w:rPr>
                <w:sz w:val="20"/>
                <w:szCs w:val="20"/>
                <w:color w:val="auto"/>
              </w:rPr>
            </w:pPr>
            <w:r>
              <w:rPr>
                <w:rFonts w:ascii="Arial" w:cs="Arial" w:eastAsia="Arial" w:hAnsi="Arial"/>
                <w:sz w:val="16"/>
                <w:szCs w:val="16"/>
                <w:color w:val="auto"/>
              </w:rPr>
              <w:t>Imaging &amp; Identification</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77,457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77,575</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76,937</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81,772</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78,451</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314,735</w:t>
            </w:r>
          </w:p>
        </w:tc>
      </w:tr>
      <w:tr>
        <w:trPr>
          <w:trHeight w:val="216"/>
        </w:trPr>
        <w:tc>
          <w:tcPr>
            <w:tcW w:w="20" w:type="dxa"/>
            <w:vAlign w:val="bottom"/>
            <w:shd w:val="clear" w:color="auto" w:fill="CCEEFF"/>
          </w:tcPr>
          <w:p>
            <w:pPr>
              <w:spacing w:after="0"/>
              <w:rPr>
                <w:sz w:val="18"/>
                <w:szCs w:val="18"/>
                <w:color w:val="auto"/>
              </w:rPr>
            </w:pPr>
          </w:p>
        </w:tc>
        <w:tc>
          <w:tcPr>
            <w:tcW w:w="522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Pumps &amp; Process Solutions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169,492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151,275</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159,504</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168,565</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172,256</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651,600</w:t>
            </w:r>
          </w:p>
        </w:tc>
      </w:tr>
      <w:tr>
        <w:trPr>
          <w:trHeight w:val="216"/>
        </w:trPr>
        <w:tc>
          <w:tcPr>
            <w:tcW w:w="20" w:type="dxa"/>
            <w:vAlign w:val="bottom"/>
            <w:tcBorders>
              <w:bottom w:val="single" w:sz="8" w:color="CCEEFF"/>
            </w:tcBorders>
          </w:tcPr>
          <w:p>
            <w:pPr>
              <w:spacing w:after="0"/>
              <w:rPr>
                <w:sz w:val="18"/>
                <w:szCs w:val="18"/>
                <w:color w:val="auto"/>
              </w:rPr>
            </w:pPr>
          </w:p>
        </w:tc>
        <w:tc>
          <w:tcPr>
            <w:tcW w:w="5220" w:type="dxa"/>
            <w:vAlign w:val="bottom"/>
            <w:tcBorders>
              <w:bottom w:val="single" w:sz="8" w:color="CCEEFF"/>
            </w:tcBorders>
            <w:gridSpan w:val="4"/>
          </w:tcPr>
          <w:p>
            <w:pPr>
              <w:spacing w:after="0"/>
              <w:rPr>
                <w:sz w:val="20"/>
                <w:szCs w:val="20"/>
                <w:color w:val="auto"/>
              </w:rPr>
            </w:pPr>
            <w:r>
              <w:rPr>
                <w:rFonts w:ascii="Arial" w:cs="Arial" w:eastAsia="Arial" w:hAnsi="Arial"/>
                <w:sz w:val="16"/>
                <w:szCs w:val="16"/>
                <w:color w:val="auto"/>
              </w:rPr>
              <w:t>Climate &amp; Sustainability Technologies</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63,995</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52,119</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77,262</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76,002</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60,264</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265,647</w:t>
            </w:r>
          </w:p>
        </w:tc>
      </w:tr>
      <w:tr>
        <w:trPr>
          <w:trHeight w:val="209"/>
        </w:trPr>
        <w:tc>
          <w:tcPr>
            <w:tcW w:w="20" w:type="dxa"/>
            <w:vAlign w:val="bottom"/>
            <w:shd w:val="clear" w:color="auto" w:fill="CCEEFF"/>
          </w:tcPr>
          <w:p>
            <w:pPr>
              <w:spacing w:after="0"/>
              <w:rPr>
                <w:sz w:val="18"/>
                <w:szCs w:val="18"/>
                <w:color w:val="auto"/>
              </w:rPr>
            </w:pPr>
          </w:p>
        </w:tc>
        <w:tc>
          <w:tcPr>
            <w:tcW w:w="522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Total segment earnings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454,976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410,727</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474,985</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502,487</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479,119</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1,867,318</w:t>
            </w:r>
          </w:p>
        </w:tc>
      </w:tr>
      <w:tr>
        <w:trPr>
          <w:trHeight w:val="216"/>
        </w:trPr>
        <w:tc>
          <w:tcPr>
            <w:tcW w:w="20" w:type="dxa"/>
            <w:vAlign w:val="bottom"/>
          </w:tcPr>
          <w:p>
            <w:pPr>
              <w:spacing w:after="0"/>
              <w:rPr>
                <w:sz w:val="18"/>
                <w:szCs w:val="18"/>
                <w:color w:val="auto"/>
              </w:rPr>
            </w:pPr>
          </w:p>
        </w:tc>
        <w:tc>
          <w:tcPr>
            <w:tcW w:w="5220" w:type="dxa"/>
            <w:vAlign w:val="bottom"/>
            <w:gridSpan w:val="4"/>
          </w:tcPr>
          <w:p>
            <w:pPr>
              <w:spacing w:after="0" w:line="216" w:lineRule="exact"/>
              <w:rPr>
                <w:sz w:val="20"/>
                <w:szCs w:val="20"/>
                <w:color w:val="auto"/>
              </w:rPr>
            </w:pPr>
            <w:r>
              <w:rPr>
                <w:rFonts w:ascii="Arial" w:cs="Arial" w:eastAsia="Arial" w:hAnsi="Arial"/>
                <w:sz w:val="16"/>
                <w:szCs w:val="16"/>
                <w:color w:val="auto"/>
              </w:rPr>
              <w:t xml:space="preserve">Purchase accounting expenses </w:t>
            </w:r>
            <w:r>
              <w:rPr>
                <w:rFonts w:ascii="Arial" w:cs="Arial" w:eastAsia="Arial" w:hAnsi="Arial"/>
                <w:sz w:val="21"/>
                <w:szCs w:val="21"/>
                <w:color w:val="auto"/>
                <w:vertAlign w:val="superscript"/>
              </w:rPr>
              <w:t>1</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54,579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49,104</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51,123</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59,381</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58,837</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218,445</w:t>
            </w:r>
          </w:p>
        </w:tc>
      </w:tr>
      <w:tr>
        <w:trPr>
          <w:trHeight w:val="216"/>
        </w:trPr>
        <w:tc>
          <w:tcPr>
            <w:tcW w:w="20" w:type="dxa"/>
            <w:vAlign w:val="bottom"/>
            <w:shd w:val="clear" w:color="auto" w:fill="CCEEFF"/>
          </w:tcPr>
          <w:p>
            <w:pPr>
              <w:spacing w:after="0"/>
              <w:rPr>
                <w:sz w:val="18"/>
                <w:szCs w:val="18"/>
                <w:color w:val="auto"/>
              </w:rPr>
            </w:pPr>
          </w:p>
        </w:tc>
        <w:tc>
          <w:tcPr>
            <w:tcW w:w="5220" w:type="dxa"/>
            <w:vAlign w:val="bottom"/>
            <w:gridSpan w:val="4"/>
            <w:shd w:val="clear" w:color="auto" w:fill="CCEEFF"/>
          </w:tcPr>
          <w:p>
            <w:pPr>
              <w:spacing w:after="0" w:line="216" w:lineRule="exact"/>
              <w:rPr>
                <w:sz w:val="20"/>
                <w:szCs w:val="20"/>
                <w:color w:val="auto"/>
              </w:rPr>
            </w:pPr>
            <w:r>
              <w:rPr>
                <w:rFonts w:ascii="Arial" w:cs="Arial" w:eastAsia="Arial" w:hAnsi="Arial"/>
                <w:sz w:val="16"/>
                <w:szCs w:val="16"/>
                <w:color w:val="auto"/>
              </w:rPr>
              <w:t xml:space="preserve">Restructuring and other costs </w:t>
            </w:r>
            <w:r>
              <w:rPr>
                <w:rFonts w:ascii="Arial" w:cs="Arial" w:eastAsia="Arial" w:hAnsi="Arial"/>
                <w:sz w:val="21"/>
                <w:szCs w:val="21"/>
                <w:color w:val="auto"/>
                <w:vertAlign w:val="superscript"/>
              </w:rPr>
              <w:t>2</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36,795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9,397</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23,210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15,913</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29,466</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77,986</w:t>
            </w:r>
          </w:p>
        </w:tc>
      </w:tr>
      <w:tr>
        <w:trPr>
          <w:trHeight w:val="216"/>
        </w:trPr>
        <w:tc>
          <w:tcPr>
            <w:tcW w:w="20" w:type="dxa"/>
            <w:vAlign w:val="bottom"/>
          </w:tcPr>
          <w:p>
            <w:pPr>
              <w:spacing w:after="0"/>
              <w:rPr>
                <w:sz w:val="18"/>
                <w:szCs w:val="18"/>
                <w:color w:val="auto"/>
              </w:rPr>
            </w:pPr>
          </w:p>
        </w:tc>
        <w:tc>
          <w:tcPr>
            <w:tcW w:w="5220" w:type="dxa"/>
            <w:vAlign w:val="bottom"/>
            <w:gridSpan w:val="4"/>
          </w:tcPr>
          <w:p>
            <w:pPr>
              <w:spacing w:after="0" w:line="216" w:lineRule="exact"/>
              <w:rPr>
                <w:sz w:val="20"/>
                <w:szCs w:val="20"/>
                <w:color w:val="auto"/>
              </w:rPr>
            </w:pPr>
            <w:r>
              <w:rPr>
                <w:rFonts w:ascii="Arial" w:cs="Arial" w:eastAsia="Arial" w:hAnsi="Arial"/>
                <w:sz w:val="16"/>
                <w:szCs w:val="16"/>
                <w:color w:val="auto"/>
              </w:rPr>
              <w:t xml:space="preserve">Gain on dispositions </w:t>
            </w:r>
            <w:r>
              <w:rPr>
                <w:rFonts w:ascii="Arial" w:cs="Arial" w:eastAsia="Arial" w:hAnsi="Arial"/>
                <w:sz w:val="21"/>
                <w:szCs w:val="21"/>
                <w:color w:val="auto"/>
                <w:vertAlign w:val="superscript"/>
              </w:rPr>
              <w:t>3</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(2,468)</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(2,176)</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(4,644)</w:t>
            </w:r>
          </w:p>
        </w:tc>
      </w:tr>
      <w:tr>
        <w:trPr>
          <w:trHeight w:val="216"/>
        </w:trPr>
        <w:tc>
          <w:tcPr>
            <w:tcW w:w="20" w:type="dxa"/>
            <w:vAlign w:val="bottom"/>
            <w:shd w:val="clear" w:color="auto" w:fill="CCEEFF"/>
          </w:tcPr>
          <w:p>
            <w:pPr>
              <w:spacing w:after="0"/>
              <w:rPr>
                <w:sz w:val="18"/>
                <w:szCs w:val="18"/>
                <w:color w:val="auto"/>
              </w:rPr>
            </w:pPr>
          </w:p>
        </w:tc>
        <w:tc>
          <w:tcPr>
            <w:tcW w:w="5220" w:type="dxa"/>
            <w:vAlign w:val="bottom"/>
            <w:gridSpan w:val="4"/>
            <w:shd w:val="clear" w:color="auto" w:fill="CCEEFF"/>
          </w:tcPr>
          <w:p>
            <w:pPr>
              <w:spacing w:after="0" w:line="216" w:lineRule="exact"/>
              <w:rPr>
                <w:sz w:val="20"/>
                <w:szCs w:val="20"/>
                <w:color w:val="auto"/>
              </w:rPr>
            </w:pPr>
            <w:r>
              <w:rPr>
                <w:rFonts w:ascii="Arial" w:cs="Arial" w:eastAsia="Arial" w:hAnsi="Arial"/>
                <w:sz w:val="16"/>
                <w:szCs w:val="16"/>
                <w:color w:val="auto"/>
              </w:rPr>
              <w:t xml:space="preserve">Corporate expense / other </w:t>
            </w:r>
            <w:r>
              <w:rPr>
                <w:rFonts w:ascii="Arial" w:cs="Arial" w:eastAsia="Arial" w:hAnsi="Arial"/>
                <w:sz w:val="21"/>
                <w:szCs w:val="21"/>
                <w:color w:val="auto"/>
                <w:vertAlign w:val="superscript"/>
              </w:rPr>
              <w:t>4</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49,238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51,959</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41,875</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31,515</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39,190</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164,539</w:t>
            </w:r>
          </w:p>
        </w:tc>
      </w:tr>
      <w:tr>
        <w:trPr>
          <w:trHeight w:val="216"/>
        </w:trPr>
        <w:tc>
          <w:tcPr>
            <w:tcW w:w="20" w:type="dxa"/>
            <w:vAlign w:val="bottom"/>
          </w:tcPr>
          <w:p>
            <w:pPr>
              <w:spacing w:after="0"/>
              <w:rPr>
                <w:sz w:val="18"/>
                <w:szCs w:val="18"/>
                <w:color w:val="auto"/>
              </w:rPr>
            </w:pPr>
          </w:p>
        </w:tc>
        <w:tc>
          <w:tcPr>
            <w:tcW w:w="5220" w:type="dxa"/>
            <w:vAlign w:val="bottom"/>
            <w:gridSpan w:val="4"/>
          </w:tcPr>
          <w:p>
            <w:pPr>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29,522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27,608</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26,791</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27,239</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28,134</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109,772</w:t>
            </w:r>
          </w:p>
        </w:tc>
      </w:tr>
      <w:tr>
        <w:trPr>
          <w:trHeight w:val="216"/>
        </w:trPr>
        <w:tc>
          <w:tcPr>
            <w:tcW w:w="20" w:type="dxa"/>
            <w:vAlign w:val="bottom"/>
            <w:shd w:val="clear" w:color="auto" w:fill="CCEEFF"/>
          </w:tcPr>
          <w:p>
            <w:pPr>
              <w:spacing w:after="0"/>
              <w:rPr>
                <w:sz w:val="18"/>
                <w:szCs w:val="18"/>
                <w:color w:val="auto"/>
              </w:rPr>
            </w:pPr>
          </w:p>
        </w:tc>
        <w:tc>
          <w:tcPr>
            <w:tcW w:w="522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Interest income</w:t>
            </w: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(14,060)</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(20,254)</w:t>
            </w: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(17,935)</w:t>
            </w: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(17,804)</w:t>
            </w: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(17,039)</w:t>
            </w: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(73,032)</w:t>
            </w:r>
          </w:p>
        </w:tc>
      </w:tr>
      <w:tr>
        <w:trPr>
          <w:trHeight w:val="210"/>
        </w:trPr>
        <w:tc>
          <w:tcPr>
            <w:tcW w:w="20" w:type="dxa"/>
            <w:vAlign w:val="bottom"/>
          </w:tcPr>
          <w:p>
            <w:pPr>
              <w:spacing w:after="0"/>
              <w:rPr>
                <w:sz w:val="18"/>
                <w:szCs w:val="18"/>
                <w:color w:val="auto"/>
              </w:rPr>
            </w:pPr>
          </w:p>
        </w:tc>
        <w:tc>
          <w:tcPr>
            <w:tcW w:w="5220" w:type="dxa"/>
            <w:vAlign w:val="bottom"/>
            <w:gridSpan w:val="4"/>
          </w:tcPr>
          <w:p>
            <w:pPr>
              <w:spacing w:after="0"/>
              <w:rPr>
                <w:sz w:val="20"/>
                <w:szCs w:val="20"/>
                <w:color w:val="auto"/>
              </w:rPr>
            </w:pPr>
            <w:r>
              <w:rPr>
                <w:rFonts w:ascii="Arial" w:cs="Arial" w:eastAsia="Arial" w:hAnsi="Arial"/>
                <w:sz w:val="16"/>
                <w:szCs w:val="16"/>
                <w:color w:val="auto"/>
              </w:rPr>
              <w:t>Earnings before provision for income taxes</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298,902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295,381</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352,097</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386,243</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340,531</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1,374,252</w:t>
            </w:r>
          </w:p>
        </w:tc>
      </w:tr>
      <w:tr>
        <w:trPr>
          <w:trHeight w:val="216"/>
        </w:trPr>
        <w:tc>
          <w:tcPr>
            <w:tcW w:w="20" w:type="dxa"/>
            <w:vAlign w:val="bottom"/>
            <w:shd w:val="clear" w:color="auto" w:fill="CCEEFF"/>
          </w:tcPr>
          <w:p>
            <w:pPr>
              <w:spacing w:after="0"/>
              <w:rPr>
                <w:sz w:val="18"/>
                <w:szCs w:val="18"/>
                <w:color w:val="auto"/>
              </w:rPr>
            </w:pPr>
          </w:p>
        </w:tc>
        <w:tc>
          <w:tcPr>
            <w:tcW w:w="522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Provision for income taxes</w:t>
            </w: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60,153</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56,140</w:t>
            </w: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71,967</w:t>
            </w: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82,951</w:t>
            </w: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65,765</w:t>
            </w: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276,823</w:t>
            </w:r>
          </w:p>
        </w:tc>
      </w:tr>
      <w:tr>
        <w:trPr>
          <w:trHeight w:val="183"/>
        </w:trPr>
        <w:tc>
          <w:tcPr>
            <w:tcW w:w="20" w:type="dxa"/>
            <w:vAlign w:val="bottom"/>
          </w:tcPr>
          <w:p>
            <w:pPr>
              <w:spacing w:after="0"/>
              <w:rPr>
                <w:sz w:val="15"/>
                <w:szCs w:val="15"/>
                <w:color w:val="auto"/>
              </w:rPr>
            </w:pPr>
          </w:p>
        </w:tc>
        <w:tc>
          <w:tcPr>
            <w:tcW w:w="5220" w:type="dxa"/>
            <w:vAlign w:val="bottom"/>
            <w:gridSpan w:val="4"/>
          </w:tcPr>
          <w:p>
            <w:pPr>
              <w:spacing w:after="0" w:line="183" w:lineRule="exact"/>
              <w:rPr>
                <w:sz w:val="20"/>
                <w:szCs w:val="20"/>
                <w:color w:val="auto"/>
              </w:rPr>
            </w:pPr>
            <w:r>
              <w:rPr>
                <w:rFonts w:ascii="Arial" w:cs="Arial" w:eastAsia="Arial" w:hAnsi="Arial"/>
                <w:sz w:val="16"/>
                <w:szCs w:val="16"/>
                <w:color w:val="auto"/>
              </w:rPr>
              <w:t>Earnings from continuing operations</w:t>
            </w:r>
          </w:p>
        </w:tc>
        <w:tc>
          <w:tcPr>
            <w:tcW w:w="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238,749</w:t>
            </w:r>
          </w:p>
        </w:tc>
        <w:tc>
          <w:tcPr>
            <w:tcW w:w="8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239,241</w:t>
            </w:r>
          </w:p>
        </w:tc>
        <w:tc>
          <w:tcPr>
            <w:tcW w:w="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280,130</w:t>
            </w:r>
          </w:p>
        </w:tc>
        <w:tc>
          <w:tcPr>
            <w:tcW w:w="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303,292</w:t>
            </w:r>
          </w:p>
        </w:tc>
        <w:tc>
          <w:tcPr>
            <w:tcW w:w="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274,766</w:t>
            </w:r>
          </w:p>
        </w:tc>
        <w:tc>
          <w:tcPr>
            <w:tcW w:w="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1,097,429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176"/>
        </w:trPr>
        <w:tc>
          <w:tcPr>
            <w:tcW w:w="20" w:type="dxa"/>
            <w:vAlign w:val="bottom"/>
          </w:tcPr>
          <w:p>
            <w:pPr>
              <w:spacing w:after="0"/>
              <w:rPr>
                <w:sz w:val="15"/>
                <w:szCs w:val="15"/>
                <w:color w:val="auto"/>
              </w:rPr>
            </w:pPr>
          </w:p>
        </w:tc>
        <w:tc>
          <w:tcPr>
            <w:tcW w:w="5220" w:type="dxa"/>
            <w:vAlign w:val="bottom"/>
            <w:gridSpan w:val="4"/>
          </w:tcPr>
          <w:p>
            <w:pPr>
              <w:spacing w:after="0" w:line="175" w:lineRule="exact"/>
              <w:rPr>
                <w:sz w:val="20"/>
                <w:szCs w:val="20"/>
                <w:color w:val="auto"/>
              </w:rPr>
            </w:pPr>
            <w:r>
              <w:rPr>
                <w:rFonts w:ascii="Arial" w:cs="Arial" w:eastAsia="Arial" w:hAnsi="Arial"/>
                <w:sz w:val="16"/>
                <w:szCs w:val="16"/>
                <w:b w:val="1"/>
                <w:bCs w:val="1"/>
                <w:color w:val="auto"/>
              </w:rPr>
              <w:t>SEGMENT EARNINGS MARGIN</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22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Engineered Products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16.9 %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17.3 %</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19.4 %</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20.6 %</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22.6 %</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20.0 %</w:t>
            </w:r>
          </w:p>
        </w:tc>
      </w:tr>
      <w:tr>
        <w:trPr>
          <w:trHeight w:val="216"/>
        </w:trPr>
        <w:tc>
          <w:tcPr>
            <w:tcW w:w="20" w:type="dxa"/>
            <w:vAlign w:val="bottom"/>
          </w:tcPr>
          <w:p>
            <w:pPr>
              <w:spacing w:after="0"/>
              <w:rPr>
                <w:sz w:val="18"/>
                <w:szCs w:val="18"/>
                <w:color w:val="auto"/>
              </w:rPr>
            </w:pPr>
          </w:p>
        </w:tc>
        <w:tc>
          <w:tcPr>
            <w:tcW w:w="5220" w:type="dxa"/>
            <w:vAlign w:val="bottom"/>
            <w:gridSpan w:val="4"/>
          </w:tcPr>
          <w:p>
            <w:pPr>
              <w:spacing w:after="0"/>
              <w:rPr>
                <w:sz w:val="20"/>
                <w:szCs w:val="20"/>
                <w:color w:val="auto"/>
              </w:rPr>
            </w:pPr>
            <w:r>
              <w:rPr>
                <w:rFonts w:ascii="Arial" w:cs="Arial" w:eastAsia="Arial" w:hAnsi="Arial"/>
                <w:sz w:val="16"/>
                <w:szCs w:val="16"/>
                <w:color w:val="auto"/>
              </w:rPr>
              <w:t>Clean Energy &amp; Fueling</w:t>
            </w:r>
          </w:p>
        </w:tc>
        <w:tc>
          <w:tcPr>
            <w:tcW w:w="160" w:type="dxa"/>
            <w:vAlign w:val="bottom"/>
          </w:tcPr>
          <w:p>
            <w:pPr>
              <w:spacing w:after="0"/>
              <w:rPr>
                <w:sz w:val="18"/>
                <w:szCs w:val="18"/>
                <w:color w:val="auto"/>
              </w:rPr>
            </w:pPr>
          </w:p>
        </w:tc>
        <w:tc>
          <w:tcPr>
            <w:tcW w:w="840" w:type="dxa"/>
            <w:vAlign w:val="bottom"/>
          </w:tcPr>
          <w:p>
            <w:pPr>
              <w:ind w:left="300"/>
              <w:spacing w:after="0"/>
              <w:rPr>
                <w:sz w:val="20"/>
                <w:szCs w:val="20"/>
                <w:color w:val="auto"/>
              </w:rPr>
            </w:pPr>
            <w:r>
              <w:rPr>
                <w:rFonts w:ascii="Arial" w:cs="Arial" w:eastAsia="Arial" w:hAnsi="Arial"/>
                <w:sz w:val="16"/>
                <w:szCs w:val="16"/>
                <w:color w:val="auto"/>
              </w:rPr>
              <w:t>17.9 %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17.4 %</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19.7 %</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21.9 %</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19.2 %</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19.6 %</w:t>
            </w:r>
          </w:p>
        </w:tc>
      </w:tr>
      <w:tr>
        <w:trPr>
          <w:trHeight w:val="216"/>
        </w:trPr>
        <w:tc>
          <w:tcPr>
            <w:tcW w:w="20" w:type="dxa"/>
            <w:vAlign w:val="bottom"/>
            <w:shd w:val="clear" w:color="auto" w:fill="CCEEFF"/>
          </w:tcPr>
          <w:p>
            <w:pPr>
              <w:spacing w:after="0"/>
              <w:rPr>
                <w:sz w:val="18"/>
                <w:szCs w:val="18"/>
                <w:color w:val="auto"/>
              </w:rPr>
            </w:pPr>
          </w:p>
        </w:tc>
        <w:tc>
          <w:tcPr>
            <w:tcW w:w="522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Imaging &amp; Identification</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27.1 %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27.7 %</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26.3 %</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27.3 %</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26.0 %</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26.8 %</w:t>
            </w:r>
          </w:p>
        </w:tc>
      </w:tr>
      <w:tr>
        <w:trPr>
          <w:trHeight w:val="216"/>
        </w:trPr>
        <w:tc>
          <w:tcPr>
            <w:tcW w:w="20" w:type="dxa"/>
            <w:vAlign w:val="bottom"/>
          </w:tcPr>
          <w:p>
            <w:pPr>
              <w:spacing w:after="0"/>
              <w:rPr>
                <w:sz w:val="18"/>
                <w:szCs w:val="18"/>
                <w:color w:val="auto"/>
              </w:rPr>
            </w:pPr>
          </w:p>
        </w:tc>
        <w:tc>
          <w:tcPr>
            <w:tcW w:w="5220" w:type="dxa"/>
            <w:vAlign w:val="bottom"/>
            <w:gridSpan w:val="4"/>
          </w:tcPr>
          <w:p>
            <w:pPr>
              <w:spacing w:after="0"/>
              <w:rPr>
                <w:sz w:val="20"/>
                <w:szCs w:val="20"/>
                <w:color w:val="auto"/>
              </w:rPr>
            </w:pPr>
            <w:r>
              <w:rPr>
                <w:rFonts w:ascii="Arial" w:cs="Arial" w:eastAsia="Arial" w:hAnsi="Arial"/>
                <w:sz w:val="16"/>
                <w:szCs w:val="16"/>
                <w:color w:val="auto"/>
              </w:rPr>
              <w:t>Pumps &amp; Process Solutions</w:t>
            </w:r>
          </w:p>
        </w:tc>
        <w:tc>
          <w:tcPr>
            <w:tcW w:w="160" w:type="dxa"/>
            <w:vAlign w:val="bottom"/>
          </w:tcPr>
          <w:p>
            <w:pPr>
              <w:spacing w:after="0"/>
              <w:rPr>
                <w:sz w:val="18"/>
                <w:szCs w:val="18"/>
                <w:color w:val="auto"/>
              </w:rPr>
            </w:pPr>
          </w:p>
        </w:tc>
        <w:tc>
          <w:tcPr>
            <w:tcW w:w="840" w:type="dxa"/>
            <w:vAlign w:val="bottom"/>
          </w:tcPr>
          <w:p>
            <w:pPr>
              <w:ind w:left="300"/>
              <w:spacing w:after="0"/>
              <w:rPr>
                <w:sz w:val="20"/>
                <w:szCs w:val="20"/>
                <w:color w:val="auto"/>
              </w:rPr>
            </w:pPr>
            <w:r>
              <w:rPr>
                <w:rFonts w:ascii="Arial" w:cs="Arial" w:eastAsia="Arial" w:hAnsi="Arial"/>
                <w:sz w:val="16"/>
                <w:szCs w:val="16"/>
                <w:color w:val="auto"/>
              </w:rPr>
              <w:t>31.5 %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30.6 %</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30.6 %</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30.6 %</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29.5 %</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30.3 %</w:t>
            </w:r>
          </w:p>
        </w:tc>
      </w:tr>
      <w:tr>
        <w:trPr>
          <w:trHeight w:val="216"/>
        </w:trPr>
        <w:tc>
          <w:tcPr>
            <w:tcW w:w="20" w:type="dxa"/>
            <w:vAlign w:val="bottom"/>
            <w:shd w:val="clear" w:color="auto" w:fill="CCEEFF"/>
          </w:tcPr>
          <w:p>
            <w:pPr>
              <w:spacing w:after="0"/>
              <w:rPr>
                <w:sz w:val="18"/>
                <w:szCs w:val="18"/>
                <w:color w:val="auto"/>
              </w:rPr>
            </w:pPr>
          </w:p>
        </w:tc>
        <w:tc>
          <w:tcPr>
            <w:tcW w:w="522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Climate &amp; Sustainability Technologies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15.6 %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15.0 %</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18.6 %</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18.6 %</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15.6 %</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17.0 %</w:t>
            </w:r>
          </w:p>
        </w:tc>
      </w:tr>
      <w:tr>
        <w:trPr>
          <w:trHeight w:val="223"/>
        </w:trPr>
        <w:tc>
          <w:tcPr>
            <w:tcW w:w="20" w:type="dxa"/>
            <w:vAlign w:val="bottom"/>
          </w:tcPr>
          <w:p>
            <w:pPr>
              <w:spacing w:after="0"/>
              <w:rPr>
                <w:sz w:val="19"/>
                <w:szCs w:val="19"/>
                <w:color w:val="auto"/>
              </w:rPr>
            </w:pPr>
          </w:p>
        </w:tc>
        <w:tc>
          <w:tcPr>
            <w:tcW w:w="5220" w:type="dxa"/>
            <w:vAlign w:val="bottom"/>
            <w:gridSpan w:val="4"/>
          </w:tcPr>
          <w:p>
            <w:pPr>
              <w:spacing w:after="0"/>
              <w:rPr>
                <w:sz w:val="20"/>
                <w:szCs w:val="20"/>
                <w:color w:val="auto"/>
              </w:rPr>
            </w:pPr>
            <w:r>
              <w:rPr>
                <w:rFonts w:ascii="Arial" w:cs="Arial" w:eastAsia="Arial" w:hAnsi="Arial"/>
                <w:sz w:val="16"/>
                <w:szCs w:val="16"/>
                <w:color w:val="auto"/>
              </w:rPr>
              <w:t>Total segment earnings margin</w:t>
            </w:r>
          </w:p>
        </w:tc>
        <w:tc>
          <w:tcPr>
            <w:tcW w:w="160" w:type="dxa"/>
            <w:vAlign w:val="bottom"/>
          </w:tcPr>
          <w:p>
            <w:pPr>
              <w:spacing w:after="0"/>
              <w:rPr>
                <w:sz w:val="19"/>
                <w:szCs w:val="19"/>
                <w:color w:val="auto"/>
              </w:rPr>
            </w:pPr>
          </w:p>
        </w:tc>
        <w:tc>
          <w:tcPr>
            <w:tcW w:w="840" w:type="dxa"/>
            <w:vAlign w:val="bottom"/>
          </w:tcPr>
          <w:p>
            <w:pPr>
              <w:ind w:left="300"/>
              <w:spacing w:after="0"/>
              <w:rPr>
                <w:sz w:val="20"/>
                <w:szCs w:val="20"/>
                <w:color w:val="auto"/>
              </w:rPr>
            </w:pPr>
            <w:r>
              <w:rPr>
                <w:rFonts w:ascii="Arial" w:cs="Arial" w:eastAsia="Arial" w:hAnsi="Arial"/>
                <w:sz w:val="16"/>
                <w:szCs w:val="16"/>
                <w:color w:val="auto"/>
              </w:rPr>
              <w:t>22.2 %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22.0 %</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23.2 %</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24.2 %</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22.8 %</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23.1 %</w:t>
            </w:r>
          </w:p>
        </w:tc>
      </w:tr>
    </w:tbl>
    <w:p>
      <w:pPr>
        <w:spacing w:after="0" w:line="114" w:lineRule="exact"/>
        <w:rPr>
          <w:sz w:val="20"/>
          <w:szCs w:val="20"/>
          <w:color w:val="auto"/>
        </w:rPr>
      </w:pPr>
    </w:p>
    <w:p>
      <w:pPr>
        <w:ind w:left="120" w:hanging="94"/>
        <w:spacing w:after="0"/>
        <w:tabs>
          <w:tab w:leader="none" w:pos="120"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Purchase accounting expenses are primarily comprised of amortization of intangible assets.</w:t>
      </w:r>
    </w:p>
    <w:p>
      <w:pPr>
        <w:spacing w:after="0" w:line="42" w:lineRule="exact"/>
        <w:rPr>
          <w:sz w:val="20"/>
          <w:szCs w:val="20"/>
          <w:color w:val="auto"/>
        </w:rPr>
      </w:pPr>
    </w:p>
    <w:p>
      <w:pPr>
        <w:ind w:left="20" w:right="40" w:firstLine="6"/>
        <w:spacing w:after="0" w:line="212" w:lineRule="auto"/>
        <w:tabs>
          <w:tab w:leader="none" w:pos="129"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Restructuring and other costs relate to actions taken for headcount reductions, facility consolidations and site closures, product line exits, and other asset charges.</w:t>
      </w:r>
    </w:p>
    <w:p>
      <w:pPr>
        <w:spacing w:after="0" w:line="16" w:lineRule="exact"/>
        <w:rPr>
          <w:sz w:val="20"/>
          <w:szCs w:val="20"/>
          <w:color w:val="auto"/>
        </w:rPr>
      </w:pPr>
    </w:p>
    <w:p>
      <w:pPr>
        <w:ind w:left="120" w:hanging="94"/>
        <w:spacing w:after="0"/>
        <w:tabs>
          <w:tab w:leader="none" w:pos="120"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Gain on dispositions, including post-closing adjustments.</w:t>
      </w:r>
    </w:p>
    <w:p>
      <w:pPr>
        <w:spacing w:after="0" w:line="15" w:lineRule="exact"/>
        <w:rPr>
          <w:sz w:val="20"/>
          <w:szCs w:val="20"/>
          <w:color w:val="auto"/>
        </w:rPr>
      </w:pPr>
    </w:p>
    <w:p>
      <w:pPr>
        <w:jc w:val="both"/>
        <w:ind w:left="20" w:right="20" w:firstLine="6"/>
        <w:spacing w:after="0" w:line="206" w:lineRule="auto"/>
        <w:tabs>
          <w:tab w:leader="none" w:pos="108"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Certain expenses are maintained at the corporate level and not allocated to the segments. These expenses include executive and functional compensation costs, non-service pension costs, non-operating insurance expenses, shared business services and digital and IT overhead costs, deal related expenses and various administrative expenses relating to the corporate headquarters.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IS - 3</w:t>
      </w:r>
    </w:p>
    <w:p>
      <w:pPr>
        <w:sectPr>
          <w:pgSz w:w="11900" w:h="16838" w:orient="portrait"/>
          <w:cols w:equalWidth="0" w:num="1">
            <w:col w:w="11240"/>
          </w:cols>
          <w:pgMar w:left="320" w:top="364"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ADJUSTED EARNINGS AND ADJUSTED EARNINGS PER SHARE (NON-GAAP)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(unaudited)(in thousands, except per share data*)</w:t>
      </w:r>
    </w:p>
    <w:tbl>
      <w:tblPr>
        <w:tblLayout w:type="fixed"/>
        <w:tblInd w:w="0" w:type="dxa"/>
        <w:tblCellMar>
          <w:top w:w="0" w:type="dxa"/>
          <w:left w:w="0" w:type="dxa"/>
          <w:bottom w:w="0" w:type="dxa"/>
          <w:right w:w="0" w:type="dxa"/>
        </w:tblCellMar>
      </w:tblPr>
      <w:tr>
        <w:trPr>
          <w:trHeight w:val="172"/>
        </w:trPr>
        <w:tc>
          <w:tcPr>
            <w:tcW w:w="5400" w:type="dxa"/>
            <w:vAlign w:val="bottom"/>
            <w:gridSpan w:val="2"/>
          </w:tcPr>
          <w:p>
            <w:pPr>
              <w:spacing w:after="0" w:line="172" w:lineRule="exact"/>
              <w:rPr>
                <w:sz w:val="20"/>
                <w:szCs w:val="20"/>
                <w:color w:val="auto"/>
              </w:rPr>
            </w:pPr>
            <w:r>
              <w:rPr>
                <w:rFonts w:ascii="Arial" w:cs="Arial" w:eastAsia="Arial" w:hAnsi="Arial"/>
                <w:sz w:val="16"/>
                <w:szCs w:val="16"/>
                <w:b w:val="1"/>
                <w:bCs w:val="1"/>
                <w:color w:val="auto"/>
              </w:rPr>
              <w:t>Non-GAAP Reconciliations</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080" w:type="dxa"/>
            <w:vAlign w:val="bottom"/>
            <w:tcBorders>
              <w:top w:val="single" w:sz="8" w:color="auto"/>
            </w:tcBorders>
          </w:tcPr>
          <w:p>
            <w:pPr>
              <w:spacing w:after="0"/>
              <w:rPr>
                <w:sz w:val="21"/>
                <w:szCs w:val="21"/>
                <w:color w:val="auto"/>
              </w:rPr>
            </w:pPr>
          </w:p>
        </w:tc>
        <w:tc>
          <w:tcPr>
            <w:tcW w:w="33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2026</w:t>
            </w: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2025</w:t>
            </w: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80" w:type="dxa"/>
            <w:vAlign w:val="bottom"/>
            <w:tcBorders>
              <w:bottom w:val="single" w:sz="8" w:color="CCEEFF"/>
            </w:tcBorders>
          </w:tcPr>
          <w:p>
            <w:pPr>
              <w:spacing w:after="0"/>
              <w:rPr>
                <w:sz w:val="18"/>
                <w:szCs w:val="18"/>
                <w:color w:val="auto"/>
              </w:rPr>
            </w:pPr>
          </w:p>
        </w:tc>
        <w:tc>
          <w:tcPr>
            <w:tcW w:w="33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Q1</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Q1</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Q2</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Q3</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Q4</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FY 2025</w:t>
            </w:r>
          </w:p>
        </w:tc>
        <w:tc>
          <w:tcPr>
            <w:tcW w:w="0" w:type="dxa"/>
            <w:vAlign w:val="bottom"/>
          </w:tcPr>
          <w:p>
            <w:pPr>
              <w:spacing w:after="0"/>
              <w:rPr>
                <w:sz w:val="1"/>
                <w:szCs w:val="1"/>
                <w:color w:val="auto"/>
              </w:rPr>
            </w:pPr>
          </w:p>
        </w:tc>
      </w:tr>
      <w:tr>
        <w:trPr>
          <w:trHeight w:val="196"/>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Adjusted earnings from continuing operations:</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gridSpan w:val="2"/>
          </w:tcPr>
          <w:p>
            <w:pPr>
              <w:ind w:left="20"/>
              <w:spacing w:after="0"/>
              <w:rPr>
                <w:sz w:val="20"/>
                <w:szCs w:val="20"/>
                <w:color w:val="auto"/>
              </w:rPr>
            </w:pPr>
            <w:r>
              <w:rPr>
                <w:rFonts w:ascii="Arial" w:cs="Arial" w:eastAsia="Arial" w:hAnsi="Arial"/>
                <w:sz w:val="16"/>
                <w:szCs w:val="16"/>
                <w:color w:val="auto"/>
              </w:rPr>
              <w:t>Earnings from continuing operations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238,749</w:t>
            </w:r>
          </w:p>
        </w:tc>
        <w:tc>
          <w:tcPr>
            <w:tcW w:w="8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239,241</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280,130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303,292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274,766</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1,097,429</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Purchase accounting expenses, pre-tax </w:t>
            </w:r>
            <w:r>
              <w:rPr>
                <w:rFonts w:ascii="Arial" w:cs="Arial" w:eastAsia="Arial" w:hAnsi="Arial"/>
                <w:sz w:val="21"/>
                <w:szCs w:val="21"/>
                <w:color w:val="auto"/>
                <w:vertAlign w:val="superscript"/>
              </w:rPr>
              <w:t>1</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54,579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49,104</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51,123</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59,381</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58,837</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218,445</w:t>
            </w:r>
          </w:p>
        </w:tc>
        <w:tc>
          <w:tcPr>
            <w:tcW w:w="0" w:type="dxa"/>
            <w:vAlign w:val="bottom"/>
          </w:tcPr>
          <w:p>
            <w:pPr>
              <w:spacing w:after="0"/>
              <w:rPr>
                <w:sz w:val="1"/>
                <w:szCs w:val="1"/>
                <w:color w:val="auto"/>
              </w:rPr>
            </w:pPr>
          </w:p>
        </w:tc>
      </w:tr>
      <w:tr>
        <w:trPr>
          <w:trHeight w:val="216"/>
        </w:trPr>
        <w:tc>
          <w:tcPr>
            <w:tcW w:w="540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Purchase accounting expenses, tax impact </w:t>
            </w:r>
            <w:r>
              <w:rPr>
                <w:rFonts w:ascii="Arial" w:cs="Arial" w:eastAsia="Arial" w:hAnsi="Arial"/>
                <w:sz w:val="21"/>
                <w:szCs w:val="21"/>
                <w:color w:val="auto"/>
                <w:vertAlign w:val="superscript"/>
              </w:rPr>
              <w:t>2</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(12,692)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(10,919)</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(11,367)</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(14,067)</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(14,134)</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(50,487)</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Restructuring and other costs, pre-tax </w:t>
            </w:r>
            <w:r>
              <w:rPr>
                <w:rFonts w:ascii="Arial" w:cs="Arial" w:eastAsia="Arial" w:hAnsi="Arial"/>
                <w:sz w:val="21"/>
                <w:szCs w:val="21"/>
                <w:color w:val="auto"/>
                <w:vertAlign w:val="superscript"/>
              </w:rPr>
              <w:t>3</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36,795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9,397</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23,210</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15,913</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29,466</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77,986</w:t>
            </w:r>
          </w:p>
        </w:tc>
        <w:tc>
          <w:tcPr>
            <w:tcW w:w="0" w:type="dxa"/>
            <w:vAlign w:val="bottom"/>
          </w:tcPr>
          <w:p>
            <w:pPr>
              <w:spacing w:after="0"/>
              <w:rPr>
                <w:sz w:val="1"/>
                <w:szCs w:val="1"/>
                <w:color w:val="auto"/>
              </w:rPr>
            </w:pPr>
          </w:p>
        </w:tc>
      </w:tr>
      <w:tr>
        <w:trPr>
          <w:trHeight w:val="216"/>
        </w:trPr>
        <w:tc>
          <w:tcPr>
            <w:tcW w:w="540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Restructuring and other costs, tax impact </w:t>
            </w:r>
            <w:r>
              <w:rPr>
                <w:rFonts w:ascii="Arial" w:cs="Arial" w:eastAsia="Arial" w:hAnsi="Arial"/>
                <w:sz w:val="21"/>
                <w:szCs w:val="21"/>
                <w:color w:val="auto"/>
                <w:vertAlign w:val="superscript"/>
              </w:rPr>
              <w:t>2</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(8,048)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(1,887)</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(4,642)</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(3,230)</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(5,608)</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(15,367)</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Gain on dispositions, pre-tax </w:t>
            </w:r>
            <w:r>
              <w:rPr>
                <w:rFonts w:ascii="Arial" w:cs="Arial" w:eastAsia="Arial" w:hAnsi="Arial"/>
                <w:sz w:val="21"/>
                <w:szCs w:val="21"/>
                <w:color w:val="auto"/>
                <w:vertAlign w:val="superscript"/>
              </w:rPr>
              <w:t>4</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(2,468)</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(2,176)</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(4,644)</w:t>
            </w:r>
          </w:p>
        </w:tc>
        <w:tc>
          <w:tcPr>
            <w:tcW w:w="0" w:type="dxa"/>
            <w:vAlign w:val="bottom"/>
          </w:tcPr>
          <w:p>
            <w:pPr>
              <w:spacing w:after="0"/>
              <w:rPr>
                <w:sz w:val="1"/>
                <w:szCs w:val="1"/>
                <w:color w:val="auto"/>
              </w:rPr>
            </w:pPr>
          </w:p>
        </w:tc>
      </w:tr>
      <w:tr>
        <w:trPr>
          <w:trHeight w:val="216"/>
        </w:trPr>
        <w:tc>
          <w:tcPr>
            <w:tcW w:w="540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Gain on dispositions, tax-impact </w:t>
            </w:r>
            <w:r>
              <w:rPr>
                <w:rFonts w:ascii="Arial" w:cs="Arial" w:eastAsia="Arial" w:hAnsi="Arial"/>
                <w:sz w:val="21"/>
                <w:szCs w:val="21"/>
                <w:color w:val="auto"/>
                <w:vertAlign w:val="superscript"/>
              </w:rPr>
              <w:t>2</w:t>
            </w:r>
          </w:p>
        </w:tc>
        <w:tc>
          <w:tcPr>
            <w:tcW w:w="2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689</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435</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1,124</w:t>
            </w:r>
          </w:p>
        </w:tc>
        <w:tc>
          <w:tcPr>
            <w:tcW w:w="0" w:type="dxa"/>
            <w:vAlign w:val="bottom"/>
          </w:tcPr>
          <w:p>
            <w:pPr>
              <w:spacing w:after="0"/>
              <w:rPr>
                <w:sz w:val="1"/>
                <w:szCs w:val="1"/>
                <w:color w:val="auto"/>
              </w:rPr>
            </w:pPr>
          </w:p>
        </w:tc>
      </w:tr>
      <w:tr>
        <w:trPr>
          <w:trHeight w:val="234"/>
        </w:trPr>
        <w:tc>
          <w:tcPr>
            <w:tcW w:w="54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Adjusted earnings from continuing operations</w:t>
            </w: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309,383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283,157</w:t>
            </w: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336,713</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361,289</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343,327</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1,324,486</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6"/>
                <w:szCs w:val="16"/>
                <w:b w:val="1"/>
                <w:bCs w:val="1"/>
                <w:color w:val="auto"/>
              </w:rPr>
              <w:t>Adjusted diluted earnings per share from continuing operations: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54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Diluted earnings per share from continuing operations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7.97</w:t>
            </w:r>
          </w:p>
        </w:tc>
        <w:tc>
          <w:tcPr>
            <w:tcW w:w="0" w:type="dxa"/>
            <w:vAlign w:val="bottom"/>
          </w:tcPr>
          <w:p>
            <w:pPr>
              <w:spacing w:after="0"/>
              <w:rPr>
                <w:sz w:val="1"/>
                <w:szCs w:val="1"/>
                <w:color w:val="auto"/>
              </w:rPr>
            </w:pPr>
          </w:p>
        </w:tc>
      </w:tr>
      <w:tr>
        <w:trPr>
          <w:trHeight w:val="216"/>
        </w:trPr>
        <w:tc>
          <w:tcPr>
            <w:tcW w:w="540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Purchase accounting expenses, pre-tax </w:t>
            </w:r>
            <w:r>
              <w:rPr>
                <w:rFonts w:ascii="Arial" w:cs="Arial" w:eastAsia="Arial" w:hAnsi="Arial"/>
                <w:sz w:val="21"/>
                <w:szCs w:val="21"/>
                <w:color w:val="auto"/>
                <w:vertAlign w:val="superscript"/>
              </w:rPr>
              <w:t>1</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0.40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0.36</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0.37</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0.43</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0.43</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1.59</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Purchase accounting expenses, tax impact </w:t>
            </w:r>
            <w:r>
              <w:rPr>
                <w:rFonts w:ascii="Arial" w:cs="Arial" w:eastAsia="Arial" w:hAnsi="Arial"/>
                <w:sz w:val="21"/>
                <w:szCs w:val="21"/>
                <w:color w:val="auto"/>
                <w:vertAlign w:val="superscript"/>
              </w:rPr>
              <w:t>2</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(0.10)</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(0.10)</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(0.37)</w:t>
            </w:r>
          </w:p>
        </w:tc>
        <w:tc>
          <w:tcPr>
            <w:tcW w:w="0" w:type="dxa"/>
            <w:vAlign w:val="bottom"/>
          </w:tcPr>
          <w:p>
            <w:pPr>
              <w:spacing w:after="0"/>
              <w:rPr>
                <w:sz w:val="1"/>
                <w:szCs w:val="1"/>
                <w:color w:val="auto"/>
              </w:rPr>
            </w:pPr>
          </w:p>
        </w:tc>
      </w:tr>
      <w:tr>
        <w:trPr>
          <w:trHeight w:val="216"/>
        </w:trPr>
        <w:tc>
          <w:tcPr>
            <w:tcW w:w="540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Restructuring and other costs, pre-tax </w:t>
            </w:r>
            <w:r>
              <w:rPr>
                <w:rFonts w:ascii="Arial" w:cs="Arial" w:eastAsia="Arial" w:hAnsi="Arial"/>
                <w:sz w:val="21"/>
                <w:szCs w:val="21"/>
                <w:color w:val="auto"/>
                <w:vertAlign w:val="superscript"/>
              </w:rPr>
              <w:t>3</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0.27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0.07</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0.17</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0.12</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0.22</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0.57</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Restructuring and other costs, tax impact </w:t>
            </w:r>
            <w:r>
              <w:rPr>
                <w:rFonts w:ascii="Arial" w:cs="Arial" w:eastAsia="Arial" w:hAnsi="Arial"/>
                <w:sz w:val="21"/>
                <w:szCs w:val="21"/>
                <w:color w:val="auto"/>
                <w:vertAlign w:val="superscript"/>
              </w:rPr>
              <w:t>2</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(0.11)</w:t>
            </w:r>
          </w:p>
        </w:tc>
        <w:tc>
          <w:tcPr>
            <w:tcW w:w="0" w:type="dxa"/>
            <w:vAlign w:val="bottom"/>
          </w:tcPr>
          <w:p>
            <w:pPr>
              <w:spacing w:after="0"/>
              <w:rPr>
                <w:sz w:val="1"/>
                <w:szCs w:val="1"/>
                <w:color w:val="auto"/>
              </w:rPr>
            </w:pPr>
          </w:p>
        </w:tc>
      </w:tr>
      <w:tr>
        <w:trPr>
          <w:trHeight w:val="216"/>
        </w:trPr>
        <w:tc>
          <w:tcPr>
            <w:tcW w:w="540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Gain on dispositions, pre-tax </w:t>
            </w:r>
            <w:r>
              <w:rPr>
                <w:rFonts w:ascii="Arial" w:cs="Arial" w:eastAsia="Arial" w:hAnsi="Arial"/>
                <w:sz w:val="21"/>
                <w:szCs w:val="21"/>
                <w:color w:val="auto"/>
                <w:vertAlign w:val="superscript"/>
              </w:rPr>
              <w:t>4</w:t>
            </w:r>
          </w:p>
        </w:tc>
        <w:tc>
          <w:tcPr>
            <w:tcW w:w="2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(0.02)</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(0.02)</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(0.03)</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Gain on dispositions, tax-impact </w:t>
            </w:r>
            <w:r>
              <w:rPr>
                <w:rFonts w:ascii="Arial" w:cs="Arial" w:eastAsia="Arial" w:hAnsi="Arial"/>
                <w:sz w:val="21"/>
                <w:szCs w:val="21"/>
                <w:color w:val="auto"/>
                <w:vertAlign w:val="superscript"/>
              </w:rPr>
              <w:t>2</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0.01</w:t>
            </w:r>
          </w:p>
        </w:tc>
        <w:tc>
          <w:tcPr>
            <w:tcW w:w="0" w:type="dxa"/>
            <w:vAlign w:val="bottom"/>
          </w:tcPr>
          <w:p>
            <w:pPr>
              <w:spacing w:after="0"/>
              <w:rPr>
                <w:sz w:val="1"/>
                <w:szCs w:val="1"/>
                <w:color w:val="auto"/>
              </w:rPr>
            </w:pPr>
          </w:p>
        </w:tc>
      </w:tr>
      <w:tr>
        <w:trPr>
          <w:trHeight w:val="209"/>
        </w:trPr>
        <w:tc>
          <w:tcPr>
            <w:tcW w:w="5400" w:type="dxa"/>
            <w:vAlign w:val="bottom"/>
            <w:gridSpan w:val="2"/>
          </w:tcPr>
          <w:p>
            <w:pPr>
              <w:ind w:left="20"/>
              <w:spacing w:after="0"/>
              <w:rPr>
                <w:sz w:val="20"/>
                <w:szCs w:val="20"/>
                <w:color w:val="auto"/>
              </w:rPr>
            </w:pPr>
            <w:r>
              <w:rPr>
                <w:rFonts w:ascii="Arial" w:cs="Arial" w:eastAsia="Arial" w:hAnsi="Arial"/>
                <w:sz w:val="16"/>
                <w:szCs w:val="16"/>
                <w:color w:val="auto"/>
              </w:rPr>
              <w:t>Adjusted diluted earnings per share from continuing operations</w:t>
            </w: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2.28</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2.05</w:t>
            </w: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2.44</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2.62</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2.51</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9.61</w:t>
            </w: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120" w:hanging="94"/>
        <w:spacing w:after="0"/>
        <w:tabs>
          <w:tab w:leader="none" w:pos="120" w:val="left"/>
        </w:tabs>
        <w:numPr>
          <w:ilvl w:val="0"/>
          <w:numId w:val="8"/>
        </w:numPr>
        <w:rPr>
          <w:rFonts w:ascii="Arial" w:cs="Arial" w:eastAsia="Arial" w:hAnsi="Arial"/>
          <w:sz w:val="20"/>
          <w:szCs w:val="20"/>
          <w:color w:val="auto"/>
          <w:vertAlign w:val="superscript"/>
        </w:rPr>
      </w:pPr>
      <w:r>
        <w:rPr>
          <w:rFonts w:ascii="Arial" w:cs="Arial" w:eastAsia="Arial" w:hAnsi="Arial"/>
          <w:sz w:val="15"/>
          <w:szCs w:val="15"/>
          <w:color w:val="auto"/>
        </w:rPr>
        <w:t>Purchase accounting expenses are primarily comprised of amortization of intangible assets.</w:t>
      </w:r>
    </w:p>
    <w:p>
      <w:pPr>
        <w:ind w:left="120" w:hanging="94"/>
        <w:spacing w:after="0" w:line="225" w:lineRule="auto"/>
        <w:tabs>
          <w:tab w:leader="none" w:pos="120" w:val="left"/>
        </w:tabs>
        <w:numPr>
          <w:ilvl w:val="0"/>
          <w:numId w:val="9"/>
        </w:numPr>
        <w:rPr>
          <w:rFonts w:ascii="Arial" w:cs="Arial" w:eastAsia="Arial" w:hAnsi="Arial"/>
          <w:sz w:val="20"/>
          <w:szCs w:val="20"/>
          <w:color w:val="auto"/>
          <w:vertAlign w:val="superscript"/>
        </w:rPr>
      </w:pPr>
      <w:r>
        <w:rPr>
          <w:rFonts w:ascii="Arial" w:cs="Arial" w:eastAsia="Arial" w:hAnsi="Arial"/>
          <w:sz w:val="15"/>
          <w:szCs w:val="15"/>
          <w:color w:val="auto"/>
        </w:rPr>
        <w:t>Adjustments were tax effected using the statutory tax rates in the applicable jurisdictions or the effective tax rate, where applicable, for each period.</w:t>
      </w:r>
    </w:p>
    <w:p>
      <w:pPr>
        <w:spacing w:after="0" w:line="70" w:lineRule="exact"/>
        <w:rPr>
          <w:sz w:val="20"/>
          <w:szCs w:val="20"/>
          <w:color w:val="auto"/>
        </w:rPr>
      </w:pPr>
    </w:p>
    <w:p>
      <w:pPr>
        <w:jc w:val="both"/>
        <w:ind w:left="20" w:right="20" w:firstLine="6"/>
        <w:spacing w:after="0" w:line="231" w:lineRule="auto"/>
        <w:tabs>
          <w:tab w:leader="none" w:pos="123" w:val="left"/>
        </w:tabs>
        <w:numPr>
          <w:ilvl w:val="0"/>
          <w:numId w:val="10"/>
        </w:numPr>
        <w:rPr>
          <w:rFonts w:ascii="Arial" w:cs="Arial" w:eastAsia="Arial" w:hAnsi="Arial"/>
          <w:sz w:val="20"/>
          <w:szCs w:val="20"/>
          <w:color w:val="auto"/>
          <w:vertAlign w:val="superscript"/>
        </w:rPr>
      </w:pPr>
      <w:r>
        <w:rPr>
          <w:rFonts w:ascii="Arial" w:cs="Arial" w:eastAsia="Arial" w:hAnsi="Arial"/>
          <w:sz w:val="15"/>
          <w:szCs w:val="15"/>
          <w:color w:val="auto"/>
        </w:rPr>
        <w:t>Restructuring and other costs relate to actions taken for headcount reductions, facility consolidations and site closures, product line exits, and other asset charges. Q1 2026 includes other costs of $3.0 million associated with a footprint reduction in our Climate &amp; Sustainability Technologies segment. Q2 2025, Q3 2025, Q4 2025 and FY 2025 include other costs of $1.9 million, $1.8 million, $2.6 million and $6.3 million, respectively, associated with a footprint reduction within our Climate &amp; Sustainability Technologies segment. Q2 2025 and FY 2025 include other costs of $4.0 million associated with a product line exit within our Climate &amp; Sustainability Technologies segment.</w:t>
      </w:r>
    </w:p>
    <w:p>
      <w:pPr>
        <w:spacing w:after="0" w:line="4" w:lineRule="exact"/>
        <w:rPr>
          <w:rFonts w:ascii="Arial" w:cs="Arial" w:eastAsia="Arial" w:hAnsi="Arial"/>
          <w:sz w:val="20"/>
          <w:szCs w:val="20"/>
          <w:color w:val="auto"/>
          <w:vertAlign w:val="superscript"/>
        </w:rPr>
      </w:pPr>
    </w:p>
    <w:p>
      <w:pPr>
        <w:jc w:val="both"/>
        <w:ind w:left="20" w:right="7280"/>
        <w:spacing w:after="0" w:line="258" w:lineRule="auto"/>
        <w:rPr>
          <w:rFonts w:ascii="Arial" w:cs="Arial" w:eastAsia="Arial" w:hAnsi="Arial"/>
          <w:sz w:val="20"/>
          <w:szCs w:val="20"/>
          <w:color w:val="auto"/>
          <w:vertAlign w:val="superscript"/>
        </w:rPr>
      </w:pPr>
      <w:r>
        <w:rPr>
          <w:rFonts w:ascii="Arial" w:cs="Arial" w:eastAsia="Arial" w:hAnsi="Arial"/>
          <w:sz w:val="19"/>
          <w:szCs w:val="19"/>
          <w:color w:val="auto"/>
          <w:vertAlign w:val="superscript"/>
        </w:rPr>
        <w:t>4</w:t>
      </w:r>
      <w:r>
        <w:rPr>
          <w:rFonts w:ascii="Arial" w:cs="Arial" w:eastAsia="Arial" w:hAnsi="Arial"/>
          <w:sz w:val="15"/>
          <w:szCs w:val="15"/>
          <w:color w:val="auto"/>
        </w:rPr>
        <w:t xml:space="preserve"> Gain on dispositions, including post-closing adjustments. * Per share data and totals may be impacted by rounding.</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IS - 4</w:t>
      </w:r>
    </w:p>
    <w:p>
      <w:pPr>
        <w:sectPr>
          <w:pgSz w:w="11900" w:h="16838" w:orient="portrait"/>
          <w:cols w:equalWidth="0" w:num="1">
            <w:col w:w="11240"/>
          </w:cols>
          <w:pgMar w:left="320" w:top="364" w:right="339" w:bottom="1440" w:gutter="0" w:footer="0" w:header="0"/>
        </w:sectPr>
      </w:pPr>
    </w:p>
    <w:bookmarkStart w:id="9" w:name="page10"/>
    <w:bookmarkEnd w:id="9"/>
    <w:p>
      <w:pPr>
        <w:jc w:val="center"/>
        <w:ind w:right="-79"/>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QUARTERLY ADJUSTED SEGMENT EBITDA (NON-GAAP)</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(unaudited)(in thousands)</w:t>
      </w:r>
    </w:p>
    <w:tbl>
      <w:tblPr>
        <w:tblLayout w:type="fixed"/>
        <w:tblInd w:w="0" w:type="dxa"/>
        <w:tblCellMar>
          <w:top w:w="0" w:type="dxa"/>
          <w:left w:w="0" w:type="dxa"/>
          <w:bottom w:w="0" w:type="dxa"/>
          <w:right w:w="0" w:type="dxa"/>
        </w:tblCellMar>
      </w:tblPr>
      <w:tr>
        <w:trPr>
          <w:trHeight w:val="172"/>
        </w:trPr>
        <w:tc>
          <w:tcPr>
            <w:tcW w:w="5480" w:type="dxa"/>
            <w:vAlign w:val="bottom"/>
            <w:gridSpan w:val="10"/>
          </w:tcPr>
          <w:p>
            <w:pPr>
              <w:spacing w:after="0" w:line="172" w:lineRule="exact"/>
              <w:rPr>
                <w:sz w:val="20"/>
                <w:szCs w:val="20"/>
                <w:color w:val="auto"/>
              </w:rPr>
            </w:pPr>
            <w:r>
              <w:rPr>
                <w:rFonts w:ascii="Arial" w:cs="Arial" w:eastAsia="Arial" w:hAnsi="Arial"/>
                <w:sz w:val="16"/>
                <w:szCs w:val="16"/>
                <w:b w:val="1"/>
                <w:bCs w:val="1"/>
                <w:color w:val="auto"/>
              </w:rPr>
              <w:t>Non-GAAP Reconciliations</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50"/>
        </w:trPr>
        <w:tc>
          <w:tcPr>
            <w:tcW w:w="12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2026</w:t>
            </w: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2025</w:t>
            </w: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r>
      <w:tr>
        <w:trPr>
          <w:trHeight w:val="209"/>
        </w:trPr>
        <w:tc>
          <w:tcPr>
            <w:tcW w:w="120" w:type="dxa"/>
            <w:vAlign w:val="bottom"/>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23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Q1</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Q1</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Q2</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Q3</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Q4</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FY 2025</w:t>
            </w:r>
          </w:p>
        </w:tc>
      </w:tr>
      <w:tr>
        <w:trPr>
          <w:trHeight w:val="176"/>
        </w:trPr>
        <w:tc>
          <w:tcPr>
            <w:tcW w:w="120" w:type="dxa"/>
            <w:vAlign w:val="bottom"/>
            <w:tcBorders>
              <w:right w:val="single" w:sz="8" w:color="CCEEFF"/>
            </w:tcBorders>
          </w:tcPr>
          <w:p>
            <w:pPr>
              <w:spacing w:after="0"/>
              <w:rPr>
                <w:sz w:val="15"/>
                <w:szCs w:val="15"/>
                <w:color w:val="auto"/>
              </w:rPr>
            </w:pPr>
          </w:p>
        </w:tc>
        <w:tc>
          <w:tcPr>
            <w:tcW w:w="5360" w:type="dxa"/>
            <w:vAlign w:val="bottom"/>
            <w:gridSpan w:val="9"/>
            <w:shd w:val="clear" w:color="auto" w:fill="CCEEFF"/>
          </w:tcPr>
          <w:p>
            <w:pPr>
              <w:spacing w:after="0" w:line="155" w:lineRule="exact"/>
              <w:rPr>
                <w:sz w:val="20"/>
                <w:szCs w:val="20"/>
                <w:color w:val="auto"/>
              </w:rPr>
            </w:pPr>
            <w:r>
              <w:rPr>
                <w:rFonts w:ascii="Arial" w:cs="Arial" w:eastAsia="Arial" w:hAnsi="Arial"/>
                <w:sz w:val="16"/>
                <w:szCs w:val="16"/>
                <w:b w:val="1"/>
                <w:bCs w:val="1"/>
                <w:color w:val="auto"/>
              </w:rPr>
              <w:t>ADJUSTED SEGMENT EBITDA</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70"/>
        </w:trPr>
        <w:tc>
          <w:tcPr>
            <w:tcW w:w="120" w:type="dxa"/>
            <w:vAlign w:val="bottom"/>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320" w:type="dxa"/>
            <w:vAlign w:val="bottom"/>
            <w:tcBorders>
              <w:top w:val="single" w:sz="8" w:color="auto"/>
            </w:tcBorders>
            <w:gridSpan w:val="2"/>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238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r>
      <w:tr>
        <w:trPr>
          <w:trHeight w:val="175"/>
        </w:trPr>
        <w:tc>
          <w:tcPr>
            <w:tcW w:w="120" w:type="dxa"/>
            <w:vAlign w:val="bottom"/>
            <w:tcBorders>
              <w:right w:val="single" w:sz="8" w:color="CCEEFF"/>
            </w:tcBorders>
          </w:tcPr>
          <w:p>
            <w:pPr>
              <w:spacing w:after="0"/>
              <w:rPr>
                <w:sz w:val="15"/>
                <w:szCs w:val="15"/>
                <w:color w:val="auto"/>
              </w:rPr>
            </w:pPr>
          </w:p>
        </w:tc>
        <w:tc>
          <w:tcPr>
            <w:tcW w:w="5360" w:type="dxa"/>
            <w:vAlign w:val="bottom"/>
            <w:gridSpan w:val="9"/>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Engineered Products:</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1"/>
        </w:trPr>
        <w:tc>
          <w:tcPr>
            <w:tcW w:w="120" w:type="dxa"/>
            <w:vAlign w:val="bottom"/>
            <w:tcBorders>
              <w:right w:val="single" w:sz="8" w:color="CCEEFF"/>
            </w:tcBorders>
          </w:tcPr>
          <w:p>
            <w:pPr>
              <w:spacing w:after="0" w:line="20" w:lineRule="exact"/>
              <w:rPr>
                <w:sz w:val="1"/>
                <w:szCs w:val="1"/>
                <w:color w:val="auto"/>
              </w:rPr>
            </w:pPr>
          </w:p>
        </w:tc>
        <w:tc>
          <w:tcPr>
            <w:tcW w:w="124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5360" w:type="dxa"/>
            <w:vAlign w:val="bottom"/>
            <w:gridSpan w:val="9"/>
          </w:tcPr>
          <w:p>
            <w:pPr>
              <w:spacing w:after="0"/>
              <w:rPr>
                <w:sz w:val="20"/>
                <w:szCs w:val="20"/>
                <w:color w:val="auto"/>
              </w:rPr>
            </w:pPr>
            <w:r>
              <w:rPr>
                <w:rFonts w:ascii="Arial" w:cs="Arial" w:eastAsia="Arial" w:hAnsi="Arial"/>
                <w:sz w:val="16"/>
                <w:szCs w:val="16"/>
                <w:color w:val="auto"/>
              </w:rPr>
              <w:t>Segment earnings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44,991</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44,114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53,511</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57,483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62,158</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217,266</w:t>
            </w:r>
          </w:p>
        </w:tc>
      </w:tr>
      <w:tr>
        <w:trPr>
          <w:trHeight w:val="216"/>
        </w:trPr>
        <w:tc>
          <w:tcPr>
            <w:tcW w:w="120" w:type="dxa"/>
            <w:vAlign w:val="bottom"/>
            <w:tcBorders>
              <w:right w:val="single" w:sz="8" w:color="CCEEFF"/>
            </w:tcBorders>
          </w:tcPr>
          <w:p>
            <w:pPr>
              <w:spacing w:after="0"/>
              <w:rPr>
                <w:sz w:val="18"/>
                <w:szCs w:val="18"/>
                <w:color w:val="auto"/>
              </w:rPr>
            </w:pPr>
          </w:p>
        </w:tc>
        <w:tc>
          <w:tcPr>
            <w:tcW w:w="5360" w:type="dxa"/>
            <w:vAlign w:val="bottom"/>
            <w:gridSpan w:val="9"/>
            <w:shd w:val="clear" w:color="auto" w:fill="CCEEFF"/>
          </w:tcPr>
          <w:p>
            <w:pPr>
              <w:ind w:left="100"/>
              <w:spacing w:after="0" w:line="216" w:lineRule="exact"/>
              <w:rPr>
                <w:sz w:val="20"/>
                <w:szCs w:val="20"/>
                <w:color w:val="auto"/>
              </w:rPr>
            </w:pPr>
            <w:r>
              <w:rPr>
                <w:rFonts w:ascii="Arial" w:cs="Arial" w:eastAsia="Arial" w:hAnsi="Arial"/>
                <w:sz w:val="16"/>
                <w:szCs w:val="16"/>
                <w:color w:val="auto"/>
              </w:rPr>
              <w:t xml:space="preserve">Other depreciation and amortization </w:t>
            </w:r>
            <w:r>
              <w:rPr>
                <w:rFonts w:ascii="Arial" w:cs="Arial" w:eastAsia="Arial" w:hAnsi="Arial"/>
                <w:sz w:val="21"/>
                <w:szCs w:val="21"/>
                <w:color w:val="auto"/>
                <w:vertAlign w:val="superscript"/>
              </w:rPr>
              <w:t>1</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5,486</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4,800</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5,141</w:t>
            </w: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5,736</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5,818</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21,495</w:t>
            </w:r>
          </w:p>
        </w:tc>
      </w:tr>
      <w:tr>
        <w:trPr>
          <w:trHeight w:val="210"/>
        </w:trPr>
        <w:tc>
          <w:tcPr>
            <w:tcW w:w="120" w:type="dxa"/>
            <w:vAlign w:val="bottom"/>
          </w:tcPr>
          <w:p>
            <w:pPr>
              <w:spacing w:after="0"/>
              <w:rPr>
                <w:sz w:val="18"/>
                <w:szCs w:val="18"/>
                <w:color w:val="auto"/>
              </w:rPr>
            </w:pPr>
          </w:p>
        </w:tc>
        <w:tc>
          <w:tcPr>
            <w:tcW w:w="5360" w:type="dxa"/>
            <w:vAlign w:val="bottom"/>
            <w:gridSpan w:val="9"/>
          </w:tcPr>
          <w:p>
            <w:pPr>
              <w:spacing w:after="0" w:line="210" w:lineRule="exact"/>
              <w:rPr>
                <w:sz w:val="20"/>
                <w:szCs w:val="20"/>
                <w:color w:val="auto"/>
              </w:rPr>
            </w:pPr>
            <w:r>
              <w:rPr>
                <w:rFonts w:ascii="Arial" w:cs="Arial" w:eastAsia="Arial" w:hAnsi="Arial"/>
                <w:sz w:val="16"/>
                <w:szCs w:val="16"/>
                <w:color w:val="auto"/>
              </w:rPr>
              <w:t xml:space="preserve">Adjusted segment EBITDA </w:t>
            </w:r>
            <w:r>
              <w:rPr>
                <w:rFonts w:ascii="Arial" w:cs="Arial" w:eastAsia="Arial" w:hAnsi="Arial"/>
                <w:sz w:val="21"/>
                <w:szCs w:val="21"/>
                <w:color w:val="auto"/>
                <w:vertAlign w:val="superscript"/>
              </w:rPr>
              <w:t>2</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50,477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48,914</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58,652</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63,219</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67,976</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238,761</w:t>
            </w:r>
          </w:p>
        </w:tc>
      </w:tr>
      <w:tr>
        <w:trPr>
          <w:trHeight w:val="216"/>
        </w:trPr>
        <w:tc>
          <w:tcPr>
            <w:tcW w:w="120" w:type="dxa"/>
            <w:vAlign w:val="bottom"/>
            <w:tcBorders>
              <w:right w:val="single" w:sz="8" w:color="CCEEFF"/>
            </w:tcBorders>
          </w:tcPr>
          <w:p>
            <w:pPr>
              <w:spacing w:after="0"/>
              <w:rPr>
                <w:sz w:val="18"/>
                <w:szCs w:val="18"/>
                <w:color w:val="auto"/>
              </w:rPr>
            </w:pPr>
          </w:p>
        </w:tc>
        <w:tc>
          <w:tcPr>
            <w:tcW w:w="5360" w:type="dxa"/>
            <w:vAlign w:val="bottom"/>
            <w:gridSpan w:val="9"/>
            <w:shd w:val="clear" w:color="auto" w:fill="CCEEFF"/>
          </w:tcPr>
          <w:p>
            <w:pPr>
              <w:ind w:left="100"/>
              <w:spacing w:after="0" w:line="216" w:lineRule="exact"/>
              <w:rPr>
                <w:sz w:val="20"/>
                <w:szCs w:val="20"/>
                <w:color w:val="auto"/>
              </w:rPr>
            </w:pPr>
            <w:r>
              <w:rPr>
                <w:rFonts w:ascii="Arial" w:cs="Arial" w:eastAsia="Arial" w:hAnsi="Arial"/>
                <w:sz w:val="16"/>
                <w:szCs w:val="16"/>
                <w:color w:val="auto"/>
              </w:rPr>
              <w:t xml:space="preserve">Adjusted segment EBITDA margin </w:t>
            </w:r>
            <w:r>
              <w:rPr>
                <w:rFonts w:ascii="Arial" w:cs="Arial" w:eastAsia="Arial" w:hAnsi="Arial"/>
                <w:sz w:val="21"/>
                <w:szCs w:val="21"/>
                <w:color w:val="auto"/>
                <w:vertAlign w:val="superscript"/>
              </w:rPr>
              <w:t>2</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18.9 %</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19.2 %</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21.3 %</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22.6 %</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22.0 %</w:t>
            </w:r>
          </w:p>
        </w:tc>
      </w:tr>
      <w:tr>
        <w:trPr>
          <w:trHeight w:val="270"/>
        </w:trPr>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gridSpan w:val="2"/>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175"/>
        </w:trPr>
        <w:tc>
          <w:tcPr>
            <w:tcW w:w="120" w:type="dxa"/>
            <w:vAlign w:val="bottom"/>
            <w:tcBorders>
              <w:right w:val="single" w:sz="8" w:color="CCEEFF"/>
            </w:tcBorders>
          </w:tcPr>
          <w:p>
            <w:pPr>
              <w:spacing w:after="0"/>
              <w:rPr>
                <w:sz w:val="15"/>
                <w:szCs w:val="15"/>
                <w:color w:val="auto"/>
              </w:rPr>
            </w:pPr>
          </w:p>
        </w:tc>
        <w:tc>
          <w:tcPr>
            <w:tcW w:w="5360" w:type="dxa"/>
            <w:vAlign w:val="bottom"/>
            <w:gridSpan w:val="9"/>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Clean Energy &amp; Fueling:</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1"/>
        </w:trPr>
        <w:tc>
          <w:tcPr>
            <w:tcW w:w="120" w:type="dxa"/>
            <w:vAlign w:val="bottom"/>
            <w:tcBorders>
              <w:right w:val="single" w:sz="8" w:color="CCEEFF"/>
            </w:tcBorders>
          </w:tcPr>
          <w:p>
            <w:pPr>
              <w:spacing w:after="0" w:line="20" w:lineRule="exact"/>
              <w:rPr>
                <w:sz w:val="1"/>
                <w:szCs w:val="1"/>
                <w:color w:val="auto"/>
              </w:rPr>
            </w:pPr>
          </w:p>
        </w:tc>
        <w:tc>
          <w:tcPr>
            <w:tcW w:w="124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5360" w:type="dxa"/>
            <w:vAlign w:val="bottom"/>
            <w:gridSpan w:val="9"/>
          </w:tcPr>
          <w:p>
            <w:pPr>
              <w:spacing w:after="0"/>
              <w:rPr>
                <w:sz w:val="20"/>
                <w:szCs w:val="20"/>
                <w:color w:val="auto"/>
              </w:rPr>
            </w:pPr>
            <w:r>
              <w:rPr>
                <w:rFonts w:ascii="Arial" w:cs="Arial" w:eastAsia="Arial" w:hAnsi="Arial"/>
                <w:sz w:val="16"/>
                <w:szCs w:val="16"/>
                <w:color w:val="auto"/>
              </w:rPr>
              <w:t>Segment earnings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99,041</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85,644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107,771</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118,665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105,990</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418,070</w:t>
            </w:r>
          </w:p>
        </w:tc>
      </w:tr>
      <w:tr>
        <w:trPr>
          <w:trHeight w:val="216"/>
        </w:trPr>
        <w:tc>
          <w:tcPr>
            <w:tcW w:w="120" w:type="dxa"/>
            <w:vAlign w:val="bottom"/>
            <w:tcBorders>
              <w:right w:val="single" w:sz="8" w:color="CCEEFF"/>
            </w:tcBorders>
          </w:tcPr>
          <w:p>
            <w:pPr>
              <w:spacing w:after="0"/>
              <w:rPr>
                <w:sz w:val="18"/>
                <w:szCs w:val="18"/>
                <w:color w:val="auto"/>
              </w:rPr>
            </w:pPr>
          </w:p>
        </w:tc>
        <w:tc>
          <w:tcPr>
            <w:tcW w:w="5360" w:type="dxa"/>
            <w:vAlign w:val="bottom"/>
            <w:gridSpan w:val="9"/>
            <w:shd w:val="clear" w:color="auto" w:fill="CCEEFF"/>
          </w:tcPr>
          <w:p>
            <w:pPr>
              <w:ind w:left="100"/>
              <w:spacing w:after="0" w:line="216" w:lineRule="exact"/>
              <w:rPr>
                <w:sz w:val="20"/>
                <w:szCs w:val="20"/>
                <w:color w:val="auto"/>
              </w:rPr>
            </w:pPr>
            <w:r>
              <w:rPr>
                <w:rFonts w:ascii="Arial" w:cs="Arial" w:eastAsia="Arial" w:hAnsi="Arial"/>
                <w:sz w:val="16"/>
                <w:szCs w:val="16"/>
                <w:color w:val="auto"/>
              </w:rPr>
              <w:t xml:space="preserve">Other depreciation and amortization </w:t>
            </w:r>
            <w:r>
              <w:rPr>
                <w:rFonts w:ascii="Arial" w:cs="Arial" w:eastAsia="Arial" w:hAnsi="Arial"/>
                <w:sz w:val="21"/>
                <w:szCs w:val="21"/>
                <w:color w:val="auto"/>
                <w:vertAlign w:val="superscript"/>
              </w:rPr>
              <w:t>1</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8,552</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8,578</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8,961</w:t>
            </w: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8,582</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8,685</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34,806</w:t>
            </w:r>
          </w:p>
        </w:tc>
      </w:tr>
      <w:tr>
        <w:trPr>
          <w:trHeight w:val="210"/>
        </w:trPr>
        <w:tc>
          <w:tcPr>
            <w:tcW w:w="120" w:type="dxa"/>
            <w:vAlign w:val="bottom"/>
          </w:tcPr>
          <w:p>
            <w:pPr>
              <w:spacing w:after="0"/>
              <w:rPr>
                <w:sz w:val="18"/>
                <w:szCs w:val="18"/>
                <w:color w:val="auto"/>
              </w:rPr>
            </w:pPr>
          </w:p>
        </w:tc>
        <w:tc>
          <w:tcPr>
            <w:tcW w:w="5360" w:type="dxa"/>
            <w:vAlign w:val="bottom"/>
            <w:gridSpan w:val="9"/>
          </w:tcPr>
          <w:p>
            <w:pPr>
              <w:spacing w:after="0" w:line="210" w:lineRule="exact"/>
              <w:rPr>
                <w:sz w:val="20"/>
                <w:szCs w:val="20"/>
                <w:color w:val="auto"/>
              </w:rPr>
            </w:pPr>
            <w:r>
              <w:rPr>
                <w:rFonts w:ascii="Arial" w:cs="Arial" w:eastAsia="Arial" w:hAnsi="Arial"/>
                <w:sz w:val="16"/>
                <w:szCs w:val="16"/>
                <w:color w:val="auto"/>
              </w:rPr>
              <w:t xml:space="preserve">Adjusted segment EBITDA </w:t>
            </w:r>
            <w:r>
              <w:rPr>
                <w:rFonts w:ascii="Arial" w:cs="Arial" w:eastAsia="Arial" w:hAnsi="Arial"/>
                <w:sz w:val="21"/>
                <w:szCs w:val="21"/>
                <w:color w:val="auto"/>
                <w:vertAlign w:val="superscript"/>
              </w:rPr>
              <w:t>2</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107,593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94,222</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116,732</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127,247</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114,675</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452,876</w:t>
            </w:r>
          </w:p>
        </w:tc>
      </w:tr>
      <w:tr>
        <w:trPr>
          <w:trHeight w:val="216"/>
        </w:trPr>
        <w:tc>
          <w:tcPr>
            <w:tcW w:w="120" w:type="dxa"/>
            <w:vAlign w:val="bottom"/>
            <w:tcBorders>
              <w:right w:val="single" w:sz="8" w:color="CCEEFF"/>
            </w:tcBorders>
          </w:tcPr>
          <w:p>
            <w:pPr>
              <w:spacing w:after="0"/>
              <w:rPr>
                <w:sz w:val="18"/>
                <w:szCs w:val="18"/>
                <w:color w:val="auto"/>
              </w:rPr>
            </w:pPr>
          </w:p>
        </w:tc>
        <w:tc>
          <w:tcPr>
            <w:tcW w:w="5360" w:type="dxa"/>
            <w:vAlign w:val="bottom"/>
            <w:gridSpan w:val="9"/>
            <w:shd w:val="clear" w:color="auto" w:fill="CCEEFF"/>
          </w:tcPr>
          <w:p>
            <w:pPr>
              <w:ind w:left="100"/>
              <w:spacing w:after="0" w:line="216" w:lineRule="exact"/>
              <w:rPr>
                <w:sz w:val="20"/>
                <w:szCs w:val="20"/>
                <w:color w:val="auto"/>
              </w:rPr>
            </w:pPr>
            <w:r>
              <w:rPr>
                <w:rFonts w:ascii="Arial" w:cs="Arial" w:eastAsia="Arial" w:hAnsi="Arial"/>
                <w:sz w:val="16"/>
                <w:szCs w:val="16"/>
                <w:color w:val="auto"/>
              </w:rPr>
              <w:t xml:space="preserve">Adjusted segment EBITDA margin </w:t>
            </w:r>
            <w:r>
              <w:rPr>
                <w:rFonts w:ascii="Arial" w:cs="Arial" w:eastAsia="Arial" w:hAnsi="Arial"/>
                <w:sz w:val="21"/>
                <w:szCs w:val="21"/>
                <w:color w:val="auto"/>
                <w:vertAlign w:val="superscript"/>
              </w:rPr>
              <w:t>2</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19.4 %</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19.2 %</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21.4 %</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23.5 %</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21.3 %</w:t>
            </w:r>
          </w:p>
        </w:tc>
      </w:tr>
      <w:tr>
        <w:trPr>
          <w:trHeight w:val="270"/>
        </w:trPr>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gridSpan w:val="2"/>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175"/>
        </w:trPr>
        <w:tc>
          <w:tcPr>
            <w:tcW w:w="120" w:type="dxa"/>
            <w:vAlign w:val="bottom"/>
            <w:tcBorders>
              <w:right w:val="single" w:sz="8" w:color="CCEEFF"/>
            </w:tcBorders>
          </w:tcPr>
          <w:p>
            <w:pPr>
              <w:spacing w:after="0"/>
              <w:rPr>
                <w:sz w:val="15"/>
                <w:szCs w:val="15"/>
                <w:color w:val="auto"/>
              </w:rPr>
            </w:pPr>
          </w:p>
        </w:tc>
        <w:tc>
          <w:tcPr>
            <w:tcW w:w="5360" w:type="dxa"/>
            <w:vAlign w:val="bottom"/>
            <w:gridSpan w:val="9"/>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Imaging &amp; Identification:</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1"/>
        </w:trPr>
        <w:tc>
          <w:tcPr>
            <w:tcW w:w="120" w:type="dxa"/>
            <w:vAlign w:val="bottom"/>
            <w:tcBorders>
              <w:right w:val="single" w:sz="8" w:color="CCEEFF"/>
            </w:tcBorders>
          </w:tcPr>
          <w:p>
            <w:pPr>
              <w:spacing w:after="0" w:line="20" w:lineRule="exact"/>
              <w:rPr>
                <w:sz w:val="1"/>
                <w:szCs w:val="1"/>
                <w:color w:val="auto"/>
              </w:rPr>
            </w:pPr>
          </w:p>
        </w:tc>
        <w:tc>
          <w:tcPr>
            <w:tcW w:w="124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5360" w:type="dxa"/>
            <w:vAlign w:val="bottom"/>
            <w:gridSpan w:val="9"/>
          </w:tcPr>
          <w:p>
            <w:pPr>
              <w:spacing w:after="0"/>
              <w:rPr>
                <w:sz w:val="20"/>
                <w:szCs w:val="20"/>
                <w:color w:val="auto"/>
              </w:rPr>
            </w:pPr>
            <w:r>
              <w:rPr>
                <w:rFonts w:ascii="Arial" w:cs="Arial" w:eastAsia="Arial" w:hAnsi="Arial"/>
                <w:sz w:val="16"/>
                <w:szCs w:val="16"/>
                <w:color w:val="auto"/>
              </w:rPr>
              <w:t>Segment earnings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77,457</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77,575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76,937</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81,772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78,451</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314,735</w:t>
            </w:r>
          </w:p>
        </w:tc>
      </w:tr>
      <w:tr>
        <w:trPr>
          <w:trHeight w:val="216"/>
        </w:trPr>
        <w:tc>
          <w:tcPr>
            <w:tcW w:w="120" w:type="dxa"/>
            <w:vAlign w:val="bottom"/>
            <w:tcBorders>
              <w:right w:val="single" w:sz="8" w:color="CCEEFF"/>
            </w:tcBorders>
          </w:tcPr>
          <w:p>
            <w:pPr>
              <w:spacing w:after="0"/>
              <w:rPr>
                <w:sz w:val="18"/>
                <w:szCs w:val="18"/>
                <w:color w:val="auto"/>
              </w:rPr>
            </w:pPr>
          </w:p>
        </w:tc>
        <w:tc>
          <w:tcPr>
            <w:tcW w:w="5360" w:type="dxa"/>
            <w:vAlign w:val="bottom"/>
            <w:gridSpan w:val="9"/>
            <w:shd w:val="clear" w:color="auto" w:fill="CCEEFF"/>
          </w:tcPr>
          <w:p>
            <w:pPr>
              <w:ind w:left="100"/>
              <w:spacing w:after="0" w:line="216" w:lineRule="exact"/>
              <w:rPr>
                <w:sz w:val="20"/>
                <w:szCs w:val="20"/>
                <w:color w:val="auto"/>
              </w:rPr>
            </w:pPr>
            <w:r>
              <w:rPr>
                <w:rFonts w:ascii="Arial" w:cs="Arial" w:eastAsia="Arial" w:hAnsi="Arial"/>
                <w:sz w:val="16"/>
                <w:szCs w:val="16"/>
                <w:color w:val="auto"/>
              </w:rPr>
              <w:t xml:space="preserve">Other depreciation and amortization </w:t>
            </w:r>
            <w:r>
              <w:rPr>
                <w:rFonts w:ascii="Arial" w:cs="Arial" w:eastAsia="Arial" w:hAnsi="Arial"/>
                <w:sz w:val="21"/>
                <w:szCs w:val="21"/>
                <w:color w:val="auto"/>
                <w:vertAlign w:val="superscript"/>
              </w:rPr>
              <w:t>1</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4,208</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4,093</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4,229</w:t>
            </w: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4,091</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5,155</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17,568</w:t>
            </w:r>
          </w:p>
        </w:tc>
      </w:tr>
      <w:tr>
        <w:trPr>
          <w:trHeight w:val="210"/>
        </w:trPr>
        <w:tc>
          <w:tcPr>
            <w:tcW w:w="120" w:type="dxa"/>
            <w:vAlign w:val="bottom"/>
          </w:tcPr>
          <w:p>
            <w:pPr>
              <w:spacing w:after="0"/>
              <w:rPr>
                <w:sz w:val="18"/>
                <w:szCs w:val="18"/>
                <w:color w:val="auto"/>
              </w:rPr>
            </w:pPr>
          </w:p>
        </w:tc>
        <w:tc>
          <w:tcPr>
            <w:tcW w:w="5360" w:type="dxa"/>
            <w:vAlign w:val="bottom"/>
            <w:gridSpan w:val="9"/>
          </w:tcPr>
          <w:p>
            <w:pPr>
              <w:spacing w:after="0" w:line="210" w:lineRule="exact"/>
              <w:rPr>
                <w:sz w:val="20"/>
                <w:szCs w:val="20"/>
                <w:color w:val="auto"/>
              </w:rPr>
            </w:pPr>
            <w:r>
              <w:rPr>
                <w:rFonts w:ascii="Arial" w:cs="Arial" w:eastAsia="Arial" w:hAnsi="Arial"/>
                <w:sz w:val="16"/>
                <w:szCs w:val="16"/>
                <w:color w:val="auto"/>
              </w:rPr>
              <w:t xml:space="preserve">Adjusted segment EBITDA </w:t>
            </w:r>
            <w:r>
              <w:rPr>
                <w:rFonts w:ascii="Arial" w:cs="Arial" w:eastAsia="Arial" w:hAnsi="Arial"/>
                <w:sz w:val="21"/>
                <w:szCs w:val="21"/>
                <w:color w:val="auto"/>
                <w:vertAlign w:val="superscript"/>
              </w:rPr>
              <w:t>2</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81,665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81,668</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81,166</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85,863</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83,606</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332,303</w:t>
            </w:r>
          </w:p>
        </w:tc>
      </w:tr>
      <w:tr>
        <w:trPr>
          <w:trHeight w:val="216"/>
        </w:trPr>
        <w:tc>
          <w:tcPr>
            <w:tcW w:w="120" w:type="dxa"/>
            <w:vAlign w:val="bottom"/>
            <w:tcBorders>
              <w:right w:val="single" w:sz="8" w:color="CCEEFF"/>
            </w:tcBorders>
          </w:tcPr>
          <w:p>
            <w:pPr>
              <w:spacing w:after="0"/>
              <w:rPr>
                <w:sz w:val="18"/>
                <w:szCs w:val="18"/>
                <w:color w:val="auto"/>
              </w:rPr>
            </w:pPr>
          </w:p>
        </w:tc>
        <w:tc>
          <w:tcPr>
            <w:tcW w:w="5360" w:type="dxa"/>
            <w:vAlign w:val="bottom"/>
            <w:gridSpan w:val="9"/>
            <w:shd w:val="clear" w:color="auto" w:fill="CCEEFF"/>
          </w:tcPr>
          <w:p>
            <w:pPr>
              <w:ind w:left="100"/>
              <w:spacing w:after="0" w:line="216" w:lineRule="exact"/>
              <w:rPr>
                <w:sz w:val="20"/>
                <w:szCs w:val="20"/>
                <w:color w:val="auto"/>
              </w:rPr>
            </w:pPr>
            <w:r>
              <w:rPr>
                <w:rFonts w:ascii="Arial" w:cs="Arial" w:eastAsia="Arial" w:hAnsi="Arial"/>
                <w:sz w:val="16"/>
                <w:szCs w:val="16"/>
                <w:color w:val="auto"/>
              </w:rPr>
              <w:t xml:space="preserve">Adjusted segment EBITDA margin </w:t>
            </w:r>
            <w:r>
              <w:rPr>
                <w:rFonts w:ascii="Arial" w:cs="Arial" w:eastAsia="Arial" w:hAnsi="Arial"/>
                <w:sz w:val="21"/>
                <w:szCs w:val="21"/>
                <w:color w:val="auto"/>
                <w:vertAlign w:val="superscript"/>
              </w:rPr>
              <w:t>2</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28.6 %</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29.2 %</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27.8 %</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28.7 %</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28.3 %</w:t>
            </w:r>
          </w:p>
        </w:tc>
      </w:tr>
      <w:tr>
        <w:trPr>
          <w:trHeight w:val="270"/>
        </w:trPr>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gridSpan w:val="2"/>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175"/>
        </w:trPr>
        <w:tc>
          <w:tcPr>
            <w:tcW w:w="120" w:type="dxa"/>
            <w:vAlign w:val="bottom"/>
            <w:tcBorders>
              <w:right w:val="single" w:sz="8" w:color="CCEEFF"/>
            </w:tcBorders>
          </w:tcPr>
          <w:p>
            <w:pPr>
              <w:spacing w:after="0"/>
              <w:rPr>
                <w:sz w:val="15"/>
                <w:szCs w:val="15"/>
                <w:color w:val="auto"/>
              </w:rPr>
            </w:pPr>
          </w:p>
        </w:tc>
        <w:tc>
          <w:tcPr>
            <w:tcW w:w="5360" w:type="dxa"/>
            <w:vAlign w:val="bottom"/>
            <w:gridSpan w:val="9"/>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Pumps &amp; Process Solutions:</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1"/>
        </w:trPr>
        <w:tc>
          <w:tcPr>
            <w:tcW w:w="120" w:type="dxa"/>
            <w:vAlign w:val="bottom"/>
            <w:tcBorders>
              <w:right w:val="single" w:sz="8" w:color="CCEEFF"/>
            </w:tcBorders>
          </w:tcPr>
          <w:p>
            <w:pPr>
              <w:spacing w:after="0" w:line="20" w:lineRule="exact"/>
              <w:rPr>
                <w:sz w:val="1"/>
                <w:szCs w:val="1"/>
                <w:color w:val="auto"/>
              </w:rPr>
            </w:pPr>
          </w:p>
        </w:tc>
        <w:tc>
          <w:tcPr>
            <w:tcW w:w="124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5360" w:type="dxa"/>
            <w:vAlign w:val="bottom"/>
            <w:gridSpan w:val="9"/>
          </w:tcPr>
          <w:p>
            <w:pPr>
              <w:spacing w:after="0"/>
              <w:rPr>
                <w:sz w:val="20"/>
                <w:szCs w:val="20"/>
                <w:color w:val="auto"/>
              </w:rPr>
            </w:pPr>
            <w:r>
              <w:rPr>
                <w:rFonts w:ascii="Arial" w:cs="Arial" w:eastAsia="Arial" w:hAnsi="Arial"/>
                <w:sz w:val="16"/>
                <w:szCs w:val="16"/>
                <w:color w:val="auto"/>
              </w:rPr>
              <w:t>Segment earnings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169,492</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151,275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159,504</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168,565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172,256</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651,600</w:t>
            </w:r>
          </w:p>
        </w:tc>
      </w:tr>
      <w:tr>
        <w:trPr>
          <w:trHeight w:val="216"/>
        </w:trPr>
        <w:tc>
          <w:tcPr>
            <w:tcW w:w="120" w:type="dxa"/>
            <w:vAlign w:val="bottom"/>
            <w:tcBorders>
              <w:right w:val="single" w:sz="8" w:color="CCEEFF"/>
            </w:tcBorders>
          </w:tcPr>
          <w:p>
            <w:pPr>
              <w:spacing w:after="0"/>
              <w:rPr>
                <w:sz w:val="18"/>
                <w:szCs w:val="18"/>
                <w:color w:val="auto"/>
              </w:rPr>
            </w:pPr>
          </w:p>
        </w:tc>
        <w:tc>
          <w:tcPr>
            <w:tcW w:w="5360" w:type="dxa"/>
            <w:vAlign w:val="bottom"/>
            <w:gridSpan w:val="9"/>
            <w:shd w:val="clear" w:color="auto" w:fill="CCEEFF"/>
          </w:tcPr>
          <w:p>
            <w:pPr>
              <w:ind w:left="100"/>
              <w:spacing w:after="0" w:line="216" w:lineRule="exact"/>
              <w:rPr>
                <w:sz w:val="20"/>
                <w:szCs w:val="20"/>
                <w:color w:val="auto"/>
              </w:rPr>
            </w:pPr>
            <w:r>
              <w:rPr>
                <w:rFonts w:ascii="Arial" w:cs="Arial" w:eastAsia="Arial" w:hAnsi="Arial"/>
                <w:sz w:val="16"/>
                <w:szCs w:val="16"/>
                <w:color w:val="auto"/>
              </w:rPr>
              <w:t xml:space="preserve">Other depreciation and amortization </w:t>
            </w:r>
            <w:r>
              <w:rPr>
                <w:rFonts w:ascii="Arial" w:cs="Arial" w:eastAsia="Arial" w:hAnsi="Arial"/>
                <w:sz w:val="21"/>
                <w:szCs w:val="21"/>
                <w:color w:val="auto"/>
                <w:vertAlign w:val="superscript"/>
              </w:rPr>
              <w:t>1</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14,012</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12,601</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13,131</w:t>
            </w: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14,256</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14,238</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54,226</w:t>
            </w:r>
          </w:p>
        </w:tc>
      </w:tr>
      <w:tr>
        <w:trPr>
          <w:trHeight w:val="209"/>
        </w:trPr>
        <w:tc>
          <w:tcPr>
            <w:tcW w:w="120" w:type="dxa"/>
            <w:vAlign w:val="bottom"/>
          </w:tcPr>
          <w:p>
            <w:pPr>
              <w:spacing w:after="0"/>
              <w:rPr>
                <w:sz w:val="18"/>
                <w:szCs w:val="18"/>
                <w:color w:val="auto"/>
              </w:rPr>
            </w:pPr>
          </w:p>
        </w:tc>
        <w:tc>
          <w:tcPr>
            <w:tcW w:w="5360" w:type="dxa"/>
            <w:vAlign w:val="bottom"/>
            <w:gridSpan w:val="9"/>
          </w:tcPr>
          <w:p>
            <w:pPr>
              <w:spacing w:after="0" w:line="210" w:lineRule="exact"/>
              <w:rPr>
                <w:sz w:val="20"/>
                <w:szCs w:val="20"/>
                <w:color w:val="auto"/>
              </w:rPr>
            </w:pPr>
            <w:r>
              <w:rPr>
                <w:rFonts w:ascii="Arial" w:cs="Arial" w:eastAsia="Arial" w:hAnsi="Arial"/>
                <w:sz w:val="16"/>
                <w:szCs w:val="16"/>
                <w:color w:val="auto"/>
              </w:rPr>
              <w:t xml:space="preserve">Adjusted segment EBITDA </w:t>
            </w:r>
            <w:r>
              <w:rPr>
                <w:rFonts w:ascii="Arial" w:cs="Arial" w:eastAsia="Arial" w:hAnsi="Arial"/>
                <w:sz w:val="21"/>
                <w:szCs w:val="21"/>
                <w:color w:val="auto"/>
                <w:vertAlign w:val="superscript"/>
              </w:rPr>
              <w:t>2</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183,504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163,876</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172,635</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182,821</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186,494</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705,826</w:t>
            </w:r>
          </w:p>
        </w:tc>
      </w:tr>
      <w:tr>
        <w:trPr>
          <w:trHeight w:val="216"/>
        </w:trPr>
        <w:tc>
          <w:tcPr>
            <w:tcW w:w="120" w:type="dxa"/>
            <w:vAlign w:val="bottom"/>
            <w:tcBorders>
              <w:right w:val="single" w:sz="8" w:color="CCEEFF"/>
            </w:tcBorders>
          </w:tcPr>
          <w:p>
            <w:pPr>
              <w:spacing w:after="0"/>
              <w:rPr>
                <w:sz w:val="18"/>
                <w:szCs w:val="18"/>
                <w:color w:val="auto"/>
              </w:rPr>
            </w:pPr>
          </w:p>
        </w:tc>
        <w:tc>
          <w:tcPr>
            <w:tcW w:w="5360" w:type="dxa"/>
            <w:vAlign w:val="bottom"/>
            <w:gridSpan w:val="9"/>
            <w:shd w:val="clear" w:color="auto" w:fill="CCEEFF"/>
          </w:tcPr>
          <w:p>
            <w:pPr>
              <w:ind w:left="100"/>
              <w:spacing w:after="0" w:line="216" w:lineRule="exact"/>
              <w:rPr>
                <w:sz w:val="20"/>
                <w:szCs w:val="20"/>
                <w:color w:val="auto"/>
              </w:rPr>
            </w:pPr>
            <w:r>
              <w:rPr>
                <w:rFonts w:ascii="Arial" w:cs="Arial" w:eastAsia="Arial" w:hAnsi="Arial"/>
                <w:sz w:val="16"/>
                <w:szCs w:val="16"/>
                <w:color w:val="auto"/>
              </w:rPr>
              <w:t xml:space="preserve">Adjusted segment EBITDA margin </w:t>
            </w:r>
            <w:r>
              <w:rPr>
                <w:rFonts w:ascii="Arial" w:cs="Arial" w:eastAsia="Arial" w:hAnsi="Arial"/>
                <w:sz w:val="21"/>
                <w:szCs w:val="21"/>
                <w:color w:val="auto"/>
                <w:vertAlign w:val="superscript"/>
              </w:rPr>
              <w:t>2</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34.1 %</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33.2 %</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33.2 %</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33.2 %</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32.8 %</w:t>
            </w:r>
          </w:p>
        </w:tc>
      </w:tr>
      <w:tr>
        <w:trPr>
          <w:trHeight w:val="270"/>
        </w:trPr>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gridSpan w:val="2"/>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175"/>
        </w:trPr>
        <w:tc>
          <w:tcPr>
            <w:tcW w:w="120" w:type="dxa"/>
            <w:vAlign w:val="bottom"/>
            <w:tcBorders>
              <w:right w:val="single" w:sz="8" w:color="CCEEFF"/>
            </w:tcBorders>
          </w:tcPr>
          <w:p>
            <w:pPr>
              <w:spacing w:after="0"/>
              <w:rPr>
                <w:sz w:val="15"/>
                <w:szCs w:val="15"/>
                <w:color w:val="auto"/>
              </w:rPr>
            </w:pPr>
          </w:p>
        </w:tc>
        <w:tc>
          <w:tcPr>
            <w:tcW w:w="5360" w:type="dxa"/>
            <w:vAlign w:val="bottom"/>
            <w:gridSpan w:val="9"/>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Climate &amp; Sustainability Technologies:</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0"/>
        </w:trPr>
        <w:tc>
          <w:tcPr>
            <w:tcW w:w="120" w:type="dxa"/>
            <w:vAlign w:val="bottom"/>
            <w:tcBorders>
              <w:right w:val="single" w:sz="8" w:color="CCEEFF"/>
            </w:tcBorders>
          </w:tcPr>
          <w:p>
            <w:pPr>
              <w:spacing w:after="0" w:line="20" w:lineRule="exact"/>
              <w:rPr>
                <w:sz w:val="1"/>
                <w:szCs w:val="1"/>
                <w:color w:val="auto"/>
              </w:rPr>
            </w:pPr>
          </w:p>
        </w:tc>
        <w:tc>
          <w:tcPr>
            <w:tcW w:w="124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5360" w:type="dxa"/>
            <w:vAlign w:val="bottom"/>
            <w:gridSpan w:val="9"/>
          </w:tcPr>
          <w:p>
            <w:pPr>
              <w:spacing w:after="0"/>
              <w:rPr>
                <w:sz w:val="20"/>
                <w:szCs w:val="20"/>
                <w:color w:val="auto"/>
              </w:rPr>
            </w:pPr>
            <w:r>
              <w:rPr>
                <w:rFonts w:ascii="Arial" w:cs="Arial" w:eastAsia="Arial" w:hAnsi="Arial"/>
                <w:sz w:val="16"/>
                <w:szCs w:val="16"/>
                <w:color w:val="auto"/>
              </w:rPr>
              <w:t>Segment earnings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63,995</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52,119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77,262</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76,002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60,264</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265,647</w:t>
            </w:r>
          </w:p>
        </w:tc>
      </w:tr>
      <w:tr>
        <w:trPr>
          <w:trHeight w:val="216"/>
        </w:trPr>
        <w:tc>
          <w:tcPr>
            <w:tcW w:w="120" w:type="dxa"/>
            <w:vAlign w:val="bottom"/>
            <w:tcBorders>
              <w:right w:val="single" w:sz="8" w:color="CCEEFF"/>
            </w:tcBorders>
          </w:tcPr>
          <w:p>
            <w:pPr>
              <w:spacing w:after="0"/>
              <w:rPr>
                <w:sz w:val="18"/>
                <w:szCs w:val="18"/>
                <w:color w:val="auto"/>
              </w:rPr>
            </w:pPr>
          </w:p>
        </w:tc>
        <w:tc>
          <w:tcPr>
            <w:tcW w:w="5360" w:type="dxa"/>
            <w:vAlign w:val="bottom"/>
            <w:gridSpan w:val="9"/>
            <w:shd w:val="clear" w:color="auto" w:fill="CCEEFF"/>
          </w:tcPr>
          <w:p>
            <w:pPr>
              <w:ind w:left="100"/>
              <w:spacing w:after="0" w:line="216" w:lineRule="exact"/>
              <w:rPr>
                <w:sz w:val="20"/>
                <w:szCs w:val="20"/>
                <w:color w:val="auto"/>
              </w:rPr>
            </w:pPr>
            <w:r>
              <w:rPr>
                <w:rFonts w:ascii="Arial" w:cs="Arial" w:eastAsia="Arial" w:hAnsi="Arial"/>
                <w:sz w:val="16"/>
                <w:szCs w:val="16"/>
                <w:color w:val="auto"/>
              </w:rPr>
              <w:t xml:space="preserve">Other depreciation and amortization </w:t>
            </w:r>
            <w:r>
              <w:rPr>
                <w:rFonts w:ascii="Arial" w:cs="Arial" w:eastAsia="Arial" w:hAnsi="Arial"/>
                <w:sz w:val="21"/>
                <w:szCs w:val="21"/>
                <w:color w:val="auto"/>
                <w:vertAlign w:val="superscript"/>
              </w:rPr>
              <w:t>1</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8,069</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7,325</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7,605</w:t>
            </w: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7,558</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7,856</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30,344</w:t>
            </w:r>
          </w:p>
        </w:tc>
      </w:tr>
      <w:tr>
        <w:trPr>
          <w:trHeight w:val="210"/>
        </w:trPr>
        <w:tc>
          <w:tcPr>
            <w:tcW w:w="120" w:type="dxa"/>
            <w:vAlign w:val="bottom"/>
          </w:tcPr>
          <w:p>
            <w:pPr>
              <w:spacing w:after="0"/>
              <w:rPr>
                <w:sz w:val="18"/>
                <w:szCs w:val="18"/>
                <w:color w:val="auto"/>
              </w:rPr>
            </w:pPr>
          </w:p>
        </w:tc>
        <w:tc>
          <w:tcPr>
            <w:tcW w:w="5360" w:type="dxa"/>
            <w:vAlign w:val="bottom"/>
            <w:gridSpan w:val="9"/>
          </w:tcPr>
          <w:p>
            <w:pPr>
              <w:spacing w:after="0" w:line="210" w:lineRule="exact"/>
              <w:rPr>
                <w:sz w:val="20"/>
                <w:szCs w:val="20"/>
                <w:color w:val="auto"/>
              </w:rPr>
            </w:pPr>
            <w:r>
              <w:rPr>
                <w:rFonts w:ascii="Arial" w:cs="Arial" w:eastAsia="Arial" w:hAnsi="Arial"/>
                <w:sz w:val="16"/>
                <w:szCs w:val="16"/>
                <w:color w:val="auto"/>
              </w:rPr>
              <w:t xml:space="preserve">Adjusted segment EBITDA </w:t>
            </w:r>
            <w:r>
              <w:rPr>
                <w:rFonts w:ascii="Arial" w:cs="Arial" w:eastAsia="Arial" w:hAnsi="Arial"/>
                <w:sz w:val="21"/>
                <w:szCs w:val="21"/>
                <w:color w:val="auto"/>
                <w:vertAlign w:val="superscript"/>
              </w:rPr>
              <w:t>2</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72,064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59,444</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84,867</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83,560</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68,120</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295,991</w:t>
            </w:r>
          </w:p>
        </w:tc>
      </w:tr>
      <w:tr>
        <w:trPr>
          <w:trHeight w:val="216"/>
        </w:trPr>
        <w:tc>
          <w:tcPr>
            <w:tcW w:w="120" w:type="dxa"/>
            <w:vAlign w:val="bottom"/>
            <w:tcBorders>
              <w:right w:val="single" w:sz="8" w:color="CCEEFF"/>
            </w:tcBorders>
          </w:tcPr>
          <w:p>
            <w:pPr>
              <w:spacing w:after="0"/>
              <w:rPr>
                <w:sz w:val="18"/>
                <w:szCs w:val="18"/>
                <w:color w:val="auto"/>
              </w:rPr>
            </w:pPr>
          </w:p>
        </w:tc>
        <w:tc>
          <w:tcPr>
            <w:tcW w:w="5360" w:type="dxa"/>
            <w:vAlign w:val="bottom"/>
            <w:gridSpan w:val="9"/>
            <w:shd w:val="clear" w:color="auto" w:fill="CCEEFF"/>
          </w:tcPr>
          <w:p>
            <w:pPr>
              <w:ind w:left="100"/>
              <w:spacing w:after="0" w:line="216" w:lineRule="exact"/>
              <w:rPr>
                <w:sz w:val="20"/>
                <w:szCs w:val="20"/>
                <w:color w:val="auto"/>
              </w:rPr>
            </w:pPr>
            <w:r>
              <w:rPr>
                <w:rFonts w:ascii="Arial" w:cs="Arial" w:eastAsia="Arial" w:hAnsi="Arial"/>
                <w:sz w:val="16"/>
                <w:szCs w:val="16"/>
                <w:color w:val="auto"/>
              </w:rPr>
              <w:t xml:space="preserve">Adjusted segment EBITDA margin </w:t>
            </w:r>
            <w:r>
              <w:rPr>
                <w:rFonts w:ascii="Arial" w:cs="Arial" w:eastAsia="Arial" w:hAnsi="Arial"/>
                <w:sz w:val="21"/>
                <w:szCs w:val="21"/>
                <w:color w:val="auto"/>
                <w:vertAlign w:val="superscript"/>
              </w:rPr>
              <w:t>2</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17.5 %</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17.1 %</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20.4 %</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20.5 %</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19.0 %</w:t>
            </w:r>
          </w:p>
        </w:tc>
      </w:tr>
      <w:tr>
        <w:trPr>
          <w:trHeight w:val="270"/>
        </w:trPr>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gridSpan w:val="2"/>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175"/>
        </w:trPr>
        <w:tc>
          <w:tcPr>
            <w:tcW w:w="120" w:type="dxa"/>
            <w:vAlign w:val="bottom"/>
            <w:tcBorders>
              <w:right w:val="single" w:sz="8" w:color="CCEEFF"/>
            </w:tcBorders>
          </w:tcPr>
          <w:p>
            <w:pPr>
              <w:spacing w:after="0"/>
              <w:rPr>
                <w:sz w:val="15"/>
                <w:szCs w:val="15"/>
                <w:color w:val="auto"/>
              </w:rPr>
            </w:pPr>
          </w:p>
        </w:tc>
        <w:tc>
          <w:tcPr>
            <w:tcW w:w="5360" w:type="dxa"/>
            <w:vAlign w:val="bottom"/>
            <w:gridSpan w:val="9"/>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Total Segments:</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0"/>
        </w:trPr>
        <w:tc>
          <w:tcPr>
            <w:tcW w:w="120" w:type="dxa"/>
            <w:vAlign w:val="bottom"/>
            <w:tcBorders>
              <w:right w:val="single" w:sz="8" w:color="CCEEFF"/>
            </w:tcBorders>
          </w:tcPr>
          <w:p>
            <w:pPr>
              <w:spacing w:after="0" w:line="20" w:lineRule="exact"/>
              <w:rPr>
                <w:sz w:val="1"/>
                <w:szCs w:val="1"/>
                <w:color w:val="auto"/>
              </w:rPr>
            </w:pPr>
          </w:p>
        </w:tc>
        <w:tc>
          <w:tcPr>
            <w:tcW w:w="124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5360" w:type="dxa"/>
            <w:vAlign w:val="bottom"/>
            <w:gridSpan w:val="9"/>
          </w:tcPr>
          <w:p>
            <w:pPr>
              <w:spacing w:after="0" w:line="216" w:lineRule="exact"/>
              <w:rPr>
                <w:sz w:val="20"/>
                <w:szCs w:val="20"/>
                <w:color w:val="auto"/>
              </w:rPr>
            </w:pPr>
            <w:r>
              <w:rPr>
                <w:rFonts w:ascii="Arial" w:cs="Arial" w:eastAsia="Arial" w:hAnsi="Arial"/>
                <w:sz w:val="16"/>
                <w:szCs w:val="16"/>
                <w:color w:val="auto"/>
              </w:rPr>
              <w:t xml:space="preserve">Total segment earnings </w:t>
            </w:r>
            <w:r>
              <w:rPr>
                <w:rFonts w:ascii="Arial" w:cs="Arial" w:eastAsia="Arial" w:hAnsi="Arial"/>
                <w:sz w:val="21"/>
                <w:szCs w:val="21"/>
                <w:color w:val="auto"/>
                <w:vertAlign w:val="superscript"/>
              </w:rPr>
              <w:t>2, 3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454,976</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410,727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474,985</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502,487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479,119</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1,867,318</w:t>
            </w:r>
          </w:p>
        </w:tc>
      </w:tr>
      <w:tr>
        <w:trPr>
          <w:trHeight w:val="216"/>
        </w:trPr>
        <w:tc>
          <w:tcPr>
            <w:tcW w:w="120" w:type="dxa"/>
            <w:vAlign w:val="bottom"/>
            <w:tcBorders>
              <w:right w:val="single" w:sz="8" w:color="CCEEFF"/>
            </w:tcBorders>
          </w:tcPr>
          <w:p>
            <w:pPr>
              <w:spacing w:after="0"/>
              <w:rPr>
                <w:sz w:val="18"/>
                <w:szCs w:val="18"/>
                <w:color w:val="auto"/>
              </w:rPr>
            </w:pPr>
          </w:p>
        </w:tc>
        <w:tc>
          <w:tcPr>
            <w:tcW w:w="5360" w:type="dxa"/>
            <w:vAlign w:val="bottom"/>
            <w:gridSpan w:val="9"/>
            <w:shd w:val="clear" w:color="auto" w:fill="CCEEFF"/>
          </w:tcPr>
          <w:p>
            <w:pPr>
              <w:ind w:left="100"/>
              <w:spacing w:after="0" w:line="216" w:lineRule="exact"/>
              <w:rPr>
                <w:sz w:val="20"/>
                <w:szCs w:val="20"/>
                <w:color w:val="auto"/>
              </w:rPr>
            </w:pPr>
            <w:r>
              <w:rPr>
                <w:rFonts w:ascii="Arial" w:cs="Arial" w:eastAsia="Arial" w:hAnsi="Arial"/>
                <w:sz w:val="16"/>
                <w:szCs w:val="16"/>
                <w:color w:val="auto"/>
              </w:rPr>
              <w:t xml:space="preserve">Other depreciation and amortization </w:t>
            </w:r>
            <w:r>
              <w:rPr>
                <w:rFonts w:ascii="Arial" w:cs="Arial" w:eastAsia="Arial" w:hAnsi="Arial"/>
                <w:sz w:val="21"/>
                <w:szCs w:val="21"/>
                <w:color w:val="auto"/>
                <w:vertAlign w:val="superscript"/>
              </w:rPr>
              <w:t>1</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40,327</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37,397</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39,067</w:t>
            </w: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40,223</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41,752</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158,439</w:t>
            </w:r>
          </w:p>
        </w:tc>
      </w:tr>
      <w:tr>
        <w:trPr>
          <w:trHeight w:val="210"/>
        </w:trPr>
        <w:tc>
          <w:tcPr>
            <w:tcW w:w="120" w:type="dxa"/>
            <w:vAlign w:val="bottom"/>
          </w:tcPr>
          <w:p>
            <w:pPr>
              <w:spacing w:after="0"/>
              <w:rPr>
                <w:sz w:val="18"/>
                <w:szCs w:val="18"/>
                <w:color w:val="auto"/>
              </w:rPr>
            </w:pPr>
          </w:p>
        </w:tc>
        <w:tc>
          <w:tcPr>
            <w:tcW w:w="5360" w:type="dxa"/>
            <w:vAlign w:val="bottom"/>
            <w:gridSpan w:val="9"/>
          </w:tcPr>
          <w:p>
            <w:pPr>
              <w:spacing w:after="0" w:line="210" w:lineRule="exact"/>
              <w:rPr>
                <w:sz w:val="20"/>
                <w:szCs w:val="20"/>
                <w:color w:val="auto"/>
              </w:rPr>
            </w:pPr>
            <w:r>
              <w:rPr>
                <w:rFonts w:ascii="Arial" w:cs="Arial" w:eastAsia="Arial" w:hAnsi="Arial"/>
                <w:sz w:val="16"/>
                <w:szCs w:val="16"/>
                <w:color w:val="auto"/>
              </w:rPr>
              <w:t xml:space="preserve">Total Adjusted segment EBITDA </w:t>
            </w:r>
            <w:r>
              <w:rPr>
                <w:rFonts w:ascii="Arial" w:cs="Arial" w:eastAsia="Arial" w:hAnsi="Arial"/>
                <w:sz w:val="21"/>
                <w:szCs w:val="21"/>
                <w:color w:val="auto"/>
                <w:vertAlign w:val="superscript"/>
              </w:rPr>
              <w:t>2</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495,303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448,124</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514,052</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542,710</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520,871</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2,025,757</w:t>
            </w:r>
          </w:p>
        </w:tc>
      </w:tr>
      <w:tr>
        <w:trPr>
          <w:trHeight w:val="216"/>
        </w:trPr>
        <w:tc>
          <w:tcPr>
            <w:tcW w:w="120" w:type="dxa"/>
            <w:vAlign w:val="bottom"/>
            <w:tcBorders>
              <w:right w:val="single" w:sz="8" w:color="CCEEFF"/>
            </w:tcBorders>
          </w:tcPr>
          <w:p>
            <w:pPr>
              <w:spacing w:after="0"/>
              <w:rPr>
                <w:sz w:val="18"/>
                <w:szCs w:val="18"/>
                <w:color w:val="auto"/>
              </w:rPr>
            </w:pPr>
          </w:p>
        </w:tc>
        <w:tc>
          <w:tcPr>
            <w:tcW w:w="5360" w:type="dxa"/>
            <w:vAlign w:val="bottom"/>
            <w:gridSpan w:val="9"/>
            <w:shd w:val="clear" w:color="auto" w:fill="CCEEFF"/>
          </w:tcPr>
          <w:p>
            <w:pPr>
              <w:ind w:left="100"/>
              <w:spacing w:after="0" w:line="216" w:lineRule="exact"/>
              <w:rPr>
                <w:sz w:val="20"/>
                <w:szCs w:val="20"/>
                <w:color w:val="auto"/>
              </w:rPr>
            </w:pPr>
            <w:r>
              <w:rPr>
                <w:rFonts w:ascii="Arial" w:cs="Arial" w:eastAsia="Arial" w:hAnsi="Arial"/>
                <w:sz w:val="16"/>
                <w:szCs w:val="16"/>
                <w:color w:val="auto"/>
              </w:rPr>
              <w:t xml:space="preserve">Total Adjusted segment EBITDA margin </w:t>
            </w:r>
            <w:r>
              <w:rPr>
                <w:rFonts w:ascii="Arial" w:cs="Arial" w:eastAsia="Arial" w:hAnsi="Arial"/>
                <w:sz w:val="21"/>
                <w:szCs w:val="21"/>
                <w:color w:val="auto"/>
                <w:vertAlign w:val="superscript"/>
              </w:rPr>
              <w:t>2</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24.1 %</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24.0 %</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25.1 %</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26.1 %</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25.0 %</w:t>
            </w:r>
          </w:p>
        </w:tc>
      </w:tr>
    </w:tbl>
    <w:p>
      <w:pPr>
        <w:spacing w:after="0" w:line="256" w:lineRule="exact"/>
        <w:rPr>
          <w:sz w:val="20"/>
          <w:szCs w:val="20"/>
          <w:color w:val="auto"/>
        </w:rPr>
      </w:pPr>
    </w:p>
    <w:p>
      <w:pPr>
        <w:ind w:left="120" w:right="40" w:hanging="6"/>
        <w:spacing w:after="0" w:line="212" w:lineRule="auto"/>
        <w:tabs>
          <w:tab w:leader="none" w:pos="221"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Other depreciation and amortization relates to property, plant, and equipment and intangibles, and excludes amounts related to purchase accounting expenses and restructuring and other costs.</w:t>
      </w:r>
    </w:p>
    <w:p>
      <w:pPr>
        <w:ind w:left="220" w:hanging="106"/>
        <w:spacing w:after="0" w:line="215" w:lineRule="auto"/>
        <w:tabs>
          <w:tab w:leader="none" w:pos="220"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Refer to Non-GAAP Measures Definitions section for definition.</w:t>
      </w:r>
    </w:p>
    <w:p>
      <w:pPr>
        <w:ind w:left="220" w:hanging="106"/>
        <w:spacing w:after="0" w:line="215" w:lineRule="auto"/>
        <w:tabs>
          <w:tab w:leader="none" w:pos="220"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Refer to Quarterly Segment Information section for reconciliation of total segment earnings to earnings from continuing operations.</w:t>
      </w:r>
    </w:p>
    <w:p>
      <w:pPr>
        <w:spacing w:after="0" w:line="41" w:lineRule="exact"/>
        <w:rPr>
          <w:rFonts w:ascii="Arial" w:cs="Arial" w:eastAsia="Arial" w:hAnsi="Arial"/>
          <w:sz w:val="21"/>
          <w:szCs w:val="21"/>
          <w:color w:val="auto"/>
          <w:vertAlign w:val="superscript"/>
        </w:rPr>
      </w:pPr>
    </w:p>
    <w:p>
      <w:pPr>
        <w:ind w:left="5400"/>
        <w:spacing w:after="0"/>
        <w:rPr>
          <w:rFonts w:ascii="Arial" w:cs="Arial" w:eastAsia="Arial" w:hAnsi="Arial"/>
          <w:sz w:val="21"/>
          <w:szCs w:val="21"/>
          <w:color w:val="auto"/>
          <w:vertAlign w:val="superscript"/>
        </w:rPr>
      </w:pPr>
      <w:r>
        <w:rPr>
          <w:rFonts w:ascii="Arial" w:cs="Arial" w:eastAsia="Arial" w:hAnsi="Arial"/>
          <w:sz w:val="18"/>
          <w:szCs w:val="18"/>
          <w:color w:val="auto"/>
        </w:rPr>
        <w:t>IS - 5</w:t>
      </w:r>
    </w:p>
    <w:p>
      <w:pPr>
        <w:sectPr>
          <w:pgSz w:w="11900" w:h="16838" w:orient="portrait"/>
          <w:cols w:equalWidth="0" w:num="1">
            <w:col w:w="11160"/>
          </w:cols>
          <w:pgMar w:left="320" w:top="364" w:right="419" w:bottom="1440" w:gutter="0" w:footer="0" w:header="0"/>
        </w:sectPr>
      </w:pPr>
    </w:p>
    <w:bookmarkStart w:id="10" w:name="page11"/>
    <w:bookmarkEnd w:id="10"/>
    <w:p>
      <w:pPr>
        <w:ind w:left="4940"/>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QUARTERLY EARNINGS FROM CONTINUING OPERATIONS TO ADJUSTED SEGMENT EBITDA RECONCILIATION (NON-GAAP)</w:t>
      </w:r>
    </w:p>
    <w:p>
      <w:pPr>
        <w:spacing w:after="0" w:line="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(unaudited)(in thousands)</w:t>
      </w:r>
    </w:p>
    <w:tbl>
      <w:tblPr>
        <w:tblLayout w:type="fixed"/>
        <w:tblInd w:w="0" w:type="dxa"/>
        <w:tblCellMar>
          <w:top w:w="0" w:type="dxa"/>
          <w:left w:w="0" w:type="dxa"/>
          <w:bottom w:w="0" w:type="dxa"/>
          <w:right w:w="0" w:type="dxa"/>
        </w:tblCellMar>
      </w:tblPr>
      <w:tr>
        <w:trPr>
          <w:trHeight w:val="172"/>
        </w:trPr>
        <w:tc>
          <w:tcPr>
            <w:tcW w:w="5320" w:type="dxa"/>
            <w:vAlign w:val="bottom"/>
            <w:gridSpan w:val="2"/>
          </w:tcPr>
          <w:p>
            <w:pPr>
              <w:spacing w:after="0" w:line="172" w:lineRule="exact"/>
              <w:rPr>
                <w:sz w:val="20"/>
                <w:szCs w:val="20"/>
                <w:color w:val="auto"/>
              </w:rPr>
            </w:pPr>
            <w:r>
              <w:rPr>
                <w:rFonts w:ascii="Arial" w:cs="Arial" w:eastAsia="Arial" w:hAnsi="Arial"/>
                <w:sz w:val="16"/>
                <w:szCs w:val="16"/>
                <w:b w:val="1"/>
                <w:bCs w:val="1"/>
                <w:color w:val="auto"/>
              </w:rPr>
              <w:t>Non-GAAP Reconciliations</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50"/>
        </w:trPr>
        <w:tc>
          <w:tcPr>
            <w:tcW w:w="2080" w:type="dxa"/>
            <w:vAlign w:val="bottom"/>
            <w:tcBorders>
              <w:top w:val="single" w:sz="8" w:color="auto"/>
            </w:tcBorders>
          </w:tcPr>
          <w:p>
            <w:pPr>
              <w:spacing w:after="0"/>
              <w:rPr>
                <w:sz w:val="21"/>
                <w:szCs w:val="21"/>
                <w:color w:val="auto"/>
              </w:rPr>
            </w:pPr>
          </w:p>
        </w:tc>
        <w:tc>
          <w:tcPr>
            <w:tcW w:w="3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2026</w:t>
            </w: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2025</w:t>
            </w: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r>
      <w:tr>
        <w:trPr>
          <w:trHeight w:val="209"/>
        </w:trPr>
        <w:tc>
          <w:tcPr>
            <w:tcW w:w="2080" w:type="dxa"/>
            <w:vAlign w:val="bottom"/>
            <w:tcBorders>
              <w:bottom w:val="single" w:sz="8" w:color="CCEEFF"/>
            </w:tcBorders>
          </w:tcPr>
          <w:p>
            <w:pPr>
              <w:spacing w:after="0"/>
              <w:rPr>
                <w:sz w:val="18"/>
                <w:szCs w:val="18"/>
                <w:color w:val="auto"/>
              </w:rPr>
            </w:pPr>
          </w:p>
        </w:tc>
        <w:tc>
          <w:tcPr>
            <w:tcW w:w="3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Q1</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Q1</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Q2</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Q3</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Q4</w:t>
            </w:r>
          </w:p>
        </w:tc>
        <w:tc>
          <w:tcPr>
            <w:tcW w:w="9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FY 2025</w:t>
            </w:r>
          </w:p>
        </w:tc>
      </w:tr>
      <w:tr>
        <w:trPr>
          <w:trHeight w:val="210"/>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Earnings from continuing operations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238,749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239,241</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280,130</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303,292</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274,766</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$ 1,097,429</w:t>
            </w:r>
          </w:p>
        </w:tc>
      </w:tr>
      <w:tr>
        <w:trPr>
          <w:trHeight w:val="216"/>
        </w:trPr>
        <w:tc>
          <w:tcPr>
            <w:tcW w:w="53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Provision for income taxes</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60,153</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56,140</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71,967</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82,951</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65,765</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276,823</w:t>
            </w:r>
          </w:p>
        </w:tc>
      </w:tr>
      <w:tr>
        <w:trPr>
          <w:trHeight w:val="209"/>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Earnings before provision for income taxes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298,902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295,381</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352,097</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386,243</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340,531</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1,374,252</w:t>
            </w:r>
          </w:p>
        </w:tc>
      </w:tr>
      <w:tr>
        <w:trPr>
          <w:trHeight w:val="216"/>
        </w:trPr>
        <w:tc>
          <w:tcPr>
            <w:tcW w:w="5320" w:type="dxa"/>
            <w:vAlign w:val="bottom"/>
            <w:gridSpan w:val="2"/>
          </w:tcPr>
          <w:p>
            <w:pPr>
              <w:ind w:left="20"/>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(14,060)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(20,254)</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(17,935)</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(17,804)</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(17,039)</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(73,032)</w:t>
            </w:r>
          </w:p>
        </w:tc>
      </w:tr>
      <w:tr>
        <w:trPr>
          <w:trHeight w:val="216"/>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29,522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27,608</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26,791</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27,239</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28,134</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109,772</w:t>
            </w:r>
          </w:p>
        </w:tc>
      </w:tr>
      <w:tr>
        <w:trPr>
          <w:trHeight w:val="216"/>
        </w:trPr>
        <w:tc>
          <w:tcPr>
            <w:tcW w:w="532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Corporate expense / other </w:t>
            </w:r>
            <w:r>
              <w:rPr>
                <w:rFonts w:ascii="Arial" w:cs="Arial" w:eastAsia="Arial" w:hAnsi="Arial"/>
                <w:sz w:val="21"/>
                <w:szCs w:val="21"/>
                <w:color w:val="auto"/>
                <w:vertAlign w:val="superscript"/>
              </w:rPr>
              <w:t>1</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49,238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51,959</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41,875</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31,515</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39,190</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164,539</w:t>
            </w:r>
          </w:p>
        </w:tc>
      </w:tr>
      <w:tr>
        <w:trPr>
          <w:trHeight w:val="216"/>
        </w:trPr>
        <w:tc>
          <w:tcPr>
            <w:tcW w:w="532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Gain on dispositions </w:t>
            </w:r>
            <w:r>
              <w:rPr>
                <w:rFonts w:ascii="Arial" w:cs="Arial" w:eastAsia="Arial" w:hAnsi="Arial"/>
                <w:sz w:val="21"/>
                <w:szCs w:val="21"/>
                <w:color w:val="auto"/>
                <w:vertAlign w:val="superscript"/>
              </w:rPr>
              <w:t>2</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(2,468)</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(2,176)</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(4,644)</w:t>
            </w:r>
          </w:p>
        </w:tc>
      </w:tr>
      <w:tr>
        <w:trPr>
          <w:trHeight w:val="216"/>
        </w:trPr>
        <w:tc>
          <w:tcPr>
            <w:tcW w:w="532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Restructuring and other costs </w:t>
            </w:r>
            <w:r>
              <w:rPr>
                <w:rFonts w:ascii="Arial" w:cs="Arial" w:eastAsia="Arial" w:hAnsi="Arial"/>
                <w:sz w:val="21"/>
                <w:szCs w:val="21"/>
                <w:color w:val="auto"/>
                <w:vertAlign w:val="superscript"/>
              </w:rPr>
              <w:t>3</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36,795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9,397</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23,210</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15,913</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29,466</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77,986</w:t>
            </w:r>
          </w:p>
        </w:tc>
      </w:tr>
      <w:tr>
        <w:trPr>
          <w:trHeight w:val="216"/>
        </w:trPr>
        <w:tc>
          <w:tcPr>
            <w:tcW w:w="532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Purchase accounting expenses </w:t>
            </w:r>
            <w:r>
              <w:rPr>
                <w:rFonts w:ascii="Arial" w:cs="Arial" w:eastAsia="Arial" w:hAnsi="Arial"/>
                <w:sz w:val="21"/>
                <w:szCs w:val="21"/>
                <w:color w:val="auto"/>
                <w:vertAlign w:val="superscript"/>
              </w:rPr>
              <w:t>4</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54,579</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49,104</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51,123</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59,381</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58,837</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218,445</w:t>
            </w:r>
          </w:p>
        </w:tc>
      </w:tr>
      <w:tr>
        <w:trPr>
          <w:trHeight w:val="210"/>
        </w:trPr>
        <w:tc>
          <w:tcPr>
            <w:tcW w:w="5320" w:type="dxa"/>
            <w:vAlign w:val="bottom"/>
            <w:gridSpan w:val="2"/>
          </w:tcPr>
          <w:p>
            <w:pPr>
              <w:ind w:left="20"/>
              <w:spacing w:after="0" w:line="210" w:lineRule="exact"/>
              <w:rPr>
                <w:sz w:val="20"/>
                <w:szCs w:val="20"/>
                <w:color w:val="auto"/>
              </w:rPr>
            </w:pPr>
            <w:r>
              <w:rPr>
                <w:rFonts w:ascii="Arial" w:cs="Arial" w:eastAsia="Arial" w:hAnsi="Arial"/>
                <w:sz w:val="16"/>
                <w:szCs w:val="16"/>
                <w:color w:val="auto"/>
              </w:rPr>
              <w:t xml:space="preserve">Total segment earnings </w:t>
            </w:r>
            <w:r>
              <w:rPr>
                <w:rFonts w:ascii="Arial" w:cs="Arial" w:eastAsia="Arial" w:hAnsi="Arial"/>
                <w:sz w:val="21"/>
                <w:szCs w:val="21"/>
                <w:color w:val="auto"/>
                <w:vertAlign w:val="superscript"/>
              </w:rPr>
              <w:t>5</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454,976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410,727</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474,985</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502,487</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479,119</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1,867,318</w:t>
            </w:r>
          </w:p>
        </w:tc>
      </w:tr>
      <w:tr>
        <w:trPr>
          <w:trHeight w:val="216"/>
        </w:trPr>
        <w:tc>
          <w:tcPr>
            <w:tcW w:w="532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Add: Other depreciation and amortization </w:t>
            </w:r>
            <w:r>
              <w:rPr>
                <w:rFonts w:ascii="Arial" w:cs="Arial" w:eastAsia="Arial" w:hAnsi="Arial"/>
                <w:sz w:val="21"/>
                <w:szCs w:val="21"/>
                <w:color w:val="auto"/>
                <w:vertAlign w:val="superscript"/>
              </w:rPr>
              <w:t>6</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40,327</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37,397</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39,067</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40,223</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41,752</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158,439</w:t>
            </w:r>
          </w:p>
        </w:tc>
      </w:tr>
      <w:tr>
        <w:trPr>
          <w:trHeight w:val="209"/>
        </w:trPr>
        <w:tc>
          <w:tcPr>
            <w:tcW w:w="5320" w:type="dxa"/>
            <w:vAlign w:val="bottom"/>
            <w:gridSpan w:val="2"/>
          </w:tcPr>
          <w:p>
            <w:pPr>
              <w:ind w:left="20"/>
              <w:spacing w:after="0" w:line="210" w:lineRule="exact"/>
              <w:rPr>
                <w:sz w:val="20"/>
                <w:szCs w:val="20"/>
                <w:color w:val="auto"/>
              </w:rPr>
            </w:pPr>
            <w:r>
              <w:rPr>
                <w:rFonts w:ascii="Arial" w:cs="Arial" w:eastAsia="Arial" w:hAnsi="Arial"/>
                <w:sz w:val="16"/>
                <w:szCs w:val="16"/>
                <w:color w:val="auto"/>
              </w:rPr>
              <w:t xml:space="preserve">Total adjusted segment EBITDA </w:t>
            </w:r>
            <w:r>
              <w:rPr>
                <w:rFonts w:ascii="Arial" w:cs="Arial" w:eastAsia="Arial" w:hAnsi="Arial"/>
                <w:sz w:val="21"/>
                <w:szCs w:val="21"/>
                <w:color w:val="auto"/>
                <w:vertAlign w:val="superscript"/>
              </w:rPr>
              <w:t>5</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495,303</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448,124</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514,052</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542,710</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520,871</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$ 2,025,757</w:t>
            </w:r>
          </w:p>
        </w:tc>
      </w:tr>
      <w:tr>
        <w:trPr>
          <w:trHeight w:val="21"/>
        </w:trPr>
        <w:tc>
          <w:tcPr>
            <w:tcW w:w="20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20" w:right="20" w:firstLine="6"/>
        <w:spacing w:after="0" w:line="212" w:lineRule="auto"/>
        <w:tabs>
          <w:tab w:leader="none" w:pos="123"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Certain expenses are maintained at the corporate level and not allocated to the segments. These expenses include executive and functional compensation costs, non-service pension costs, non-operating insurance expenses, shared business services and digital and IT overhead costs, deal related expenses and various administrative expenses relating to the corporate headquarters.</w:t>
      </w:r>
    </w:p>
    <w:p>
      <w:pPr>
        <w:spacing w:after="0" w:line="15" w:lineRule="exact"/>
        <w:rPr>
          <w:sz w:val="20"/>
          <w:szCs w:val="20"/>
          <w:color w:val="auto"/>
        </w:rPr>
      </w:pPr>
    </w:p>
    <w:p>
      <w:pPr>
        <w:ind w:left="120" w:hanging="94"/>
        <w:spacing w:after="0"/>
        <w:tabs>
          <w:tab w:leader="none" w:pos="120"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Gain on dispositions, including post-closing adjustments.</w:t>
      </w:r>
    </w:p>
    <w:p>
      <w:pPr>
        <w:spacing w:after="0" w:line="55" w:lineRule="exact"/>
        <w:rPr>
          <w:sz w:val="20"/>
          <w:szCs w:val="20"/>
          <w:color w:val="auto"/>
        </w:rPr>
      </w:pPr>
    </w:p>
    <w:p>
      <w:pPr>
        <w:ind w:left="20" w:right="20" w:firstLine="6"/>
        <w:spacing w:after="0" w:line="212" w:lineRule="auto"/>
        <w:tabs>
          <w:tab w:leader="none" w:pos="108"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Restructuring and other costs relate to actions taken for headcount reductions, facility consolidations and site closures, product line exits, and other asset charges.</w:t>
      </w:r>
    </w:p>
    <w:p>
      <w:pPr>
        <w:spacing w:after="0" w:line="43" w:lineRule="exact"/>
        <w:rPr>
          <w:sz w:val="20"/>
          <w:szCs w:val="20"/>
          <w:color w:val="auto"/>
        </w:rPr>
      </w:pPr>
    </w:p>
    <w:p>
      <w:pPr>
        <w:ind w:left="120" w:hanging="94"/>
        <w:spacing w:after="0"/>
        <w:tabs>
          <w:tab w:leader="none" w:pos="120"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Purchase accounting expenses are primarily comprised of amortization of intangible assets.</w:t>
      </w:r>
    </w:p>
    <w:p>
      <w:pPr>
        <w:spacing w:after="0" w:line="17" w:lineRule="exact"/>
        <w:rPr>
          <w:rFonts w:ascii="Arial" w:cs="Arial" w:eastAsia="Arial" w:hAnsi="Arial"/>
          <w:sz w:val="21"/>
          <w:szCs w:val="21"/>
          <w:color w:val="auto"/>
          <w:vertAlign w:val="superscript"/>
        </w:rPr>
      </w:pPr>
    </w:p>
    <w:p>
      <w:pPr>
        <w:ind w:left="20"/>
        <w:spacing w:after="0" w:line="212" w:lineRule="auto"/>
        <w:rPr>
          <w:rFonts w:ascii="Arial" w:cs="Arial" w:eastAsia="Arial" w:hAnsi="Arial"/>
          <w:sz w:val="21"/>
          <w:szCs w:val="21"/>
          <w:color w:val="auto"/>
          <w:vertAlign w:val="superscript"/>
        </w:rPr>
      </w:pPr>
      <w:r>
        <w:rPr>
          <w:rFonts w:ascii="Arial" w:cs="Arial" w:eastAsia="Arial" w:hAnsi="Arial"/>
          <w:sz w:val="21"/>
          <w:szCs w:val="21"/>
          <w:color w:val="auto"/>
          <w:vertAlign w:val="superscript"/>
        </w:rPr>
        <w:t>5</w:t>
      </w:r>
      <w:r>
        <w:rPr>
          <w:rFonts w:ascii="Arial" w:cs="Arial" w:eastAsia="Arial" w:hAnsi="Arial"/>
          <w:sz w:val="16"/>
          <w:szCs w:val="16"/>
          <w:color w:val="auto"/>
        </w:rPr>
        <w:t xml:space="preserve"> Refer to Non-GAAP Measures Definitions section for definition.</w:t>
      </w:r>
    </w:p>
    <w:p>
      <w:pPr>
        <w:ind w:left="20" w:right="20" w:firstLine="6"/>
        <w:spacing w:after="0" w:line="204" w:lineRule="auto"/>
        <w:tabs>
          <w:tab w:leader="none" w:pos="148" w:val="left"/>
        </w:tabs>
        <w:numPr>
          <w:ilvl w:val="0"/>
          <w:numId w:val="18"/>
        </w:numPr>
        <w:rPr>
          <w:rFonts w:ascii="Arial" w:cs="Arial" w:eastAsia="Arial" w:hAnsi="Arial"/>
          <w:sz w:val="21"/>
          <w:szCs w:val="21"/>
          <w:color w:val="auto"/>
          <w:vertAlign w:val="superscript"/>
        </w:rPr>
      </w:pPr>
      <w:r>
        <w:rPr>
          <w:rFonts w:ascii="Arial" w:cs="Arial" w:eastAsia="Arial" w:hAnsi="Arial"/>
          <w:sz w:val="16"/>
          <w:szCs w:val="16"/>
          <w:color w:val="auto"/>
        </w:rPr>
        <w:t>Other depreciation and amortization relates to property, plant, and equipment and intangibles, and excludes amounts related to purchase accounting expenses and restructuring and other costs.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IS - 6</w:t>
      </w:r>
    </w:p>
    <w:p>
      <w:pPr>
        <w:sectPr>
          <w:pgSz w:w="11900" w:h="16838" w:orient="portrait"/>
          <w:cols w:equalWidth="0" w:num="1">
            <w:col w:w="11240"/>
          </w:cols>
          <w:pgMar w:left="320" w:top="364"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REVENUE GROWTH FACTORS AND ADJUSTED EPS GUIDANCE RECONCILIATIONS (NON-GAAP)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60" w:type="dxa"/>
            <w:vAlign w:val="bottom"/>
            <w:gridSpan w:val="5"/>
          </w:tcPr>
          <w:p>
            <w:pPr>
              <w:spacing w:after="0"/>
              <w:rPr>
                <w:sz w:val="20"/>
                <w:szCs w:val="20"/>
                <w:color w:val="auto"/>
              </w:rPr>
            </w:pPr>
            <w:r>
              <w:rPr>
                <w:rFonts w:ascii="Arial" w:cs="Arial" w:eastAsia="Arial" w:hAnsi="Arial"/>
                <w:sz w:val="16"/>
                <w:szCs w:val="16"/>
                <w:b w:val="1"/>
                <w:bCs w:val="1"/>
                <w:color w:val="auto"/>
              </w:rPr>
              <w:t>Non-GAAP Reconciliations</w:t>
            </w:r>
          </w:p>
        </w:tc>
        <w:tc>
          <w:tcPr>
            <w:tcW w:w="9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2"/>
        </w:trPr>
        <w:tc>
          <w:tcPr>
            <w:tcW w:w="2080" w:type="dxa"/>
            <w:vAlign w:val="bottom"/>
            <w:tcBorders>
              <w:top w:val="single" w:sz="8" w:color="auto"/>
            </w:tcBorders>
            <w:gridSpan w:val="3"/>
          </w:tcPr>
          <w:p>
            <w:pPr>
              <w:spacing w:after="0"/>
              <w:rPr>
                <w:sz w:val="20"/>
                <w:szCs w:val="20"/>
                <w:color w:val="auto"/>
              </w:rPr>
            </w:pPr>
            <w:r>
              <w:rPr>
                <w:rFonts w:ascii="Arial" w:cs="Arial" w:eastAsia="Arial" w:hAnsi="Arial"/>
                <w:sz w:val="16"/>
                <w:szCs w:val="16"/>
                <w:b w:val="1"/>
                <w:bCs w:val="1"/>
                <w:color w:val="auto"/>
              </w:rPr>
              <w:t>Revenue Growth Factors</w:t>
            </w:r>
          </w:p>
        </w:tc>
        <w:tc>
          <w:tcPr>
            <w:tcW w:w="5480" w:type="dxa"/>
            <w:vAlign w:val="bottom"/>
            <w:gridSpan w:val="2"/>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Borders>
              <w:top w:val="single" w:sz="8" w:color="auto"/>
            </w:tcBorders>
          </w:tcPr>
          <w:p>
            <w:pPr>
              <w:spacing w:after="0"/>
              <w:rPr>
                <w:sz w:val="22"/>
                <w:szCs w:val="22"/>
                <w:color w:val="auto"/>
              </w:rPr>
            </w:pPr>
          </w:p>
        </w:tc>
        <w:tc>
          <w:tcPr>
            <w:tcW w:w="190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439"/>
              <w:spacing w:after="0"/>
              <w:rPr>
                <w:sz w:val="20"/>
                <w:szCs w:val="20"/>
                <w:color w:val="auto"/>
              </w:rPr>
            </w:pPr>
            <w:r>
              <w:rPr>
                <w:rFonts w:ascii="Arial" w:cs="Arial" w:eastAsia="Arial" w:hAnsi="Arial"/>
                <w:sz w:val="16"/>
                <w:szCs w:val="16"/>
                <w:b w:val="1"/>
                <w:bCs w:val="1"/>
                <w:color w:val="auto"/>
              </w:rPr>
              <w:t>2026</w:t>
            </w: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19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448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419"/>
              <w:spacing w:after="0"/>
              <w:rPr>
                <w:sz w:val="20"/>
                <w:szCs w:val="20"/>
                <w:color w:val="auto"/>
              </w:rPr>
            </w:pPr>
            <w:r>
              <w:rPr>
                <w:rFonts w:ascii="Arial" w:cs="Arial" w:eastAsia="Arial" w:hAnsi="Arial"/>
                <w:sz w:val="16"/>
                <w:szCs w:val="16"/>
                <w:b w:val="1"/>
                <w:bCs w:val="1"/>
                <w:color w:val="auto"/>
              </w:rPr>
              <w:t>Q1</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5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Organic</w:t>
            </w:r>
          </w:p>
        </w:tc>
        <w:tc>
          <w:tcPr>
            <w:tcW w:w="9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40" w:type="dxa"/>
            <w:vAlign w:val="bottom"/>
            <w:gridSpan w:val="4"/>
          </w:tcPr>
          <w:p>
            <w:pPr>
              <w:ind w:left="440"/>
              <w:spacing w:after="0"/>
              <w:rPr>
                <w:sz w:val="20"/>
                <w:szCs w:val="20"/>
                <w:color w:val="auto"/>
              </w:rPr>
            </w:pPr>
            <w:r>
              <w:rPr>
                <w:rFonts w:ascii="Arial" w:cs="Arial" w:eastAsia="Arial" w:hAnsi="Arial"/>
                <w:sz w:val="16"/>
                <w:szCs w:val="16"/>
                <w:color w:val="auto"/>
              </w:rPr>
              <w:t>Engineered Products</w:t>
            </w: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2.1 %</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7540" w:type="dxa"/>
            <w:vAlign w:val="bottom"/>
            <w:gridSpan w:val="4"/>
            <w:shd w:val="clear" w:color="auto" w:fill="CCEEFF"/>
          </w:tcPr>
          <w:p>
            <w:pPr>
              <w:ind w:left="440"/>
              <w:spacing w:after="0"/>
              <w:rPr>
                <w:sz w:val="20"/>
                <w:szCs w:val="20"/>
                <w:color w:val="auto"/>
              </w:rPr>
            </w:pPr>
            <w:r>
              <w:rPr>
                <w:rFonts w:ascii="Arial" w:cs="Arial" w:eastAsia="Arial" w:hAnsi="Arial"/>
                <w:sz w:val="16"/>
                <w:szCs w:val="16"/>
                <w:color w:val="auto"/>
              </w:rPr>
              <w:t>Clean Energy &amp; Fueling</w:t>
            </w:r>
          </w:p>
        </w:tc>
        <w:tc>
          <w:tcPr>
            <w:tcW w:w="9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11.1 %</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40" w:type="dxa"/>
            <w:vAlign w:val="bottom"/>
            <w:gridSpan w:val="4"/>
          </w:tcPr>
          <w:p>
            <w:pPr>
              <w:ind w:left="440"/>
              <w:spacing w:after="0"/>
              <w:rPr>
                <w:sz w:val="20"/>
                <w:szCs w:val="20"/>
                <w:color w:val="auto"/>
              </w:rPr>
            </w:pPr>
            <w:r>
              <w:rPr>
                <w:rFonts w:ascii="Arial" w:cs="Arial" w:eastAsia="Arial" w:hAnsi="Arial"/>
                <w:sz w:val="16"/>
                <w:szCs w:val="16"/>
                <w:color w:val="auto"/>
              </w:rPr>
              <w:t>Imaging &amp; Identification</w:t>
            </w: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7540" w:type="dxa"/>
            <w:vAlign w:val="bottom"/>
            <w:gridSpan w:val="4"/>
            <w:shd w:val="clear" w:color="auto" w:fill="CCEEFF"/>
          </w:tcPr>
          <w:p>
            <w:pPr>
              <w:ind w:left="440"/>
              <w:spacing w:after="0"/>
              <w:rPr>
                <w:sz w:val="20"/>
                <w:szCs w:val="20"/>
                <w:color w:val="auto"/>
              </w:rPr>
            </w:pPr>
            <w:r>
              <w:rPr>
                <w:rFonts w:ascii="Arial" w:cs="Arial" w:eastAsia="Arial" w:hAnsi="Arial"/>
                <w:sz w:val="16"/>
                <w:szCs w:val="16"/>
                <w:color w:val="auto"/>
              </w:rPr>
              <w:t>Pumps &amp; Process Solutions</w:t>
            </w:r>
          </w:p>
        </w:tc>
        <w:tc>
          <w:tcPr>
            <w:tcW w:w="9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7540" w:type="dxa"/>
            <w:vAlign w:val="bottom"/>
            <w:tcBorders>
              <w:bottom w:val="single" w:sz="8" w:color="CCEEFF"/>
            </w:tcBorders>
            <w:gridSpan w:val="4"/>
          </w:tcPr>
          <w:p>
            <w:pPr>
              <w:ind w:left="440"/>
              <w:spacing w:after="0"/>
              <w:rPr>
                <w:sz w:val="20"/>
                <w:szCs w:val="20"/>
                <w:color w:val="auto"/>
              </w:rPr>
            </w:pPr>
            <w:r>
              <w:rPr>
                <w:rFonts w:ascii="Arial" w:cs="Arial" w:eastAsia="Arial" w:hAnsi="Arial"/>
                <w:sz w:val="16"/>
                <w:szCs w:val="16"/>
                <w:color w:val="auto"/>
              </w:rPr>
              <w:t>Climate &amp; Sustainability Technologies</w:t>
            </w:r>
          </w:p>
        </w:tc>
        <w:tc>
          <w:tcPr>
            <w:tcW w:w="98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15.2 %</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5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Total Organic</w:t>
            </w:r>
          </w:p>
        </w:tc>
        <w:tc>
          <w:tcPr>
            <w:tcW w:w="9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5.3 %</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40" w:type="dxa"/>
            <w:vAlign w:val="bottom"/>
            <w:gridSpan w:val="4"/>
          </w:tcPr>
          <w:p>
            <w:pPr>
              <w:spacing w:after="0"/>
              <w:rPr>
                <w:sz w:val="20"/>
                <w:szCs w:val="20"/>
                <w:color w:val="auto"/>
              </w:rPr>
            </w:pPr>
            <w:r>
              <w:rPr>
                <w:rFonts w:ascii="Arial" w:cs="Arial" w:eastAsia="Arial" w:hAnsi="Arial"/>
                <w:sz w:val="16"/>
                <w:szCs w:val="16"/>
                <w:color w:val="auto"/>
              </w:rPr>
              <w:t>Acquisitions</w:t>
            </w: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1.9 %</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75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Currency translation</w:t>
            </w:r>
          </w:p>
        </w:tc>
        <w:tc>
          <w:tcPr>
            <w:tcW w:w="9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2.9 %</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540" w:type="dxa"/>
            <w:vAlign w:val="bottom"/>
            <w:gridSpan w:val="4"/>
          </w:tcPr>
          <w:p>
            <w:pPr>
              <w:spacing w:after="0"/>
              <w:rPr>
                <w:sz w:val="20"/>
                <w:szCs w:val="20"/>
                <w:color w:val="auto"/>
              </w:rPr>
            </w:pPr>
            <w:r>
              <w:rPr>
                <w:rFonts w:ascii="Arial" w:cs="Arial" w:eastAsia="Arial" w:hAnsi="Arial"/>
                <w:sz w:val="16"/>
                <w:szCs w:val="16"/>
                <w:color w:val="auto"/>
              </w:rPr>
              <w:t>Total*</w:t>
            </w: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10.1 %</w:t>
            </w:r>
          </w:p>
        </w:tc>
        <w:tc>
          <w:tcPr>
            <w:tcW w:w="0" w:type="dxa"/>
            <w:vAlign w:val="bottom"/>
          </w:tcPr>
          <w:p>
            <w:pPr>
              <w:spacing w:after="0"/>
              <w:rPr>
                <w:sz w:val="1"/>
                <w:szCs w:val="1"/>
                <w:color w:val="auto"/>
              </w:rPr>
            </w:pPr>
          </w:p>
        </w:tc>
      </w:tr>
      <w:tr>
        <w:trPr>
          <w:trHeight w:val="263"/>
        </w:trPr>
        <w:tc>
          <w:tcPr>
            <w:tcW w:w="7560" w:type="dxa"/>
            <w:vAlign w:val="bottom"/>
            <w:gridSpan w:val="5"/>
          </w:tcPr>
          <w:p>
            <w:pPr>
              <w:spacing w:after="0"/>
              <w:rPr>
                <w:sz w:val="20"/>
                <w:szCs w:val="20"/>
                <w:color w:val="auto"/>
              </w:rPr>
            </w:pPr>
            <w:r>
              <w:rPr>
                <w:rFonts w:ascii="Arial" w:cs="Arial" w:eastAsia="Arial" w:hAnsi="Arial"/>
                <w:sz w:val="14"/>
                <w:szCs w:val="14"/>
                <w:color w:val="auto"/>
              </w:rPr>
              <w:t>* Totals may be impacted by rounding.</w:t>
            </w:r>
          </w:p>
        </w:tc>
        <w:tc>
          <w:tcPr>
            <w:tcW w:w="9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439"/>
              <w:spacing w:after="0"/>
              <w:rPr>
                <w:sz w:val="20"/>
                <w:szCs w:val="20"/>
                <w:color w:val="auto"/>
              </w:rPr>
            </w:pPr>
            <w:r>
              <w:rPr>
                <w:rFonts w:ascii="Arial" w:cs="Arial" w:eastAsia="Arial" w:hAnsi="Arial"/>
                <w:sz w:val="16"/>
                <w:szCs w:val="16"/>
                <w:b w:val="1"/>
                <w:bCs w:val="1"/>
                <w:color w:val="auto"/>
              </w:rPr>
              <w:t>2026</w:t>
            </w: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19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448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419"/>
              <w:spacing w:after="0"/>
              <w:rPr>
                <w:sz w:val="20"/>
                <w:szCs w:val="20"/>
                <w:color w:val="auto"/>
              </w:rPr>
            </w:pPr>
            <w:r>
              <w:rPr>
                <w:rFonts w:ascii="Arial" w:cs="Arial" w:eastAsia="Arial" w:hAnsi="Arial"/>
                <w:sz w:val="16"/>
                <w:szCs w:val="16"/>
                <w:b w:val="1"/>
                <w:bCs w:val="1"/>
                <w:color w:val="auto"/>
              </w:rPr>
              <w:t>Q1</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5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Organic</w:t>
            </w:r>
          </w:p>
        </w:tc>
        <w:tc>
          <w:tcPr>
            <w:tcW w:w="9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40" w:type="dxa"/>
            <w:vAlign w:val="bottom"/>
            <w:gridSpan w:val="4"/>
          </w:tcPr>
          <w:p>
            <w:pPr>
              <w:ind w:left="440"/>
              <w:spacing w:after="0"/>
              <w:rPr>
                <w:sz w:val="20"/>
                <w:szCs w:val="20"/>
                <w:color w:val="auto"/>
              </w:rPr>
            </w:pPr>
            <w:r>
              <w:rPr>
                <w:rFonts w:ascii="Arial" w:cs="Arial" w:eastAsia="Arial" w:hAnsi="Arial"/>
                <w:sz w:val="16"/>
                <w:szCs w:val="16"/>
                <w:color w:val="auto"/>
              </w:rPr>
              <w:t>United States</w:t>
            </w: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12.1 %</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7540" w:type="dxa"/>
            <w:vAlign w:val="bottom"/>
            <w:gridSpan w:val="4"/>
            <w:shd w:val="clear" w:color="auto" w:fill="CCEEFF"/>
          </w:tcPr>
          <w:p>
            <w:pPr>
              <w:ind w:left="440"/>
              <w:spacing w:after="0"/>
              <w:rPr>
                <w:sz w:val="20"/>
                <w:szCs w:val="20"/>
                <w:color w:val="auto"/>
              </w:rPr>
            </w:pPr>
            <w:r>
              <w:rPr>
                <w:rFonts w:ascii="Arial" w:cs="Arial" w:eastAsia="Arial" w:hAnsi="Arial"/>
                <w:sz w:val="16"/>
                <w:szCs w:val="16"/>
                <w:color w:val="auto"/>
              </w:rPr>
              <w:t>Europe</w:t>
            </w:r>
          </w:p>
        </w:tc>
        <w:tc>
          <w:tcPr>
            <w:tcW w:w="9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40" w:type="dxa"/>
            <w:vAlign w:val="bottom"/>
            <w:gridSpan w:val="4"/>
          </w:tcPr>
          <w:p>
            <w:pPr>
              <w:ind w:left="440"/>
              <w:spacing w:after="0"/>
              <w:rPr>
                <w:sz w:val="20"/>
                <w:szCs w:val="20"/>
                <w:color w:val="auto"/>
              </w:rPr>
            </w:pPr>
            <w:r>
              <w:rPr>
                <w:rFonts w:ascii="Arial" w:cs="Arial" w:eastAsia="Arial" w:hAnsi="Arial"/>
                <w:sz w:val="16"/>
                <w:szCs w:val="16"/>
                <w:color w:val="auto"/>
              </w:rPr>
              <w:t>Asia</w:t>
            </w: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7540" w:type="dxa"/>
            <w:vAlign w:val="bottom"/>
            <w:gridSpan w:val="4"/>
            <w:shd w:val="clear" w:color="auto" w:fill="CCEEFF"/>
          </w:tcPr>
          <w:p>
            <w:pPr>
              <w:ind w:left="440"/>
              <w:spacing w:after="0"/>
              <w:rPr>
                <w:sz w:val="20"/>
                <w:szCs w:val="20"/>
                <w:color w:val="auto"/>
              </w:rPr>
            </w:pPr>
            <w:r>
              <w:rPr>
                <w:rFonts w:ascii="Arial" w:cs="Arial" w:eastAsia="Arial" w:hAnsi="Arial"/>
                <w:sz w:val="16"/>
                <w:szCs w:val="16"/>
                <w:color w:val="auto"/>
              </w:rPr>
              <w:t>Other Americas</w:t>
            </w:r>
          </w:p>
        </w:tc>
        <w:tc>
          <w:tcPr>
            <w:tcW w:w="9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3.0 %</w:t>
            </w: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7540" w:type="dxa"/>
            <w:vAlign w:val="bottom"/>
            <w:tcBorders>
              <w:bottom w:val="single" w:sz="8" w:color="CCEEFF"/>
            </w:tcBorders>
            <w:gridSpan w:val="4"/>
          </w:tcPr>
          <w:p>
            <w:pPr>
              <w:ind w:left="440"/>
              <w:spacing w:after="0"/>
              <w:rPr>
                <w:sz w:val="20"/>
                <w:szCs w:val="20"/>
                <w:color w:val="auto"/>
              </w:rPr>
            </w:pPr>
            <w:r>
              <w:rPr>
                <w:rFonts w:ascii="Arial" w:cs="Arial" w:eastAsia="Arial" w:hAnsi="Arial"/>
                <w:sz w:val="16"/>
                <w:szCs w:val="16"/>
                <w:color w:val="auto"/>
              </w:rPr>
              <w:t>Other</w:t>
            </w:r>
          </w:p>
        </w:tc>
        <w:tc>
          <w:tcPr>
            <w:tcW w:w="98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5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Total Organic</w:t>
            </w:r>
          </w:p>
        </w:tc>
        <w:tc>
          <w:tcPr>
            <w:tcW w:w="9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5.3 %</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40" w:type="dxa"/>
            <w:vAlign w:val="bottom"/>
            <w:gridSpan w:val="4"/>
          </w:tcPr>
          <w:p>
            <w:pPr>
              <w:spacing w:after="0"/>
              <w:rPr>
                <w:sz w:val="20"/>
                <w:szCs w:val="20"/>
                <w:color w:val="auto"/>
              </w:rPr>
            </w:pPr>
            <w:r>
              <w:rPr>
                <w:rFonts w:ascii="Arial" w:cs="Arial" w:eastAsia="Arial" w:hAnsi="Arial"/>
                <w:sz w:val="16"/>
                <w:szCs w:val="16"/>
                <w:color w:val="auto"/>
              </w:rPr>
              <w:t>Acquisitions</w:t>
            </w: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1.9 %</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75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Currency translation</w:t>
            </w:r>
          </w:p>
        </w:tc>
        <w:tc>
          <w:tcPr>
            <w:tcW w:w="9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2.9 %</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540" w:type="dxa"/>
            <w:vAlign w:val="bottom"/>
            <w:gridSpan w:val="4"/>
          </w:tcPr>
          <w:p>
            <w:pPr>
              <w:spacing w:after="0"/>
              <w:rPr>
                <w:sz w:val="20"/>
                <w:szCs w:val="20"/>
                <w:color w:val="auto"/>
              </w:rPr>
            </w:pPr>
            <w:r>
              <w:rPr>
                <w:rFonts w:ascii="Arial" w:cs="Arial" w:eastAsia="Arial" w:hAnsi="Arial"/>
                <w:sz w:val="16"/>
                <w:szCs w:val="16"/>
                <w:color w:val="auto"/>
              </w:rPr>
              <w:t>Total*</w:t>
            </w: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10.1 %</w:t>
            </w:r>
          </w:p>
        </w:tc>
        <w:tc>
          <w:tcPr>
            <w:tcW w:w="0" w:type="dxa"/>
            <w:vAlign w:val="bottom"/>
          </w:tcPr>
          <w:p>
            <w:pPr>
              <w:spacing w:after="0"/>
              <w:rPr>
                <w:sz w:val="1"/>
                <w:szCs w:val="1"/>
                <w:color w:val="auto"/>
              </w:rPr>
            </w:pPr>
          </w:p>
        </w:tc>
      </w:tr>
      <w:tr>
        <w:trPr>
          <w:trHeight w:val="277"/>
        </w:trPr>
        <w:tc>
          <w:tcPr>
            <w:tcW w:w="7560" w:type="dxa"/>
            <w:vAlign w:val="bottom"/>
            <w:gridSpan w:val="5"/>
          </w:tcPr>
          <w:p>
            <w:pPr>
              <w:spacing w:after="0"/>
              <w:rPr>
                <w:sz w:val="20"/>
                <w:szCs w:val="20"/>
                <w:color w:val="auto"/>
              </w:rPr>
            </w:pPr>
            <w:r>
              <w:rPr>
                <w:rFonts w:ascii="Arial" w:cs="Arial" w:eastAsia="Arial" w:hAnsi="Arial"/>
                <w:sz w:val="14"/>
                <w:szCs w:val="14"/>
                <w:color w:val="auto"/>
              </w:rPr>
              <w:t>* Totals may be impacted by rounding.</w:t>
            </w: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20" w:type="dxa"/>
            <w:vAlign w:val="bottom"/>
          </w:tcPr>
          <w:p>
            <w:pPr>
              <w:spacing w:after="0"/>
              <w:rPr>
                <w:sz w:val="24"/>
                <w:szCs w:val="24"/>
                <w:color w:val="auto"/>
              </w:rPr>
            </w:pPr>
          </w:p>
        </w:tc>
        <w:tc>
          <w:tcPr>
            <w:tcW w:w="7540" w:type="dxa"/>
            <w:vAlign w:val="bottom"/>
            <w:gridSpan w:val="4"/>
          </w:tcPr>
          <w:p>
            <w:pPr>
              <w:spacing w:after="0"/>
              <w:rPr>
                <w:sz w:val="20"/>
                <w:szCs w:val="20"/>
                <w:color w:val="auto"/>
              </w:rPr>
            </w:pPr>
            <w:r>
              <w:rPr>
                <w:rFonts w:ascii="Arial" w:cs="Arial" w:eastAsia="Arial" w:hAnsi="Arial"/>
                <w:sz w:val="16"/>
                <w:szCs w:val="16"/>
                <w:b w:val="1"/>
                <w:bCs w:val="1"/>
                <w:color w:val="auto"/>
              </w:rPr>
              <w:t>Adjusted EPS Guidance Reconciliation*</w:t>
            </w: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gridSpan w:val="2"/>
            <w:vMerge w:val="restart"/>
          </w:tcPr>
          <w:p>
            <w:pPr>
              <w:jc w:val="right"/>
              <w:ind w:right="380"/>
              <w:spacing w:after="0"/>
              <w:rPr>
                <w:sz w:val="20"/>
                <w:szCs w:val="20"/>
                <w:color w:val="auto"/>
              </w:rPr>
            </w:pPr>
            <w:r>
              <w:rPr>
                <w:rFonts w:ascii="Arial" w:cs="Arial" w:eastAsia="Arial" w:hAnsi="Arial"/>
                <w:sz w:val="16"/>
                <w:szCs w:val="16"/>
                <w:b w:val="1"/>
                <w:bCs w:val="1"/>
                <w:color w:val="auto"/>
              </w:rPr>
              <w:t>Range</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9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4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540" w:type="dxa"/>
            <w:vAlign w:val="bottom"/>
            <w:gridSpan w:val="4"/>
            <w:shd w:val="clear" w:color="auto" w:fill="CCEEFF"/>
          </w:tcPr>
          <w:p>
            <w:pPr>
              <w:spacing w:after="0"/>
              <w:rPr>
                <w:sz w:val="20"/>
                <w:szCs w:val="20"/>
                <w:color w:val="auto"/>
              </w:rPr>
            </w:pPr>
            <w:r>
              <w:rPr>
                <w:rFonts w:ascii="Arial" w:cs="Arial" w:eastAsia="Arial" w:hAnsi="Arial"/>
                <w:sz w:val="16"/>
                <w:szCs w:val="16"/>
                <w:b w:val="1"/>
                <w:bCs w:val="1"/>
                <w:color w:val="auto"/>
              </w:rPr>
              <w:t>2026 Guidance for Earnings per Share from Continuing Operations (GAAP)</w:t>
            </w: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78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8.92</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9.12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40" w:type="dxa"/>
            <w:vAlign w:val="bottom"/>
            <w:gridSpan w:val="4"/>
          </w:tcPr>
          <w:p>
            <w:pPr>
              <w:spacing w:after="0"/>
              <w:rPr>
                <w:sz w:val="20"/>
                <w:szCs w:val="20"/>
                <w:color w:val="auto"/>
              </w:rPr>
            </w:pPr>
            <w:r>
              <w:rPr>
                <w:rFonts w:ascii="Arial" w:cs="Arial" w:eastAsia="Arial" w:hAnsi="Arial"/>
                <w:sz w:val="16"/>
                <w:szCs w:val="16"/>
                <w:color w:val="auto"/>
              </w:rPr>
              <w:t>Purchase accounting expenses, net</w:t>
            </w: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1.21</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75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Restructuring and other costs, net</w:t>
            </w:r>
          </w:p>
        </w:tc>
        <w:tc>
          <w:tcPr>
            <w:tcW w:w="9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0.31</w:t>
            </w: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gridSpan w:val="4"/>
          </w:tcPr>
          <w:p>
            <w:pPr>
              <w:spacing w:after="0"/>
              <w:rPr>
                <w:sz w:val="20"/>
                <w:szCs w:val="20"/>
                <w:color w:val="auto"/>
              </w:rPr>
            </w:pPr>
            <w:r>
              <w:rPr>
                <w:rFonts w:ascii="Arial" w:cs="Arial" w:eastAsia="Arial" w:hAnsi="Arial"/>
                <w:sz w:val="16"/>
                <w:szCs w:val="16"/>
                <w:b w:val="1"/>
                <w:bCs w:val="1"/>
                <w:color w:val="auto"/>
              </w:rPr>
              <w:t>2026 Guidance for Adjusted Earnings per Share from Continuing Operations (Non-GAAP)</w:t>
            </w:r>
          </w:p>
        </w:tc>
        <w:tc>
          <w:tcPr>
            <w:tcW w:w="98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ind w:right="79"/>
              <w:spacing w:after="0"/>
              <w:rPr>
                <w:sz w:val="20"/>
                <w:szCs w:val="20"/>
                <w:color w:val="auto"/>
              </w:rPr>
            </w:pPr>
            <w:r>
              <w:rPr>
                <w:rFonts w:ascii="Arial" w:cs="Arial" w:eastAsia="Arial" w:hAnsi="Arial"/>
                <w:sz w:val="16"/>
                <w:szCs w:val="16"/>
                <w:b w:val="1"/>
                <w:bCs w:val="1"/>
                <w:color w:val="auto"/>
              </w:rPr>
              <w:t>10.45</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10.65</w:t>
            </w:r>
          </w:p>
        </w:tc>
        <w:tc>
          <w:tcPr>
            <w:tcW w:w="0" w:type="dxa"/>
            <w:vAlign w:val="bottom"/>
          </w:tcPr>
          <w:p>
            <w:pPr>
              <w:spacing w:after="0"/>
              <w:rPr>
                <w:sz w:val="1"/>
                <w:szCs w:val="1"/>
                <w:color w:val="auto"/>
              </w:rPr>
            </w:pPr>
          </w:p>
        </w:tc>
      </w:tr>
    </w:tbl>
    <w:p>
      <w:pPr>
        <w:spacing w:after="0" w:line="277" w:lineRule="exact"/>
        <w:rPr>
          <w:sz w:val="20"/>
          <w:szCs w:val="20"/>
          <w:color w:val="auto"/>
        </w:rPr>
      </w:pPr>
    </w:p>
    <w:p>
      <w:pPr>
        <w:spacing w:after="0"/>
        <w:rPr>
          <w:sz w:val="20"/>
          <w:szCs w:val="20"/>
          <w:color w:val="auto"/>
        </w:rPr>
      </w:pPr>
      <w:r>
        <w:rPr>
          <w:rFonts w:ascii="Arial" w:cs="Arial" w:eastAsia="Arial" w:hAnsi="Arial"/>
          <w:sz w:val="14"/>
          <w:szCs w:val="14"/>
          <w:color w:val="auto"/>
        </w:rPr>
        <w:t>* Per share data and totals may be impacted by rounding.</w:t>
      </w:r>
    </w:p>
    <w:p>
      <w:pPr>
        <w:jc w:val="center"/>
        <w:spacing w:after="0"/>
        <w:rPr>
          <w:sz w:val="20"/>
          <w:szCs w:val="20"/>
          <w:color w:val="auto"/>
        </w:rPr>
      </w:pPr>
      <w:r>
        <w:rPr>
          <w:rFonts w:ascii="Arial" w:cs="Arial" w:eastAsia="Arial" w:hAnsi="Arial"/>
          <w:sz w:val="18"/>
          <w:szCs w:val="18"/>
          <w:color w:val="auto"/>
        </w:rPr>
        <w:t>IS - 7</w:t>
      </w:r>
    </w:p>
    <w:p>
      <w:pPr>
        <w:sectPr>
          <w:pgSz w:w="11900" w:h="16838" w:orient="portrait"/>
          <w:cols w:equalWidth="0" w:num="1">
            <w:col w:w="11240"/>
          </w:cols>
          <w:pgMar w:left="320" w:top="364"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CASH FLOW AND FREE CASH FLOW (NON-GAAP)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(unaudited)(in thousands)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Quarterly Cash Flow</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820" w:type="dxa"/>
            <w:vAlign w:val="bottom"/>
          </w:tcPr>
          <w:p>
            <w:pPr>
              <w:spacing w:after="0"/>
              <w:rPr>
                <w:sz w:val="18"/>
                <w:szCs w:val="18"/>
                <w:color w:val="auto"/>
              </w:rPr>
            </w:pPr>
          </w:p>
        </w:tc>
        <w:tc>
          <w:tcPr>
            <w:tcW w:w="9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2026</w:t>
            </w:r>
          </w:p>
        </w:tc>
        <w:tc>
          <w:tcPr>
            <w:tcW w:w="8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2025</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09"/>
        </w:trPr>
        <w:tc>
          <w:tcPr>
            <w:tcW w:w="58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Q1</w:t>
            </w:r>
          </w:p>
        </w:tc>
        <w:tc>
          <w:tcPr>
            <w:tcW w:w="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Q1</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Q2</w:t>
            </w:r>
          </w:p>
        </w:tc>
        <w:tc>
          <w:tcPr>
            <w:tcW w:w="8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Q3</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Q4</w:t>
            </w:r>
          </w:p>
        </w:tc>
        <w:tc>
          <w:tcPr>
            <w:tcW w:w="9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FY 2025</w:t>
            </w:r>
          </w:p>
        </w:tc>
      </w:tr>
      <w:tr>
        <w:trPr>
          <w:trHeight w:val="196"/>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Flows Provided By (Used In):</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6"/>
                <w:szCs w:val="16"/>
                <w:color w:val="auto"/>
              </w:rPr>
              <w:t>Operating activities</w:t>
            </w:r>
          </w:p>
        </w:tc>
        <w:tc>
          <w:tcPr>
            <w:tcW w:w="900" w:type="dxa"/>
            <w:vAlign w:val="bottom"/>
          </w:tcPr>
          <w:p>
            <w:pPr>
              <w:jc w:val="right"/>
              <w:spacing w:after="0"/>
              <w:rPr>
                <w:sz w:val="20"/>
                <w:szCs w:val="20"/>
                <w:color w:val="auto"/>
              </w:rPr>
            </w:pPr>
            <w:r>
              <w:rPr>
                <w:rFonts w:ascii="Arial" w:cs="Arial" w:eastAsia="Arial" w:hAnsi="Arial"/>
                <w:sz w:val="16"/>
                <w:szCs w:val="16"/>
                <w:color w:val="auto"/>
              </w:rPr>
              <w:t>$  190,997</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$ 157,474</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212,340</w:t>
            </w:r>
          </w:p>
        </w:tc>
        <w:tc>
          <w:tcPr>
            <w:tcW w:w="860" w:type="dxa"/>
            <w:vAlign w:val="bottom"/>
          </w:tcPr>
          <w:p>
            <w:pPr>
              <w:jc w:val="right"/>
              <w:spacing w:after="0"/>
              <w:rPr>
                <w:sz w:val="20"/>
                <w:szCs w:val="20"/>
                <w:color w:val="auto"/>
              </w:rPr>
            </w:pPr>
            <w:r>
              <w:rPr>
                <w:rFonts w:ascii="Arial" w:cs="Arial" w:eastAsia="Arial" w:hAnsi="Arial"/>
                <w:sz w:val="16"/>
                <w:szCs w:val="16"/>
                <w:color w:val="auto"/>
              </w:rPr>
              <w:t>$ 424,245</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543,946</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$ 1,338,005</w:t>
            </w:r>
          </w:p>
        </w:tc>
      </w:tr>
      <w:tr>
        <w:trPr>
          <w:trHeight w:val="216"/>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Investing activities</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(61,660)</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(74,186)</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(681,584)</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(58,857)</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(71,967)</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(886,594)</w:t>
            </w:r>
          </w:p>
        </w:tc>
      </w:tr>
      <w:tr>
        <w:trPr>
          <w:trHeight w:val="223"/>
        </w:trPr>
        <w:tc>
          <w:tcPr>
            <w:tcW w:w="5820" w:type="dxa"/>
            <w:vAlign w:val="bottom"/>
          </w:tcPr>
          <w:p>
            <w:pPr>
              <w:ind w:left="20"/>
              <w:spacing w:after="0"/>
              <w:rPr>
                <w:sz w:val="20"/>
                <w:szCs w:val="20"/>
                <w:color w:val="auto"/>
              </w:rPr>
            </w:pPr>
            <w:r>
              <w:rPr>
                <w:rFonts w:ascii="Arial" w:cs="Arial" w:eastAsia="Arial" w:hAnsi="Arial"/>
                <w:sz w:val="16"/>
                <w:szCs w:val="16"/>
                <w:color w:val="auto"/>
              </w:rPr>
              <w:t>Financing activities</w:t>
            </w:r>
          </w:p>
        </w:tc>
        <w:tc>
          <w:tcPr>
            <w:tcW w:w="900" w:type="dxa"/>
            <w:vAlign w:val="bottom"/>
          </w:tcPr>
          <w:p>
            <w:pPr>
              <w:jc w:val="right"/>
              <w:spacing w:after="0"/>
              <w:rPr>
                <w:sz w:val="20"/>
                <w:szCs w:val="20"/>
                <w:color w:val="auto"/>
              </w:rPr>
            </w:pPr>
            <w:r>
              <w:rPr>
                <w:rFonts w:ascii="Arial" w:cs="Arial" w:eastAsia="Arial" w:hAnsi="Arial"/>
                <w:sz w:val="16"/>
                <w:szCs w:val="16"/>
                <w:color w:val="auto"/>
              </w:rPr>
              <w:t>(161,451)</w:t>
            </w: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(122,234)</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(84,235)</w:t>
            </w:r>
          </w:p>
        </w:tc>
        <w:tc>
          <w:tcPr>
            <w:tcW w:w="860" w:type="dxa"/>
            <w:vAlign w:val="bottom"/>
          </w:tcPr>
          <w:p>
            <w:pPr>
              <w:jc w:val="right"/>
              <w:spacing w:after="0"/>
              <w:rPr>
                <w:sz w:val="20"/>
                <w:szCs w:val="20"/>
                <w:color w:val="auto"/>
              </w:rPr>
            </w:pPr>
            <w:r>
              <w:rPr>
                <w:rFonts w:ascii="Arial" w:cs="Arial" w:eastAsia="Arial" w:hAnsi="Arial"/>
                <w:sz w:val="16"/>
                <w:szCs w:val="16"/>
                <w:color w:val="auto"/>
              </w:rPr>
              <w:t>(73,878)</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99"/>
              </w:rPr>
              <w:t>(344,523)</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(624,870)</w:t>
            </w:r>
          </w:p>
        </w:tc>
      </w:tr>
    </w:tbl>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Quarterly Free Cash Flow (Non-GAAP)</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8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2026</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2025</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Q1</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Q1</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Q2</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Q3</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Q4</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FY 2025</w:t>
            </w:r>
          </w:p>
        </w:tc>
        <w:tc>
          <w:tcPr>
            <w:tcW w:w="0" w:type="dxa"/>
            <w:vAlign w:val="bottom"/>
          </w:tcPr>
          <w:p>
            <w:pPr>
              <w:spacing w:after="0"/>
              <w:rPr>
                <w:sz w:val="1"/>
                <w:szCs w:val="1"/>
                <w:color w:val="auto"/>
              </w:rPr>
            </w:pPr>
          </w:p>
        </w:tc>
      </w:tr>
      <w:tr>
        <w:trPr>
          <w:trHeight w:val="209"/>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 from operating activities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190,997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157,474</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212,340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424,245</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543,946</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1,338,005</w:t>
            </w:r>
          </w:p>
        </w:tc>
        <w:tc>
          <w:tcPr>
            <w:tcW w:w="0" w:type="dxa"/>
            <w:vAlign w:val="bottom"/>
          </w:tcPr>
          <w:p>
            <w:pPr>
              <w:spacing w:after="0"/>
              <w:rPr>
                <w:sz w:val="1"/>
                <w:szCs w:val="1"/>
                <w:color w:val="auto"/>
              </w:rPr>
            </w:pPr>
          </w:p>
        </w:tc>
      </w:tr>
      <w:tr>
        <w:trPr>
          <w:trHeight w:val="216"/>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Capital expenditures</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(59,808)</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(48,192)</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(60,932)</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(54,150)</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(56,989)</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(220,263)</w:t>
            </w:r>
          </w:p>
        </w:tc>
        <w:tc>
          <w:tcPr>
            <w:tcW w:w="0" w:type="dxa"/>
            <w:vAlign w:val="bottom"/>
          </w:tcPr>
          <w:p>
            <w:pPr>
              <w:spacing w:after="0"/>
              <w:rPr>
                <w:sz w:val="1"/>
                <w:szCs w:val="1"/>
                <w:color w:val="auto"/>
              </w:rPr>
            </w:pPr>
          </w:p>
        </w:tc>
      </w:tr>
      <w:tr>
        <w:trPr>
          <w:trHeight w:val="234"/>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Free cash flow</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131,189</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109,282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151,408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370,095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486,957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1,117,742</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 from operating activities as a percentage of revenue</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8.4 %</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10.4 %</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20.4 %</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25.9 %</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16.5 %</w:t>
            </w:r>
          </w:p>
        </w:tc>
        <w:tc>
          <w:tcPr>
            <w:tcW w:w="0" w:type="dxa"/>
            <w:vAlign w:val="bottom"/>
          </w:tcPr>
          <w:p>
            <w:pPr>
              <w:spacing w:after="0"/>
              <w:rPr>
                <w:sz w:val="1"/>
                <w:szCs w:val="1"/>
                <w:color w:val="auto"/>
              </w:rPr>
            </w:pPr>
          </w:p>
        </w:tc>
      </w:tr>
      <w:tr>
        <w:trPr>
          <w:trHeight w:val="203"/>
        </w:trPr>
        <w:tc>
          <w:tcPr>
            <w:tcW w:w="5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86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Cash flow from operating activities as a percentage of adjusted earnings from</w:t>
            </w:r>
          </w:p>
        </w:tc>
        <w:tc>
          <w:tcPr>
            <w:tcW w:w="1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61.7 %</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55.6 %</w:t>
            </w:r>
          </w:p>
        </w:tc>
        <w:tc>
          <w:tcPr>
            <w:tcW w:w="1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63.1 %</w:t>
            </w: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117.4 %</w:t>
            </w:r>
          </w:p>
        </w:tc>
        <w:tc>
          <w:tcPr>
            <w:tcW w:w="1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158.4 %</w:t>
            </w: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101.0 %</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continuing operations</w:t>
            </w:r>
          </w:p>
        </w:tc>
        <w:tc>
          <w:tcPr>
            <w:tcW w:w="16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Free cash flow as a percentage of revenue</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5.9 %</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7.4 %</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17.8 %</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23.2 %</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13.8 %</w:t>
            </w:r>
          </w:p>
        </w:tc>
        <w:tc>
          <w:tcPr>
            <w:tcW w:w="0" w:type="dxa"/>
            <w:vAlign w:val="bottom"/>
          </w:tcPr>
          <w:p>
            <w:pPr>
              <w:spacing w:after="0"/>
              <w:rPr>
                <w:sz w:val="1"/>
                <w:szCs w:val="1"/>
                <w:color w:val="auto"/>
              </w:rPr>
            </w:pPr>
          </w:p>
        </w:tc>
      </w:tr>
      <w:tr>
        <w:trPr>
          <w:trHeight w:val="203"/>
        </w:trPr>
        <w:tc>
          <w:tcPr>
            <w:tcW w:w="5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Free cash flow as a percentage of adjusted earnings from continuing operations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38.6 %</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45.0 %</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102.4 %</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141.8 %</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84.4 %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IS - 8</w:t>
      </w:r>
    </w:p>
    <w:p>
      <w:pPr>
        <w:sectPr>
          <w:pgSz w:w="11900" w:h="16838" w:orient="portrait"/>
          <w:cols w:equalWidth="0" w:num="1">
            <w:col w:w="11240"/>
          </w:cols>
          <w:pgMar w:left="320" w:top="364"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2026</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2025</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45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Q1</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Q1</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Q2</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Q3</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Q4</w:t>
            </w: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FY 2025</w:t>
            </w:r>
          </w:p>
        </w:tc>
      </w:tr>
      <w:tr>
        <w:trPr>
          <w:trHeight w:val="176"/>
        </w:trPr>
        <w:tc>
          <w:tcPr>
            <w:tcW w:w="20" w:type="dxa"/>
            <w:vAlign w:val="bottom"/>
            <w:shd w:val="clear" w:color="auto" w:fill="CCEEFF"/>
          </w:tcPr>
          <w:p>
            <w:pPr>
              <w:spacing w:after="0"/>
              <w:rPr>
                <w:sz w:val="15"/>
                <w:szCs w:val="15"/>
                <w:color w:val="auto"/>
              </w:rPr>
            </w:pPr>
          </w:p>
        </w:tc>
        <w:tc>
          <w:tcPr>
            <w:tcW w:w="5440" w:type="dxa"/>
            <w:vAlign w:val="bottom"/>
            <w:gridSpan w:val="2"/>
            <w:shd w:val="clear" w:color="auto" w:fill="CCEEFF"/>
          </w:tcPr>
          <w:p>
            <w:pPr>
              <w:spacing w:after="0" w:line="155" w:lineRule="exact"/>
              <w:rPr>
                <w:sz w:val="20"/>
                <w:szCs w:val="20"/>
                <w:color w:val="auto"/>
              </w:rPr>
            </w:pPr>
            <w:r>
              <w:rPr>
                <w:rFonts w:ascii="Arial" w:cs="Arial" w:eastAsia="Arial" w:hAnsi="Arial"/>
                <w:sz w:val="16"/>
                <w:szCs w:val="16"/>
                <w:b w:val="1"/>
                <w:bCs w:val="1"/>
                <w:color w:val="auto"/>
              </w:rPr>
              <w:t>BOOKINGS</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456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r>
      <w:tr>
        <w:trPr>
          <w:trHeight w:val="216"/>
        </w:trPr>
        <w:tc>
          <w:tcPr>
            <w:tcW w:w="20" w:type="dxa"/>
            <w:vAlign w:val="bottom"/>
            <w:shd w:val="clear" w:color="auto" w:fill="CCEEFF"/>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Engineered Products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294,009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264,538</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276,571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273,278</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281,237</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9"/>
              </w:rPr>
              <w:t>$ 1,095,624</w:t>
            </w: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6"/>
                <w:szCs w:val="16"/>
                <w:color w:val="auto"/>
              </w:rPr>
              <w:t>Clean Energy &amp; Fueling</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615,197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543,859</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526,819</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509,553</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587,041</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2,167,272</w:t>
            </w:r>
          </w:p>
        </w:tc>
      </w:tr>
      <w:tr>
        <w:trPr>
          <w:trHeight w:val="216"/>
        </w:trPr>
        <w:tc>
          <w:tcPr>
            <w:tcW w:w="20" w:type="dxa"/>
            <w:vAlign w:val="bottom"/>
            <w:shd w:val="clear" w:color="auto" w:fill="CCEEFF"/>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Imaging &amp; Identification</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312,646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288,169</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292,092</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292,229</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302,047</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1,174,537</w:t>
            </w: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6"/>
                <w:szCs w:val="16"/>
                <w:color w:val="auto"/>
              </w:rPr>
              <w:t>Pumps &amp; Process Solutions</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597,578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499,287</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530,158</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510,960</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500,779</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2,041,184</w:t>
            </w:r>
          </w:p>
        </w:tc>
      </w:tr>
      <w:tr>
        <w:trPr>
          <w:trHeight w:val="216"/>
        </w:trPr>
        <w:tc>
          <w:tcPr>
            <w:tcW w:w="20" w:type="dxa"/>
            <w:vAlign w:val="bottom"/>
            <w:shd w:val="clear" w:color="auto" w:fill="CCEEFF"/>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Climate &amp; Sustainability Technologies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646,960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395,623</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384,246</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415,099</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470,081</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1,665,049</w:t>
            </w:r>
          </w:p>
        </w:tc>
      </w:tr>
      <w:tr>
        <w:trPr>
          <w:trHeight w:val="216"/>
        </w:trPr>
        <w:tc>
          <w:tcPr>
            <w:tcW w:w="20" w:type="dxa"/>
            <w:vAlign w:val="bottom"/>
            <w:tcBorders>
              <w:bottom w:val="single" w:sz="8" w:color="CCEEFF"/>
            </w:tcBorders>
          </w:tcPr>
          <w:p>
            <w:pPr>
              <w:spacing w:after="0"/>
              <w:rPr>
                <w:sz w:val="18"/>
                <w:szCs w:val="18"/>
                <w:color w:val="auto"/>
              </w:rPr>
            </w:pPr>
          </w:p>
        </w:tc>
        <w:tc>
          <w:tcPr>
            <w:tcW w:w="54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Intersegment eliminations</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(2,714)</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(1,892)</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(1,295)</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(1,380)</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(1,472)</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(6,039)</w:t>
            </w:r>
          </w:p>
        </w:tc>
      </w:tr>
      <w:tr>
        <w:trPr>
          <w:trHeight w:val="234"/>
        </w:trPr>
        <w:tc>
          <w:tcPr>
            <w:tcW w:w="20" w:type="dxa"/>
            <w:vAlign w:val="bottom"/>
            <w:tcBorders>
              <w:bottom w:val="single" w:sz="8" w:color="CCEEFF"/>
            </w:tcBorders>
            <w:shd w:val="clear" w:color="auto" w:fill="CCEEFF"/>
          </w:tcPr>
          <w:p>
            <w:pPr>
              <w:spacing w:after="0"/>
              <w:rPr>
                <w:sz w:val="19"/>
                <w:szCs w:val="19"/>
                <w:color w:val="auto"/>
              </w:rPr>
            </w:pPr>
          </w:p>
        </w:tc>
        <w:tc>
          <w:tcPr>
            <w:tcW w:w="5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consolidated bookings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2,463,676</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1,989,584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2,008,591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1,999,739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2,139,713</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9"/>
              </w:rPr>
              <w:t>$ 8,137,627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IS - 9</w:t>
      </w:r>
    </w:p>
    <w:p>
      <w:pPr>
        <w:sectPr>
          <w:pgSz w:w="11900" w:h="16838" w:orient="portrait"/>
          <w:cols w:equalWidth="0" w:num="1">
            <w:col w:w="11240"/>
          </w:cols>
          <w:pgMar w:left="320" w:top="364"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auto"/>
        </w:rPr>
        <w:t>Non-GAAP Measures Definitions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an effort to provide investors with additional information regarding our results as determined by GAAP, management also discloses non-GAAP information that management believes provides useful information to investors. Adjusted earnings from continuing operations, adjusted diluted earnings per share from continuing operations, total segment earnings, total segment earnings margin, adjusted segment EBITDA, adjusted segment EBITDA margin, free cash flow, free cash flow as a percentage of revenue, free cash flow as a percentage of adjusted earnings from continuing operations, and organic revenue growth are not financial measures under GAAP and should not be considered as a substitute for earnings from continuing operations, diluted earnings per share from continuing operations, cash flows from operating activities, or revenue as determined in accordance with GAAP, and they may not be comparable to similarly titled measures reported by other companies.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items described in our definitions herein, unless otherwise noted, relate solely to our continuing operations.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Adjusted earnings from continuing operations represents earnings from continuing operations adjusted for the effect of purchase accounting expenses, restructuring and other costs/benefits and gain/loss on dispositions. Purchase accounting expenses are primarily comprised of amortization of intangible assets. We exclude after-tax purchase accounting expenses because the amount and timing of such charges are significantly impacted by the timing, size, number and nature of the acquisitions the Company consummates. While we have a history of acquisition activity, our acquisitions do not happen in a predictive cycle. Exclusion of purchase accounting expenses facilitates more consistent comparisons of operating results over time. We believe it is important to understand that such intangible assets were recorded as part of purchase accounting and contribute to revenue generation. We exclude the other items because they occur for reasons that may be unrelated to the Company's commercial performance during the period and/or management believes they are not indicative of the Company's ongoing operating costs or gains in a given period.</w:t>
      </w:r>
    </w:p>
    <w:p>
      <w:pPr>
        <w:spacing w:after="0" w:line="20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Adjusted diluted earnings per share from continuing operations or adjusted earnings per share from continuing operations represents diluted earnings per share from continuing operations adjusted for the effect of purchase accounting expenses, restructuring and other costs/benefits and gain/loss on disposition.</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Total segment earnings is defined as the sum of earnings before purchase accounting expenses, restructuring and other costs/benefits, gain/loss on dispositions, corporate expenses/other, interest expense, interest income and provision for income taxes for all segments. Total segment earnings margin is defined as total segment earnings divided by revenue.</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Adjusted segment EBITDA is defined as segment earnings plus other depreciation and amortization expense, which relates to property, plant, and equipment and intangibles, and excludes amounts related to purchase accounting expenses and restructuring and other costs/benefits. Adjusted segment EBITDA margin is defined as adjusted segment EBITDA divided by revenue.</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Management believes the non-GAAP measures above are useful to investors to better understand the Company’s ongoing profitability as they better reflect the Company's core operating results, offer more transparency and facilitate easier comparability to prior and future periods and to its peers.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Free cash flow represents net cash provided by operating activities minus capital expenditures. Free cash flow as a percentage of revenue equals free cash flow divided by revenue. Free cash flow as a percentage of adjusted earnings from continuing operations equals free cash flow divided by adjusted earnings from continuing operations. Management believes that free cash flow and free cash flow ratios are important measures of liquidity because they provide management and investors a measurement of cash generated from operations that is available for mandatory payment obligations and investment opportunities, such as funding acquisitions, paying dividends, repaying debt and repurchasing our common stock.</w:t>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believes that reporting organic revenue growth, which excludes the impact of foreign currency exchange rates and the impact of acquisitions and dispositions, provides a useful comparison of our revenue and trends between periods. We do not provide a reconciliation of forward-looking organic revenue to the most directly comparable GAAP financial measure pursuant to the exception provided in Item 10(e)</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(1)(i)(B) of Regulation S-K because we are not able to provide a meaningful or accurate compilation of reconciling items. This is due to the inherent difficulty in accurately forecasting the timing and amounts of the items that would be excluded from the most directly comparable GAAP financial measure or are out of our control. For the same reasons, we are unable to address the probable significance of unavailable information which may be material.</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IS - 10</w:t>
      </w:r>
    </w:p>
    <w:p>
      <w:pPr>
        <w:sectPr>
          <w:pgSz w:w="11900" w:h="16838" w:orient="portrait"/>
          <w:cols w:equalWidth="0" w:num="1">
            <w:col w:w="11240"/>
          </w:cols>
          <w:pgMar w:left="320" w:top="769"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auto"/>
        </w:rPr>
        <w:t>Performance Measures Definitions</w:t>
      </w:r>
    </w:p>
    <w:p>
      <w:pPr>
        <w:spacing w:after="0" w:line="252"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Bookings represent total orders received from customers in the current reporting period and exclude de-bookings related to orders received in prior periods, if any. This metric is an important measure of performance and an indicator of revenue order trends.</w:t>
      </w:r>
    </w:p>
    <w:p>
      <w:pPr>
        <w:spacing w:after="0" w:line="18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use the above operational metric in monitoring the performance of the business. We believe the operational metric is useful to investors and other users of our financial information in assessing the performance of our segments.</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IS - 11</w:t>
      </w:r>
    </w:p>
    <w:sectPr>
      <w:pgSz w:w="11900" w:h="16838" w:orient="portrait"/>
      <w:cols w:equalWidth="0" w:num="1">
        <w:col w:w="11240"/>
      </w:cols>
      <w:pgMar w:left="320" w:top="7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lowerLetter"/>
      <w:start w:val="4"/>
    </w:lvl>
  </w:abstractNum>
  <w:abstractNum w:abstractNumId="2">
    <w:nsid w:val="216231B"/>
    <w:multiLevelType w:val="hybridMultilevel"/>
    <w:lvl w:ilvl="0">
      <w:lvlJc w:val="left"/>
      <w:lvlText w:val="1"/>
      <w:numFmt w:val="bullet"/>
      <w:start w:val="1"/>
    </w:lvl>
  </w:abstractNum>
  <w:abstractNum w:abstractNumId="3">
    <w:nsid w:val="1F16E9E8"/>
    <w:multiLevelType w:val="hybridMultilevel"/>
    <w:lvl w:ilvl="0">
      <w:lvlJc w:val="left"/>
      <w:lvlText w:val="1"/>
      <w:numFmt w:val="bullet"/>
      <w:start w:val="1"/>
    </w:lvl>
  </w:abstractNum>
  <w:abstractNum w:abstractNumId="4">
    <w:nsid w:val="1190CDE7"/>
    <w:multiLevelType w:val="hybridMultilevel"/>
    <w:lvl w:ilvl="0">
      <w:lvlJc w:val="left"/>
      <w:lvlText w:val="2"/>
      <w:numFmt w:val="bullet"/>
      <w:start w:val="1"/>
    </w:lvl>
  </w:abstractNum>
  <w:abstractNum w:abstractNumId="5">
    <w:nsid w:val="66EF438D"/>
    <w:multiLevelType w:val="hybridMultilevel"/>
    <w:lvl w:ilvl="0">
      <w:lvlJc w:val="left"/>
      <w:lvlText w:val="3"/>
      <w:numFmt w:val="bullet"/>
      <w:start w:val="1"/>
    </w:lvl>
  </w:abstractNum>
  <w:abstractNum w:abstractNumId="6">
    <w:nsid w:val="140E0F76"/>
    <w:multiLevelType w:val="hybridMultilevel"/>
    <w:lvl w:ilvl="0">
      <w:lvlJc w:val="left"/>
      <w:lvlText w:val="4"/>
      <w:numFmt w:val="bullet"/>
      <w:start w:val="1"/>
    </w:lvl>
  </w:abstractNum>
  <w:abstractNum w:abstractNumId="7">
    <w:nsid w:val="3352255A"/>
    <w:multiLevelType w:val="hybridMultilevel"/>
    <w:lvl w:ilvl="0">
      <w:lvlJc w:val="left"/>
      <w:lvlText w:val="1"/>
      <w:numFmt w:val="bullet"/>
      <w:start w:val="1"/>
    </w:lvl>
  </w:abstractNum>
  <w:abstractNum w:abstractNumId="8">
    <w:nsid w:val="109CF92E"/>
    <w:multiLevelType w:val="hybridMultilevel"/>
    <w:lvl w:ilvl="0">
      <w:lvlJc w:val="left"/>
      <w:lvlText w:val="2"/>
      <w:numFmt w:val="bullet"/>
      <w:start w:val="1"/>
    </w:lvl>
  </w:abstractNum>
  <w:abstractNum w:abstractNumId="9">
    <w:nsid w:val="DED7263"/>
    <w:multiLevelType w:val="hybridMultilevel"/>
    <w:lvl w:ilvl="0">
      <w:lvlJc w:val="left"/>
      <w:lvlText w:val="3"/>
      <w:numFmt w:val="bullet"/>
      <w:start w:val="1"/>
    </w:lvl>
  </w:abstractNum>
  <w:abstractNum w:abstractNumId="10">
    <w:nsid w:val="7FDCC233"/>
    <w:multiLevelType w:val="hybridMultilevel"/>
    <w:lvl w:ilvl="0">
      <w:lvlJc w:val="left"/>
      <w:lvlText w:val="1"/>
      <w:numFmt w:val="bullet"/>
      <w:start w:val="1"/>
    </w:lvl>
  </w:abstractNum>
  <w:abstractNum w:abstractNumId="11">
    <w:nsid w:val="1BEFD79F"/>
    <w:multiLevelType w:val="hybridMultilevel"/>
    <w:lvl w:ilvl="0">
      <w:lvlJc w:val="left"/>
      <w:lvlText w:val="2"/>
      <w:numFmt w:val="bullet"/>
      <w:start w:val="1"/>
    </w:lvl>
  </w:abstractNum>
  <w:abstractNum w:abstractNumId="12">
    <w:nsid w:val="41A7C4C9"/>
    <w:multiLevelType w:val="hybridMultilevel"/>
    <w:lvl w:ilvl="0">
      <w:lvlJc w:val="left"/>
      <w:lvlText w:val="3"/>
      <w:numFmt w:val="bullet"/>
      <w:start w:val="1"/>
    </w:lvl>
  </w:abstractNum>
  <w:abstractNum w:abstractNumId="13">
    <w:nsid w:val="6B68079A"/>
    <w:multiLevelType w:val="hybridMultilevel"/>
    <w:lvl w:ilvl="0">
      <w:lvlJc w:val="left"/>
      <w:lvlText w:val="1"/>
      <w:numFmt w:val="bullet"/>
      <w:start w:val="1"/>
    </w:lvl>
  </w:abstractNum>
  <w:abstractNum w:abstractNumId="14">
    <w:nsid w:val="4E6AFB66"/>
    <w:multiLevelType w:val="hybridMultilevel"/>
    <w:lvl w:ilvl="0">
      <w:lvlJc w:val="left"/>
      <w:lvlText w:val="2"/>
      <w:numFmt w:val="bullet"/>
      <w:start w:val="1"/>
    </w:lvl>
  </w:abstractNum>
  <w:abstractNum w:abstractNumId="15">
    <w:nsid w:val="25E45D32"/>
    <w:multiLevelType w:val="hybridMultilevel"/>
    <w:lvl w:ilvl="0">
      <w:lvlJc w:val="left"/>
      <w:lvlText w:val="3"/>
      <w:numFmt w:val="bullet"/>
      <w:start w:val="1"/>
    </w:lvl>
  </w:abstractNum>
  <w:abstractNum w:abstractNumId="16">
    <w:nsid w:val="519B500D"/>
    <w:multiLevelType w:val="hybridMultilevel"/>
    <w:lvl w:ilvl="0">
      <w:lvlJc w:val="left"/>
      <w:lvlText w:val="4"/>
      <w:numFmt w:val="bullet"/>
      <w:start w:val="1"/>
    </w:lvl>
  </w:abstractNum>
  <w:abstractNum w:abstractNumId="17">
    <w:nsid w:val="431BD7B7"/>
    <w:multiLevelType w:val="hybridMultilevel"/>
    <w:lvl w:ilvl="0">
      <w:lvlJc w:val="left"/>
      <w:lvlText w:val="6"/>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2026-04-23T05:59:41Z</dcterms:created>
  <dcterms:modified xsi:type="dcterms:W3CDTF">2026-04-23T05:59:41Z</dcterms:modified>
</cp:coreProperties>
</file>