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spacing w:lineRule="auto" w:line="288" w:before="0" w:after="0"/>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spacing w:lineRule="auto" w:line="288" w:before="120" w:after="283"/>
        <w:jc w:val="center"/>
        <w:rPr/>
      </w:pPr>
      <w:r>
        <w:rPr>
          <w:rFonts w:ascii="Times New Roman;sans-serif" w:hAnsi="Times New Roman;sans-serif"/>
          <w:b/>
          <w:color w:val="000000"/>
          <w:sz w:val="20"/>
        </w:rPr>
        <w:t xml:space="preserve">For the quarterly period ended </w:t>
      </w:r>
      <w:r>
        <w:rPr>
          <w:rFonts w:ascii="Times New Roman;sans-serif" w:hAnsi="Times New Roman;sans-serif"/>
          <w:b/>
          <w:color w:val="000000"/>
          <w:sz w:val="20"/>
          <w:highlight w:val="white"/>
        </w:rPr>
        <w:t>March 31, 2023</w:t>
      </w:r>
      <w:r>
        <w:rPr>
          <w:color w:val="000000"/>
          <w:highlight w:val="white"/>
        </w:rPr>
        <w:t xml:space="preserve">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180" w:after="283"/>
        <w:rPr/>
      </w:pPr>
      <w:r>
        <w:rPr>
          <w:color w:val="000000"/>
        </w:rPr>
        <w:t xml:space="preserve">☐ </w:t>
      </w:r>
      <w:r>
        <w:rPr>
          <w:rFonts w:ascii="Times New Roman;sans-serif" w:hAnsi="Times New Roman;sans-serif"/>
          <w:b/>
          <w:color w:val="000000"/>
          <w:sz w:val="20"/>
        </w:rPr>
        <w:t xml:space="preserve">TRANSITION REPORT PURSUANT TO SECTION 13 OR 15(d) OF THE SECURITIES EXCHANGE ACT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OF 1934</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1-4018</w:t>
      </w:r>
    </w:p>
    <w:p>
      <w:pPr>
        <w:pStyle w:val="TextBody"/>
        <w:spacing w:before="0" w:after="0"/>
        <w:jc w:val="center"/>
        <w:rPr/>
      </w:pPr>
      <w:r>
        <w:rPr/>
        <w:drawing>
          <wp:inline distT="0" distB="63500" distL="0" distR="0">
            <wp:extent cx="41910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91000" cy="647700"/>
                    </a:xfrm>
                    <a:prstGeom prst="rect">
                      <a:avLst/>
                    </a:prstGeom>
                  </pic:spPr>
                </pic:pic>
              </a:graphicData>
            </a:graphic>
          </wp:inline>
        </w:drawing>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91" w:type="dxa"/>
        <w:jc w:val="center"/>
        <w:tblInd w:w="0" w:type="dxa"/>
        <w:tblCellMar>
          <w:top w:w="28" w:type="dxa"/>
          <w:left w:w="28" w:type="dxa"/>
          <w:bottom w:w="28" w:type="dxa"/>
          <w:right w:w="28" w:type="dxa"/>
        </w:tblCellMar>
      </w:tblPr>
      <w:tblGrid>
        <w:gridCol w:w="915"/>
        <w:gridCol w:w="802"/>
        <w:gridCol w:w="802"/>
        <w:gridCol w:w="802"/>
        <w:gridCol w:w="802"/>
        <w:gridCol w:w="839"/>
        <w:gridCol w:w="884"/>
        <w:gridCol w:w="884"/>
        <w:gridCol w:w="1261"/>
      </w:tblGrid>
      <w:tr>
        <w:trPr/>
        <w:tc>
          <w:tcPr>
            <w:tcW w:w="91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53-0257888</w:t>
            </w:r>
          </w:p>
        </w:tc>
      </w:tr>
      <w:tr>
        <w:trPr/>
        <w:tc>
          <w:tcPr>
            <w:tcW w:w="496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96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3005 Highland Parkway</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962" w:type="dxa"/>
            <w:gridSpan w:val="6"/>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Downers Grove, Illinois</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60515</w:t>
            </w:r>
          </w:p>
        </w:tc>
      </w:tr>
      <w:tr>
        <w:trPr/>
        <w:tc>
          <w:tcPr>
            <w:tcW w:w="496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(630) 541-1540</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393" w:type="dxa"/>
        <w:jc w:val="left"/>
        <w:tblInd w:w="0" w:type="dxa"/>
        <w:tblCellMar>
          <w:top w:w="28" w:type="dxa"/>
          <w:left w:w="28" w:type="dxa"/>
          <w:bottom w:w="28" w:type="dxa"/>
          <w:right w:w="28" w:type="dxa"/>
        </w:tblCellMar>
      </w:tblPr>
      <w:tblGrid>
        <w:gridCol w:w="749"/>
        <w:gridCol w:w="656"/>
        <w:gridCol w:w="664"/>
        <w:gridCol w:w="539"/>
        <w:gridCol w:w="539"/>
        <w:gridCol w:w="541"/>
        <w:gridCol w:w="1085"/>
        <w:gridCol w:w="1085"/>
        <w:gridCol w:w="1535"/>
      </w:tblGrid>
      <w:tr>
        <w:trPr/>
        <w:tc>
          <w:tcPr>
            <w:tcW w:w="74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0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DOV</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20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 Notes due 2026</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DOV 26</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206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0.750% Notes due 2027</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DOV 27</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288" w:before="0" w:after="120"/>
        <w:jc w:val="both"/>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88" w:before="0" w:after="120"/>
        <w:jc w:val="both"/>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7849" w:type="dxa"/>
        <w:jc w:val="left"/>
        <w:tblInd w:w="0" w:type="dxa"/>
        <w:tblCellMar>
          <w:top w:w="28" w:type="dxa"/>
          <w:left w:w="28" w:type="dxa"/>
          <w:bottom w:w="28" w:type="dxa"/>
          <w:right w:w="28" w:type="dxa"/>
        </w:tblCellMar>
      </w:tblPr>
      <w:tblGrid>
        <w:gridCol w:w="727"/>
        <w:gridCol w:w="639"/>
        <w:gridCol w:w="643"/>
        <w:gridCol w:w="109"/>
        <w:gridCol w:w="109"/>
        <w:gridCol w:w="109"/>
        <w:gridCol w:w="808"/>
        <w:gridCol w:w="808"/>
        <w:gridCol w:w="813"/>
        <w:gridCol w:w="109"/>
        <w:gridCol w:w="109"/>
        <w:gridCol w:w="109"/>
        <w:gridCol w:w="794"/>
        <w:gridCol w:w="794"/>
        <w:gridCol w:w="797"/>
        <w:gridCol w:w="109"/>
        <w:gridCol w:w="109"/>
        <w:gridCol w:w="154"/>
      </w:tblGrid>
      <w:tr>
        <w:trPr/>
        <w:tc>
          <w:tcPr>
            <w:tcW w:w="72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429"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429"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the Registrant’s common stock as of April 19, 2023 was 139,851,298.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tbl>
      <w:tblPr>
        <w:tblW w:w="10205" w:type="dxa"/>
        <w:jc w:val="left"/>
        <w:tblInd w:w="0" w:type="dxa"/>
        <w:tblCellMar>
          <w:top w:w="28" w:type="dxa"/>
          <w:left w:w="28" w:type="dxa"/>
          <w:bottom w:w="28" w:type="dxa"/>
          <w:right w:w="28" w:type="dxa"/>
        </w:tblCellMar>
      </w:tblPr>
      <w:tblGrid>
        <w:gridCol w:w="586"/>
        <w:gridCol w:w="514"/>
        <w:gridCol w:w="514"/>
        <w:gridCol w:w="2756"/>
        <w:gridCol w:w="2605"/>
        <w:gridCol w:w="2655"/>
        <w:gridCol w:w="167"/>
        <w:gridCol w:w="167"/>
        <w:gridCol w:w="241"/>
      </w:tblGrid>
      <w:tr>
        <w:trPr/>
        <w:tc>
          <w:tcPr>
            <w:tcW w:w="58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2756"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963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7">
              <w:r>
                <w:rPr>
                  <w:rStyle w:val="InternetLink"/>
                  <w:rFonts w:ascii="Times New Roman;sans-serif" w:hAnsi="Times New Roman;sans-serif"/>
                  <w:b/>
                  <w:color w:val="0000FF"/>
                  <w:sz w:val="20"/>
                  <w:u w:val="single"/>
                </w:rPr>
                <w:t>PART I — FINANCIAL INFORMATION</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3">
              <w:r>
                <w:rPr>
                  <w:rStyle w:val="InternetLink"/>
                  <w:rFonts w:ascii="Times New Roman;sans-serif" w:hAnsi="Times New Roman;sans-serif"/>
                  <w:b w:val="false"/>
                  <w:color w:val="0000FF"/>
                  <w:sz w:val="20"/>
                  <w:u w:val="single"/>
                </w:rPr>
                <w:t>Item 1.</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3">
              <w:r>
                <w:rPr>
                  <w:rStyle w:val="InternetLink"/>
                  <w:rFonts w:ascii="Times New Roman;sans-serif" w:hAnsi="Times New Roman;sans-serif"/>
                  <w:b w:val="false"/>
                  <w:color w:val="0000FF"/>
                  <w:sz w:val="20"/>
                  <w:u w:val="single"/>
                </w:rPr>
                <w:t>Financial Statements (unaudited)</w:t>
              </w:r>
            </w:hyperlink>
          </w:p>
        </w:tc>
        <w:tc>
          <w:tcPr>
            <w:tcW w:w="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9">
              <w:r>
                <w:rPr>
                  <w:rStyle w:val="InternetLink"/>
                </w:rPr>
                <w:t>Condensed Consolidated Statements of Earnings for the three</w:t>
              </w:r>
            </w:hyperlink>
            <w:hyperlink w:anchor="i2be68fb8978241959a11591e86f959ab_19">
              <w:r>
                <w:rPr>
                  <w:rStyle w:val="InternetLink"/>
                </w:rPr>
                <w:t xml:space="preserve"> months ended </w:t>
              </w:r>
            </w:hyperlink>
            <w:hyperlink w:anchor="i2be68fb8978241959a11591e86f959ab_19">
              <w:r>
                <w:rPr>
                  <w:rStyle w:val="InternetLink"/>
                </w:rPr>
                <w:t>March</w:t>
              </w:r>
            </w:hyperlink>
            <w:hyperlink w:anchor="i2be68fb8978241959a11591e86f959ab_19">
              <w:r>
                <w:rPr>
                  <w:rStyle w:val="InternetLink"/>
                </w:rPr>
                <w:t xml:space="preserve"> 3</w:t>
              </w:r>
            </w:hyperlink>
            <w:hyperlink w:anchor="i2be68fb8978241959a11591e86f959ab_19">
              <w:r>
                <w:rPr>
                  <w:rStyle w:val="InternetLink"/>
                </w:rPr>
                <w:t>1</w:t>
              </w:r>
            </w:hyperlink>
            <w:hyperlink w:anchor="i2be68fb8978241959a11591e86f959ab_19">
              <w:r>
                <w:rPr>
                  <w:rStyle w:val="InternetLink"/>
                </w:rPr>
                <w:t>, 202</w:t>
              </w:r>
            </w:hyperlink>
            <w:hyperlink w:anchor="i2be68fb8978241959a11591e86f959ab_19">
              <w:r>
                <w:rPr>
                  <w:rStyle w:val="InternetLink"/>
                </w:rPr>
                <w:t>3</w:t>
              </w:r>
            </w:hyperlink>
            <w:hyperlink w:anchor="i2be68fb8978241959a11591e86f959ab_19">
              <w:r>
                <w:rPr>
                  <w:rStyle w:val="InternetLink"/>
                </w:rPr>
                <w:t xml:space="preserve"> and 202</w:t>
              </w:r>
            </w:hyperlink>
            <w:hyperlink w:anchor="i2be68fb8978241959a11591e86f959ab_19">
              <w:r>
                <w:rPr>
                  <w:rStyle w:val="InternetLink"/>
                </w:rPr>
                <w:t>2</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9">
              <w:r>
                <w:rPr>
                  <w:rStyle w:val="InternetLink"/>
                  <w:rFonts w:ascii="Times New Roman;sans-serif" w:hAnsi="Times New Roman;sans-serif"/>
                  <w:b w:val="false"/>
                  <w:color w:val="0000FF"/>
                  <w:sz w:val="20"/>
                  <w:u w:val="single"/>
                </w:rPr>
                <w:t>1</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5">
              <w:r>
                <w:rPr>
                  <w:rStyle w:val="InternetLink"/>
                </w:rPr>
                <w:t>Condensed Consolidated Statements of Comprehensive Earnings for the three</w:t>
              </w:r>
            </w:hyperlink>
            <w:hyperlink w:anchor="i2be68fb8978241959a11591e86f959ab_25">
              <w:r>
                <w:rPr>
                  <w:rStyle w:val="InternetLink"/>
                </w:rPr>
                <w:t xml:space="preserve"> months ended </w:t>
              </w:r>
            </w:hyperlink>
            <w:hyperlink w:anchor="i2be68fb8978241959a11591e86f959ab_25">
              <w:r>
                <w:rPr>
                  <w:rStyle w:val="InternetLink"/>
                </w:rPr>
                <w:t>March</w:t>
              </w:r>
            </w:hyperlink>
            <w:hyperlink w:anchor="i2be68fb8978241959a11591e86f959ab_25">
              <w:r>
                <w:rPr>
                  <w:rStyle w:val="InternetLink"/>
                </w:rPr>
                <w:t xml:space="preserve"> 3</w:t>
              </w:r>
            </w:hyperlink>
            <w:hyperlink w:anchor="i2be68fb8978241959a11591e86f959ab_25">
              <w:r>
                <w:rPr>
                  <w:rStyle w:val="InternetLink"/>
                </w:rPr>
                <w:t>1</w:t>
              </w:r>
            </w:hyperlink>
            <w:hyperlink w:anchor="i2be68fb8978241959a11591e86f959ab_25">
              <w:r>
                <w:rPr>
                  <w:rStyle w:val="InternetLink"/>
                </w:rPr>
                <w:t>, 202</w:t>
              </w:r>
            </w:hyperlink>
            <w:hyperlink w:anchor="i2be68fb8978241959a11591e86f959ab_25">
              <w:r>
                <w:rPr>
                  <w:rStyle w:val="InternetLink"/>
                </w:rPr>
                <w:t>3</w:t>
              </w:r>
            </w:hyperlink>
            <w:hyperlink w:anchor="i2be68fb8978241959a11591e86f959ab_25">
              <w:r>
                <w:rPr>
                  <w:rStyle w:val="InternetLink"/>
                </w:rPr>
                <w:t xml:space="preserve"> and 202</w:t>
              </w:r>
            </w:hyperlink>
            <w:hyperlink w:anchor="i2be68fb8978241959a11591e86f959ab_25">
              <w:r>
                <w:rPr>
                  <w:rStyle w:val="InternetLink"/>
                </w:rPr>
                <w:t>2</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5">
              <w:r>
                <w:rPr>
                  <w:rStyle w:val="InternetLink"/>
                  <w:rFonts w:ascii="Times New Roman;sans-serif" w:hAnsi="Times New Roman;sans-serif"/>
                  <w:b w:val="false"/>
                  <w:color w:val="0000FF"/>
                  <w:sz w:val="20"/>
                  <w:u w:val="single"/>
                </w:rPr>
                <w:t>2</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8">
              <w:r>
                <w:rPr>
                  <w:rStyle w:val="InternetLink"/>
                  <w:rFonts w:ascii="Times New Roman;sans-serif" w:hAnsi="Times New Roman;sans-serif"/>
                  <w:b w:val="false"/>
                  <w:color w:val="0000FF"/>
                  <w:sz w:val="20"/>
                  <w:u w:val="single"/>
                </w:rPr>
                <w:t>Condensed Consolidated Balance Sheets at March 31, 2023 and December 31, 2022</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8">
              <w:r>
                <w:rPr>
                  <w:rStyle w:val="InternetLink"/>
                  <w:rFonts w:ascii="Times New Roman;sans-serif" w:hAnsi="Times New Roman;sans-serif"/>
                  <w:b w:val="false"/>
                  <w:color w:val="0000FF"/>
                  <w:sz w:val="20"/>
                  <w:u w:val="single"/>
                </w:rPr>
                <w:t>3</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31">
              <w:r>
                <w:rPr>
                  <w:rStyle w:val="InternetLink"/>
                </w:rPr>
                <w:t>Condensed Consolidated Statements of Stockholders’ Equity for the three</w:t>
              </w:r>
            </w:hyperlink>
            <w:hyperlink w:anchor="i2be68fb8978241959a11591e86f959ab_31">
              <w:r>
                <w:rPr>
                  <w:rStyle w:val="InternetLink"/>
                </w:rPr>
                <w:t xml:space="preserve"> months ended </w:t>
              </w:r>
            </w:hyperlink>
            <w:hyperlink w:anchor="i2be68fb8978241959a11591e86f959ab_31">
              <w:r>
                <w:rPr>
                  <w:rStyle w:val="InternetLink"/>
                </w:rPr>
                <w:t>March</w:t>
              </w:r>
            </w:hyperlink>
            <w:hyperlink w:anchor="i2be68fb8978241959a11591e86f959ab_31">
              <w:r>
                <w:rPr>
                  <w:rStyle w:val="InternetLink"/>
                </w:rPr>
                <w:t xml:space="preserve"> 3</w:t>
              </w:r>
            </w:hyperlink>
            <w:hyperlink w:anchor="i2be68fb8978241959a11591e86f959ab_31">
              <w:r>
                <w:rPr>
                  <w:rStyle w:val="InternetLink"/>
                </w:rPr>
                <w:t>1</w:t>
              </w:r>
            </w:hyperlink>
            <w:hyperlink w:anchor="i2be68fb8978241959a11591e86f959ab_31">
              <w:r>
                <w:rPr>
                  <w:rStyle w:val="InternetLink"/>
                </w:rPr>
                <w:t>, 202</w:t>
              </w:r>
            </w:hyperlink>
            <w:hyperlink w:anchor="i2be68fb8978241959a11591e86f959ab_31">
              <w:r>
                <w:rPr>
                  <w:rStyle w:val="InternetLink"/>
                </w:rPr>
                <w:t>3</w:t>
              </w:r>
            </w:hyperlink>
            <w:hyperlink w:anchor="i2be68fb8978241959a11591e86f959ab_31">
              <w:r>
                <w:rPr>
                  <w:rStyle w:val="InternetLink"/>
                </w:rPr>
                <w:t xml:space="preserve"> and 202</w:t>
              </w:r>
            </w:hyperlink>
            <w:hyperlink w:anchor="i2be68fb8978241959a11591e86f959ab_25">
              <w:r>
                <w:rPr>
                  <w:rStyle w:val="InternetLink"/>
                </w:rPr>
                <w:t>2</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31">
              <w:r>
                <w:rPr>
                  <w:rStyle w:val="InternetLink"/>
                  <w:rFonts w:ascii="Times New Roman;sans-serif" w:hAnsi="Times New Roman;sans-serif"/>
                  <w:b w:val="false"/>
                  <w:color w:val="0000FF"/>
                  <w:sz w:val="20"/>
                  <w:u w:val="single"/>
                </w:rPr>
                <w:t>4</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37">
              <w:r>
                <w:rPr>
                  <w:rStyle w:val="InternetLink"/>
                </w:rPr>
                <w:t>Condensed Consolidated Statements of Cash Flows for the</w:t>
              </w:r>
            </w:hyperlink>
            <w:hyperlink w:anchor="i2be68fb8978241959a11591e86f959ab_37">
              <w:r>
                <w:rPr>
                  <w:rStyle w:val="InternetLink"/>
                </w:rPr>
                <w:t xml:space="preserve"> </w:t>
              </w:r>
            </w:hyperlink>
            <w:hyperlink w:anchor="i2be68fb8978241959a11591e86f959ab_37">
              <w:r>
                <w:rPr>
                  <w:rStyle w:val="InternetLink"/>
                </w:rPr>
                <w:t>three</w:t>
              </w:r>
            </w:hyperlink>
            <w:hyperlink w:anchor="i2be68fb8978241959a11591e86f959ab_37">
              <w:r>
                <w:rPr>
                  <w:rStyle w:val="InternetLink"/>
                </w:rPr>
                <w:t xml:space="preserve"> months ended </w:t>
              </w:r>
            </w:hyperlink>
            <w:hyperlink w:anchor="i2be68fb8978241959a11591e86f959ab_37">
              <w:r>
                <w:rPr>
                  <w:rStyle w:val="InternetLink"/>
                </w:rPr>
                <w:t>March</w:t>
              </w:r>
            </w:hyperlink>
            <w:hyperlink w:anchor="i2be68fb8978241959a11591e86f959ab_37">
              <w:r>
                <w:rPr>
                  <w:rStyle w:val="InternetLink"/>
                </w:rPr>
                <w:t xml:space="preserve"> 3</w:t>
              </w:r>
            </w:hyperlink>
            <w:hyperlink w:anchor="i2be68fb8978241959a11591e86f959ab_37">
              <w:r>
                <w:rPr>
                  <w:rStyle w:val="InternetLink"/>
                </w:rPr>
                <w:t>1</w:t>
              </w:r>
            </w:hyperlink>
            <w:hyperlink w:anchor="i2be68fb8978241959a11591e86f959ab_37">
              <w:r>
                <w:rPr>
                  <w:rStyle w:val="InternetLink"/>
                </w:rPr>
                <w:t>, 202</w:t>
              </w:r>
            </w:hyperlink>
            <w:hyperlink w:anchor="i2be68fb8978241959a11591e86f959ab_37">
              <w:r>
                <w:rPr>
                  <w:rStyle w:val="InternetLink"/>
                </w:rPr>
                <w:t>3</w:t>
              </w:r>
            </w:hyperlink>
            <w:hyperlink w:anchor="i2be68fb8978241959a11591e86f959ab_37">
              <w:r>
                <w:rPr>
                  <w:rStyle w:val="InternetLink"/>
                </w:rPr>
                <w:t xml:space="preserve"> and 202</w:t>
              </w:r>
            </w:hyperlink>
            <w:hyperlink w:anchor="i2be68fb8978241959a11591e86f959ab_25">
              <w:r>
                <w:rPr>
                  <w:rStyle w:val="InternetLink"/>
                </w:rPr>
                <w:t>2</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37">
              <w:r>
                <w:rPr>
                  <w:rStyle w:val="InternetLink"/>
                  <w:rFonts w:ascii="Times New Roman;sans-serif" w:hAnsi="Times New Roman;sans-serif"/>
                  <w:b w:val="false"/>
                  <w:color w:val="0000FF"/>
                  <w:sz w:val="20"/>
                  <w:u w:val="single"/>
                </w:rPr>
                <w:t>5</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43">
              <w:r>
                <w:rPr>
                  <w:rStyle w:val="InternetLink"/>
                  <w:rFonts w:ascii="Times New Roman;sans-serif" w:hAnsi="Times New Roman;sans-serif"/>
                  <w:b w:val="false"/>
                  <w:color w:val="0000FF"/>
                  <w:sz w:val="20"/>
                  <w:u w:val="single"/>
                </w:rPr>
                <w:t>Note 1 — Basis of Presentation</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43">
              <w:r>
                <w:rPr>
                  <w:rStyle w:val="InternetLink"/>
                  <w:rFonts w:ascii="Times New Roman;sans-serif" w:hAnsi="Times New Roman;sans-serif"/>
                  <w:b w:val="false"/>
                  <w:color w:val="0000FF"/>
                  <w:sz w:val="20"/>
                  <w:u w:val="single"/>
                </w:rPr>
                <w:t>6</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46">
              <w:r>
                <w:rPr>
                  <w:rStyle w:val="InternetLink"/>
                  <w:rFonts w:ascii="Times New Roman;sans-serif" w:hAnsi="Times New Roman;sans-serif"/>
                  <w:b w:val="false"/>
                  <w:color w:val="0000FF"/>
                  <w:sz w:val="20"/>
                  <w:u w:val="single"/>
                </w:rPr>
                <w:t>Note 2 — Revenue</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46">
              <w:r>
                <w:rPr>
                  <w:rStyle w:val="InternetLink"/>
                  <w:rFonts w:ascii="Times New Roman;sans-serif" w:hAnsi="Times New Roman;sans-serif"/>
                  <w:b w:val="false"/>
                  <w:color w:val="0000FF"/>
                  <w:sz w:val="20"/>
                  <w:u w:val="single"/>
                </w:rPr>
                <w:t>6</w:t>
              </w:r>
            </w:hyperlink>
          </w:p>
        </w:tc>
      </w:tr>
      <w:tr>
        <w:trPr/>
        <w:tc>
          <w:tcPr>
            <w:tcW w:w="1614" w:type="dxa"/>
            <w:gridSpan w:val="3"/>
            <w:tcBorders/>
            <w:shd w:fill="auto" w:val="clear"/>
            <w:vAlign w:val="center"/>
          </w:tcPr>
          <w:p>
            <w:pPr>
              <w:pStyle w:val="TableContents"/>
              <w:spacing w:before="0" w:after="283"/>
              <w:rPr>
                <w:sz w:val="4"/>
                <w:szCs w:val="4"/>
              </w:rPr>
            </w:pPr>
            <w:r>
              <w:rPr>
                <w:sz w:val="4"/>
                <w:szCs w:val="4"/>
              </w:rPr>
            </w:r>
          </w:p>
        </w:tc>
        <w:tc>
          <w:tcPr>
            <w:tcW w:w="8016"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r>
      <w:tr>
        <w:trPr/>
        <w:tc>
          <w:tcPr>
            <w:tcW w:w="1614" w:type="dxa"/>
            <w:gridSpan w:val="3"/>
            <w:tcBorders/>
            <w:shd w:fill="auto" w:val="clear"/>
            <w:vAlign w:val="center"/>
          </w:tcPr>
          <w:p>
            <w:pPr>
              <w:pStyle w:val="TableContents"/>
              <w:spacing w:before="0" w:after="283"/>
              <w:rPr>
                <w:sz w:val="4"/>
                <w:szCs w:val="4"/>
              </w:rPr>
            </w:pPr>
            <w:r>
              <w:rPr>
                <w:sz w:val="4"/>
                <w:szCs w:val="4"/>
              </w:rPr>
            </w:r>
          </w:p>
        </w:tc>
        <w:tc>
          <w:tcPr>
            <w:tcW w:w="8016"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61">
              <w:r>
                <w:rPr>
                  <w:rStyle w:val="InternetLink"/>
                  <w:rFonts w:ascii="Times New Roman;sans-serif" w:hAnsi="Times New Roman;sans-serif"/>
                  <w:b w:val="false"/>
                  <w:color w:val="0000FF"/>
                  <w:sz w:val="20"/>
                  <w:u w:val="single"/>
                </w:rPr>
                <w:t>Note 3 — Inventories, net</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61">
              <w:r>
                <w:rPr>
                  <w:rStyle w:val="InternetLink"/>
                  <w:rFonts w:ascii="Times New Roman;sans-serif" w:hAnsi="Times New Roman;sans-serif"/>
                  <w:b w:val="false"/>
                  <w:color w:val="0000FF"/>
                  <w:sz w:val="20"/>
                  <w:u w:val="single"/>
                </w:rPr>
                <w:t>7</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64">
              <w:r>
                <w:rPr>
                  <w:rStyle w:val="InternetLink"/>
                  <w:rFonts w:ascii="Times New Roman;sans-serif" w:hAnsi="Times New Roman;sans-serif"/>
                  <w:b w:val="false"/>
                  <w:color w:val="0000FF"/>
                  <w:sz w:val="20"/>
                  <w:u w:val="single"/>
                </w:rPr>
                <w:t>Note 4 — Property, Plant and Equipment, net</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64">
              <w:r>
                <w:rPr>
                  <w:rStyle w:val="InternetLink"/>
                  <w:rFonts w:ascii="Times New Roman;sans-serif" w:hAnsi="Times New Roman;sans-serif"/>
                  <w:b w:val="false"/>
                  <w:color w:val="0000FF"/>
                  <w:sz w:val="20"/>
                  <w:u w:val="single"/>
                </w:rPr>
                <w:t>7</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70">
              <w:r>
                <w:rPr>
                  <w:rStyle w:val="InternetLink"/>
                  <w:rFonts w:ascii="Times New Roman;sans-serif" w:hAnsi="Times New Roman;sans-serif"/>
                  <w:b w:val="false"/>
                  <w:color w:val="0000FF"/>
                  <w:sz w:val="20"/>
                  <w:u w:val="single"/>
                </w:rPr>
                <w:t>Note 5 — Credit Losses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70">
              <w:r>
                <w:rPr>
                  <w:rStyle w:val="InternetLink"/>
                  <w:rFonts w:ascii="Times New Roman;sans-serif" w:hAnsi="Times New Roman;sans-serif"/>
                  <w:b w:val="false"/>
                  <w:color w:val="0000FF"/>
                  <w:sz w:val="20"/>
                  <w:u w:val="single"/>
                </w:rPr>
                <w:t>7</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76">
              <w:r>
                <w:rPr>
                  <w:rStyle w:val="InternetLink"/>
                  <w:rFonts w:ascii="Times New Roman;sans-serif" w:hAnsi="Times New Roman;sans-serif"/>
                  <w:b w:val="false"/>
                  <w:color w:val="0000FF"/>
                  <w:sz w:val="20"/>
                  <w:u w:val="single"/>
                </w:rPr>
                <w:t>Note 6 — Goodwill and Other Intangible Assets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76">
              <w:r>
                <w:rPr>
                  <w:rStyle w:val="InternetLink"/>
                  <w:rFonts w:ascii="Times New Roman;sans-serif" w:hAnsi="Times New Roman;sans-serif"/>
                  <w:b w:val="false"/>
                  <w:color w:val="0000FF"/>
                  <w:sz w:val="20"/>
                  <w:u w:val="single"/>
                </w:rPr>
                <w:t>7</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82">
              <w:r>
                <w:rPr>
                  <w:rStyle w:val="InternetLink"/>
                  <w:rFonts w:ascii="Times New Roman;sans-serif" w:hAnsi="Times New Roman;sans-serif"/>
                  <w:b w:val="false"/>
                  <w:color w:val="0000FF"/>
                  <w:sz w:val="20"/>
                  <w:u w:val="single"/>
                </w:rPr>
                <w:t>Note 7 — Restructuring Activities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82">
              <w:r>
                <w:rPr>
                  <w:rStyle w:val="InternetLink"/>
                  <w:rFonts w:ascii="Times New Roman;sans-serif" w:hAnsi="Times New Roman;sans-serif"/>
                  <w:b w:val="false"/>
                  <w:color w:val="0000FF"/>
                  <w:sz w:val="20"/>
                  <w:u w:val="single"/>
                </w:rPr>
                <w:t>8</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88">
              <w:r>
                <w:rPr>
                  <w:rStyle w:val="InternetLink"/>
                  <w:rFonts w:ascii="Times New Roman;sans-serif" w:hAnsi="Times New Roman;sans-serif"/>
                  <w:b w:val="false"/>
                  <w:color w:val="0000FF"/>
                  <w:sz w:val="20"/>
                  <w:u w:val="single"/>
                </w:rPr>
                <w:t>Note 8 — Borrowings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88">
              <w:r>
                <w:rPr>
                  <w:rStyle w:val="InternetLink"/>
                  <w:rFonts w:ascii="Times New Roman;sans-serif" w:hAnsi="Times New Roman;sans-serif"/>
                  <w:b w:val="false"/>
                  <w:color w:val="0000FF"/>
                  <w:sz w:val="20"/>
                  <w:u w:val="single"/>
                </w:rPr>
                <w:t>9</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94">
              <w:r>
                <w:rPr>
                  <w:rStyle w:val="InternetLink"/>
                  <w:rFonts w:ascii="Times New Roman;sans-serif" w:hAnsi="Times New Roman;sans-serif"/>
                  <w:b w:val="false"/>
                  <w:color w:val="0000FF"/>
                  <w:sz w:val="20"/>
                  <w:u w:val="single"/>
                </w:rPr>
                <w:t>Note 9 — Financial Instruments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94">
              <w:r>
                <w:rPr>
                  <w:rStyle w:val="InternetLink"/>
                  <w:rFonts w:ascii="Times New Roman;sans-serif" w:hAnsi="Times New Roman;sans-serif"/>
                  <w:b w:val="false"/>
                  <w:color w:val="0000FF"/>
                  <w:sz w:val="20"/>
                  <w:u w:val="single"/>
                </w:rPr>
                <w:t>10</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97">
              <w:r>
                <w:rPr>
                  <w:rStyle w:val="InternetLink"/>
                  <w:rFonts w:ascii="Times New Roman;sans-serif" w:hAnsi="Times New Roman;sans-serif"/>
                  <w:b w:val="false"/>
                  <w:color w:val="0000FF"/>
                  <w:sz w:val="20"/>
                  <w:u w:val="single"/>
                </w:rPr>
                <w:t>Note 10 — Income Taxes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97">
              <w:r>
                <w:rPr>
                  <w:rStyle w:val="InternetLink"/>
                  <w:rFonts w:ascii="Times New Roman;sans-serif" w:hAnsi="Times New Roman;sans-serif"/>
                  <w:b w:val="false"/>
                  <w:color w:val="0000FF"/>
                  <w:sz w:val="20"/>
                  <w:u w:val="single"/>
                </w:rPr>
                <w:t>11</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03">
              <w:r>
                <w:rPr>
                  <w:rStyle w:val="InternetLink"/>
                  <w:rFonts w:ascii="Times New Roman;sans-serif" w:hAnsi="Times New Roman;sans-serif"/>
                  <w:b w:val="false"/>
                  <w:color w:val="0000FF"/>
                  <w:sz w:val="20"/>
                  <w:u w:val="single"/>
                </w:rPr>
                <w:t>Note 11 — Equity Incentive Program</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03">
              <w:r>
                <w:rPr>
                  <w:rStyle w:val="InternetLink"/>
                  <w:rFonts w:ascii="Times New Roman;sans-serif" w:hAnsi="Times New Roman;sans-serif"/>
                  <w:b w:val="false"/>
                  <w:color w:val="0000FF"/>
                  <w:sz w:val="20"/>
                  <w:u w:val="single"/>
                </w:rPr>
                <w:t>12</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06">
              <w:r>
                <w:rPr>
                  <w:rStyle w:val="InternetLink"/>
                  <w:rFonts w:ascii="Times New Roman;sans-serif" w:hAnsi="Times New Roman;sans-serif"/>
                  <w:b w:val="false"/>
                  <w:color w:val="0000FF"/>
                  <w:sz w:val="20"/>
                  <w:u w:val="single"/>
                </w:rPr>
                <w:t>Note 12 — Commitments and Contingent Liabilities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06">
              <w:r>
                <w:rPr>
                  <w:rStyle w:val="InternetLink"/>
                  <w:rFonts w:ascii="Times New Roman;sans-serif" w:hAnsi="Times New Roman;sans-serif"/>
                  <w:b w:val="false"/>
                  <w:color w:val="0000FF"/>
                  <w:sz w:val="20"/>
                  <w:u w:val="single"/>
                </w:rPr>
                <w:t>13</w:t>
              </w:r>
            </w:hyperlink>
          </w:p>
        </w:tc>
      </w:tr>
      <w:tr>
        <w:trPr/>
        <w:tc>
          <w:tcPr>
            <w:tcW w:w="1614" w:type="dxa"/>
            <w:gridSpan w:val="3"/>
            <w:tcBorders/>
            <w:shd w:fill="auto" w:val="clear"/>
            <w:vAlign w:val="center"/>
          </w:tcPr>
          <w:p>
            <w:pPr>
              <w:pStyle w:val="TableContents"/>
              <w:spacing w:before="0" w:after="283"/>
              <w:rPr>
                <w:sz w:val="4"/>
                <w:szCs w:val="4"/>
              </w:rPr>
            </w:pPr>
            <w:r>
              <w:rPr>
                <w:sz w:val="4"/>
                <w:szCs w:val="4"/>
              </w:rPr>
            </w:r>
          </w:p>
        </w:tc>
        <w:tc>
          <w:tcPr>
            <w:tcW w:w="8016"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15">
              <w:r>
                <w:rPr>
                  <w:rStyle w:val="InternetLink"/>
                  <w:rFonts w:ascii="Times New Roman;sans-serif" w:hAnsi="Times New Roman;sans-serif"/>
                  <w:b w:val="false"/>
                  <w:color w:val="0000FF"/>
                  <w:sz w:val="20"/>
                  <w:u w:val="single"/>
                </w:rPr>
                <w:t>Note 13 — Other Comprehensive Earnings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15">
              <w:r>
                <w:rPr>
                  <w:rStyle w:val="InternetLink"/>
                  <w:rFonts w:ascii="Times New Roman;sans-serif" w:hAnsi="Times New Roman;sans-serif"/>
                  <w:b w:val="false"/>
                  <w:color w:val="0000FF"/>
                  <w:sz w:val="20"/>
                  <w:u w:val="single"/>
                </w:rPr>
                <w:t>14</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21">
              <w:r>
                <w:rPr>
                  <w:rStyle w:val="InternetLink"/>
                  <w:rFonts w:ascii="Times New Roman;sans-serif" w:hAnsi="Times New Roman;sans-serif"/>
                  <w:b w:val="false"/>
                  <w:color w:val="0000FF"/>
                  <w:sz w:val="20"/>
                  <w:u w:val="single"/>
                </w:rPr>
                <w:t>Note 14 — Segment Information</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21">
              <w:r>
                <w:rPr>
                  <w:rStyle w:val="InternetLink"/>
                  <w:rFonts w:ascii="Times New Roman;sans-serif" w:hAnsi="Times New Roman;sans-serif"/>
                  <w:b w:val="false"/>
                  <w:color w:val="0000FF"/>
                  <w:sz w:val="20"/>
                  <w:u w:val="single"/>
                </w:rPr>
                <w:t>14</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27">
              <w:r>
                <w:rPr>
                  <w:rStyle w:val="InternetLink"/>
                  <w:rFonts w:ascii="Times New Roman;sans-serif" w:hAnsi="Times New Roman;sans-serif"/>
                  <w:b w:val="false"/>
                  <w:color w:val="0000FF"/>
                  <w:sz w:val="20"/>
                  <w:u w:val="single"/>
                </w:rPr>
                <w:t>Note 15 — Share Repurchases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27">
              <w:r>
                <w:rPr>
                  <w:rStyle w:val="InternetLink"/>
                  <w:rFonts w:ascii="Times New Roman;sans-serif" w:hAnsi="Times New Roman;sans-serif"/>
                  <w:b w:val="false"/>
                  <w:color w:val="0000FF"/>
                  <w:sz w:val="20"/>
                  <w:u w:val="single"/>
                </w:rPr>
                <w:t>17</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33">
              <w:r>
                <w:rPr>
                  <w:rStyle w:val="InternetLink"/>
                  <w:rFonts w:ascii="Times New Roman;sans-serif" w:hAnsi="Times New Roman;sans-serif"/>
                  <w:b w:val="false"/>
                  <w:color w:val="0000FF"/>
                  <w:sz w:val="20"/>
                  <w:u w:val="single"/>
                </w:rPr>
                <w:t>Note 16 — Earnings per Share</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33">
              <w:r>
                <w:rPr>
                  <w:rStyle w:val="InternetLink"/>
                  <w:rFonts w:ascii="Times New Roman;sans-serif" w:hAnsi="Times New Roman;sans-serif"/>
                  <w:b w:val="false"/>
                  <w:color w:val="0000FF"/>
                  <w:sz w:val="20"/>
                  <w:u w:val="single"/>
                </w:rPr>
                <w:t>17</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39">
              <w:r>
                <w:rPr>
                  <w:rStyle w:val="InternetLink"/>
                  <w:rFonts w:ascii="Times New Roman;sans-serif" w:hAnsi="Times New Roman;sans-serif"/>
                  <w:b w:val="false"/>
                  <w:color w:val="0000FF"/>
                  <w:sz w:val="20"/>
                  <w:u w:val="single"/>
                </w:rPr>
                <w:t>Note 17 — Recent Accounting Pronouncements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39">
              <w:r>
                <w:rPr>
                  <w:rStyle w:val="InternetLink"/>
                  <w:rFonts w:ascii="Times New Roman;sans-serif" w:hAnsi="Times New Roman;sans-serif"/>
                  <w:b w:val="false"/>
                  <w:color w:val="0000FF"/>
                  <w:sz w:val="20"/>
                  <w:u w:val="single"/>
                </w:rPr>
                <w:t>18</w:t>
              </w:r>
            </w:hyperlink>
          </w:p>
        </w:tc>
      </w:tr>
      <w:tr>
        <w:trPr/>
        <w:tc>
          <w:tcPr>
            <w:tcW w:w="1614" w:type="dxa"/>
            <w:gridSpan w:val="3"/>
            <w:tcBorders/>
            <w:shd w:fill="auto" w:val="clear"/>
            <w:vAlign w:val="center"/>
          </w:tcPr>
          <w:p>
            <w:pPr>
              <w:pStyle w:val="TableContents"/>
              <w:spacing w:before="0" w:after="283"/>
              <w:rPr>
                <w:sz w:val="4"/>
                <w:szCs w:val="4"/>
              </w:rPr>
            </w:pPr>
            <w:r>
              <w:rPr>
                <w:sz w:val="4"/>
                <w:szCs w:val="4"/>
              </w:rPr>
            </w:r>
          </w:p>
        </w:tc>
        <w:tc>
          <w:tcPr>
            <w:tcW w:w="8016"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45">
              <w:r>
                <w:rPr>
                  <w:rStyle w:val="InternetLink"/>
                  <w:rFonts w:ascii="Times New Roman;sans-serif" w:hAnsi="Times New Roman;sans-serif"/>
                  <w:b w:val="false"/>
                  <w:color w:val="0000FF"/>
                  <w:sz w:val="20"/>
                  <w:u w:val="single"/>
                </w:rPr>
                <w:t>Note 18 — Subsequent Events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45">
              <w:r>
                <w:rPr>
                  <w:rStyle w:val="InternetLink"/>
                  <w:rFonts w:ascii="Times New Roman;sans-serif" w:hAnsi="Times New Roman;sans-serif"/>
                  <w:b w:val="false"/>
                  <w:color w:val="0000FF"/>
                  <w:sz w:val="20"/>
                  <w:u w:val="single"/>
                </w:rPr>
                <w:t>18</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60">
              <w:r>
                <w:rPr>
                  <w:rStyle w:val="InternetLink"/>
                  <w:rFonts w:ascii="Times New Roman;sans-serif" w:hAnsi="Times New Roman;sans-serif"/>
                  <w:b w:val="false"/>
                  <w:color w:val="0000FF"/>
                  <w:sz w:val="20"/>
                  <w:u w:val="single"/>
                </w:rPr>
                <w:t>Item 2.</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16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160">
              <w:r>
                <w:rPr>
                  <w:rStyle w:val="InternetLink"/>
                  <w:rFonts w:ascii="Times New Roman;sans-serif" w:hAnsi="Times New Roman;sans-serif"/>
                  <w:b w:val="false"/>
                  <w:color w:val="0000FF"/>
                  <w:sz w:val="20"/>
                  <w:u w:val="single"/>
                </w:rPr>
                <w:t>19</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17">
              <w:r>
                <w:rPr>
                  <w:rStyle w:val="InternetLink"/>
                  <w:rFonts w:ascii="Times New Roman;sans-serif" w:hAnsi="Times New Roman;sans-serif"/>
                  <w:b w:val="false"/>
                  <w:color w:val="0000FF"/>
                  <w:sz w:val="20"/>
                  <w:u w:val="single"/>
                </w:rPr>
                <w:t>Item 3.</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17">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17">
              <w:r>
                <w:rPr>
                  <w:rStyle w:val="InternetLink"/>
                  <w:rFonts w:ascii="Times New Roman;sans-serif" w:hAnsi="Times New Roman;sans-serif"/>
                  <w:b w:val="false"/>
                  <w:color w:val="0000FF"/>
                  <w:sz w:val="20"/>
                  <w:u w:val="single"/>
                </w:rPr>
                <w:t>35</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20">
              <w:r>
                <w:rPr>
                  <w:rStyle w:val="InternetLink"/>
                  <w:rFonts w:ascii="Times New Roman;sans-serif" w:hAnsi="Times New Roman;sans-serif"/>
                  <w:b w:val="false"/>
                  <w:color w:val="0000FF"/>
                  <w:sz w:val="20"/>
                  <w:u w:val="single"/>
                </w:rPr>
                <w:t>Item 4.</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20">
              <w:r>
                <w:rPr>
                  <w:rStyle w:val="InternetLink"/>
                  <w:rFonts w:ascii="Times New Roman;sans-serif" w:hAnsi="Times New Roman;sans-serif"/>
                  <w:b w:val="false"/>
                  <w:color w:val="0000FF"/>
                  <w:sz w:val="20"/>
                  <w:u w:val="single"/>
                </w:rPr>
                <w:t>Controls and Procedures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20">
              <w:r>
                <w:rPr>
                  <w:rStyle w:val="InternetLink"/>
                  <w:rFonts w:ascii="Times New Roman;sans-serif" w:hAnsi="Times New Roman;sans-serif"/>
                  <w:b w:val="false"/>
                  <w:color w:val="0000FF"/>
                  <w:sz w:val="20"/>
                  <w:u w:val="single"/>
                </w:rPr>
                <w:t>35</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63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23">
              <w:r>
                <w:rPr>
                  <w:rStyle w:val="InternetLink"/>
                  <w:rFonts w:ascii="Times New Roman;sans-serif" w:hAnsi="Times New Roman;sans-serif"/>
                  <w:b/>
                  <w:color w:val="0000FF"/>
                  <w:sz w:val="20"/>
                  <w:u w:val="single"/>
                </w:rPr>
                <w:t>PART II — OTHER INFORMATION</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26">
              <w:r>
                <w:rPr>
                  <w:rStyle w:val="InternetLink"/>
                  <w:rFonts w:ascii="Times New Roman;sans-serif" w:hAnsi="Times New Roman;sans-serif"/>
                  <w:b w:val="false"/>
                  <w:color w:val="0000FF"/>
                  <w:sz w:val="20"/>
                  <w:u w:val="single"/>
                </w:rPr>
                <w:t>Item 1.</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26">
              <w:r>
                <w:rPr>
                  <w:rStyle w:val="InternetLink"/>
                  <w:rFonts w:ascii="Times New Roman;sans-serif" w:hAnsi="Times New Roman;sans-serif"/>
                  <w:b w:val="false"/>
                  <w:color w:val="0000FF"/>
                  <w:sz w:val="20"/>
                  <w:u w:val="single"/>
                </w:rPr>
                <w:t>Legal Proceedings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26">
              <w:r>
                <w:rPr>
                  <w:rStyle w:val="InternetLink"/>
                  <w:rFonts w:ascii="Times New Roman;sans-serif" w:hAnsi="Times New Roman;sans-serif"/>
                  <w:b w:val="false"/>
                  <w:color w:val="0000FF"/>
                  <w:sz w:val="20"/>
                  <w:u w:val="single"/>
                </w:rPr>
                <w:t>36</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29">
              <w:r>
                <w:rPr>
                  <w:rStyle w:val="InternetLink"/>
                  <w:rFonts w:ascii="Times New Roman;sans-serif" w:hAnsi="Times New Roman;sans-serif"/>
                  <w:b w:val="false"/>
                  <w:color w:val="0000FF"/>
                  <w:sz w:val="20"/>
                  <w:u w:val="single"/>
                </w:rPr>
                <w:t>Item 1A.</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29">
              <w:r>
                <w:rPr>
                  <w:rStyle w:val="InternetLink"/>
                  <w:rFonts w:ascii="Times New Roman;sans-serif" w:hAnsi="Times New Roman;sans-serif"/>
                  <w:b w:val="false"/>
                  <w:color w:val="0000FF"/>
                  <w:sz w:val="20"/>
                  <w:u w:val="single"/>
                </w:rPr>
                <w:t>Risk Factors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29">
              <w:r>
                <w:rPr>
                  <w:rStyle w:val="InternetLink"/>
                  <w:rFonts w:ascii="Times New Roman;sans-serif" w:hAnsi="Times New Roman;sans-serif"/>
                  <w:b w:val="false"/>
                  <w:color w:val="0000FF"/>
                  <w:sz w:val="20"/>
                  <w:u w:val="single"/>
                </w:rPr>
                <w:t>36</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32">
              <w:r>
                <w:rPr>
                  <w:rStyle w:val="InternetLink"/>
                  <w:rFonts w:ascii="Times New Roman;sans-serif" w:hAnsi="Times New Roman;sans-serif"/>
                  <w:b w:val="false"/>
                  <w:color w:val="0000FF"/>
                  <w:sz w:val="20"/>
                  <w:u w:val="single"/>
                </w:rPr>
                <w:t>Item 2.</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32">
              <w:r>
                <w:rPr>
                  <w:rStyle w:val="InternetLink"/>
                  <w:rFonts w:ascii="Times New Roman;sans-serif" w:hAnsi="Times New Roman;sans-serif"/>
                  <w:b w:val="false"/>
                  <w:color w:val="0000FF"/>
                  <w:sz w:val="20"/>
                  <w:u w:val="single"/>
                </w:rPr>
                <w:t>Unregistered Sales of Equity Securities and Use of Proceeds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32">
              <w:r>
                <w:rPr>
                  <w:rStyle w:val="InternetLink"/>
                  <w:rFonts w:ascii="Times New Roman;sans-serif" w:hAnsi="Times New Roman;sans-serif"/>
                  <w:b w:val="false"/>
                  <w:color w:val="0000FF"/>
                  <w:sz w:val="20"/>
                  <w:u w:val="single"/>
                </w:rPr>
                <w:t>36</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38">
              <w:r>
                <w:rPr>
                  <w:rStyle w:val="InternetLink"/>
                  <w:rFonts w:ascii="Times New Roman;sans-serif" w:hAnsi="Times New Roman;sans-serif"/>
                  <w:b w:val="false"/>
                  <w:color w:val="0000FF"/>
                  <w:sz w:val="20"/>
                  <w:u w:val="single"/>
                </w:rPr>
                <w:t>Item 3.</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38">
              <w:r>
                <w:rPr>
                  <w:rStyle w:val="InternetLink"/>
                  <w:rFonts w:ascii="Times New Roman;sans-serif" w:hAnsi="Times New Roman;sans-serif"/>
                  <w:b w:val="false"/>
                  <w:color w:val="0000FF"/>
                  <w:sz w:val="20"/>
                  <w:u w:val="single"/>
                </w:rPr>
                <w:t>Defaults Upon Senior Securities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38">
              <w:r>
                <w:rPr>
                  <w:rStyle w:val="InternetLink"/>
                  <w:rFonts w:ascii="Times New Roman;sans-serif" w:hAnsi="Times New Roman;sans-serif"/>
                  <w:b w:val="false"/>
                  <w:color w:val="0000FF"/>
                  <w:sz w:val="20"/>
                  <w:u w:val="single"/>
                </w:rPr>
                <w:t>36</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41">
              <w:r>
                <w:rPr>
                  <w:rStyle w:val="InternetLink"/>
                  <w:rFonts w:ascii="Times New Roman;sans-serif" w:hAnsi="Times New Roman;sans-serif"/>
                  <w:b w:val="false"/>
                  <w:color w:val="0000FF"/>
                  <w:sz w:val="20"/>
                  <w:u w:val="single"/>
                </w:rPr>
                <w:t>Item 4.</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41">
              <w:r>
                <w:rPr>
                  <w:rStyle w:val="InternetLink"/>
                  <w:rFonts w:ascii="Times New Roman;sans-serif" w:hAnsi="Times New Roman;sans-serif"/>
                  <w:b w:val="false"/>
                  <w:color w:val="0000FF"/>
                  <w:sz w:val="20"/>
                  <w:u w:val="single"/>
                </w:rPr>
                <w:t>Mine Safety Disclosures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41">
              <w:r>
                <w:rPr>
                  <w:rStyle w:val="InternetLink"/>
                  <w:rFonts w:ascii="Times New Roman;sans-serif" w:hAnsi="Times New Roman;sans-serif"/>
                  <w:b w:val="false"/>
                  <w:color w:val="0000FF"/>
                  <w:sz w:val="20"/>
                  <w:u w:val="single"/>
                </w:rPr>
                <w:t>36</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44">
              <w:r>
                <w:rPr>
                  <w:rStyle w:val="InternetLink"/>
                  <w:rFonts w:ascii="Times New Roman;sans-serif" w:hAnsi="Times New Roman;sans-serif"/>
                  <w:b w:val="false"/>
                  <w:color w:val="0000FF"/>
                  <w:sz w:val="20"/>
                  <w:u w:val="single"/>
                </w:rPr>
                <w:t>Item 5.</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44">
              <w:r>
                <w:rPr>
                  <w:rStyle w:val="InternetLink"/>
                  <w:rFonts w:ascii="Times New Roman;sans-serif" w:hAnsi="Times New Roman;sans-serif"/>
                  <w:b w:val="false"/>
                  <w:color w:val="0000FF"/>
                  <w:sz w:val="20"/>
                  <w:u w:val="single"/>
                </w:rPr>
                <w:t>Other Information</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44">
              <w:r>
                <w:rPr>
                  <w:rStyle w:val="InternetLink"/>
                  <w:rFonts w:ascii="Times New Roman;sans-serif" w:hAnsi="Times New Roman;sans-serif"/>
                  <w:b w:val="false"/>
                  <w:color w:val="0000FF"/>
                  <w:sz w:val="20"/>
                  <w:u w:val="single"/>
                </w:rPr>
                <w:t>36</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47">
              <w:r>
                <w:rPr>
                  <w:rStyle w:val="InternetLink"/>
                  <w:rFonts w:ascii="Times New Roman;sans-serif" w:hAnsi="Times New Roman;sans-serif"/>
                  <w:b w:val="false"/>
                  <w:color w:val="0000FF"/>
                  <w:sz w:val="20"/>
                  <w:u w:val="single"/>
                </w:rPr>
                <w:t>Item 6.</w:t>
              </w:r>
            </w:hyperlink>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47">
              <w:r>
                <w:rPr>
                  <w:rStyle w:val="InternetLink"/>
                  <w:rFonts w:ascii="Times New Roman;sans-serif" w:hAnsi="Times New Roman;sans-serif"/>
                  <w:b w:val="false"/>
                  <w:color w:val="0000FF"/>
                  <w:sz w:val="20"/>
                  <w:u w:val="single"/>
                </w:rPr>
                <w:t>Exhibits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47">
              <w:r>
                <w:rPr>
                  <w:rStyle w:val="InternetLink"/>
                  <w:rFonts w:ascii="Times New Roman;sans-serif" w:hAnsi="Times New Roman;sans-serif"/>
                  <w:b w:val="false"/>
                  <w:color w:val="0000FF"/>
                  <w:sz w:val="20"/>
                  <w:u w:val="single"/>
                </w:rPr>
                <w:t>37</w:t>
              </w:r>
            </w:hyperlink>
          </w:p>
        </w:tc>
      </w:tr>
      <w:tr>
        <w:trPr/>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e68fb8978241959a11591e86f959ab_250">
              <w:r>
                <w:rPr>
                  <w:rStyle w:val="InternetLink"/>
                  <w:rFonts w:ascii="Times New Roman;sans-serif" w:hAnsi="Times New Roman;sans-serif"/>
                  <w:b/>
                  <w:color w:val="0000FF"/>
                  <w:sz w:val="20"/>
                  <w:u w:val="single"/>
                </w:rPr>
                <w:t>SIGNATURES</w:t>
              </w:r>
            </w:hyperlink>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e68fb8978241959a11591e86f959ab_250">
              <w:r>
                <w:rPr>
                  <w:rStyle w:val="InternetLink"/>
                  <w:rFonts w:ascii="Times New Roman;sans-serif" w:hAnsi="Times New Roman;sans-serif"/>
                  <w:b w:val="false"/>
                  <w:color w:val="0000FF"/>
                  <w:sz w:val="20"/>
                  <w:u w:val="single"/>
                </w:rPr>
                <w:t>38</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EARNINGS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179" w:type="dxa"/>
        <w:jc w:val="center"/>
        <w:tblInd w:w="0" w:type="dxa"/>
        <w:tblCellMar>
          <w:top w:w="28" w:type="dxa"/>
          <w:left w:w="28" w:type="dxa"/>
          <w:bottom w:w="28" w:type="dxa"/>
          <w:right w:w="28" w:type="dxa"/>
        </w:tblCellMar>
      </w:tblPr>
      <w:tblGrid>
        <w:gridCol w:w="1366"/>
        <w:gridCol w:w="1204"/>
        <w:gridCol w:w="1209"/>
        <w:gridCol w:w="211"/>
        <w:gridCol w:w="976"/>
        <w:gridCol w:w="109"/>
        <w:gridCol w:w="109"/>
        <w:gridCol w:w="109"/>
        <w:gridCol w:w="109"/>
        <w:gridCol w:w="211"/>
        <w:gridCol w:w="976"/>
        <w:gridCol w:w="109"/>
        <w:gridCol w:w="109"/>
        <w:gridCol w:w="109"/>
        <w:gridCol w:w="109"/>
        <w:gridCol w:w="154"/>
      </w:tblGrid>
      <w:tr>
        <w:trPr/>
        <w:tc>
          <w:tcPr>
            <w:tcW w:w="1366"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earnings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per share:</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EARNINGS</w:t>
      </w:r>
    </w:p>
    <w:p>
      <w:pPr>
        <w:pStyle w:val="TextBody"/>
        <w:spacing w:lineRule="auto" w:line="28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535"/>
        <w:gridCol w:w="2213"/>
        <w:gridCol w:w="2236"/>
        <w:gridCol w:w="220"/>
        <w:gridCol w:w="864"/>
        <w:gridCol w:w="113"/>
        <w:gridCol w:w="113"/>
        <w:gridCol w:w="113"/>
        <w:gridCol w:w="113"/>
        <w:gridCol w:w="220"/>
        <w:gridCol w:w="864"/>
        <w:gridCol w:w="113"/>
        <w:gridCol w:w="109"/>
        <w:gridCol w:w="109"/>
        <w:gridCol w:w="109"/>
        <w:gridCol w:w="161"/>
      </w:tblGrid>
      <w:tr>
        <w:trPr/>
        <w:tc>
          <w:tcPr>
            <w:tcW w:w="2535"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223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6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earnings (loss), net of tax</w:t>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foreign currency translation losses to earnings</w:t>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 currency translation adjustments (net of $4,050 and $(8,431) tax benefit (provision), respectively)</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plans:</w:t>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 loss included in net periodic pension cost</w:t>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 included in net periodic pension cost</w:t>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and other post-retirement benefit plans (net of $82 and $(208) tax benefit (provision), respectively)</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cash flow hedges:</w:t>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net (loss) gain arising during period</w:t>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reclassified into earnings</w:t>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flow hedges (net of $(220) and $(112) tax provision, respectively)</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net of tax</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earnings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211,384 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90" w:type="dxa"/>
        <w:jc w:val="center"/>
        <w:tblInd w:w="0" w:type="dxa"/>
        <w:tblCellMar>
          <w:top w:w="28" w:type="dxa"/>
          <w:left w:w="28" w:type="dxa"/>
          <w:bottom w:w="28" w:type="dxa"/>
          <w:right w:w="28" w:type="dxa"/>
        </w:tblCellMar>
      </w:tblPr>
      <w:tblGrid>
        <w:gridCol w:w="1395"/>
        <w:gridCol w:w="1224"/>
        <w:gridCol w:w="1235"/>
        <w:gridCol w:w="217"/>
        <w:gridCol w:w="1111"/>
        <w:gridCol w:w="112"/>
        <w:gridCol w:w="109"/>
        <w:gridCol w:w="109"/>
        <w:gridCol w:w="109"/>
        <w:gridCol w:w="258"/>
        <w:gridCol w:w="1323"/>
        <w:gridCol w:w="188"/>
      </w:tblGrid>
      <w:tr>
        <w:trPr/>
        <w:tc>
          <w:tcPr>
            <w:tcW w:w="139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390"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272,426 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1,460,970 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1,516,871 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1,405,416 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1,366,608 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159,118 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3,315,850 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3,423,465 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1,004,825 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4,680,713 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4,669,494 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 net</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1,301,696 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1,333,735 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 and deferred charges</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494,679 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465,000 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10,804,645 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10,896,519 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0"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514,567 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1,039,162 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1,068,144 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269,785 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285,209 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320,435 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318,337 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other income taxes</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2,508,493 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2,773,274 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2,961,362 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2,942,513 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income taxes</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358,831 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375,150 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income tax payable</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471,085 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474,903 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4,460,561 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4,286,366 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10,804,645 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10,896,519 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712" w:type="dxa"/>
        <w:jc w:val="left"/>
        <w:tblInd w:w="0" w:type="dxa"/>
        <w:tblCellMar>
          <w:top w:w="28" w:type="dxa"/>
          <w:left w:w="28" w:type="dxa"/>
          <w:bottom w:w="28" w:type="dxa"/>
          <w:right w:w="28" w:type="dxa"/>
        </w:tblCellMar>
      </w:tblPr>
      <w:tblGrid>
        <w:gridCol w:w="814"/>
        <w:gridCol w:w="268"/>
        <w:gridCol w:w="26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1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Common stock $1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(266,223)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($0.505 per share)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net of tax</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10,380,895 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(249,148)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(6,797,685)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4,460,561 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607" w:type="dxa"/>
        <w:jc w:val="center"/>
        <w:tblInd w:w="0" w:type="dxa"/>
        <w:tblCellMar>
          <w:top w:w="28" w:type="dxa"/>
          <w:left w:w="28" w:type="dxa"/>
          <w:bottom w:w="28" w:type="dxa"/>
          <w:right w:w="28" w:type="dxa"/>
        </w:tblCellMar>
      </w:tblPr>
      <w:tblGrid>
        <w:gridCol w:w="814"/>
        <w:gridCol w:w="268"/>
        <w:gridCol w:w="26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1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Common stock $1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(154,052)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($0.500 per share)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(168,821)</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4,329,776 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42" w:type="dxa"/>
        <w:jc w:val="center"/>
        <w:tblInd w:w="0" w:type="dxa"/>
        <w:tblCellMar>
          <w:top w:w="28" w:type="dxa"/>
          <w:left w:w="28" w:type="dxa"/>
          <w:bottom w:w="28" w:type="dxa"/>
          <w:right w:w="28" w:type="dxa"/>
        </w:tblCellMar>
      </w:tblPr>
      <w:tblGrid>
        <w:gridCol w:w="2359"/>
        <w:gridCol w:w="2070"/>
        <w:gridCol w:w="2080"/>
        <w:gridCol w:w="224"/>
        <w:gridCol w:w="879"/>
        <w:gridCol w:w="116"/>
        <w:gridCol w:w="116"/>
        <w:gridCol w:w="116"/>
        <w:gridCol w:w="116"/>
        <w:gridCol w:w="224"/>
        <w:gridCol w:w="879"/>
        <w:gridCol w:w="163"/>
      </w:tblGrid>
      <w:tr>
        <w:trPr/>
        <w:tc>
          <w:tcPr>
            <w:tcW w:w="2359"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cash provided by operating activities:</w:t>
            </w:r>
          </w:p>
        </w:tc>
        <w:tc>
          <w:tcPr>
            <w:tcW w:w="1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foreign currency translation losses to earnings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effect of changes in assets and liabilities:</w:t>
            </w:r>
          </w:p>
        </w:tc>
        <w:tc>
          <w:tcPr>
            <w:tcW w:w="1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(97,220)</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(30,944)</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(23,524)</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deferred taxes,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(50,381)</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commercial paper and other short-term borrowings,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(221,205)</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stockholders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(70,773)</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(72,203)</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settle employee tax obligations on exercise of share-based awards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(306,565)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cash equivalents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385,504 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272,426 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289,984 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1. Basis of Presentation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2022, included in the Company's Annual Report on Form 10-K filed with the SEC on February 10, 2023. The year-end condensed consolidated balance sheet was derived from audited financial statements.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u w:val="single"/>
        </w:rPr>
        <w:t>2. Revenue</w:t>
      </w:r>
      <w:r>
        <w:rPr>
          <w:color w:val="000000"/>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Less than 5% of the Company’s revenue is recognized over time and relates to the sale of equipment or services, including software solutions and services, in which the Company transfers control of a good or service over time and the customer simultaneously receives and consumes the benefits provided by the Company's performance as the Company performs, or our performance creates or enhances an asset the customer controls as the asset is created or enhanced, or our performance does not create an asset with an alternative use to the Company and the Company has an enforceable right to payment for its performance to date plus a reasonable margin.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 is disaggregated by segment and geographic location, as they best depict the nature and amount of the Company’s revenue. See Note 14 — Segment Information for further details for revenue by segment and geographic location.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we estimated that $285,778 in revenue is expected to be recognized in the future related to performance obligations that are unsatisfied (or partially unsatisfied) at the end of the reporting period. We expect to recognize approximately 79.4% of our unsatisfied (or partially unsatisfied) performance obligations as revenue through 2024, with the remaining balance to be recognized in 2025 and thereafter.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from contracts with customers:</w:t>
      </w:r>
    </w:p>
    <w:tbl>
      <w:tblPr>
        <w:tblW w:w="8441" w:type="dxa"/>
        <w:jc w:val="left"/>
        <w:tblInd w:w="0" w:type="dxa"/>
        <w:tblCellMar>
          <w:top w:w="28" w:type="dxa"/>
          <w:left w:w="28" w:type="dxa"/>
          <w:bottom w:w="28" w:type="dxa"/>
          <w:right w:w="28" w:type="dxa"/>
        </w:tblCellMar>
      </w:tblPr>
      <w:tblGrid>
        <w:gridCol w:w="993"/>
        <w:gridCol w:w="873"/>
        <w:gridCol w:w="878"/>
        <w:gridCol w:w="109"/>
        <w:gridCol w:w="292"/>
        <w:gridCol w:w="998"/>
        <w:gridCol w:w="150"/>
        <w:gridCol w:w="109"/>
        <w:gridCol w:w="109"/>
        <w:gridCol w:w="109"/>
        <w:gridCol w:w="349"/>
        <w:gridCol w:w="1195"/>
        <w:gridCol w:w="180"/>
        <w:gridCol w:w="109"/>
        <w:gridCol w:w="109"/>
        <w:gridCol w:w="109"/>
        <w:gridCol w:w="344"/>
        <w:gridCol w:w="1175"/>
        <w:gridCol w:w="251"/>
      </w:tblGrid>
      <w:tr>
        <w:trPr/>
        <w:tc>
          <w:tcPr>
            <w:tcW w:w="99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current</w:t>
            </w:r>
          </w:p>
        </w:tc>
        <w:tc>
          <w:tcPr>
            <w:tcW w:w="109" w:type="dxa"/>
            <w:tcBorders/>
            <w:shd w:fill="auto" w:val="cle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285,209 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227,549 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non-current</w:t>
            </w:r>
          </w:p>
        </w:tc>
        <w:tc>
          <w:tcPr>
            <w:tcW w:w="109" w:type="dxa"/>
            <w:tcBorders/>
            <w:shd w:fill="auto" w:val="cle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recognized during the three months ended March 31, 2023 and 2022 that was included in contract liabilities at the beginning of the period amounted to $131,563 and $104,008,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3. Inventories, net</w:t>
      </w:r>
    </w:p>
    <w:tbl>
      <w:tblPr>
        <w:tblW w:w="5035" w:type="dxa"/>
        <w:jc w:val="left"/>
        <w:tblInd w:w="0" w:type="dxa"/>
        <w:tblCellMar>
          <w:top w:w="28" w:type="dxa"/>
          <w:left w:w="28" w:type="dxa"/>
          <w:bottom w:w="28" w:type="dxa"/>
          <w:right w:w="28" w:type="dxa"/>
        </w:tblCellMar>
      </w:tblPr>
      <w:tblGrid>
        <w:gridCol w:w="543"/>
        <w:gridCol w:w="476"/>
        <w:gridCol w:w="480"/>
        <w:gridCol w:w="234"/>
        <w:gridCol w:w="1085"/>
        <w:gridCol w:w="121"/>
        <w:gridCol w:w="109"/>
        <w:gridCol w:w="109"/>
        <w:gridCol w:w="109"/>
        <w:gridCol w:w="278"/>
        <w:gridCol w:w="1288"/>
        <w:gridCol w:w="203"/>
      </w:tblGrid>
      <w:tr>
        <w:trPr/>
        <w:tc>
          <w:tcPr>
            <w:tcW w:w="54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812,066 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254,141 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230,865 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476,026 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458,881 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1,546,725 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1,501,812 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reserves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(141,309)</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(135,204)</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1,405,416 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1,366,608 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4. Property, Plant and Equipment, net</w:t>
      </w:r>
    </w:p>
    <w:tbl>
      <w:tblPr>
        <w:tblW w:w="6776" w:type="dxa"/>
        <w:jc w:val="left"/>
        <w:tblInd w:w="0" w:type="dxa"/>
        <w:tblCellMar>
          <w:top w:w="28" w:type="dxa"/>
          <w:left w:w="28" w:type="dxa"/>
          <w:bottom w:w="28" w:type="dxa"/>
          <w:right w:w="28" w:type="dxa"/>
        </w:tblCellMar>
      </w:tblPr>
      <w:tblGrid>
        <w:gridCol w:w="1174"/>
        <w:gridCol w:w="1028"/>
        <w:gridCol w:w="1038"/>
        <w:gridCol w:w="234"/>
        <w:gridCol w:w="1085"/>
        <w:gridCol w:w="121"/>
        <w:gridCol w:w="109"/>
        <w:gridCol w:w="109"/>
        <w:gridCol w:w="109"/>
        <w:gridCol w:w="278"/>
        <w:gridCol w:w="1288"/>
        <w:gridCol w:w="203"/>
      </w:tblGrid>
      <w:tr>
        <w:trPr/>
        <w:tc>
          <w:tcPr>
            <w:tcW w:w="1174"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629,465 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620,500 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equipment and other</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1,955,889 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1,895,502 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gross</w:t>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2,650,685 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2,578,497 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(1,638,978)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(1,573,672)</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1,011,707 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1,004,825 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totaled $37,530 and $37,812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5. Credit Losses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roll-forward of the allowance for credit losses that is deducted from the amortized cost basis of accounts receivable to present the net amount expected to be collected.</w:t>
      </w:r>
    </w:p>
    <w:tbl>
      <w:tblPr>
        <w:tblW w:w="6863" w:type="dxa"/>
        <w:jc w:val="left"/>
        <w:tblInd w:w="0" w:type="dxa"/>
        <w:tblCellMar>
          <w:top w:w="28" w:type="dxa"/>
          <w:left w:w="28" w:type="dxa"/>
          <w:bottom w:w="28" w:type="dxa"/>
          <w:right w:w="28" w:type="dxa"/>
        </w:tblCellMar>
      </w:tblPr>
      <w:tblGrid>
        <w:gridCol w:w="1594"/>
        <w:gridCol w:w="1404"/>
        <w:gridCol w:w="1411"/>
        <w:gridCol w:w="211"/>
        <w:gridCol w:w="721"/>
        <w:gridCol w:w="109"/>
        <w:gridCol w:w="109"/>
        <w:gridCol w:w="109"/>
        <w:gridCol w:w="109"/>
        <w:gridCol w:w="211"/>
        <w:gridCol w:w="721"/>
        <w:gridCol w:w="154"/>
      </w:tblGrid>
      <w:tr>
        <w:trPr/>
        <w:tc>
          <w:tcPr>
            <w:tcW w:w="1594"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 net of recoveries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written off charged against the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foreign currency translation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6. Goodwill and Other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value of goodwill by reportable operating segments were as follows:</w:t>
      </w:r>
    </w:p>
    <w:tbl>
      <w:tblPr>
        <w:tblW w:w="10482" w:type="dxa"/>
        <w:jc w:val="left"/>
        <w:tblInd w:w="0" w:type="dxa"/>
        <w:tblCellMar>
          <w:top w:w="28" w:type="dxa"/>
          <w:left w:w="28" w:type="dxa"/>
          <w:bottom w:w="28" w:type="dxa"/>
          <w:right w:w="28" w:type="dxa"/>
        </w:tblCellMar>
      </w:tblPr>
      <w:tblGrid>
        <w:gridCol w:w="679"/>
        <w:gridCol w:w="268"/>
        <w:gridCol w:w="269"/>
        <w:gridCol w:w="211"/>
        <w:gridCol w:w="826"/>
        <w:gridCol w:w="109"/>
        <w:gridCol w:w="109"/>
        <w:gridCol w:w="109"/>
        <w:gridCol w:w="109"/>
        <w:gridCol w:w="211"/>
        <w:gridCol w:w="976"/>
        <w:gridCol w:w="109"/>
        <w:gridCol w:w="109"/>
        <w:gridCol w:w="109"/>
        <w:gridCol w:w="109"/>
        <w:gridCol w:w="217"/>
        <w:gridCol w:w="1006"/>
        <w:gridCol w:w="113"/>
        <w:gridCol w:w="109"/>
        <w:gridCol w:w="109"/>
        <w:gridCol w:w="109"/>
        <w:gridCol w:w="211"/>
        <w:gridCol w:w="826"/>
        <w:gridCol w:w="109"/>
        <w:gridCol w:w="109"/>
        <w:gridCol w:w="109"/>
        <w:gridCol w:w="109"/>
        <w:gridCol w:w="251"/>
        <w:gridCol w:w="984"/>
        <w:gridCol w:w="131"/>
        <w:gridCol w:w="109"/>
        <w:gridCol w:w="109"/>
        <w:gridCol w:w="109"/>
        <w:gridCol w:w="211"/>
        <w:gridCol w:w="976"/>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Engineered Products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Clean Energy &amp; Fueling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Imaging &amp; Identification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Pumps &amp; Process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Climate &amp; Sustainability Technologies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1,083,455 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507,969 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4,680,713 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recorded measurement period adjustments that decreased goodwill by $2,709, principally related to working capital adjustments for 2022 acquisitions within the Pumps &amp; Process Solutions segment.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definite-lived and indefinite-lived intangible assets by major asset class were as follows:</w:t>
      </w:r>
    </w:p>
    <w:tbl>
      <w:tblPr>
        <w:tblW w:w="10627" w:type="dxa"/>
        <w:jc w:val="left"/>
        <w:tblInd w:w="0" w:type="dxa"/>
        <w:tblCellMar>
          <w:top w:w="28" w:type="dxa"/>
          <w:left w:w="28" w:type="dxa"/>
          <w:bottom w:w="28" w:type="dxa"/>
          <w:right w:w="28" w:type="dxa"/>
        </w:tblCellMar>
      </w:tblPr>
      <w:tblGrid>
        <w:gridCol w:w="520"/>
        <w:gridCol w:w="325"/>
        <w:gridCol w:w="32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 Carrying</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 Carrying</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Amortized intangible assets: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intangibles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1,888,873 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relationships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Drawings and manuals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Unamortized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amortization expense was $40,366 and $41,191, respectively. Amortization expense is primarily comprised of acquisition-related intangible amortization.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7. Restructuring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by segment were as follows:</w:t>
      </w:r>
    </w:p>
    <w:tbl>
      <w:tblPr>
        <w:tblW w:w="8186" w:type="dxa"/>
        <w:jc w:val="left"/>
        <w:tblInd w:w="0" w:type="dxa"/>
        <w:tblCellMar>
          <w:top w:w="28" w:type="dxa"/>
          <w:left w:w="28" w:type="dxa"/>
          <w:bottom w:w="28" w:type="dxa"/>
          <w:right w:w="28" w:type="dxa"/>
        </w:tblCellMar>
      </w:tblPr>
      <w:tblGrid>
        <w:gridCol w:w="1513"/>
        <w:gridCol w:w="1328"/>
        <w:gridCol w:w="1336"/>
        <w:gridCol w:w="322"/>
        <w:gridCol w:w="1105"/>
        <w:gridCol w:w="167"/>
        <w:gridCol w:w="167"/>
        <w:gridCol w:w="167"/>
        <w:gridCol w:w="167"/>
        <w:gridCol w:w="322"/>
        <w:gridCol w:w="944"/>
        <w:gridCol w:w="167"/>
        <w:gridCol w:w="109"/>
        <w:gridCol w:w="109"/>
        <w:gridCol w:w="109"/>
        <w:gridCol w:w="154"/>
      </w:tblGrid>
      <w:tr>
        <w:trPr/>
        <w:tc>
          <w:tcPr>
            <w:tcW w:w="1513"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4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4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4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4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705"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amounts are classified in the condensed consolidated statements of earnings as follows:</w:t>
            </w:r>
          </w:p>
        </w:tc>
        <w:tc>
          <w:tcPr>
            <w:tcW w:w="481" w:type="dxa"/>
            <w:gridSpan w:val="4"/>
            <w:tcBorders/>
            <w:shd w:fill="auto" w:val="clear"/>
          </w:tcPr>
          <w:p>
            <w:pPr>
              <w:pStyle w:val="TableContents"/>
              <w:spacing w:before="0" w:after="283"/>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4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The restructuring expenses of $12,476</w:t>
      </w:r>
      <w:r>
        <w:rPr>
          <w:color w:val="000000"/>
        </w:rPr>
        <w:t xml:space="preserve"> </w:t>
      </w:r>
      <w:r>
        <w:rPr>
          <w:rFonts w:ascii="Times New Roman;sans-serif" w:hAnsi="Times New Roman;sans-serif"/>
          <w:b w:val="false"/>
          <w:color w:val="000000"/>
          <w:sz w:val="20"/>
          <w:highlight w:val="white"/>
        </w:rPr>
        <w:t xml:space="preserve">incurred during the three months ended March 31, 2023 were primarily related to </w:t>
      </w:r>
      <w:r>
        <w:rPr>
          <w:rFonts w:ascii="Times New Roman;sans-serif" w:hAnsi="Times New Roman;sans-serif"/>
          <w:b w:val="false"/>
          <w:color w:val="000000"/>
          <w:sz w:val="20"/>
        </w:rPr>
        <w:t>headcount reductions and exit costs in the Clean Energy &amp; Fueling segment. These programs were initiated in 2022 and 2023 and were undertaken in light of current market conditions. The Company will continue to make proactive adjustments to its cost structure through restructuring and other programs to align with current demand trends.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severance and exit accrual activities were as follows:</w:t>
      </w:r>
    </w:p>
    <w:tbl>
      <w:tblPr>
        <w:tblW w:w="7467" w:type="dxa"/>
        <w:jc w:val="left"/>
        <w:tblInd w:w="0" w:type="dxa"/>
        <w:tblCellMar>
          <w:top w:w="28" w:type="dxa"/>
          <w:left w:w="28" w:type="dxa"/>
          <w:bottom w:w="28" w:type="dxa"/>
          <w:right w:w="28" w:type="dxa"/>
        </w:tblCellMar>
      </w:tblPr>
      <w:tblGrid>
        <w:gridCol w:w="1356"/>
        <w:gridCol w:w="1195"/>
        <w:gridCol w:w="1199"/>
        <w:gridCol w:w="211"/>
        <w:gridCol w:w="721"/>
        <w:gridCol w:w="109"/>
        <w:gridCol w:w="109"/>
        <w:gridCol w:w="109"/>
        <w:gridCol w:w="109"/>
        <w:gridCol w:w="211"/>
        <w:gridCol w:w="616"/>
        <w:gridCol w:w="109"/>
        <w:gridCol w:w="109"/>
        <w:gridCol w:w="109"/>
        <w:gridCol w:w="109"/>
        <w:gridCol w:w="211"/>
        <w:gridCol w:w="721"/>
        <w:gridCol w:w="154"/>
      </w:tblGrid>
      <w:tr>
        <w:trPr/>
        <w:tc>
          <w:tcPr>
            <w:tcW w:w="1356"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Severance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foreign currency translation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8. Borrowings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consist of the following:</w:t>
      </w:r>
    </w:p>
    <w:tbl>
      <w:tblPr>
        <w:tblW w:w="5606" w:type="dxa"/>
        <w:jc w:val="left"/>
        <w:tblInd w:w="0" w:type="dxa"/>
        <w:tblCellMar>
          <w:top w:w="28" w:type="dxa"/>
          <w:left w:w="28" w:type="dxa"/>
          <w:bottom w:w="28" w:type="dxa"/>
          <w:right w:w="28" w:type="dxa"/>
        </w:tblCellMar>
      </w:tblPr>
      <w:tblGrid>
        <w:gridCol w:w="749"/>
        <w:gridCol w:w="658"/>
        <w:gridCol w:w="663"/>
        <w:gridCol w:w="265"/>
        <w:gridCol w:w="1038"/>
        <w:gridCol w:w="137"/>
        <w:gridCol w:w="109"/>
        <w:gridCol w:w="109"/>
        <w:gridCol w:w="109"/>
        <w:gridCol w:w="313"/>
        <w:gridCol w:w="1228"/>
        <w:gridCol w:w="228"/>
      </w:tblGrid>
      <w:tr>
        <w:trPr/>
        <w:tc>
          <w:tcPr>
            <w:tcW w:w="74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734,936 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borrowings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514,567 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commercial paper borrowings decreased $221,036. The borrowings outstanding under the commercial paper program had a weighted average annual interest rate of 5.19% and 4.61% as of March 31, 2023 and December 31, 2022, respectively.</w:t>
      </w:r>
    </w:p>
    <w:tbl>
      <w:tblPr>
        <w:tblW w:w="10205" w:type="dxa"/>
        <w:jc w:val="left"/>
        <w:tblInd w:w="0" w:type="dxa"/>
        <w:tblCellMar>
          <w:top w:w="28" w:type="dxa"/>
          <w:left w:w="28" w:type="dxa"/>
          <w:bottom w:w="28" w:type="dxa"/>
          <w:right w:w="28" w:type="dxa"/>
        </w:tblCellMar>
      </w:tblPr>
      <w:tblGrid>
        <w:gridCol w:w="1889"/>
        <w:gridCol w:w="1649"/>
        <w:gridCol w:w="1661"/>
        <w:gridCol w:w="226"/>
        <w:gridCol w:w="826"/>
        <w:gridCol w:w="109"/>
        <w:gridCol w:w="109"/>
        <w:gridCol w:w="109"/>
        <w:gridCol w:w="109"/>
        <w:gridCol w:w="233"/>
        <w:gridCol w:w="1081"/>
        <w:gridCol w:w="120"/>
        <w:gridCol w:w="109"/>
        <w:gridCol w:w="109"/>
        <w:gridCol w:w="109"/>
        <w:gridCol w:w="275"/>
        <w:gridCol w:w="1277"/>
        <w:gridCol w:w="205"/>
      </w:tblGrid>
      <w:tr>
        <w:trPr/>
        <w:tc>
          <w:tcPr>
            <w:tcW w:w="1889"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5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Carrying amount </w:t>
            </w:r>
            <w:r>
              <w:rPr>
                <w:rFonts w:ascii="Times New Roman;sans-serif" w:hAnsi="Times New Roman;sans-serif"/>
                <w:b/>
                <w:color w:val="000000"/>
                <w:sz w:val="13"/>
              </w:rPr>
              <w:t>(1)</w:t>
            </w:r>
          </w:p>
        </w:tc>
      </w:tr>
      <w:tr>
        <w:trPr/>
        <w:tc>
          <w:tcPr>
            <w:tcW w:w="5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w:t>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3.15% 10-year notes due November 15, 2025</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398,232 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398,063 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 10-year notes due November 9, 2026 (euro-denominated)</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641,754 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631,522 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0.750% 8-year notes due November 4, 2027 (euro-denominated)</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534,164 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525,654 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6.65% 30-year debentures due June 1, 2028</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199,456 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2.950% 10-year notes due November 4, 2029</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297,502 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297,408 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30-year debentures due October 15, 2035</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296,871 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296,808 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6.60% 30-year notes due March 15, 2038</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248,307 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248,279 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30-year notes due March 1, 2041</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345,051 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344,982 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9"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r>
      <w:tr>
        <w:trPr/>
        <w:tc>
          <w:tcPr>
            <w:tcW w:w="5199"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2,961,362 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2,942,513 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Carrying amount is net of unamortized debt discount and deferred debt issuance costs. Total unamortized debt discounts were $12.3 million and $12.7 million as of March 31, 2023 and December 31, 2022, respectively. Total deferred debt issuance costs were $10.3 million and $10.7 million as of March 31, 2023 and December 31,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maintained a $1.0 billion five-year unsecured revolving credit facility (the "Credit Agreement") with a syndicate of banks which expires on October 4, 2024.</w:t>
      </w:r>
      <w:bookmarkStart w:id="0" w:name="i5d4a7fc73a474e43b234d8624421fc5d_4376"/>
      <w:bookmarkEnd w:id="0"/>
      <w:r>
        <w:rPr>
          <w:rFonts w:ascii="Times New Roman;sans-serif" w:hAnsi="Times New Roman;sans-serif"/>
          <w:b w:val="false"/>
          <w:color w:val="000000"/>
          <w:sz w:val="20"/>
        </w:rPr>
        <w:t xml:space="preserve"> The Company uses the Credit Agreement principally as liquidity back-up for its commercial paper program and for general corporate purposes.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consolidated EBITDA to consolidated net interest expense of not less than 3.0 to 1. As of March 31, 2023 and December 31, 2022, there were no outstanding borrowings under the Credit Agreement.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6, 2023, the Company entered into a new $1 billion five-year unsecured revolving credit facility, which has substantially similar terms to the existing Credit Agreement, and a $500 million 364-day unsecured revolving credit facility. The new five-year credit facility replaced the existing Credit Agreement. See Note 18 — Subsequent Events for additional details.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all covenants in the Credit Agreement and other long-term debt covenants at March 31, 2023 and had an interest coverage ratio of consolidated EBITDA to consolidated net interest expense of 14.6 to 1.</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Letters of Credit and other Guarantees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approximately $184.6 million outstanding in letters of credit, surety bonds, and performance and other guarantees which primarily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9. Financial Instruments </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Derivatives</w:t>
      </w:r>
      <w:r>
        <w:rPr>
          <w:color w:val="000000"/>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March 31, 2023 and December 31, 2022, the Company had contracts with total notional amounts of $187,875 and $184,565, respectively, to exchange currencies, principally euro, pound sterling, Swedish krona, Canadian dollar, Chinese yuan, and Swiss franc. The Company believes it is probable that all forecasted cash flow transactions will occur.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had outstanding contracts with a total notional amount of $105,736 and $102,509 as of March 31, 2023 and December 31, 2022,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values of derivative instruments held by the Company as of March 31, 2023 and December 31, 2022 and the balance sheet lines in which they are recorded:</w:t>
      </w:r>
    </w:p>
    <w:tbl>
      <w:tblPr>
        <w:tblW w:w="8763" w:type="dxa"/>
        <w:jc w:val="left"/>
        <w:tblInd w:w="0" w:type="dxa"/>
        <w:tblCellMar>
          <w:top w:w="28" w:type="dxa"/>
          <w:left w:w="28" w:type="dxa"/>
          <w:bottom w:w="28" w:type="dxa"/>
          <w:right w:w="28" w:type="dxa"/>
        </w:tblCellMar>
      </w:tblPr>
      <w:tblGrid>
        <w:gridCol w:w="782"/>
        <w:gridCol w:w="688"/>
        <w:gridCol w:w="690"/>
        <w:gridCol w:w="386"/>
        <w:gridCol w:w="854"/>
        <w:gridCol w:w="199"/>
        <w:gridCol w:w="138"/>
        <w:gridCol w:w="138"/>
        <w:gridCol w:w="138"/>
        <w:gridCol w:w="463"/>
        <w:gridCol w:w="1023"/>
        <w:gridCol w:w="238"/>
        <w:gridCol w:w="109"/>
        <w:gridCol w:w="109"/>
        <w:gridCol w:w="109"/>
        <w:gridCol w:w="789"/>
        <w:gridCol w:w="789"/>
        <w:gridCol w:w="1121"/>
      </w:tblGrid>
      <w:tr>
        <w:trPr/>
        <w:tc>
          <w:tcPr>
            <w:tcW w:w="7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Asset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Caption</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9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cash flow hedge, the change in estimated fair value of a hedging instrument is recorded in accumulated other comprehensive earnings (loss) as a separate component of the condensed consolidated statements of stockholders' equity and is reclassified into revenues, cost of goods and services, or selling, general and administrative expenses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(loss) of the condensed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recognized in other comprehensive earnings for the gains on net investment hedges were as follows:</w:t>
      </w:r>
    </w:p>
    <w:tbl>
      <w:tblPr>
        <w:tblW w:w="7529" w:type="dxa"/>
        <w:jc w:val="left"/>
        <w:tblInd w:w="0" w:type="dxa"/>
        <w:tblCellMar>
          <w:top w:w="28" w:type="dxa"/>
          <w:left w:w="28" w:type="dxa"/>
          <w:bottom w:w="28" w:type="dxa"/>
          <w:right w:w="28" w:type="dxa"/>
        </w:tblCellMar>
      </w:tblPr>
      <w:tblGrid>
        <w:gridCol w:w="1544"/>
        <w:gridCol w:w="1355"/>
        <w:gridCol w:w="1361"/>
        <w:gridCol w:w="237"/>
        <w:gridCol w:w="894"/>
        <w:gridCol w:w="122"/>
        <w:gridCol w:w="122"/>
        <w:gridCol w:w="122"/>
        <w:gridCol w:w="122"/>
        <w:gridCol w:w="237"/>
        <w:gridCol w:w="810"/>
        <w:gridCol w:w="122"/>
        <w:gridCol w:w="109"/>
        <w:gridCol w:w="109"/>
        <w:gridCol w:w="109"/>
        <w:gridCol w:w="154"/>
      </w:tblGrid>
      <w:tr>
        <w:trPr/>
        <w:tc>
          <w:tcPr>
            <w:tcW w:w="1544"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euro-denominated debt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(expense)</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on net investment hedges, net of tax</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(14,197)</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Fair Value Measurements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inputs are quoted prices (unadjusted) in active markets for identical assets or liabilities.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inputs are unobservable inputs in which little or no market data exists, therefore requiring an entity to develop its own assumptions.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assets and liabilities measured at fair value on a recurring basis as of March 31, 2023 and December 31, 2022:</w:t>
      </w:r>
    </w:p>
    <w:tbl>
      <w:tblPr>
        <w:tblW w:w="8010" w:type="dxa"/>
        <w:jc w:val="left"/>
        <w:tblInd w:w="0" w:type="dxa"/>
        <w:tblCellMar>
          <w:top w:w="28" w:type="dxa"/>
          <w:left w:w="28" w:type="dxa"/>
          <w:bottom w:w="28" w:type="dxa"/>
          <w:right w:w="28" w:type="dxa"/>
        </w:tblCellMar>
      </w:tblPr>
      <w:tblGrid>
        <w:gridCol w:w="1055"/>
        <w:gridCol w:w="931"/>
        <w:gridCol w:w="938"/>
        <w:gridCol w:w="109"/>
        <w:gridCol w:w="109"/>
        <w:gridCol w:w="386"/>
        <w:gridCol w:w="854"/>
        <w:gridCol w:w="199"/>
        <w:gridCol w:w="109"/>
        <w:gridCol w:w="109"/>
        <w:gridCol w:w="109"/>
        <w:gridCol w:w="109"/>
        <w:gridCol w:w="109"/>
        <w:gridCol w:w="1726"/>
        <w:gridCol w:w="109"/>
        <w:gridCol w:w="211"/>
        <w:gridCol w:w="466"/>
        <w:gridCol w:w="109"/>
        <w:gridCol w:w="109"/>
        <w:gridCol w:w="154"/>
      </w:tblGrid>
      <w:tr>
        <w:trPr/>
        <w:tc>
          <w:tcPr>
            <w:tcW w:w="105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6"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58" w:type="dxa"/>
            <w:gridSpan w:val="6"/>
            <w:tcBorders/>
            <w:shd w:fill="auto" w:val="clea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derivative contracts are measured at fair value using models based on observable market inputs such as foreign currency exchange rates and interest rates; therefore, they are classified within Level 2 of the fair value hierarchy.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fair value disclosure requirements related to financial instruments carried at fair value, accounting standards require disclosures regarding the fair value of all of the Company's financial instruments.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estimated fair value of long-term debt at March 31, 2023 and December 31, 2022</w:t>
      </w:r>
      <w:r>
        <w:rPr>
          <w:rFonts w:ascii="Times New Roman;sans-serif" w:hAnsi="Times New Roman;sans-serif"/>
          <w:b w:val="false"/>
          <w:color w:val="000000"/>
          <w:sz w:val="20"/>
          <w:highlight w:val="white"/>
        </w:rPr>
        <w:t>, w</w:t>
      </w:r>
      <w:r>
        <w:rPr>
          <w:rFonts w:ascii="Times New Roman;sans-serif" w:hAnsi="Times New Roman;sans-serif"/>
          <w:b w:val="false"/>
          <w:color w:val="000000"/>
          <w:sz w:val="20"/>
        </w:rPr>
        <w:t xml:space="preserve">as $2,892,395 and $2,786,862, respectively. The estimated fair value of long-term debt is based on quoted market prices for similar instruments and is, therefore, classified as Level 2 within the fair value hierarchy.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trade receivables, accounts payable and short-term borrowings approximate their fair values as of March 31, 2023 and December 31, 2022 due to the short-term nature of these instruments.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u w:val="single"/>
        </w:rPr>
        <w:t>10. Income Taxes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rates for the three months ended March 31, 2023 and 2022 were 20.2% and 18.0%, respectively. The increase in the effective tax rate for the three months ended March 31, 2023 relative to the prior year comparable period was primarily driven by favorable audit resolutions in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Dover and its subsidiaries file tax returns in the U.S., including various state and local returns, and in other foreign jurisdictions. We believe adequate provision has been made for all income tax uncertainties. The Company is routinely audited by taxing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$0 to $5,890.</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11. Equity Incentive Program</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typically makes its annual grants of equity awards pursuant to actions taken by the Compensation Committee of the Board of Directors at its regularly scheduled first quarter meeting. During the three months ended March 31, 2023, the Company issued stock-settled appreciation rights ("SARs") covering 358,322 shares, performance share awards ("PSAs") of 43,656 and restricted stock units ("RSUs") of 78,029. During the three months ended March 31, 2022, the Company issued SARs covering 327,940 shares, PSAs of 40,087 and RSUs of 71,961.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used in determining the fair value of the SARs awarded during the respective periods were as follows:</w:t>
      </w:r>
    </w:p>
    <w:tbl>
      <w:tblPr>
        <w:tblW w:w="5144" w:type="dxa"/>
        <w:jc w:val="left"/>
        <w:tblInd w:w="0" w:type="dxa"/>
        <w:tblCellMar>
          <w:top w:w="28" w:type="dxa"/>
          <w:left w:w="28" w:type="dxa"/>
          <w:bottom w:w="28" w:type="dxa"/>
          <w:right w:w="28" w:type="dxa"/>
        </w:tblCellMar>
      </w:tblPr>
      <w:tblGrid>
        <w:gridCol w:w="1070"/>
        <w:gridCol w:w="939"/>
        <w:gridCol w:w="945"/>
        <w:gridCol w:w="307"/>
        <w:gridCol w:w="309"/>
        <w:gridCol w:w="292"/>
        <w:gridCol w:w="109"/>
        <w:gridCol w:w="109"/>
        <w:gridCol w:w="109"/>
        <w:gridCol w:w="307"/>
        <w:gridCol w:w="309"/>
        <w:gridCol w:w="339"/>
      </w:tblGrid>
      <w:tr>
        <w:trPr/>
        <w:tc>
          <w:tcPr>
            <w:tcW w:w="1070"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SARs</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5" w:type="dxa"/>
            <w:gridSpan w:val="3"/>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price</w:t>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per share at date of grant</w:t>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PSAs granted in 2023 and 2022 are market condition awards as attainment is based on Dover's performance relative to its peer group (companies listed under the S&amp;P 500 Industrials sector) for the relevant performance period. The performance period and vesting period for these awards is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PSAs granted in the respective periods were as follows:</w:t>
      </w:r>
    </w:p>
    <w:tbl>
      <w:tblPr>
        <w:tblW w:w="5144" w:type="dxa"/>
        <w:jc w:val="left"/>
        <w:tblInd w:w="0" w:type="dxa"/>
        <w:tblCellMar>
          <w:top w:w="28" w:type="dxa"/>
          <w:left w:w="28" w:type="dxa"/>
          <w:bottom w:w="28" w:type="dxa"/>
          <w:right w:w="28" w:type="dxa"/>
        </w:tblCellMar>
      </w:tblPr>
      <w:tblGrid>
        <w:gridCol w:w="1070"/>
        <w:gridCol w:w="939"/>
        <w:gridCol w:w="945"/>
        <w:gridCol w:w="307"/>
        <w:gridCol w:w="309"/>
        <w:gridCol w:w="292"/>
        <w:gridCol w:w="109"/>
        <w:gridCol w:w="109"/>
        <w:gridCol w:w="109"/>
        <w:gridCol w:w="307"/>
        <w:gridCol w:w="309"/>
        <w:gridCol w:w="339"/>
      </w:tblGrid>
      <w:tr>
        <w:trPr/>
        <w:tc>
          <w:tcPr>
            <w:tcW w:w="1070"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PSAs</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5" w:type="dxa"/>
            <w:gridSpan w:val="3"/>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price</w:t>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per share at date of grant</w:t>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granted RSUs, and the fair value of these awards was determined using Dover's closing stock price on the date of grant, which was $153.25 and $160.21 for RSUs granted in 2023 and 2022, respectively.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is reported within selling, general and administrative expenses in the condensed consolidated statements of earnings. The following table summarizes the Company’s compensation expense relating to all stock-based incentive plans:</w:t>
      </w:r>
    </w:p>
    <w:tbl>
      <w:tblPr>
        <w:tblW w:w="8724" w:type="dxa"/>
        <w:jc w:val="left"/>
        <w:tblInd w:w="0" w:type="dxa"/>
        <w:tblCellMar>
          <w:top w:w="28" w:type="dxa"/>
          <w:left w:w="28" w:type="dxa"/>
          <w:bottom w:w="28" w:type="dxa"/>
          <w:right w:w="28" w:type="dxa"/>
        </w:tblCellMar>
      </w:tblPr>
      <w:tblGrid>
        <w:gridCol w:w="1560"/>
        <w:gridCol w:w="1369"/>
        <w:gridCol w:w="1376"/>
        <w:gridCol w:w="109"/>
        <w:gridCol w:w="109"/>
        <w:gridCol w:w="241"/>
        <w:gridCol w:w="241"/>
        <w:gridCol w:w="467"/>
        <w:gridCol w:w="1598"/>
        <w:gridCol w:w="241"/>
        <w:gridCol w:w="109"/>
        <w:gridCol w:w="109"/>
        <w:gridCol w:w="109"/>
        <w:gridCol w:w="211"/>
        <w:gridCol w:w="721"/>
        <w:gridCol w:w="154"/>
      </w:tblGrid>
      <w:tr>
        <w:trPr/>
        <w:tc>
          <w:tcPr>
            <w:tcW w:w="1560"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12. Commitments and Contingent Liabilities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March 31, 2023 and December 31, 2022, these estimated liabilities for environmental and other matters, including private party claims for exposure to hazardous substances that are probable and estimable, were not significant.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estimated liabilities for these other legal matters that are probable and estimable, and at March 31, 2023 and December 31, 2022,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Warranty Accruals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March 31, 2023 and 2022, were as follows:</w:t>
      </w:r>
    </w:p>
    <w:tbl>
      <w:tblPr>
        <w:tblW w:w="7974" w:type="dxa"/>
        <w:jc w:val="left"/>
        <w:tblInd w:w="0" w:type="dxa"/>
        <w:tblCellMar>
          <w:top w:w="28" w:type="dxa"/>
          <w:left w:w="28" w:type="dxa"/>
          <w:bottom w:w="28" w:type="dxa"/>
          <w:right w:w="28" w:type="dxa"/>
        </w:tblCellMar>
      </w:tblPr>
      <w:tblGrid>
        <w:gridCol w:w="1994"/>
        <w:gridCol w:w="1759"/>
        <w:gridCol w:w="1767"/>
        <w:gridCol w:w="211"/>
        <w:gridCol w:w="721"/>
        <w:gridCol w:w="109"/>
        <w:gridCol w:w="109"/>
        <w:gridCol w:w="109"/>
        <w:gridCol w:w="109"/>
        <w:gridCol w:w="211"/>
        <w:gridCol w:w="721"/>
        <w:gridCol w:w="154"/>
      </w:tblGrid>
      <w:tr>
        <w:trPr/>
        <w:tc>
          <w:tcPr>
            <w:tcW w:w="1994"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including acquisitions and currency translation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rPr/>
      </w:pPr>
      <w:r>
        <w:rPr>
          <w:rFonts w:ascii="Times New Roman;sans-serif" w:hAnsi="Times New Roman;sans-serif"/>
          <w:b/>
          <w:color w:val="000000"/>
          <w:sz w:val="20"/>
          <w:u w:val="single"/>
        </w:rPr>
        <w:t>13. Other Comprehensive Earnings</w:t>
      </w:r>
      <w:r>
        <w:rPr>
          <w:color w:val="000000"/>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reclassified from accumulated other comprehensive loss to earnings during the three months ended March 31, 2023 and 2022 were as follows: </w:t>
      </w:r>
    </w:p>
    <w:tbl>
      <w:tblPr>
        <w:tblW w:w="10205" w:type="dxa"/>
        <w:jc w:val="left"/>
        <w:tblInd w:w="0" w:type="dxa"/>
        <w:tblCellMar>
          <w:top w:w="28" w:type="dxa"/>
          <w:left w:w="28" w:type="dxa"/>
          <w:bottom w:w="28" w:type="dxa"/>
          <w:right w:w="28" w:type="dxa"/>
        </w:tblCellMar>
      </w:tblPr>
      <w:tblGrid>
        <w:gridCol w:w="2399"/>
        <w:gridCol w:w="1991"/>
        <w:gridCol w:w="2003"/>
        <w:gridCol w:w="109"/>
        <w:gridCol w:w="109"/>
        <w:gridCol w:w="210"/>
        <w:gridCol w:w="210"/>
        <w:gridCol w:w="407"/>
        <w:gridCol w:w="1190"/>
        <w:gridCol w:w="210"/>
        <w:gridCol w:w="109"/>
        <w:gridCol w:w="109"/>
        <w:gridCol w:w="109"/>
        <w:gridCol w:w="211"/>
        <w:gridCol w:w="670"/>
        <w:gridCol w:w="159"/>
      </w:tblGrid>
      <w:tr>
        <w:trPr/>
        <w:tc>
          <w:tcPr>
            <w:tcW w:w="2399"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67" w:type="dxa"/>
            <w:gridSpan w:val="6"/>
            <w:tcBorders/>
            <w:shd w:fill="auto" w:val="clear"/>
          </w:tcPr>
          <w:p>
            <w:pPr>
              <w:pStyle w:val="TableContents"/>
              <w:spacing w:before="0" w:after="283"/>
              <w:rPr>
                <w:sz w:val="4"/>
                <w:szCs w:val="4"/>
              </w:rPr>
            </w:pPr>
            <w:r>
              <w:rPr>
                <w:sz w:val="4"/>
                <w:szCs w:val="4"/>
              </w:rPr>
            </w:r>
          </w:p>
        </w:tc>
      </w:tr>
      <w:tr>
        <w:trPr/>
        <w:tc>
          <w:tcPr>
            <w:tcW w:w="6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translation: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foreign currency translation losses to earnings for the substantial liquidation of businesses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Pension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6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before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reclassified into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(benefit) provision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losses were recognized in selling, general and administrative expenses within the condensed consolidated statement of earnings as a result of the substantial liquidation of certain businesses.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amortization of net actuarial gains and losses and prior service costs in other income, net within the condensed consolidated statements of earnings.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 </w:t>
      </w:r>
    </w:p>
    <w:p>
      <w:pPr>
        <w:pStyle w:val="TextBody"/>
        <w:spacing w:before="0" w:after="0"/>
        <w:ind w:left="0" w:right="0" w:hanging="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14. Segment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categorizes its operating companies into five reportable segments as follows: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Engineered Products segment provides a wide range of equipment, components, software, solutions and services to the vehicle aftermarket, waste handling, industrial automation, aerospace and defense, industrial winch and hoist, and fluid dispensing end-markets.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and other end-markets.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Climate &amp; Sustainability Technologies segment is a provider of innovative and energy-efficient equipment, components and parts for the commercial refrigeration, equipment and systems, heating and cooling and beverage can-making equipment markets. </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segment earnings to evaluate segment performance and allocate resources. Segment earnings is defined as earnings before purchase accounting expenses, restructuring and other costs (benefits), loss (gain) on dispositions, corporate expenses/other, interest expense, interest income and provision for income taxes.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segment measure of profit and loss used by the Company's Chief Operating Decision Maker ("CODM") was changed to segment earnings from segment earnings (EBIT), defined as earnings before corporate expenses/other, interest expense, interest income and provision for income taxes. This change in segment measure allows the CODM to better assess operating results over time and is consistent with how the CODM evaluates our businesses. Accordingly, we have updated our segment earnings for the three months ended March 31, 2022 to conform to the new presentation.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financial information and a reconciliation of segment results to consolidated results were as follows:</w:t>
      </w:r>
    </w:p>
    <w:tbl>
      <w:tblPr>
        <w:tblW w:w="6999" w:type="dxa"/>
        <w:jc w:val="left"/>
        <w:tblInd w:w="0" w:type="dxa"/>
        <w:tblCellMar>
          <w:top w:w="28" w:type="dxa"/>
          <w:left w:w="28" w:type="dxa"/>
          <w:bottom w:w="28" w:type="dxa"/>
          <w:right w:w="28" w:type="dxa"/>
        </w:tblCellMar>
      </w:tblPr>
      <w:tblGrid>
        <w:gridCol w:w="1298"/>
        <w:gridCol w:w="1143"/>
        <w:gridCol w:w="1158"/>
        <w:gridCol w:w="211"/>
        <w:gridCol w:w="976"/>
        <w:gridCol w:w="109"/>
        <w:gridCol w:w="109"/>
        <w:gridCol w:w="109"/>
        <w:gridCol w:w="109"/>
        <w:gridCol w:w="211"/>
        <w:gridCol w:w="976"/>
        <w:gridCol w:w="109"/>
        <w:gridCol w:w="109"/>
        <w:gridCol w:w="109"/>
        <w:gridCol w:w="109"/>
        <w:gridCol w:w="154"/>
      </w:tblGrid>
      <w:tr>
        <w:trPr/>
        <w:tc>
          <w:tcPr>
            <w:tcW w:w="1298"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earnings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Purchase accounting expenses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Restructuring and other costs </w:t>
            </w:r>
            <w:r>
              <w:rPr>
                <w:rFonts w:ascii="Times New Roman;sans-serif" w:hAnsi="Times New Roman;sans-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Loss on dispositions </w:t>
            </w:r>
            <w:r>
              <w:rPr>
                <w:rFonts w:ascii="Times New Roman;sans-serif" w:hAnsi="Times New Roman;sans-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Corporate expense / other </w:t>
            </w:r>
            <w:r>
              <w:rPr>
                <w:rFonts w:ascii="Times New Roman;sans-serif" w:hAnsi="Times New Roman;sans-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Purchase accounting expenses are primarily comprised of amortization of intangible assets and charges related to fair value step-ups for acquired inventory sold during the period. </w:t>
      </w:r>
    </w:p>
    <w:p>
      <w:pPr>
        <w:pStyle w:val="TextBody"/>
        <w:spacing w:lineRule="auto" w:line="288"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Restructuring and other costs relate to actions taken for headcount reductions, facility consolidations and site closures, product line exits, and other asset charges. Restructuring and other costs consist of the following:</w:t>
      </w:r>
    </w:p>
    <w:tbl>
      <w:tblPr>
        <w:tblW w:w="5456" w:type="dxa"/>
        <w:jc w:val="left"/>
        <w:tblInd w:w="0" w:type="dxa"/>
        <w:tblCellMar>
          <w:top w:w="28" w:type="dxa"/>
          <w:left w:w="28" w:type="dxa"/>
          <w:bottom w:w="28" w:type="dxa"/>
          <w:right w:w="28" w:type="dxa"/>
        </w:tblCellMar>
      </w:tblPr>
      <w:tblGrid>
        <w:gridCol w:w="792"/>
        <w:gridCol w:w="696"/>
        <w:gridCol w:w="701"/>
        <w:gridCol w:w="245"/>
        <w:gridCol w:w="808"/>
        <w:gridCol w:w="136"/>
        <w:gridCol w:w="136"/>
        <w:gridCol w:w="136"/>
        <w:gridCol w:w="136"/>
        <w:gridCol w:w="245"/>
        <w:gridCol w:w="808"/>
        <w:gridCol w:w="136"/>
        <w:gridCol w:w="109"/>
        <w:gridCol w:w="109"/>
        <w:gridCol w:w="109"/>
        <w:gridCol w:w="154"/>
      </w:tblGrid>
      <w:tr>
        <w:trPr/>
        <w:tc>
          <w:tcPr>
            <w:tcW w:w="7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costs, net</w:t>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 costs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Loss on dispositions includes working capital adjustments related to dispositions.</w:t>
      </w:r>
    </w:p>
    <w:p>
      <w:pPr>
        <w:pStyle w:val="TextBody"/>
        <w:spacing w:lineRule="auto" w:line="288" w:before="0" w:after="0"/>
        <w:jc w:val="both"/>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overhead costs, deal-related expenses and various administrative expenses relating to the corporate headquarters.</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disaggregated by geography based on the location of the Company's customers:</w:t>
      </w:r>
    </w:p>
    <w:tbl>
      <w:tblPr>
        <w:tblW w:w="5454" w:type="dxa"/>
        <w:jc w:val="left"/>
        <w:tblInd w:w="0" w:type="dxa"/>
        <w:tblCellMar>
          <w:top w:w="28" w:type="dxa"/>
          <w:left w:w="28" w:type="dxa"/>
          <w:bottom w:w="28" w:type="dxa"/>
          <w:right w:w="28" w:type="dxa"/>
        </w:tblCellMar>
      </w:tblPr>
      <w:tblGrid>
        <w:gridCol w:w="744"/>
        <w:gridCol w:w="654"/>
        <w:gridCol w:w="656"/>
        <w:gridCol w:w="211"/>
        <w:gridCol w:w="976"/>
        <w:gridCol w:w="109"/>
        <w:gridCol w:w="109"/>
        <w:gridCol w:w="109"/>
        <w:gridCol w:w="109"/>
        <w:gridCol w:w="211"/>
        <w:gridCol w:w="976"/>
        <w:gridCol w:w="109"/>
        <w:gridCol w:w="109"/>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by geography</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15. Share Repurchases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Company's Board of Directors approved a new standing share repurchase authorization, whereby the Company may repurchase up to 20 million shares beginning on January 1, 2021 through December 31, 2023. This share repurchase authorization replaced the February 2018 share repurchase authorization.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and 2022, there were no share repurchases. As of March 31, 2023, 15,283,326 shares remain authorized for repurchase under the November 2020 share repurchase authorization.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16. Earnings per Share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reconciliation of the information used in computing basic and diluted earnings per share:</w:t>
      </w:r>
    </w:p>
    <w:tbl>
      <w:tblPr>
        <w:tblW w:w="6628" w:type="dxa"/>
        <w:jc w:val="left"/>
        <w:tblInd w:w="0" w:type="dxa"/>
        <w:tblCellMar>
          <w:top w:w="28" w:type="dxa"/>
          <w:left w:w="28" w:type="dxa"/>
          <w:bottom w:w="28" w:type="dxa"/>
          <w:right w:w="28" w:type="dxa"/>
        </w:tblCellMar>
      </w:tblPr>
      <w:tblGrid>
        <w:gridCol w:w="1159"/>
        <w:gridCol w:w="1015"/>
        <w:gridCol w:w="1021"/>
        <w:gridCol w:w="241"/>
        <w:gridCol w:w="945"/>
        <w:gridCol w:w="116"/>
        <w:gridCol w:w="116"/>
        <w:gridCol w:w="116"/>
        <w:gridCol w:w="116"/>
        <w:gridCol w:w="241"/>
        <w:gridCol w:w="945"/>
        <w:gridCol w:w="116"/>
        <w:gridCol w:w="109"/>
        <w:gridCol w:w="109"/>
        <w:gridCol w:w="109"/>
        <w:gridCol w:w="154"/>
      </w:tblGrid>
      <w:tr>
        <w:trPr/>
        <w:tc>
          <w:tcPr>
            <w:tcW w:w="1159"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w:t>
            </w:r>
          </w:p>
        </w:tc>
        <w:tc>
          <w:tcPr>
            <w:tcW w:w="13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139,757,000 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144,087,000 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w:t>
            </w:r>
          </w:p>
        </w:tc>
        <w:tc>
          <w:tcPr>
            <w:tcW w:w="13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140,616,000 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145,329,000 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share amounts used in computing earnings per share:</w:t>
      </w:r>
    </w:p>
    <w:tbl>
      <w:tblPr>
        <w:tblW w:w="10205" w:type="dxa"/>
        <w:jc w:val="left"/>
        <w:tblInd w:w="0" w:type="dxa"/>
        <w:tblCellMar>
          <w:top w:w="28" w:type="dxa"/>
          <w:left w:w="28" w:type="dxa"/>
          <w:bottom w:w="28" w:type="dxa"/>
          <w:right w:w="28" w:type="dxa"/>
        </w:tblCellMar>
      </w:tblPr>
      <w:tblGrid>
        <w:gridCol w:w="2180"/>
        <w:gridCol w:w="1911"/>
        <w:gridCol w:w="1916"/>
        <w:gridCol w:w="875"/>
        <w:gridCol w:w="311"/>
        <w:gridCol w:w="268"/>
        <w:gridCol w:w="268"/>
        <w:gridCol w:w="268"/>
        <w:gridCol w:w="268"/>
        <w:gridCol w:w="875"/>
        <w:gridCol w:w="311"/>
        <w:gridCol w:w="268"/>
        <w:gridCol w:w="109"/>
        <w:gridCol w:w="109"/>
        <w:gridCol w:w="109"/>
        <w:gridCol w:w="159"/>
      </w:tblGrid>
      <w:tr>
        <w:trPr/>
        <w:tc>
          <w:tcPr>
            <w:tcW w:w="2180"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191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139,757,000 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144,087,000 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assumed exercise of SARs and vesting of performance shares and RSUs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859,000 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1,242,000 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140,616,000 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145,329,000 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number of anti-dilutive potential common shares excluded from the calculation above were approximately 88,000 and 58,000 for the three months ended March 31, 2023 and 2022,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DOVER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and where otherwise indicated) (Unaudited)</w:t>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17. Recent Accounting Pronouncements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Adopted Accounting Standard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the FASB issued ASU No. 2022-04 Liabilities-Supplier Finance Programs (Topic 405-50): Disclosure of Supplier Finance Program Obligations. The amendments in this update require a buyer in a supplier finance program to disclose information about the program's nature, activity during the period, changes from period to period, and potential magnitude. The Company adopted the guidance when it became effective on January 1, 2023, except for the rollforward requirement, which becomes effective January 1, 2024. The adoption did not have a material impact on the Company's condensed consolidated financial statements.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facilitates the opportunity for suppliers to participate in a voluntary supply chain financing ("SCF") program with a third-party financial institution. Participating suppliers are paid directly by the SCF financial institution and, in addition, may elect to sell receivables due from the Company to the SCF financial institution for early payment. Thus, participating suppliers have additional potential flexibility in managing their liquidity by accelerating, at their option and cost, collection of receivables due from the Company.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suppliers agree on commercial terms, including payment terms, for the goods and services the Company procures, regardless of whether the supplier participates in SCF. For participating suppliers, the Company’s responsibility is limited to making all payments to the SCF financial institution on the terms originally negotiated with the supplier, irrespective of whether the supplier elects to sell receivables to the SCF financial institution. The Company does not determine the terms or conditions of the arrangement between the SCF financial institution and the Company's suppliers. The SCF financial institution pays the supplier on the invoice due date for any invoices that were not previously sold by the supplier. The agreement between the Company and the SCF financial institution does not require the Company to provide assets pledged as security or other forms of guarantees.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payments related to the SCF program are recorded within accounts payable in our condensed consolidated balance sheets. As of March 31, 2023 and December 31, 2022, amounts due to the SCF financial institution were approximately $189,296 and $194,362,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18. Subsequent Events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2023, the Company entered into a new $1 billion five-year unsecured revolving credit facility with a syndicate of banks on substantially similar terms as the existing Credit Agreement. The new five-year revolving credit facility replaced the existing $1 billion five-year Credit Agreement, which was terminated by the Company upon execution of the new credit facility. The lenders' commitments under the new five-year credit agreement will terminate, and the loans under that credit agreement will mature, on April 6, 2028. Also on April 6, 2023, the Company entered into a $500 million 364-day unsecured revolving credit facility with the same syndicate of banks. The lenders' commitments under the 364-day credit agreement will terminate, and the loans under that credit agreement will mature, on April 4, 2024. The Company may elect to extend the maturity date of any loans under the 364-day credit agreement until April 4, 2025, subject to the conditions specified therein. As of April 26, 2023, there are no outstanding loans under these new revolving credit facilities.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both"/>
        <w:rPr/>
      </w:pPr>
      <w:r>
        <w:rPr>
          <w:rFonts w:ascii="Times New Roman;sans-serif" w:hAnsi="Times New Roman;sans-serif"/>
          <w:b/>
          <w:color w:val="000000"/>
          <w:sz w:val="20"/>
        </w:rPr>
        <w:t>Item 2. Management’s Discussion and Analysis of Financial Condition and Results</w:t>
      </w:r>
      <w:r>
        <w:rPr>
          <w:color w:val="000000"/>
        </w:rPr>
        <w:t xml:space="preserve"> </w:t>
      </w:r>
      <w:r>
        <w:rPr>
          <w:rFonts w:ascii="Times New Roman;sans-serif" w:hAnsi="Times New Roman;sans-serif"/>
          <w:b/>
          <w:color w:val="000000"/>
          <w:sz w:val="20"/>
        </w:rPr>
        <w:t>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section below entitled "Special Notes Regarding Forward-Looking Statements" for a discussion of factors that could cause our actual results to differ from the forward-looking statements contained below and throughout this quarterly report.</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Dover's five operating segments are as follows: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Engineered Products segment provides a wide range of equipment, components, software, solutions and services to the vehicle aftermarket, waste handling, industrial automation, aerospace and defense, industrial winch and hoist, and fluid dispensing end-markets.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and other end-markets.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Climate &amp; Sustainability Technologies segment is a provider of innovative and energy-efficient equipment, components and parts for the commercial refrigeration, equipment and systems, heating and cooling and beverage can-making equipment markets.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revenue was $2.1 billion, which increased $27.1 million, or 1.3%, as compared to the first quarter of 2022. This was driven by organic revenue growth of 2.9% and acquisition-related revenue growth of 0.9%, partially offset by an unfavorable impact from foreign currency translation of 2.5%. Pricing initiatives continued in the quarter to offset the impact of higher commodity costs, component parts inflation and higher energy, freight and logistics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2.9% organic revenue growth for the first quarter of 2023 was broad-based across most of our businesses based on solid underlying demand and the recovery in global supply chains. The Engineered Products segment had organic revenue growth of 3.4% primarily as a result of segment-wide pricing actions to recover increased material and logistics costs, and strong demand in our waste handling business as large national waste haulers and municipal governments invest to upgrade their refuse collection vehicle fleets and implement our leading digital technologies to improve waste collection process efficiencies. The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Clean Energy &amp; Fueling segment had organic revenue decline of 2.6% principally due to reduced year-over-year demand in above ground retail fueling equipment driven by expected roll-off of EMV-related demand, customer construction related delays, and overall caution among operators. The Imaging &amp; Identification segment experienced organic revenue growth of 8.2% driven by pricing initiatives and solid activity in our marking and coding business, as underlying demand for our printers, spare parts, services and consumables remains positive. The Pumps &amp; Process Solutions segment had organic revenue decline of 7.1%, as biopharmaceutical manufacturers reduced orders for components used in COVID-19 vaccine production and repurposed inventory purchased for the COVID-19 vaccine production toward production of non-COVID-19 therapies. This decline was partially offset by pricing initiatives, along with continued strength in thermal connectors, industrial pumps, plastics and polymer processing solutions, and bearings and compression components businesses, which saw revenue growth driven by solid end market demand and strong backlogs. The Climate &amp; Sustainability Technologies segment posted organic revenue growth of 16.2%, driven by strong demand across many of our key end markets combined with price actions implemented to principally recover increased material and logistics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a geographic perspective, organic revenue for the U.S., our largest market, increased 2.6% in the first quarter of 2023. Organic revenue for Other Americas increased 16.8%. Asia and Europe decreased 3.9% and 0.3%,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Bookings were $2.0 billion for the three months ended March 31, 2023, a decrease of $207.5 million, or 9.2% compared to the prior year comparable quarter. Included in this result was organic decline of 7.6%, an unfavorable impact from foreign currency translation of 2.6%, partially offset by acquisition-related growth of 1.0%. The organic bookings decline was driven primarily by lead time normalization across the portfolio as supply chains improve as well as $90.0 million in order de-bookings in Climate &amp; Sustainability Technologies related to a major retail refrigeration customer’s strategic decision to temporarily pause its new store expansion program. Despite the year-over-year decline, new bookings grew sequentially in the quarter. Book-to-bill was above one in four out of five segments, with Climate &amp; Sustainability Technologies falling below one primarily due to the aforementioned order de-bookings as well as order timing in beverage can-making equipment.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Backlog as of March 31, 2023 was $3.0 billion, a decrease from $3.4 billion in the prior year. See definition of bookings and backlog within "Segment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costs for the three months ended March 31, 2023 was $14.1 million which included restructuring charges of $12.5 million and other costs of $1.6 million. Restructuring and other costs were primarily related to headcount reductions and exit costs in the Clean Energy &amp; Fueling segment. These programs were initiated in 2022 and 2023 and were undertaken in light of current market conditions. See Note 7 — Restructuring Activities in the condensed consolidated financial statements in Item 1 of this Form 10-Q for further details.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CONSOLIDATED RESULTS OF OPERATIONS</w:t>
      </w:r>
    </w:p>
    <w:tbl>
      <w:tblPr>
        <w:tblW w:w="10205" w:type="dxa"/>
        <w:jc w:val="left"/>
        <w:tblInd w:w="0" w:type="dxa"/>
        <w:tblCellMar>
          <w:top w:w="28" w:type="dxa"/>
          <w:left w:w="28" w:type="dxa"/>
          <w:bottom w:w="28" w:type="dxa"/>
          <w:right w:w="28" w:type="dxa"/>
        </w:tblCellMar>
      </w:tblPr>
      <w:tblGrid>
        <w:gridCol w:w="1674"/>
        <w:gridCol w:w="1397"/>
        <w:gridCol w:w="1406"/>
        <w:gridCol w:w="211"/>
        <w:gridCol w:w="976"/>
        <w:gridCol w:w="271"/>
        <w:gridCol w:w="109"/>
        <w:gridCol w:w="109"/>
        <w:gridCol w:w="109"/>
        <w:gridCol w:w="211"/>
        <w:gridCol w:w="976"/>
        <w:gridCol w:w="271"/>
        <w:gridCol w:w="109"/>
        <w:gridCol w:w="109"/>
        <w:gridCol w:w="109"/>
        <w:gridCol w:w="353"/>
        <w:gridCol w:w="327"/>
        <w:gridCol w:w="776"/>
        <w:gridCol w:w="109"/>
        <w:gridCol w:w="109"/>
        <w:gridCol w:w="109"/>
        <w:gridCol w:w="109"/>
        <w:gridCol w:w="109"/>
        <w:gridCol w:w="157"/>
      </w:tblGrid>
      <w:tr>
        <w:trPr/>
        <w:tc>
          <w:tcPr>
            <w:tcW w:w="1674"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gridSpan w:val="4"/>
            <w:tcBorders/>
            <w:shd w:fill="auto" w:val="clear"/>
          </w:tcPr>
          <w:p>
            <w:pPr>
              <w:pStyle w:val="TableContents"/>
              <w:spacing w:before="0" w:after="283"/>
              <w:rPr>
                <w:sz w:val="4"/>
                <w:szCs w:val="4"/>
              </w:rPr>
            </w:pPr>
            <w:r>
              <w:rPr>
                <w:sz w:val="4"/>
                <w:szCs w:val="4"/>
              </w:rPr>
            </w:r>
          </w:p>
        </w:tc>
      </w:tr>
      <w:tr>
        <w:trPr/>
        <w:tc>
          <w:tcPr>
            <w:tcW w:w="44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figures)</w:t>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 Point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profit margin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35.9 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36.2 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(0.3)</w:t>
            </w:r>
          </w:p>
        </w:tc>
        <w:tc>
          <w:tcPr>
            <w:tcW w:w="7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 as a percent of revenue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(0.8)</w:t>
            </w:r>
          </w:p>
        </w:tc>
        <w:tc>
          <w:tcPr>
            <w:tcW w:w="7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earnings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2.2 </w:t>
            </w:r>
          </w:p>
        </w:tc>
        <w:tc>
          <w:tcPr>
            <w:tcW w:w="7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per common share - 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nm - not meaningful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March 31, 2023 increased $27.1 million, or 1.3%, from the prior year comparable quarter. Results included organic revenue growth of 2.9%, primarily led by our Engineered Products and Climate &amp; Sustainability Technologies segments, and acquisition-related revenue growth of 0.9%, primarily driven by our Pumps &amp; Process Solutions segment. This growth was partially offset by an unfavorable impact from foreign currency translation of 2.5%. Customer pricing favorably impacted revenue by approximately 5.1% in the first quarter of 2023 compared to 6.0% in the prior year comparable quarter.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for the three months ended March 31, 2023 increased $3.8 million, or 0.5%, while gross profit margin decreased 30 basis points to 35.9%, from the prior year comparable quarter. Gross profit margin decreased due to product mix across the company's businesses, partially offset by pricing initiatives which continued into 2023.</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March 31, 2023 decreased $11.4 million, or 2.6%, from the prior year comparable quarter, primarily due to lower insurance claims, gain on sale of fixed assets, and lower variable compensation expense, partially offset by increased restructuring costs. As a percentage of revenue, selling, general and administrative expenses decreased 80 basis points as compared to the prior year comparable quarter to 20.8% due to an increase in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including qualifying engineering costs, are expensed when incurred and amounted to $38.0 million and $40.7 million for the three months ended March 31, 2023 and 2022, respectively. These costs as a percent of revenue were 1.8% and 2.0%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includes non-service pension benefit, deferred compensation plan investments gain or loss, earnings or charges from equity method investments, foreign exchange gain or loss, and various other items. Other income, net for the three months ended March 31, 2023 increased $1.7 million from the prior year comparable periods due to various immaterial items.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rates for the three months ended March 31, 2023 and 2022 were 20.2% and 18.0%, respectively. The increase in the effective tax rate for the three months ended March 31, 2023 relative to the prior year comparable quarter was primarily driven by favorable audit resolutions in 2022.</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earnings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earnings for the three months ended March 31, 2023 increased 1.1% to $228.6 million, or $1.63 diluted earnings per share, from $226.2 million, or $1.56 diluted earnings per share, in the prior year comparable quarter. The increase in net earnings is mainly attributable to productivity initiatives and customer pricing actions, partially offset by increased material and labor costs and unfavorable impact from foreign currency translation.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SEGMENT 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summary that follows provides a discussion of the results of operations of each of our five reportable operating segments (Engineered Products, Clean Energy &amp; Fueling, Imaging &amp; Identification, Pumps &amp; Process Solutions, and Climate &amp; Sustainability Technologies).</w:t>
      </w:r>
      <w:r>
        <w:rPr>
          <w:color w:val="000000"/>
          <w:highlight w:val="white"/>
        </w:rPr>
        <w:t xml:space="preserve"> </w:t>
      </w:r>
      <w:r>
        <w:rPr>
          <w:rFonts w:ascii="Times New Roman;sans-serif" w:hAnsi="Times New Roman;sans-serif"/>
          <w:b w:val="false"/>
          <w:color w:val="000000"/>
          <w:sz w:val="20"/>
          <w:highlight w:val="white"/>
        </w:rPr>
        <w:t>Each of these segments is comprised of various product and service offerings that serve multiple markets. We evaluate our operating segment performance based on segment earnings as defined in Note 14 — Segment Information in the condensed consolidated financial statements in Item 1 of this Form 10-Q.</w:t>
      </w:r>
      <w:r>
        <w:rPr>
          <w:color w:val="000000"/>
        </w:rPr>
        <w:t xml:space="preserve"> </w:t>
      </w:r>
      <w:r>
        <w:rPr>
          <w:rFonts w:ascii="Times New Roman;sans-serif" w:hAnsi="Times New Roman;sans-serif"/>
          <w:b w:val="false"/>
          <w:color w:val="000000"/>
          <w:sz w:val="20"/>
        </w:rPr>
        <w:t>For further information, see "Non-GAAP Disclosures" at the end of this Item 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use the following operational metrics in monitoring the performance of the business. We believe the operational metrics are useful to investors and other users of our financial information in assessing the performance of our segments: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Bookings represent total orders received from customers in the current reporting period. This metric is an important measure of performance and an indicator of revenue order trends.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Organic bookings represent total orders received from customers in the current reporting period excluding the impact of foreign currency exchange rates and the impact of acquisitions and dispositions. This metric is an important measure of performance and an indicator of revenue order trends.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Backlog represents an estimate of the total remaining bookings at a point in time for which performance obligations have not yet been satisfied. This metric is useful as it represents the aggregate amount we expect to recognize as revenue in the future.</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Book-to-bill is a ratio of the amount of bookings received from customers during a period divided by the amount of revenue recorded during that same period. This metric is a useful indicator of demand.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Engineered Products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Engineered Products segment provides a wide range of equipment, components, software, solutions and services to the vehicle aftermarket, waste handling, industrial automation, aerospace and defense, industrial winch and hoist, and fluid dispensing end-markets. </w:t>
      </w:r>
    </w:p>
    <w:tbl>
      <w:tblPr>
        <w:tblW w:w="7448" w:type="dxa"/>
        <w:jc w:val="left"/>
        <w:tblInd w:w="0" w:type="dxa"/>
        <w:tblCellMar>
          <w:top w:w="28" w:type="dxa"/>
          <w:left w:w="28" w:type="dxa"/>
          <w:bottom w:w="28" w:type="dxa"/>
          <w:right w:w="28" w:type="dxa"/>
        </w:tblCellMar>
      </w:tblPr>
      <w:tblGrid>
        <w:gridCol w:w="874"/>
        <w:gridCol w:w="769"/>
        <w:gridCol w:w="771"/>
        <w:gridCol w:w="109"/>
        <w:gridCol w:w="109"/>
        <w:gridCol w:w="109"/>
        <w:gridCol w:w="211"/>
        <w:gridCol w:w="826"/>
        <w:gridCol w:w="109"/>
        <w:gridCol w:w="109"/>
        <w:gridCol w:w="109"/>
        <w:gridCol w:w="109"/>
        <w:gridCol w:w="211"/>
        <w:gridCol w:w="826"/>
        <w:gridCol w:w="109"/>
        <w:gridCol w:w="109"/>
        <w:gridCol w:w="109"/>
        <w:gridCol w:w="109"/>
        <w:gridCol w:w="255"/>
        <w:gridCol w:w="256"/>
        <w:gridCol w:w="551"/>
        <w:gridCol w:w="109"/>
        <w:gridCol w:w="109"/>
        <w:gridCol w:w="109"/>
        <w:gridCol w:w="109"/>
        <w:gridCol w:w="109"/>
        <w:gridCol w:w="154"/>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7" w:type="dxa"/>
            <w:gridSpan w:val="9"/>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growth: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First Quarter 2023 Compared to the First Quarter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Engineered Products segment revenue for the first quarter of 2023 increased $9.9 million, or 2.0%, as compared to the first quarter of 2022, comprised primarily of organic growth of 3.4%, partially offset by an unfavorable impact from foreign currency translation of 1.4%. Customer pricing favorably impacted revenue in the first quarter of 2023 by approximately 4.1% compared to 10.8% in the prior year comparable quarter.</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organic revenue growth was primarily driven by segment-wide pricing actions to recover increased material and logistics costs, as well as strong demand and improved chassis availability in our waste handling business as large national waste haulers and municipal governments invest to upgrade their refuse collection vehicle fleets and implement our leading digital technologies to improve waste collection process efficiencies. Our industrial automation and aerospace and defense businesses experienced modest organic declines, primarily related to timing of programs with key automotive and defense customers. We anticipate organic revenue growth to continue into the second quarter driven by a healthy backlog position and strong order demand trends in several of our key end markets, most notably waste handling and industrial automation.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Engineered Products segment earnings increased $13.1 million, or 18.5%, compared to the first quarter of 2022. The increase was primarily driven by continued customer pricing actions and improved productivity, partially offset by higher labor costs, as well as an unfavorable impact from foreign currency translation. As a result, segment margin increased to 16.9% from 14.6% as compared to the prior year comparable quarter.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Bookings decreased 0.8% for the segment, comprised of an unfavorable impact from foreign currency translation of 1.7%, partially offset by organic growth of 0.9%. The organic bookings growth was driven by strong demand in our waste handling, industrial automation and industrial winch and hoist businesses, partially offset by a reduction in vehicle lift business primarily driven by normalization of lead times. Segment book-to-bill was 1.08. Backlog decreased 9.0% compared to the prior year comparable period, primarily related to supply chain improvements resulting in the normalization of customer delivery lead times and market demand in our vehicle lift business.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Clean Energy &amp; Fueling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tbl>
      <w:tblPr>
        <w:tblW w:w="7868" w:type="dxa"/>
        <w:jc w:val="left"/>
        <w:tblInd w:w="0" w:type="dxa"/>
        <w:tblCellMar>
          <w:top w:w="28" w:type="dxa"/>
          <w:left w:w="28" w:type="dxa"/>
          <w:bottom w:w="28" w:type="dxa"/>
          <w:right w:w="28" w:type="dxa"/>
        </w:tblCellMar>
      </w:tblPr>
      <w:tblGrid>
        <w:gridCol w:w="999"/>
        <w:gridCol w:w="879"/>
        <w:gridCol w:w="881"/>
        <w:gridCol w:w="109"/>
        <w:gridCol w:w="109"/>
        <w:gridCol w:w="109"/>
        <w:gridCol w:w="211"/>
        <w:gridCol w:w="826"/>
        <w:gridCol w:w="109"/>
        <w:gridCol w:w="109"/>
        <w:gridCol w:w="109"/>
        <w:gridCol w:w="109"/>
        <w:gridCol w:w="211"/>
        <w:gridCol w:w="826"/>
        <w:gridCol w:w="109"/>
        <w:gridCol w:w="109"/>
        <w:gridCol w:w="109"/>
        <w:gridCol w:w="109"/>
        <w:gridCol w:w="293"/>
        <w:gridCol w:w="293"/>
        <w:gridCol w:w="551"/>
        <w:gridCol w:w="109"/>
        <w:gridCol w:w="109"/>
        <w:gridCol w:w="109"/>
        <w:gridCol w:w="109"/>
        <w:gridCol w:w="109"/>
        <w:gridCol w:w="154"/>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decline: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decline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decline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First Quarter 2023 Compared to the First Quarter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Clean Energy &amp; Fueling segment revenue for the first quarter of 2023 decreased $27.7 million, or 6.0%, as compared to the first quarter of 2022, comprised of an unfavorable impact from foreign currency translation of 3.4%, and an organic decline of 2.6%. Customer pricing favorably impacted revenue in the first quarter of 2023 by approximately 4.5% compared to 2.9% in the prior year comparable quarter.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revenue decline was primarily driven by reduced year-over-year demand in above ground retail fueling equipment due to the expected roll-off of EMV-related demand, customer construction related delays, and overall caution among operators, and was partially offset by solid demand in fluid transfer solutions, clean energy components for LPG and H2 applications, and vehicle wash solutions, along with pricing actions aimed at mitigating material and logistics cost inflation. We expect organic growth rates in the second quarter to remain constrained due to the continued recovery in above-ground retail fueling equipment, with year-over-year improvement expected in the second half of the year.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Clean Energy &amp; Fueling segment earnings increased $0.6 million, or 0.9%, over the prior year comparable quarter. The increase was primarily driven by pricing actions, productivity initiatives and the benefit from restructuring actions taken in the second half of 2022 in response to reduced volumes in our above ground retail fueling business. These actions more than offset the unfavorable impacts of material and labor cost inflation, organic volume declines and foreign currency translation. Segment margin increased to 17.1% from 15.9% in the prior year comparable quarter.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Overall bookings decreased 9.4% as compared to the prior year comparable quarter, driven by an organic decline of 6.1% and an unfavorable impact from foreign currency translation of 3.3%. The organic bookings decline was primarily driven by reduced year-over-year demand in above ground retail fueling equipment. Segment book-to-bill was 1.06. Backlog decreased 20.9% as compared to the prior year comparable period as lead times have normalized with the improvement in global supply chains.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Imaging &amp; Identification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tbl>
      <w:tblPr>
        <w:tblW w:w="7764" w:type="dxa"/>
        <w:jc w:val="left"/>
        <w:tblInd w:w="0" w:type="dxa"/>
        <w:tblCellMar>
          <w:top w:w="28" w:type="dxa"/>
          <w:left w:w="28" w:type="dxa"/>
          <w:bottom w:w="28" w:type="dxa"/>
          <w:right w:w="28" w:type="dxa"/>
        </w:tblCellMar>
      </w:tblPr>
      <w:tblGrid>
        <w:gridCol w:w="989"/>
        <w:gridCol w:w="869"/>
        <w:gridCol w:w="872"/>
        <w:gridCol w:w="109"/>
        <w:gridCol w:w="109"/>
        <w:gridCol w:w="109"/>
        <w:gridCol w:w="211"/>
        <w:gridCol w:w="826"/>
        <w:gridCol w:w="109"/>
        <w:gridCol w:w="109"/>
        <w:gridCol w:w="109"/>
        <w:gridCol w:w="109"/>
        <w:gridCol w:w="211"/>
        <w:gridCol w:w="826"/>
        <w:gridCol w:w="109"/>
        <w:gridCol w:w="109"/>
        <w:gridCol w:w="109"/>
        <w:gridCol w:w="109"/>
        <w:gridCol w:w="255"/>
        <w:gridCol w:w="256"/>
        <w:gridCol w:w="551"/>
        <w:gridCol w:w="109"/>
        <w:gridCol w:w="109"/>
        <w:gridCol w:w="109"/>
        <w:gridCol w:w="109"/>
        <w:gridCol w:w="109"/>
        <w:gridCol w:w="154"/>
      </w:tblGrid>
      <w:tr>
        <w:trPr/>
        <w:tc>
          <w:tcPr>
            <w:tcW w:w="98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8"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growth: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First Quarter 2023 Compared to the First Quarter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 segment revenue for the first quarter of 2023 increased $10.8 million, or 4.0%, as compared to the first quarter of 2022, comprised of organic growth of 8.2%, which was partially offset by an unfavorable impact from foreign currency translation of 4.2%. Customer pricing favorably impacted revenue in the first quarter of 2023 by approximately 6.7% compared to 1.9% in the prior year comparable quarter.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revenue growth was primarily driven by pricing initiatives and solid activity in our marking and coding business, as underlying demand for our printers, spare parts, services and consumables remains positive, and we expect growth in our marking and coding business to remain positive into the second quarter. Demand in our textile printing business has continued to be impacted by high energy prices and macro uncertainty in textile producing regions.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 segment earnings increased $9.7 million, or 16.6%, over the prior year comparable quarter. This increase was primarily driven by pricing initiatives, organic revenue growth, and productivity actions, which more than offset negative impacts from material and labor cost inflation and foreign currency translation. Segment margin increased to 24.1% from 21.5% in the prior year comparable quarter.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Overall bookings decreased 5.3% as compared to the prior year comparable quarter, reflecting an unfavorable impact from foreign currency translation of 3.5%, and an organic decline of 1.8%. The organic bookings decline was primarily driven by the timing of orders in our serialization software business. Segment book-to-bill was 1.03. Backlog decreased 3.0% as compared to the prior year comparable period.</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Pumps &amp; Process Solutions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and other end-markets. </w:t>
      </w:r>
    </w:p>
    <w:tbl>
      <w:tblPr>
        <w:tblW w:w="7523" w:type="dxa"/>
        <w:jc w:val="left"/>
        <w:tblInd w:w="0" w:type="dxa"/>
        <w:tblCellMar>
          <w:top w:w="28" w:type="dxa"/>
          <w:left w:w="28" w:type="dxa"/>
          <w:bottom w:w="28" w:type="dxa"/>
          <w:right w:w="28" w:type="dxa"/>
        </w:tblCellMar>
      </w:tblPr>
      <w:tblGrid>
        <w:gridCol w:w="874"/>
        <w:gridCol w:w="769"/>
        <w:gridCol w:w="771"/>
        <w:gridCol w:w="109"/>
        <w:gridCol w:w="109"/>
        <w:gridCol w:w="109"/>
        <w:gridCol w:w="211"/>
        <w:gridCol w:w="826"/>
        <w:gridCol w:w="109"/>
        <w:gridCol w:w="109"/>
        <w:gridCol w:w="109"/>
        <w:gridCol w:w="109"/>
        <w:gridCol w:w="211"/>
        <w:gridCol w:w="826"/>
        <w:gridCol w:w="109"/>
        <w:gridCol w:w="109"/>
        <w:gridCol w:w="109"/>
        <w:gridCol w:w="109"/>
        <w:gridCol w:w="293"/>
        <w:gridCol w:w="293"/>
        <w:gridCol w:w="551"/>
        <w:gridCol w:w="109"/>
        <w:gridCol w:w="109"/>
        <w:gridCol w:w="109"/>
        <w:gridCol w:w="109"/>
        <w:gridCol w:w="109"/>
        <w:gridCol w:w="154"/>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3"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7" w:type="dxa"/>
            <w:gridSpan w:val="9"/>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decline: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decline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decline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First Quarter 2023 Compared to the First Quarter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 segment revenue for the first quarter of 2023 decreased $21.3 million, or 4.9%, as compared to the first quarter of 2022, driven by an organic decline of 7.1%, and an unfavorable impact from foreign currency translation of 2.2%, partially offset by acquisition-related growth of 4.4%. Acquisition-related growth was primarily driven by the acquisition of Malema Engineering Corporation and Witte Pumps &amp; Technology GmbH. Customer pricing favorably impacted revenue in the first quarter of 2023 by approximately 4.9% compared to 3.6% in the prior year comparable quarter.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revenue decline was primarily driven by reduced shipments for components used in COVID-19 vaccine production and biopharmaceutical manufacturers repurposing inventory purchased for the COVID-19 vaccine production toward production of non-COVID-19 therapies. This decline was partially offset by pricing initiatives, along with continued strength in industrial pumps, thermal connectors, plastics and polymer processing solutions and bearings and compression components businesses, which saw revenue growth driven by solid end market demand and strong backlogs. Underlying demand remains positive in our core biopharmaceutical platform and we anticipate sales of biopharma products to begin to increase in the second half of the year as customers deplete significant inventories built up in prior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Pumps &amp; Process Solutions segment earnings decreased $31.4 million, or 21.4%, over the prior year comparable quarter. The decrease was primarily driven by the impact of reduced revenues relating to biopharmaceutical components along with foreign currency translation headwinds. This was partially offset by pricing initiatives, conversion on increased revenues in industrial pumps, plastics and polymer processing solutions and bearings and compression components, productivity actions and restructuring benefits. Segment margin decreased to 27.8% from 33.7% from the prior year comparable quarter mainly due to business mix within the segment.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Overall bookings increased 1.0% as compared to the prior year comparable quarter driven by acquisition-related growth of 4.8%, partially offset by an unfavorable impact from foreign currency translation of 2.6% and an organic decline of 1.2%. The organic bookings decline was driven by a decrease in orders for biopharmaceutical components, partially offset by continued strong order intake in our industrial pumps, thermal connectors, plastics and polymer processing solutions and bearings and compression components businesses. Segment book-to-bill was 1.12. Backlog increased 5.4% compared to the prior year comparable period.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Climate &amp; Sustainability Technologies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Climate &amp; Sustainability Technologies segment is a provider of innovative and energy-efficient equipment, components and parts for the commercial refrigeration, equipment and systems, heating and cooling and beverage can-making equipment markets. </w:t>
      </w:r>
    </w:p>
    <w:tbl>
      <w:tblPr>
        <w:tblW w:w="7988" w:type="dxa"/>
        <w:jc w:val="left"/>
        <w:tblInd w:w="0" w:type="dxa"/>
        <w:tblCellMar>
          <w:top w:w="28" w:type="dxa"/>
          <w:left w:w="28" w:type="dxa"/>
          <w:bottom w:w="28" w:type="dxa"/>
          <w:right w:w="28" w:type="dxa"/>
        </w:tblCellMar>
      </w:tblPr>
      <w:tblGrid>
        <w:gridCol w:w="989"/>
        <w:gridCol w:w="869"/>
        <w:gridCol w:w="872"/>
        <w:gridCol w:w="109"/>
        <w:gridCol w:w="109"/>
        <w:gridCol w:w="109"/>
        <w:gridCol w:w="211"/>
        <w:gridCol w:w="826"/>
        <w:gridCol w:w="109"/>
        <w:gridCol w:w="109"/>
        <w:gridCol w:w="109"/>
        <w:gridCol w:w="109"/>
        <w:gridCol w:w="211"/>
        <w:gridCol w:w="976"/>
        <w:gridCol w:w="109"/>
        <w:gridCol w:w="109"/>
        <w:gridCol w:w="109"/>
        <w:gridCol w:w="109"/>
        <w:gridCol w:w="291"/>
        <w:gridCol w:w="294"/>
        <w:gridCol w:w="551"/>
        <w:gridCol w:w="109"/>
        <w:gridCol w:w="109"/>
        <w:gridCol w:w="109"/>
        <w:gridCol w:w="109"/>
        <w:gridCol w:w="109"/>
        <w:gridCol w:w="154"/>
      </w:tblGrid>
      <w:tr>
        <w:trPr/>
        <w:tc>
          <w:tcPr>
            <w:tcW w:w="98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2"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revenue growth: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Organic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First Quarter 2023 Compared to the First Quarter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Climate &amp; Sustainability Technologies segment revenue increased $56.2 million, or 14.1%, as compared to the first quarter of 2022, reflecting organic revenue growth of 16.2%, and partially offset by an unfavorable impact from foreign currency translation of 2.1%. Customer pricing favorably impacted revenue in the first quarter of 2023 by approximately 5.9% compared to 9.2% in the prior year comparable quarter, reflecting actions to recover higher costs.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organic revenue growth was driven by strong demand across many of our key end markets combined with pricing actions implemented to recover increased material and logistics costs. Our heat exchanger business continues to experience strong growth as regulation-driven efforts to shift from fossil fuel to electric energy in Europe drive robust demand for heat pump applications, as well as strong global commercial HVAC and industrial markets. Beverage can-making business revenues experienced solid growth, driven by strong backlog levels and secular trends in the global beverage industry as producers shift from plastic and glass packaging to aluminum cans for environmental sustainability and merchandising benefits offered by modern aluminum cans. Retail refrigeration revenue also increased from the prior year, driven by customer pricing actions, healthy remodel activity with large supermarket chains, and growing demand for natural refrigerant systems. We anticipate organic revenue growth to continue at modest levels in the second quarter driven by continued strong heat exchanger demand partially offset by the near term impact of order de-bookings related to a major retail refrigeration customer’s strategic decision to temporarily pause its new store expansion program and timing of projects in our beverage can-making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Climate &amp; Sustainability Technologies segment earnings increased $20.2 million, or 37.6%, as compared to the first quarter of 2022. Segment margin increased to 16.2% from 13.4% in the prior year comparable quarter. The segment earnings increase was driven by customer pricing actions, increased volumes and benefits from productivity initiatives, partially offset by higher material and labor costs.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Bookings in the first quarter of 2023 decreased 32.6% from the prior year comparable quarter, reflecting organic decline of 30.6% and an unfavorable impact from foreign currency translation of 2.0%. The organic bookings decline was principally driven by improving lead times, timing of large beverage equipment projects, and $90.0 million in order de-bookings discussed above. Segment book-to-bill for the first quarter of 2023 was 0.66. Backlog decreased 26.2% over the prior year comparable period, but remains at healthy and elevated levels reflecting constructive demand across several key end markets within the segment.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Reconciliation of Segment Earnings to Net Earnings</w:t>
      </w:r>
    </w:p>
    <w:tbl>
      <w:tblPr>
        <w:tblW w:w="6869" w:type="dxa"/>
        <w:jc w:val="left"/>
        <w:tblInd w:w="0" w:type="dxa"/>
        <w:tblCellMar>
          <w:top w:w="28" w:type="dxa"/>
          <w:left w:w="28" w:type="dxa"/>
          <w:bottom w:w="28" w:type="dxa"/>
          <w:right w:w="28" w:type="dxa"/>
        </w:tblCellMar>
      </w:tblPr>
      <w:tblGrid>
        <w:gridCol w:w="1304"/>
        <w:gridCol w:w="1145"/>
        <w:gridCol w:w="1151"/>
        <w:gridCol w:w="224"/>
        <w:gridCol w:w="880"/>
        <w:gridCol w:w="116"/>
        <w:gridCol w:w="116"/>
        <w:gridCol w:w="116"/>
        <w:gridCol w:w="116"/>
        <w:gridCol w:w="224"/>
        <w:gridCol w:w="880"/>
        <w:gridCol w:w="116"/>
        <w:gridCol w:w="109"/>
        <w:gridCol w:w="109"/>
        <w:gridCol w:w="109"/>
        <w:gridCol w:w="154"/>
      </w:tblGrid>
      <w:tr>
        <w:trPr/>
        <w:tc>
          <w:tcPr>
            <w:tcW w:w="1304"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earnings: </w:t>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&amp; Fueling</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earnings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415,217 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402,916 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Purchase accounting expenses </w:t>
            </w:r>
            <w:r>
              <w:rPr>
                <w:rFonts w:ascii="Times New Roman;sans-serif" w:hAnsi="Times New Roman;sans-serif"/>
                <w:b w:val="false"/>
                <w:color w:val="000000"/>
                <w:sz w:val="13"/>
              </w:rPr>
              <w:t>(1)</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Restructuring and other costs </w:t>
            </w:r>
            <w:r>
              <w:rPr>
                <w:rFonts w:ascii="Times New Roman;sans-serif" w:hAnsi="Times New Roman;sans-serif"/>
                <w:b w:val="false"/>
                <w:color w:val="000000"/>
                <w:sz w:val="13"/>
              </w:rPr>
              <w:t>(2)</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Loss on dispositions </w:t>
            </w:r>
            <w:r>
              <w:rPr>
                <w:rFonts w:ascii="Times New Roman;sans-serif" w:hAnsi="Times New Roman;sans-serif"/>
                <w:b w:val="false"/>
                <w:color w:val="000000"/>
                <w:sz w:val="13"/>
              </w:rPr>
              <w:t>(3)</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Corporate expense / other </w:t>
            </w:r>
            <w:r>
              <w:rPr>
                <w:rFonts w:ascii="Times New Roman;sans-serif" w:hAnsi="Times New Roman;sans-serif"/>
                <w:b w:val="false"/>
                <w:color w:val="000000"/>
                <w:sz w:val="13"/>
              </w:rPr>
              <w:t>(4)</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provision for income taxes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76"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Purchase accounting expenses are primarily comprised of amortization of intangible assets and charges related to fair value step-ups for acquired inventory sold during the period.</w:t>
      </w:r>
    </w:p>
    <w:p>
      <w:pPr>
        <w:pStyle w:val="TextBody"/>
        <w:spacing w:lineRule="auto" w:line="288"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Restructuring and other costs relate to actions taken for employee reductions, facility consolidations and site closures, product line exits, and other asset charges.</w:t>
      </w:r>
    </w:p>
    <w:p>
      <w:pPr>
        <w:pStyle w:val="TextBody"/>
        <w:spacing w:lineRule="auto" w:line="288"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Loss on dispositions includes working capital adjustments related to dispositions.</w:t>
      </w:r>
    </w:p>
    <w:p>
      <w:pPr>
        <w:pStyle w:val="TextBody"/>
        <w:spacing w:lineRule="auto" w:line="288" w:before="0" w:after="0"/>
        <w:jc w:val="both"/>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overhead costs, deal-related expenses and various administrative expenses relating to the corporate headquarters.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Restructuring and Other Costs (Benefits)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Restructuring and other costs (benefits) are not presented in our segment earnings because these costs are excluded from the segment operating performance measure reviewed by management. During the three months ended March 31, 2023 restructuring and other activities include restructuring charges of $12.5 million and other costs (benefits) of $1.6 million. Restructuring expenses for the three months ended March 31, 2023 </w:t>
      </w:r>
      <w:r>
        <w:rPr>
          <w:rFonts w:ascii="Times New Roman;sans-serif" w:hAnsi="Times New Roman;sans-serif"/>
          <w:b w:val="false"/>
          <w:color w:val="000000"/>
          <w:sz w:val="20"/>
          <w:highlight w:val="white"/>
        </w:rPr>
        <w:t xml:space="preserve">were primarily related to </w:t>
      </w:r>
      <w:r>
        <w:rPr>
          <w:rFonts w:ascii="Times New Roman;sans-serif" w:hAnsi="Times New Roman;sans-serif"/>
          <w:b w:val="false"/>
          <w:color w:val="000000"/>
          <w:sz w:val="20"/>
        </w:rPr>
        <w:t>headcount reductions and exit costs in the Clean Energy &amp; Fueling segment. These programs were initiated in 2022 and 2023 and were undertaken in light of current market conditions. Other costs (benefits), net for the three months ended March 31, 2023 was comprised primarily of $1.1 million for product line rationalization in the Clean Energy &amp; Fueling segment. These restructuring and other charges were recorded in cost of goods and services and selling, general and administrative expenses in the condensed consolidated statement of earnings. Additional programs beyond the scope of the announced programs may be implemented during 2023 with related restructuring charges.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the following restructuring and other costs (benefits) for the three months ended March 31, 2023:</w:t>
      </w:r>
    </w:p>
    <w:tbl>
      <w:tblPr>
        <w:tblW w:w="10440" w:type="dxa"/>
        <w:jc w:val="left"/>
        <w:tblInd w:w="0" w:type="dxa"/>
        <w:tblCellMar>
          <w:top w:w="28" w:type="dxa"/>
          <w:left w:w="28" w:type="dxa"/>
          <w:bottom w:w="28" w:type="dxa"/>
          <w:right w:w="28" w:type="dxa"/>
        </w:tblCellMar>
      </w:tblPr>
      <w:tblGrid>
        <w:gridCol w:w="535"/>
        <w:gridCol w:w="272"/>
        <w:gridCol w:w="274"/>
        <w:gridCol w:w="263"/>
        <w:gridCol w:w="565"/>
        <w:gridCol w:w="148"/>
        <w:gridCol w:w="109"/>
        <w:gridCol w:w="109"/>
        <w:gridCol w:w="109"/>
        <w:gridCol w:w="196"/>
        <w:gridCol w:w="646"/>
        <w:gridCol w:w="109"/>
        <w:gridCol w:w="109"/>
        <w:gridCol w:w="109"/>
        <w:gridCol w:w="109"/>
        <w:gridCol w:w="360"/>
        <w:gridCol w:w="774"/>
        <w:gridCol w:w="202"/>
        <w:gridCol w:w="109"/>
        <w:gridCol w:w="109"/>
        <w:gridCol w:w="109"/>
        <w:gridCol w:w="198"/>
        <w:gridCol w:w="562"/>
        <w:gridCol w:w="111"/>
        <w:gridCol w:w="109"/>
        <w:gridCol w:w="109"/>
        <w:gridCol w:w="109"/>
        <w:gridCol w:w="368"/>
        <w:gridCol w:w="792"/>
        <w:gridCol w:w="206"/>
        <w:gridCol w:w="109"/>
        <w:gridCol w:w="109"/>
        <w:gridCol w:w="109"/>
        <w:gridCol w:w="238"/>
        <w:gridCol w:w="530"/>
        <w:gridCol w:w="133"/>
        <w:gridCol w:w="109"/>
        <w:gridCol w:w="109"/>
        <w:gridCol w:w="109"/>
        <w:gridCol w:w="196"/>
        <w:gridCol w:w="646"/>
        <w:gridCol w:w="154"/>
      </w:tblGrid>
      <w:tr>
        <w:trPr/>
        <w:tc>
          <w:tcPr>
            <w:tcW w:w="53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9"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Engineered Products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Clean Energy &amp; Fueling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Imaging &amp; Identification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Pumps &amp; Process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Climate &amp; Sustainability Technologies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costs (benefits), net</w:t>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 costs (benefits)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 xml:space="preserve">During the three months ended March 31, 2022, restructuring and other activities included restructuring charges of $8.2 million and other costs (benefits), net, of $2.4 million. Restructuring expense for the three months ended March 31, 2022 </w:t>
      </w:r>
      <w:r>
        <w:rPr>
          <w:rFonts w:ascii="Times New Roman;sans-serif" w:hAnsi="Times New Roman;sans-serif"/>
          <w:b w:val="false"/>
          <w:color w:val="000000"/>
          <w:sz w:val="20"/>
          <w:highlight w:val="white"/>
        </w:rPr>
        <w:t xml:space="preserve">was comprised </w:t>
      </w:r>
      <w:r>
        <w:rPr>
          <w:rFonts w:ascii="Times New Roman;sans-serif" w:hAnsi="Times New Roman;sans-serif"/>
          <w:b w:val="false"/>
          <w:color w:val="000000"/>
          <w:sz w:val="20"/>
        </w:rPr>
        <w:t>primarily of the result of restructuring programs initiated in 2021, which includes non-cash foreign currency translation losses due to the substantial liquidation of businesses in certain Latin America countries. Other costs (benefits), net for the three months ended March 31, 2022 was comprised primarily of a $2.1 million write-off of assets in connection with an exit from certain Latin America countries in our Climate &amp; Sustainability Technologies segment. These restructuring and other charges were recorded in cost of goods and services and selling, general and administrative expenses in the condensed consolidated statement of earnings.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recorded the following restructuring and other costs (benefits) for the three months</w:t>
      </w:r>
      <w:r>
        <w:rPr>
          <w:color w:val="000000"/>
          <w:highlight w:val="white"/>
        </w:rPr>
        <w:t xml:space="preserve"> </w:t>
      </w:r>
      <w:r>
        <w:rPr>
          <w:rFonts w:ascii="Times New Roman;sans-serif" w:hAnsi="Times New Roman;sans-serif"/>
          <w:b w:val="false"/>
          <w:color w:val="000000"/>
          <w:sz w:val="20"/>
          <w:highlight w:val="white"/>
        </w:rPr>
        <w:t>ended March 31, 2022</w:t>
      </w:r>
      <w:r>
        <w:rPr>
          <w:rFonts w:ascii="Times New Roman;sans-serif" w:hAnsi="Times New Roman;sans-serif"/>
          <w:b w:val="false"/>
          <w:color w:val="000000"/>
          <w:sz w:val="20"/>
        </w:rPr>
        <w:t>:</w:t>
      </w:r>
    </w:p>
    <w:tbl>
      <w:tblPr>
        <w:tblW w:w="10360" w:type="dxa"/>
        <w:jc w:val="left"/>
        <w:tblInd w:w="0" w:type="dxa"/>
        <w:tblCellMar>
          <w:top w:w="28" w:type="dxa"/>
          <w:left w:w="28" w:type="dxa"/>
          <w:bottom w:w="28" w:type="dxa"/>
          <w:right w:w="28" w:type="dxa"/>
        </w:tblCellMar>
      </w:tblPr>
      <w:tblGrid>
        <w:gridCol w:w="535"/>
        <w:gridCol w:w="272"/>
        <w:gridCol w:w="274"/>
        <w:gridCol w:w="263"/>
        <w:gridCol w:w="565"/>
        <w:gridCol w:w="148"/>
        <w:gridCol w:w="109"/>
        <w:gridCol w:w="109"/>
        <w:gridCol w:w="109"/>
        <w:gridCol w:w="235"/>
        <w:gridCol w:w="505"/>
        <w:gridCol w:w="131"/>
        <w:gridCol w:w="109"/>
        <w:gridCol w:w="109"/>
        <w:gridCol w:w="109"/>
        <w:gridCol w:w="304"/>
        <w:gridCol w:w="862"/>
        <w:gridCol w:w="170"/>
        <w:gridCol w:w="109"/>
        <w:gridCol w:w="109"/>
        <w:gridCol w:w="109"/>
        <w:gridCol w:w="235"/>
        <w:gridCol w:w="505"/>
        <w:gridCol w:w="131"/>
        <w:gridCol w:w="109"/>
        <w:gridCol w:w="109"/>
        <w:gridCol w:w="109"/>
        <w:gridCol w:w="310"/>
        <w:gridCol w:w="882"/>
        <w:gridCol w:w="174"/>
        <w:gridCol w:w="109"/>
        <w:gridCol w:w="109"/>
        <w:gridCol w:w="109"/>
        <w:gridCol w:w="271"/>
        <w:gridCol w:w="478"/>
        <w:gridCol w:w="152"/>
        <w:gridCol w:w="109"/>
        <w:gridCol w:w="109"/>
        <w:gridCol w:w="109"/>
        <w:gridCol w:w="196"/>
        <w:gridCol w:w="646"/>
        <w:gridCol w:w="154"/>
      </w:tblGrid>
      <w:tr>
        <w:trPr/>
        <w:tc>
          <w:tcPr>
            <w:tcW w:w="53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Engineered Products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Clean Energy &amp; Fueling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Imaging &amp; Identification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Pumps &amp; Process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Climate &amp; Sustainability Technologies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costs (benefits), net</w:t>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 costs (benefits)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Purchase Accounting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accounting expenses primarily relate to amortization of acquired assets and charges related to fair value step-ups for acquired inventory sold during the period. These expenses are not presented in our segment earnings because they are excluded from the segment operating performance measure reviewed by management. These expenses reconcile to segment earnings as follows:</w:t>
      </w:r>
    </w:p>
    <w:tbl>
      <w:tblPr>
        <w:tblW w:w="10205" w:type="dxa"/>
        <w:jc w:val="left"/>
        <w:tblInd w:w="0" w:type="dxa"/>
        <w:tblCellMar>
          <w:top w:w="28" w:type="dxa"/>
          <w:left w:w="28" w:type="dxa"/>
          <w:bottom w:w="28" w:type="dxa"/>
          <w:right w:w="28" w:type="dxa"/>
        </w:tblCellMar>
      </w:tblPr>
      <w:tblGrid>
        <w:gridCol w:w="1967"/>
        <w:gridCol w:w="1428"/>
        <w:gridCol w:w="1434"/>
        <w:gridCol w:w="428"/>
        <w:gridCol w:w="1465"/>
        <w:gridCol w:w="221"/>
        <w:gridCol w:w="221"/>
        <w:gridCol w:w="221"/>
        <w:gridCol w:w="221"/>
        <w:gridCol w:w="428"/>
        <w:gridCol w:w="1465"/>
        <w:gridCol w:w="221"/>
        <w:gridCol w:w="109"/>
        <w:gridCol w:w="109"/>
        <w:gridCol w:w="109"/>
        <w:gridCol w:w="158"/>
      </w:tblGrid>
      <w:tr>
        <w:trPr/>
        <w:tc>
          <w:tcPr>
            <w:tcW w:w="1967"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accounting expenses</w:t>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Products</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Clean Energy &amp; Fueling </w:t>
            </w:r>
            <w:r>
              <w:rPr>
                <w:rFonts w:ascii="Times New Roman;sans-serif" w:hAnsi="Times New Roman;sans-serif"/>
                <w:b w:val="false"/>
                <w:color w:val="000000"/>
                <w:sz w:val="13"/>
              </w:rPr>
              <w:t>1</w:t>
            </w:r>
          </w:p>
        </w:tc>
        <w:tc>
          <w:tcPr>
            <w:tcW w:w="1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Imaging &amp; Identification</w:t>
            </w:r>
          </w:p>
        </w:tc>
        <w:tc>
          <w:tcPr>
            <w:tcW w:w="1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Pumps &amp; Process Solutions</w:t>
            </w:r>
          </w:p>
        </w:tc>
        <w:tc>
          <w:tcPr>
            <w:tcW w:w="1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&amp; Sustainability Technologies</w:t>
            </w:r>
          </w:p>
        </w:tc>
        <w:tc>
          <w:tcPr>
            <w:tcW w:w="1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9720" w:type="dxa"/>
            <w:gridSpan w:val="12"/>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0"/>
                <w:highlight w:val="white"/>
              </w:rPr>
              <w:t xml:space="preserve">1 </w:t>
            </w:r>
            <w:r>
              <w:rPr>
                <w:rFonts w:ascii="Times New Roman;sans-serif" w:hAnsi="Times New Roman;sans-serif"/>
                <w:b w:val="false"/>
                <w:color w:val="000000"/>
                <w:sz w:val="16"/>
                <w:highlight w:val="white"/>
              </w:rPr>
              <w:t xml:space="preserve">Purchase accounting expenses in our Clean Energy and Fueling segment decreased by $11,763 for the three months ended March 31, 2023 from the prior year comparable period, which included </w:t>
            </w:r>
            <w:r>
              <w:rPr>
                <w:rFonts w:ascii="Times New Roman;sans-serif" w:hAnsi="Times New Roman;sans-serif"/>
                <w:b w:val="false"/>
                <w:color w:val="000000"/>
                <w:sz w:val="16"/>
              </w:rPr>
              <w:t>$12,097 of charges related to</w:t>
            </w:r>
            <w:r>
              <w:rPr>
                <w:color w:val="000000"/>
                <w:highlight w:val="white"/>
              </w:rPr>
              <w:t xml:space="preserve"> </w:t>
            </w:r>
            <w:r>
              <w:rPr>
                <w:rFonts w:ascii="Times New Roman;sans-serif" w:hAnsi="Times New Roman;sans-serif"/>
                <w:b w:val="false"/>
                <w:color w:val="000000"/>
                <w:sz w:val="16"/>
                <w:highlight w:val="white"/>
              </w:rPr>
              <w:t>fair value step-ups for inventory from the acquisition of RegO and Acme Cryogenics in Q4 2021.</w:t>
            </w:r>
          </w:p>
        </w:tc>
        <w:tc>
          <w:tcPr>
            <w:tcW w:w="485" w:type="dxa"/>
            <w:gridSpan w:val="4"/>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Flow Summary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derived from our condensed consolidated statements of cash flows:</w:t>
      </w:r>
    </w:p>
    <w:tbl>
      <w:tblPr>
        <w:tblW w:w="6579" w:type="dxa"/>
        <w:jc w:val="left"/>
        <w:tblInd w:w="0" w:type="dxa"/>
        <w:tblCellMar>
          <w:top w:w="28" w:type="dxa"/>
          <w:left w:w="28" w:type="dxa"/>
          <w:bottom w:w="28" w:type="dxa"/>
          <w:right w:w="28" w:type="dxa"/>
        </w:tblCellMar>
      </w:tblPr>
      <w:tblGrid>
        <w:gridCol w:w="1358"/>
        <w:gridCol w:w="1192"/>
        <w:gridCol w:w="1199"/>
        <w:gridCol w:w="233"/>
        <w:gridCol w:w="915"/>
        <w:gridCol w:w="120"/>
        <w:gridCol w:w="120"/>
        <w:gridCol w:w="120"/>
        <w:gridCol w:w="120"/>
        <w:gridCol w:w="233"/>
        <w:gridCol w:w="799"/>
        <w:gridCol w:w="170"/>
      </w:tblGrid>
      <w:tr>
        <w:trPr/>
        <w:tc>
          <w:tcPr>
            <w:tcW w:w="1358"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Cash Flows from Operations </w:t>
            </w:r>
            <w:r>
              <w:rPr>
                <w:rFonts w:ascii="Times New Roman;sans-serif" w:hAnsi="Times New Roman;sans-serif"/>
                <w:b w:val="false"/>
                <w:i/>
                <w:color w:val="000000"/>
                <w:sz w:val="20"/>
              </w:rPr>
              <w:t>(in thousands)</w:t>
            </w:r>
          </w:p>
        </w:tc>
        <w:tc>
          <w:tcPr>
            <w:tcW w:w="12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(used in):</w:t>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(43,556)</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(46,963)</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(306,565)</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(75,204)</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from operating activities for the three months ended March 31, 2023 increased compared to March 31, 2022. This increase was primarily driven by improvements in the cash flows related to working capital.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Adjusted Working Capital: </w:t>
      </w:r>
      <w:r>
        <w:rPr>
          <w:rFonts w:ascii="Times New Roman;sans-serif" w:hAnsi="Times New Roman;sans-serif"/>
          <w:b w:val="false"/>
          <w:color w:val="000000"/>
          <w:sz w:val="20"/>
        </w:rPr>
        <w:t>We believe adjusted working capital (a non-GAAP measure calculated as accounts receivable, plus inventory, less accounts payable) provides a meaningful measure of liquidity by showing changes caused by operational results. The following table provides a calculation of adjusted working capital:</w:t>
      </w:r>
    </w:p>
    <w:p>
      <w:pPr>
        <w:pStyle w:val="TextBody"/>
        <w:spacing w:before="0" w:after="0"/>
        <w:jc w:val="both"/>
        <w:rPr/>
      </w:pPr>
      <w:r>
        <w:rPr/>
      </w:r>
    </w:p>
    <w:tbl>
      <w:tblPr>
        <w:tblW w:w="7418" w:type="dxa"/>
        <w:jc w:val="left"/>
        <w:tblInd w:w="0" w:type="dxa"/>
        <w:tblCellMar>
          <w:top w:w="28" w:type="dxa"/>
          <w:left w:w="28" w:type="dxa"/>
          <w:bottom w:w="28" w:type="dxa"/>
          <w:right w:w="28" w:type="dxa"/>
        </w:tblCellMar>
      </w:tblPr>
      <w:tblGrid>
        <w:gridCol w:w="1287"/>
        <w:gridCol w:w="1132"/>
        <w:gridCol w:w="1135"/>
        <w:gridCol w:w="109"/>
        <w:gridCol w:w="234"/>
        <w:gridCol w:w="1085"/>
        <w:gridCol w:w="121"/>
        <w:gridCol w:w="109"/>
        <w:gridCol w:w="109"/>
        <w:gridCol w:w="109"/>
        <w:gridCol w:w="281"/>
        <w:gridCol w:w="1299"/>
        <w:gridCol w:w="145"/>
        <w:gridCol w:w="109"/>
        <w:gridCol w:w="154"/>
      </w:tblGrid>
      <w:tr>
        <w:trPr/>
        <w:tc>
          <w:tcPr>
            <w:tcW w:w="1287"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Adjusted Working Capital </w:t>
            </w:r>
            <w:r>
              <w:rPr>
                <w:rFonts w:ascii="Times New Roman;sans-serif" w:hAnsi="Times New Roman;sans-serif"/>
                <w:b w:val="false"/>
                <w:i/>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1,460,970 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1,516,871 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1,405,416 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1,366,608 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Accounts payable</w:t>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1,039,162 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1,068,144 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working capital</w:t>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1,827,224 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1,815,335 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working capital increased by $11.9 million, or 0.7%, in the quarter ended March 31, 2023, which reflected an increase of $38.8 million in inventory and a decrease in accounts payable of $29.0 million, partially offset by a decrease of $55.9 million in accounts receivable. Inventories increased to support business growth and seasonality trends. The change in accounts payable and accounts receivable reflect the timing of payments and collections.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from investing activities is generally derived from cash outflows for capital expenditures and acquisitions, offset by proceeds from sales of business, property, plant and equipment. During the three months ended March 31, 2023, the majority of the activity in investing activities was comprised of capital spending. Our capital expenditures decreased $2.0 million during the three months ended March 31, 2023 compared to the three months ended March 31, 2022. We estimate capital expenditures in 2023 to range from $185.0 million to $195.0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capital expenditures and any acquisitions we make through the remainder of 2023 will be funded from available cash and internally generated funds and, if necessary, through the issuance of commercial paper, borrowings from revolving credit facilities or by accessing the public debt or equity markets.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from financing activities generally relates to the use of cash for repurchases of our common stock and payment of dividends, offset by borrowing activity. The majority of financing activity was attributed to the following: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Commercial paper and other short-term borrowings, net:</w:t>
      </w:r>
      <w:r>
        <w:rPr>
          <w:color w:val="000000"/>
        </w:rPr>
        <w:t xml:space="preserve"> </w:t>
      </w:r>
      <w:r>
        <w:rPr>
          <w:rFonts w:ascii="Times New Roman;sans-serif" w:hAnsi="Times New Roman;sans-serif"/>
          <w:b w:val="false"/>
          <w:color w:val="000000"/>
          <w:sz w:val="20"/>
        </w:rPr>
        <w:t xml:space="preserve">During the three months ended March 31, 2023, we used $221.2 million to pay off commercial paper borrowings. During the three months ended March 31, 2022, we received net proceeds of $7.8 million from commercial paper borrowings.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Dividend payments: </w:t>
      </w:r>
      <w:r>
        <w:rPr>
          <w:rFonts w:ascii="Times New Roman;sans-serif" w:hAnsi="Times New Roman;sans-serif"/>
          <w:b w:val="false"/>
          <w:color w:val="000000"/>
          <w:sz w:val="20"/>
        </w:rPr>
        <w:t>Total dividend payments to common shareholders were $70.8 million during the three months ended March 31, 2023, as compared to $72.2 million during the same period in 2022. Our dividends paid per common share increased 1.0% to $0.505 during the three months ended March 31, 2023 compared to $0.50 during the same period in 2022. The number of common shares outstanding decreased in the comparative periods due to share repurchase activity throughout 2022.</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Payments to settle employee tax obligations:</w:t>
      </w:r>
      <w:r>
        <w:rPr>
          <w:color w:val="000000"/>
        </w:rPr>
        <w:t xml:space="preserve"> </w:t>
      </w:r>
      <w:r>
        <w:rPr>
          <w:rFonts w:ascii="Times New Roman;sans-serif" w:hAnsi="Times New Roman;sans-serif"/>
          <w:b w:val="false"/>
          <w:color w:val="000000"/>
          <w:sz w:val="20"/>
        </w:rPr>
        <w:t>Payments to settle tax obligations from the exercise of share-based awards increased $2.9 million compared to the prior year period, primarily due to an increase in the number of shares exercised.</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our free cash flow to cash flow provided by operating activities:</w:t>
      </w:r>
    </w:p>
    <w:tbl>
      <w:tblPr>
        <w:tblW w:w="8448" w:type="dxa"/>
        <w:jc w:val="left"/>
        <w:tblInd w:w="0" w:type="dxa"/>
        <w:tblCellMar>
          <w:top w:w="28" w:type="dxa"/>
          <w:left w:w="28" w:type="dxa"/>
          <w:bottom w:w="28" w:type="dxa"/>
          <w:right w:w="28" w:type="dxa"/>
        </w:tblCellMar>
      </w:tblPr>
      <w:tblGrid>
        <w:gridCol w:w="1988"/>
        <w:gridCol w:w="1749"/>
        <w:gridCol w:w="1753"/>
        <w:gridCol w:w="211"/>
        <w:gridCol w:w="826"/>
        <w:gridCol w:w="271"/>
        <w:gridCol w:w="109"/>
        <w:gridCol w:w="109"/>
        <w:gridCol w:w="109"/>
        <w:gridCol w:w="211"/>
        <w:gridCol w:w="796"/>
        <w:gridCol w:w="316"/>
      </w:tblGrid>
      <w:tr>
        <w:trPr/>
        <w:tc>
          <w:tcPr>
            <w:tcW w:w="1988"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8"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i/>
                <w:color w:val="000000"/>
                <w:sz w:val="20"/>
              </w:rPr>
              <w:t>(dollars in thousands)</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 expenditures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(50,381)</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0"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as a percentage of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as a percentage of net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as a percentage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as a percentage of net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we generated free cash flow of $192.9 million, representing 9.3% of revenue and 84.4% of net earnings. Free cash flow for the three months ended March 31, 2023 increased $219.6 million, compared to March 31, 2022, due to higher operating cash flow, primarily as a result of improvements in working capital compared to the prior year.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Capitalization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commercial paper borrowings for general corporate purposes, including the funding of acquisitions and the repurchase of our common stock. As of March 31, 2023, we maintained a $1.0 billion five-year unsecured revolving credit facility (the "Credit Agreement") with a syndicate of banks which expires on October 4, 2024. The Company uses the Credit Agreement principally as liquidity back-up for our commercial paper program and for general corporate purposes.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an interest coverage ratio of consolidated EBITDA to consolidated net interest expense of not less than 3.0 to 1.0. We were in compliance with all covenants in the Credit Agreement and our other long-term debt covenants at March 31, 2023 and had an interest coverage ratio of 14.6 to 1. We are not aware of any potential impairment to our liquidity and expect to remain in compliance with all of our debt covenants. Additionally, our earliest long-term debt maturity i</w:t>
      </w:r>
      <w:r>
        <w:rPr>
          <w:rFonts w:ascii="Times New Roman;sans-serif" w:hAnsi="Times New Roman;sans-serif"/>
          <w:b w:val="false"/>
          <w:color w:val="000000"/>
          <w:sz w:val="20"/>
        </w:rPr>
        <w:t>s in 2025.</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2023, the Company entered into a new $1 billion five-year unsecured revolving credit facility, which has substantially similar terms to the existing Credit Agreement, and a $500 million 364-day unsecured revolving credit facility. The new five-year credit facility replaced the existing Credit Agreement. See Note 18 — Subsequent Events in the condensed consolidated financial statements in Item 1 of this Form 10-Q for additional details.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 current shelf registration statement filed with the SEC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our cash and cash equivalents totaled $272.4 million, of which approximately $246.8 million was held outside the United States. At December 31, 2022, our cash and cash equivalents totaled $380.9 million, of which approximately $261.4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pStyle w:val="TextBody"/>
        <w:spacing w:before="0" w:after="0"/>
        <w:jc w:val="both"/>
        <w:rPr/>
      </w:pPr>
      <w:r>
        <w:rPr/>
      </w:r>
    </w:p>
    <w:tbl>
      <w:tblPr>
        <w:tblW w:w="7184" w:type="dxa"/>
        <w:jc w:val="left"/>
        <w:tblInd w:w="0" w:type="dxa"/>
        <w:tblCellMar>
          <w:top w:w="28" w:type="dxa"/>
          <w:left w:w="28" w:type="dxa"/>
          <w:bottom w:w="28" w:type="dxa"/>
          <w:right w:w="28" w:type="dxa"/>
        </w:tblCellMar>
      </w:tblPr>
      <w:tblGrid>
        <w:gridCol w:w="1157"/>
        <w:gridCol w:w="1016"/>
        <w:gridCol w:w="1021"/>
        <w:gridCol w:w="109"/>
        <w:gridCol w:w="109"/>
        <w:gridCol w:w="109"/>
        <w:gridCol w:w="211"/>
        <w:gridCol w:w="976"/>
        <w:gridCol w:w="271"/>
        <w:gridCol w:w="109"/>
        <w:gridCol w:w="109"/>
        <w:gridCol w:w="109"/>
        <w:gridCol w:w="249"/>
        <w:gridCol w:w="1155"/>
        <w:gridCol w:w="320"/>
        <w:gridCol w:w="154"/>
      </w:tblGrid>
      <w:tr>
        <w:trPr/>
        <w:tc>
          <w:tcPr>
            <w:tcW w:w="1157"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Net Debt to Net Capitalization Ratio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734,936 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2,961,362 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2,942,513 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3,475,929 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3,678,285 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(272,426)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(380,868)</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3,297,417 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4,460,561 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4,286,366 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7,664,064 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7,583,783 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to net 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Our net debt to net capitalization ratio decreased to 41.8% at March 31, 2023 compared to 43.5% at December 31, 2022. Net debt decreased $93.9 million during the peri</w:t>
      </w:r>
      <w:r>
        <w:rPr>
          <w:rFonts w:ascii="Times New Roman;sans-serif" w:hAnsi="Times New Roman;sans-serif"/>
          <w:b w:val="false"/>
          <w:color w:val="000000"/>
          <w:sz w:val="20"/>
        </w:rPr>
        <w:t>od primarily due to a decrease in commercial paper borrowings, partially offset by lower cash and cash equivalents. Stockholde</w:t>
      </w:r>
      <w:r>
        <w:rPr>
          <w:rFonts w:ascii="Times New Roman;sans-serif" w:hAnsi="Times New Roman;sans-serif"/>
          <w:b w:val="false"/>
          <w:color w:val="000000"/>
          <w:sz w:val="20"/>
          <w:highlight w:val="white"/>
        </w:rPr>
        <w:t>rs' equit</w:t>
      </w:r>
      <w:r>
        <w:rPr>
          <w:rFonts w:ascii="Times New Roman;sans-serif" w:hAnsi="Times New Roman;sans-serif"/>
          <w:b w:val="false"/>
          <w:color w:val="000000"/>
          <w:sz w:val="20"/>
        </w:rPr>
        <w:t xml:space="preserve">y increased for the period as a result of current earnings of $228.6 million and other comprehensive earnings of $17.1 million, primarily due to the favorable impact of foreign currency fluctuations, partially offset by $70.8 million of dividends paid.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cash flow and access to capital markets are expected to satisfy our various cash flow requirements, including acquisitions, capital expenditures, purchase obligations, and lease obligations. Acquisition spending and/or share repurchases could potentially increase our debt.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existing sources of liquidity are adequate to meet anticipated funding needs at current risk-based interest rates for the foreseeable future.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Standards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17 — Recent Accounting Pronouncements in the condensed consolidated financial statements in Item 1 of this Form 10-Q. The adoption of recent accounting standards as included in Note 17 — Recent Accounting Pronouncements in the condensed consolidated financial statements has not had, and is not expected to have, a significant impact on our revenue, earnings or liquidity.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2022.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COVID-19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2022.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Non-GAAP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net earnings,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 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provides a meaningful measure of liquidity by showing changes caused by operational results. We believe that reporting organic revenue growth, which excludes the impact of foreign currency exchange rates and the impact of acquisitions and divestitures, provides a useful comparison of our revenue performance and trends between periods.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and comparisons to non-GAAP measures can be found above in this Item 2, Management's Discussion and Analysis of Financial Condition and Results of Operations.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significant change in our exposure to market risk during the three months ended March 31, 2023. For a discussion of our exposure to market risk, refer to Item 7A, "Quantitative and Qualitative Disclosures about Market Risk," contained in our Annual Report on Form 10-K for the fiscal year ended December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Item 4</w:t>
      </w:r>
      <w:r>
        <w:rPr>
          <w:rFonts w:ascii="Times New Roman;sans-serif" w:hAnsi="Times New Roman;sans-serif"/>
          <w:b w:val="false"/>
          <w:color w:val="000000"/>
          <w:sz w:val="20"/>
        </w:rPr>
        <w:t xml:space="preserve">. </w:t>
      </w:r>
      <w:r>
        <w:rPr>
          <w:rFonts w:ascii="Times New Roman;sans-serif" w:hAnsi="Times New Roman;sans-serif"/>
          <w:b/>
          <w:color w:val="000000"/>
          <w:sz w:val="20"/>
        </w:rPr>
        <w:t>Controls and Procedures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March 31, 2023.</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there were no changes in the Company’s internal control over financial reporting that materially affected, or are reasonably likely to materially affect, the Company’s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 Commitments and Contingent Liabilities in the condensed consolidated financial statements in Item 1 of this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our Annual Report on Form 10-K for the year ended December 31,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a.Not applicable.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b.Not applicable.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c.In November 2020, the Company's Board of Directors approved a new standing share repurchase authorization, whereby the Company may repurchase up to 20 million shares beginning on January 1, 2021 through December 31, 2023. No share repurchases were made under the November 2020 authorization during the three months ended March 31, 2023. As of March 31, 2023, the number of shares still available for repurchase under the November 2020 share repurchase authorization was 15,283,326.</w:t>
      </w:r>
    </w:p>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55"/>
        <w:gridCol w:w="226"/>
        <w:gridCol w:w="154"/>
        <w:gridCol w:w="3040"/>
        <w:gridCol w:w="2696"/>
        <w:gridCol w:w="3834"/>
      </w:tblGrid>
      <w:tr>
        <w:trPr/>
        <w:tc>
          <w:tcPr>
            <w:tcW w:w="25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40"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3834" w:type="dxa"/>
            <w:tcBorders/>
            <w:shd w:fill="auto" w:val="clear"/>
            <w:vAlign w:val="center"/>
          </w:tcPr>
          <w:p>
            <w:pPr>
              <w:pStyle w:val="TableContents"/>
              <w:spacing w:before="0" w:after="283"/>
              <w:rPr>
                <w:sz w:val="4"/>
                <w:szCs w:val="4"/>
              </w:rPr>
            </w:pPr>
            <w:r>
              <w:rPr>
                <w:sz w:val="4"/>
                <w:szCs w:val="4"/>
              </w:rPr>
            </w:r>
          </w:p>
        </w:tc>
      </w:tr>
      <w:tr>
        <w:trPr/>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10-qexhibit311.htm">
              <w:r>
                <w:rPr>
                  <w:rStyle w:val="InternetLink"/>
                  <w:rFonts w:ascii="Times New Roman;sans-serif" w:hAnsi="Times New Roman;sans-serif"/>
                  <w:b w:val="false"/>
                  <w:color w:val="0000FF"/>
                  <w:sz w:val="20"/>
                  <w:u w:val="single"/>
                </w:rPr>
                <w:t>Certificate pursuant to Rule 13a-14(a) of the Securities Exchange Act of 1934, as amended, signed and dated by Brad M. Cerepak.</w:t>
              </w:r>
            </w:hyperlink>
          </w:p>
        </w:tc>
      </w:tr>
      <w:tr>
        <w:trPr/>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10-qexhibit312.htm">
              <w:r>
                <w:rPr>
                  <w:rStyle w:val="InternetLink"/>
                  <w:rFonts w:ascii="Times New Roman;sans-serif" w:hAnsi="Times New Roman;sans-serif"/>
                  <w:b w:val="false"/>
                  <w:color w:val="0000FF"/>
                  <w:sz w:val="20"/>
                  <w:u w:val="single"/>
                </w:rPr>
                <w:t>Certificate pursuant to Rule 13a-14(a) of the Securities Exchange Act of 1934, as amended, signed and dated by Richard J. Tobin.</w:t>
              </w:r>
            </w:hyperlink>
          </w:p>
        </w:tc>
      </w:tr>
      <w:tr>
        <w:trPr/>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5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10-qexhibit3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signed and dated by Richard J. Tobin and Brad M. Cerepak.</w:t>
              </w:r>
            </w:hyperlink>
          </w:p>
        </w:tc>
      </w:tr>
      <w:tr>
        <w:trPr/>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Dover Corporation’s Quarterly Report on Form 10-Q for the quarter ended March 31, 2023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tc>
      </w:tr>
      <w:tr>
        <w:trPr/>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formatted in Inline XBRL and contained in Exhibit 101.</w:t>
            </w:r>
          </w:p>
        </w:tc>
      </w:tr>
      <w:tr>
        <w:trPr/>
        <w:tc>
          <w:tcPr>
            <w:tcW w:w="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 w:type="dxa"/>
            <w:gridSpan w:val="3"/>
            <w:tcBorders/>
            <w:shd w:fill="auto" w:val="clear"/>
            <w:vAlign w:val="center"/>
          </w:tcPr>
          <w:p>
            <w:pPr>
              <w:pStyle w:val="TableContents"/>
              <w:spacing w:before="0" w:after="283"/>
              <w:rPr>
                <w:sz w:val="4"/>
                <w:szCs w:val="4"/>
              </w:rPr>
            </w:pPr>
            <w:r>
              <w:rPr>
                <w:sz w:val="4"/>
                <w:szCs w:val="4"/>
              </w:rPr>
            </w:r>
          </w:p>
        </w:tc>
        <w:tc>
          <w:tcPr>
            <w:tcW w:w="95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v:rect>
            </w:pict>
          </mc:Fallback>
        </mc:AlternateContent>
      </w:r>
    </w:p>
    <w:p>
      <w:pPr>
        <w:pStyle w:val="TextBody"/>
        <w:spacing w:lineRule="auto" w:line="288" w:before="0" w:after="0"/>
        <w:rPr/>
      </w:pPr>
      <w:hyperlink w:anchor="i2be68fb8978241959a11591e86f959ab_4">
        <w:r>
          <w:rPr>
            <w:rStyle w:val="InternetLink"/>
            <w:rFonts w:ascii="Times New Roman;sans-serif" w:hAnsi="Times New Roman;sans-serif"/>
            <w:b w:val="false"/>
            <w:color w:val="026DCE"/>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on Form 10-Q to be signed on its behalf by the undersigned thereunto duly authorized.</w:t>
      </w:r>
    </w:p>
    <w:tbl>
      <w:tblPr>
        <w:tblW w:w="5833" w:type="dxa"/>
        <w:jc w:val="left"/>
        <w:tblInd w:w="0" w:type="dxa"/>
        <w:tblCellMar>
          <w:top w:w="28" w:type="dxa"/>
          <w:left w:w="28" w:type="dxa"/>
          <w:bottom w:w="28" w:type="dxa"/>
          <w:right w:w="28" w:type="dxa"/>
        </w:tblCellMar>
      </w:tblPr>
      <w:tblGrid>
        <w:gridCol w:w="200"/>
        <w:gridCol w:w="177"/>
        <w:gridCol w:w="178"/>
        <w:gridCol w:w="429"/>
        <w:gridCol w:w="429"/>
        <w:gridCol w:w="431"/>
        <w:gridCol w:w="1168"/>
        <w:gridCol w:w="1168"/>
        <w:gridCol w:w="165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DOVER CORPORATION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 M. Cerepak </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 M. Cerepak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 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W. Paulson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W. Paulson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Controller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Brad M. Cerepak, certify that: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Dover Corporation;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33" w:type="dxa"/>
        <w:jc w:val="left"/>
        <w:tblInd w:w="0" w:type="dxa"/>
        <w:tblCellMar>
          <w:top w:w="28" w:type="dxa"/>
          <w:left w:w="28" w:type="dxa"/>
          <w:bottom w:w="28" w:type="dxa"/>
          <w:right w:w="28" w:type="dxa"/>
        </w:tblCellMar>
      </w:tblPr>
      <w:tblGrid>
        <w:gridCol w:w="200"/>
        <w:gridCol w:w="177"/>
        <w:gridCol w:w="178"/>
        <w:gridCol w:w="429"/>
        <w:gridCol w:w="429"/>
        <w:gridCol w:w="431"/>
        <w:gridCol w:w="1168"/>
        <w:gridCol w:w="1168"/>
        <w:gridCol w:w="165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 M. Cerepak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 M. Cerepak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 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Richard J. Tobin, certify that: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Dover Corporation;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054" w:type="dxa"/>
        <w:jc w:val="left"/>
        <w:tblInd w:w="0" w:type="dxa"/>
        <w:tblCellMar>
          <w:top w:w="28" w:type="dxa"/>
          <w:left w:w="28" w:type="dxa"/>
          <w:bottom w:w="28" w:type="dxa"/>
          <w:right w:w="28" w:type="dxa"/>
        </w:tblCellMar>
      </w:tblPr>
      <w:tblGrid>
        <w:gridCol w:w="200"/>
        <w:gridCol w:w="177"/>
        <w:gridCol w:w="178"/>
        <w:gridCol w:w="429"/>
        <w:gridCol w:w="429"/>
        <w:gridCol w:w="431"/>
        <w:gridCol w:w="939"/>
        <w:gridCol w:w="939"/>
        <w:gridCol w:w="133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J. Tobin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Tobin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with Respect to the Quarterly Report on 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Period ended March 31, 2023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Dover Corporation</w:t>
      </w:r>
    </w:p>
    <w:p>
      <w:pPr>
        <w:pStyle w:val="TextBody"/>
        <w:spacing w:before="0" w:after="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pStyle w:val="TextBody"/>
        <w:spacing w:lineRule="auto" w:line="288" w:before="0" w:after="180"/>
        <w:ind w:left="0" w:right="0" w:hanging="360"/>
        <w:jc w:val="both"/>
        <w:rPr/>
      </w:pPr>
      <w:r>
        <w:rPr>
          <w:rFonts w:ascii="Times New Roman;sans-serif" w:hAnsi="Times New Roman;sans-serif"/>
          <w:b w:val="false"/>
          <w:color w:val="000000"/>
          <w:sz w:val="20"/>
        </w:rPr>
        <w:t>1.The Company’s Quarterly Report on Form 10-Q for the period ended March 31, 2023 (the “Form 10-Q</w:t>
      </w:r>
      <w:r>
        <w:rPr>
          <w:color w:val="000000"/>
        </w:rPr>
        <w:t>”</w:t>
      </w:r>
      <w:r>
        <w:rPr>
          <w:rFonts w:ascii="Times New Roman;sans-serif" w:hAnsi="Times New Roman;sans-serif"/>
          <w:b w:val="false"/>
          <w:color w:val="000000"/>
          <w:sz w:val="20"/>
        </w:rPr>
        <w:t>) fully complies with the requirements of Section 13(a) of the Securities Exchange Act of 1934, as amended;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Form 10-Q fairly presents, in all material respects, the financial condition and results of operations of the Company.</w:t>
      </w:r>
    </w:p>
    <w:tbl>
      <w:tblPr>
        <w:tblW w:w="5939" w:type="dxa"/>
        <w:jc w:val="left"/>
        <w:tblInd w:w="0" w:type="dxa"/>
        <w:tblCellMar>
          <w:top w:w="28" w:type="dxa"/>
          <w:left w:w="28" w:type="dxa"/>
          <w:bottom w:w="28" w:type="dxa"/>
          <w:right w:w="28" w:type="dxa"/>
        </w:tblCellMar>
      </w:tblPr>
      <w:tblGrid>
        <w:gridCol w:w="238"/>
        <w:gridCol w:w="210"/>
        <w:gridCol w:w="212"/>
        <w:gridCol w:w="429"/>
        <w:gridCol w:w="429"/>
        <w:gridCol w:w="431"/>
        <w:gridCol w:w="1167"/>
        <w:gridCol w:w="1167"/>
        <w:gridCol w:w="1656"/>
      </w:tblGrid>
      <w:tr>
        <w:trPr/>
        <w:tc>
          <w:tcPr>
            <w:tcW w:w="23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r>
      <w:tr>
        <w:trPr/>
        <w:tc>
          <w:tcPr>
            <w:tcW w:w="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J. Tobin</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Tobin</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 M. Cerepak </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 M. Cerepak</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 Chief Financial Officer</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17335</Words>
  <CharactersWithSpaces>115532</CharactersWithSpaces>
  <Paragraphs>2503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