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1" w:lineRule="exact"/>
        <w:rPr>
          <w:sz w:val="24"/>
          <w:szCs w:val="24"/>
          <w:color w:val="auto"/>
        </w:rPr>
      </w:pPr>
    </w:p>
    <w:p>
      <w:pPr>
        <w:ind w:left="3880" w:right="2000" w:hanging="3872"/>
        <w:spacing w:after="0" w:line="397" w:lineRule="auto"/>
        <w:tabs>
          <w:tab w:leader="none" w:pos="21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1934</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9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19685</wp:posOffset>
            </wp:positionV>
            <wp:extent cx="37719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52"/>
        </w:trPr>
        <w:tc>
          <w:tcPr>
            <w:tcW w:w="2580" w:type="dxa"/>
            <w:vAlign w:val="bottom"/>
          </w:tcPr>
          <w:p>
            <w:pPr>
              <w:spacing w:after="0"/>
              <w:rPr>
                <w:sz w:val="21"/>
                <w:szCs w:val="21"/>
                <w:color w:val="auto"/>
              </w:rPr>
            </w:pPr>
          </w:p>
        </w:tc>
        <w:tc>
          <w:tcPr>
            <w:tcW w:w="382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6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53-0257888</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0"/>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3005 Highland Parkway</w:t>
            </w:r>
          </w:p>
        </w:tc>
        <w:tc>
          <w:tcPr>
            <w:tcW w:w="4860" w:type="dxa"/>
            <w:vAlign w:val="bottom"/>
          </w:tcPr>
          <w:p>
            <w:pPr>
              <w:spacing w:after="0"/>
              <w:rPr>
                <w:sz w:val="24"/>
                <w:szCs w:val="24"/>
                <w:color w:val="auto"/>
              </w:rPr>
            </w:pP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Downers Grove, Illinois</w:t>
            </w:r>
          </w:p>
        </w:tc>
        <w:tc>
          <w:tcPr>
            <w:tcW w:w="4860" w:type="dxa"/>
            <w:vAlign w:val="bottom"/>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60515</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(Zip Code)</w:t>
            </w:r>
          </w:p>
        </w:tc>
      </w:tr>
      <w:tr>
        <w:trPr>
          <w:trHeight w:val="292"/>
        </w:trPr>
        <w:tc>
          <w:tcPr>
            <w:tcW w:w="2580" w:type="dxa"/>
            <w:vAlign w:val="bottom"/>
          </w:tcPr>
          <w:p>
            <w:pPr>
              <w:spacing w:after="0"/>
              <w:rPr>
                <w:sz w:val="24"/>
                <w:szCs w:val="24"/>
                <w:color w:val="auto"/>
              </w:rPr>
            </w:pPr>
          </w:p>
        </w:tc>
        <w:tc>
          <w:tcPr>
            <w:tcW w:w="382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(630) 541-1540</w:t>
            </w:r>
          </w:p>
        </w:tc>
        <w:tc>
          <w:tcPr>
            <w:tcW w:w="4860" w:type="dxa"/>
            <w:vAlign w:val="bottom"/>
          </w:tcPr>
          <w:p>
            <w:pPr>
              <w:spacing w:after="0"/>
              <w:rPr>
                <w:sz w:val="24"/>
                <w:szCs w:val="24"/>
                <w:color w:val="auto"/>
              </w:rPr>
            </w:pPr>
          </w:p>
        </w:tc>
      </w:t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860" w:type="dxa"/>
            <w:vAlign w:val="bottom"/>
          </w:tcPr>
          <w:p>
            <w:pPr>
              <w:spacing w:after="0"/>
              <w:rPr>
                <w:sz w:val="24"/>
                <w:szCs w:val="24"/>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DOV</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 Notes due 2026</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26</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0.750% Notes due 2027</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27</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57" w:lineRule="exact"/>
        <w:rPr>
          <w:sz w:val="24"/>
          <w:szCs w:val="24"/>
          <w:color w:val="auto"/>
        </w:rPr>
      </w:pPr>
    </w:p>
    <w:p>
      <w:pPr>
        <w:ind w:right="2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2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34"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34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3820" w:type="dxa"/>
            <w:vAlign w:val="bottom"/>
          </w:tcPr>
          <w:p>
            <w:pPr>
              <w:ind w:left="1240"/>
              <w:spacing w:after="0" w:line="182" w:lineRule="exact"/>
              <w:rPr>
                <w:sz w:val="20"/>
                <w:szCs w:val="20"/>
                <w:color w:val="auto"/>
              </w:rPr>
            </w:pPr>
            <w:r>
              <w:rPr>
                <w:rFonts w:ascii="Times New Roman" w:cs="Times New Roman" w:eastAsia="Times New Roman" w:hAnsi="Times New Roman"/>
                <w:sz w:val="18"/>
                <w:szCs w:val="18"/>
                <w:color w:val="auto"/>
              </w:rPr>
              <w:t>Accelerated Filer</w:t>
            </w:r>
          </w:p>
        </w:tc>
        <w:tc>
          <w:tcPr>
            <w:tcW w:w="960" w:type="dxa"/>
            <w:vAlign w:val="bottom"/>
          </w:tcPr>
          <w:p>
            <w:pPr>
              <w:spacing w:after="0"/>
              <w:rPr>
                <w:sz w:val="15"/>
                <w:szCs w:val="15"/>
                <w:color w:val="auto"/>
              </w:rPr>
            </w:pPr>
          </w:p>
        </w:tc>
        <w:tc>
          <w:tcPr>
            <w:tcW w:w="356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r>
        <w:trPr>
          <w:trHeight w:val="209"/>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vMerge w:val="continue"/>
          </w:tcPr>
          <w:p>
            <w:pPr>
              <w:spacing w:after="0"/>
              <w:rPr>
                <w:sz w:val="20"/>
                <w:szCs w:val="20"/>
                <w:color w:val="auto"/>
              </w:rPr>
            </w:pPr>
          </w:p>
        </w:tc>
        <w:tc>
          <w:tcPr>
            <w:tcW w:w="38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00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July 14, 2022 was 143,549,312.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14"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360" w:type="dxa"/>
            <w:vAlign w:val="bottom"/>
            <w:gridSpan w:val="16"/>
          </w:tcPr>
          <w:p>
            <w:pPr>
              <w:spacing w:after="0"/>
              <w:rPr>
                <w:sz w:val="17"/>
                <w:szCs w:val="17"/>
                <w:color w:val="auto"/>
              </w:rPr>
            </w:pPr>
          </w:p>
        </w:tc>
        <w:tc>
          <w:tcPr>
            <w:tcW w:w="6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3"/>
            <w:vMerge w:val="restart"/>
          </w:tcPr>
          <w:p>
            <w:pPr>
              <w:spacing w:after="0" w:line="20" w:lineRule="exact"/>
              <w:rPr>
                <w:sz w:val="1"/>
                <w:szCs w:val="1"/>
                <w:color w:val="auto"/>
              </w:rPr>
            </w:pPr>
          </w:p>
        </w:tc>
        <w:tc>
          <w:tcPr>
            <w:tcW w:w="970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9700" w:type="dxa"/>
            <w:vAlign w:val="bottom"/>
            <w:gridSpan w:val="28"/>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for the three and six months ended June 30, 2022 and 2021</w:t>
            </w:r>
          </w:p>
        </w:tc>
        <w:tc>
          <w:tcPr>
            <w:tcW w:w="3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88"/>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9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 for the three and six months ended June 30, 2022 and 2021</w:t>
            </w:r>
          </w:p>
        </w:tc>
        <w:tc>
          <w:tcPr>
            <w:tcW w:w="720" w:type="dxa"/>
            <w:vAlign w:val="bottom"/>
          </w:tcPr>
          <w:p>
            <w:pPr>
              <w:spacing w:after="0"/>
              <w:rPr>
                <w:sz w:val="18"/>
                <w:szCs w:val="18"/>
                <w:color w:val="auto"/>
              </w:rPr>
            </w:pPr>
          </w:p>
        </w:tc>
        <w:tc>
          <w:tcPr>
            <w:tcW w:w="3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88"/>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9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2022 and December 31, 2021</w:t>
            </w:r>
          </w:p>
        </w:tc>
        <w:tc>
          <w:tcPr>
            <w:tcW w:w="720" w:type="dxa"/>
            <w:vAlign w:val="bottom"/>
          </w:tcPr>
          <w:p>
            <w:pPr>
              <w:spacing w:after="0"/>
              <w:rPr>
                <w:sz w:val="18"/>
                <w:szCs w:val="18"/>
                <w:color w:val="auto"/>
              </w:rPr>
            </w:pPr>
          </w:p>
        </w:tc>
        <w:tc>
          <w:tcPr>
            <w:tcW w:w="3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88"/>
              </w:rPr>
              <w:t>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2022 and 2021</w:t>
            </w:r>
          </w:p>
        </w:tc>
        <w:tc>
          <w:tcPr>
            <w:tcW w:w="3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88"/>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2022 and 2021</w:t>
            </w:r>
          </w:p>
        </w:tc>
        <w:tc>
          <w:tcPr>
            <w:tcW w:w="13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88"/>
              </w:rPr>
              <w:t>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5"/>
              </w:rPr>
              <w:t>Note 1 — Basis of Presentation</w:t>
            </w:r>
          </w:p>
        </w:tc>
        <w:tc>
          <w:tcPr>
            <w:tcW w:w="5080" w:type="dxa"/>
            <w:vAlign w:val="bottom"/>
            <w:gridSpan w:val="14"/>
          </w:tcPr>
          <w:p>
            <w:pPr>
              <w:spacing w:after="0"/>
              <w:rPr>
                <w:sz w:val="18"/>
                <w:szCs w:val="18"/>
                <w:color w:val="auto"/>
              </w:rPr>
            </w:pPr>
          </w:p>
        </w:tc>
        <w:tc>
          <w:tcPr>
            <w:tcW w:w="2400" w:type="dxa"/>
            <w:vAlign w:val="bottom"/>
            <w:gridSpan w:val="4"/>
          </w:tcPr>
          <w:p>
            <w:pPr>
              <w:spacing w:after="0"/>
              <w:rPr>
                <w:sz w:val="18"/>
                <w:szCs w:val="18"/>
                <w:color w:val="auto"/>
              </w:rPr>
            </w:pPr>
          </w:p>
        </w:tc>
        <w:tc>
          <w:tcPr>
            <w:tcW w:w="3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88"/>
              </w:rPr>
              <w:t>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 2 — Revenue</w:t>
            </w:r>
          </w:p>
        </w:tc>
        <w:tc>
          <w:tcPr>
            <w:tcW w:w="7480" w:type="dxa"/>
            <w:vAlign w:val="bottom"/>
            <w:gridSpan w:val="18"/>
          </w:tcPr>
          <w:p>
            <w:pPr>
              <w:spacing w:after="0"/>
              <w:rPr>
                <w:sz w:val="18"/>
                <w:szCs w:val="18"/>
                <w:color w:val="auto"/>
              </w:rPr>
            </w:pPr>
          </w:p>
        </w:tc>
        <w:tc>
          <w:tcPr>
            <w:tcW w:w="3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88"/>
              </w:rPr>
              <w:t>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Note 3 — Acquisitions</w:t>
            </w:r>
          </w:p>
        </w:tc>
        <w:tc>
          <w:tcPr>
            <w:tcW w:w="3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88"/>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Note 4 — Inventories, net</w:t>
            </w:r>
          </w:p>
        </w:tc>
        <w:tc>
          <w:tcPr>
            <w:tcW w:w="7820" w:type="dxa"/>
            <w:vAlign w:val="bottom"/>
            <w:gridSpan w:val="20"/>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Note 5 — Property, Plant and Equipment, net</w:t>
            </w:r>
          </w:p>
        </w:tc>
        <w:tc>
          <w:tcPr>
            <w:tcW w:w="6420" w:type="dxa"/>
            <w:vAlign w:val="bottom"/>
            <w:gridSpan w:val="10"/>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6 — Credit Losses</w:t>
            </w:r>
          </w:p>
        </w:tc>
        <w:tc>
          <w:tcPr>
            <w:tcW w:w="6420" w:type="dxa"/>
            <w:vAlign w:val="bottom"/>
            <w:gridSpan w:val="10"/>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8"/>
              </w:rPr>
              <w:t>Note 7 — Goodwill and Other Intangible Assets</w:t>
            </w:r>
          </w:p>
        </w:tc>
        <w:tc>
          <w:tcPr>
            <w:tcW w:w="6220" w:type="dxa"/>
            <w:vAlign w:val="bottom"/>
            <w:gridSpan w:val="9"/>
          </w:tcPr>
          <w:p>
            <w:pPr>
              <w:spacing w:after="0"/>
              <w:rPr>
                <w:sz w:val="18"/>
                <w:szCs w:val="18"/>
                <w:color w:val="auto"/>
              </w:rPr>
            </w:pPr>
          </w:p>
        </w:tc>
        <w:tc>
          <w:tcPr>
            <w:tcW w:w="3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88"/>
              </w:rPr>
              <w:t>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 8 — Restructuring Activities</w:t>
            </w:r>
          </w:p>
        </w:tc>
        <w:tc>
          <w:tcPr>
            <w:tcW w:w="6220" w:type="dxa"/>
            <w:vAlign w:val="bottom"/>
            <w:gridSpan w:val="9"/>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 9 — Borrowings</w:t>
            </w:r>
          </w:p>
        </w:tc>
        <w:tc>
          <w:tcPr>
            <w:tcW w:w="7220" w:type="dxa"/>
            <w:vAlign w:val="bottom"/>
            <w:gridSpan w:val="14"/>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Note 10 — Financial Instruments</w:t>
            </w:r>
          </w:p>
        </w:tc>
        <w:tc>
          <w:tcPr>
            <w:tcW w:w="7320" w:type="dxa"/>
            <w:vAlign w:val="bottom"/>
            <w:gridSpan w:val="15"/>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 11 — Income Taxes</w:t>
            </w:r>
          </w:p>
        </w:tc>
        <w:tc>
          <w:tcPr>
            <w:tcW w:w="7320" w:type="dxa"/>
            <w:vAlign w:val="bottom"/>
            <w:gridSpan w:val="15"/>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Note 12 — Equity Incentive Program</w:t>
            </w: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Note 13 — Commitments and Contingent Liabilities</w:t>
            </w:r>
          </w:p>
        </w:tc>
        <w:tc>
          <w:tcPr>
            <w:tcW w:w="5900" w:type="dxa"/>
            <w:vAlign w:val="bottom"/>
            <w:gridSpan w:val="8"/>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 14 — Employee Benefit Plans</w:t>
            </w:r>
          </w:p>
        </w:tc>
        <w:tc>
          <w:tcPr>
            <w:tcW w:w="5900" w:type="dxa"/>
            <w:vAlign w:val="bottom"/>
            <w:gridSpan w:val="8"/>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Note 15 — Other Comprehensive Earnings</w:t>
            </w:r>
          </w:p>
        </w:tc>
        <w:tc>
          <w:tcPr>
            <w:tcW w:w="6580" w:type="dxa"/>
            <w:vAlign w:val="bottom"/>
            <w:gridSpan w:val="11"/>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 16 — Segment Information</w:t>
            </w:r>
          </w:p>
        </w:tc>
        <w:tc>
          <w:tcPr>
            <w:tcW w:w="6580" w:type="dxa"/>
            <w:vAlign w:val="bottom"/>
            <w:gridSpan w:val="11"/>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Note 17 — Share Repurchases</w:t>
            </w:r>
          </w:p>
        </w:tc>
        <w:tc>
          <w:tcPr>
            <w:tcW w:w="160" w:type="dxa"/>
            <w:vAlign w:val="bottom"/>
            <w:gridSpan w:val="3"/>
          </w:tcPr>
          <w:p>
            <w:pPr>
              <w:spacing w:after="0"/>
              <w:rPr>
                <w:sz w:val="18"/>
                <w:szCs w:val="18"/>
                <w:color w:val="auto"/>
              </w:rPr>
            </w:pPr>
          </w:p>
        </w:tc>
        <w:tc>
          <w:tcPr>
            <w:tcW w:w="7320" w:type="dxa"/>
            <w:vAlign w:val="bottom"/>
            <w:gridSpan w:val="15"/>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Note 18 — Earnings per Share</w:t>
            </w:r>
          </w:p>
        </w:tc>
        <w:tc>
          <w:tcPr>
            <w:tcW w:w="7480" w:type="dxa"/>
            <w:vAlign w:val="bottom"/>
            <w:gridSpan w:val="18"/>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8"/>
              </w:rPr>
              <w:t>Note 19 — Recent Accounting Pronouncements</w:t>
            </w:r>
          </w:p>
        </w:tc>
        <w:tc>
          <w:tcPr>
            <w:tcW w:w="6220" w:type="dxa"/>
            <w:vAlign w:val="bottom"/>
            <w:gridSpan w:val="9"/>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8"/>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Note 20 — Subsequent Events</w:t>
            </w:r>
          </w:p>
        </w:tc>
        <w:tc>
          <w:tcPr>
            <w:tcW w:w="1260" w:type="dxa"/>
            <w:vAlign w:val="bottom"/>
            <w:gridSpan w:val="9"/>
          </w:tcPr>
          <w:p>
            <w:pPr>
              <w:spacing w:after="0"/>
              <w:rPr>
                <w:sz w:val="18"/>
                <w:szCs w:val="18"/>
                <w:color w:val="auto"/>
              </w:rPr>
            </w:pPr>
          </w:p>
        </w:tc>
        <w:tc>
          <w:tcPr>
            <w:tcW w:w="6220" w:type="dxa"/>
            <w:vAlign w:val="bottom"/>
            <w:gridSpan w:val="9"/>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80" w:type="dxa"/>
            <w:vAlign w:val="bottom"/>
            <w:gridSpan w:val="2"/>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gridSpan w:val="10"/>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2"/>
          </w:tcPr>
          <w:p>
            <w:pPr>
              <w:spacing w:after="0"/>
              <w:rPr>
                <w:sz w:val="18"/>
                <w:szCs w:val="18"/>
                <w:color w:val="auto"/>
              </w:rPr>
            </w:pPr>
          </w:p>
        </w:tc>
        <w:tc>
          <w:tcPr>
            <w:tcW w:w="3240" w:type="dxa"/>
            <w:vAlign w:val="bottom"/>
            <w:gridSpan w:val="5"/>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gridSpan w:val="10"/>
            <w:shd w:val="clear" w:color="auto" w:fill="0000FF"/>
          </w:tcPr>
          <w:p>
            <w:pPr>
              <w:spacing w:after="0" w:line="20" w:lineRule="exact"/>
              <w:rPr>
                <w:sz w:val="1"/>
                <w:szCs w:val="1"/>
                <w:color w:val="auto"/>
              </w:rPr>
            </w:pPr>
          </w:p>
        </w:tc>
        <w:tc>
          <w:tcPr>
            <w:tcW w:w="5340" w:type="dxa"/>
            <w:vAlign w:val="bottom"/>
            <w:tcBorders>
              <w:left w:val="single" w:sz="8" w:color="0000FF"/>
            </w:tcBorders>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gridSpan w:val="14"/>
          </w:tcPr>
          <w:p>
            <w:pPr>
              <w:spacing w:after="0"/>
              <w:rPr>
                <w:sz w:val="18"/>
                <w:szCs w:val="18"/>
                <w:color w:val="auto"/>
              </w:rPr>
            </w:pPr>
          </w:p>
        </w:tc>
        <w:tc>
          <w:tcPr>
            <w:tcW w:w="5340" w:type="dxa"/>
            <w:vAlign w:val="bottom"/>
            <w:gridSpan w:val="7"/>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660" w:type="dxa"/>
            <w:vAlign w:val="bottom"/>
            <w:gridSpan w:val="19"/>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380" w:type="dxa"/>
            <w:vAlign w:val="bottom"/>
            <w:gridSpan w:val="24"/>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40" w:type="dxa"/>
            <w:vAlign w:val="bottom"/>
            <w:gridSpan w:val="7"/>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7"/>
            <w:shd w:val="clear" w:color="auto" w:fill="0000FF"/>
          </w:tcPr>
          <w:p>
            <w:pPr>
              <w:spacing w:after="0" w:line="20" w:lineRule="exact"/>
              <w:rPr>
                <w:sz w:val="1"/>
                <w:szCs w:val="1"/>
                <w:color w:val="auto"/>
              </w:rPr>
            </w:pPr>
          </w:p>
        </w:tc>
        <w:tc>
          <w:tcPr>
            <w:tcW w:w="2040" w:type="dxa"/>
            <w:vAlign w:val="bottom"/>
            <w:gridSpan w:val="10"/>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340" w:type="dxa"/>
            <w:vAlign w:val="bottom"/>
            <w:gridSpan w:val="7"/>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7"/>
            <w:shd w:val="clear" w:color="auto" w:fill="0000FF"/>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380" w:type="dxa"/>
            <w:vAlign w:val="bottom"/>
            <w:tcBorders>
              <w:bottom w:val="single" w:sz="8" w:color="0000FF"/>
            </w:tcBorders>
            <w:gridSpan w:val="2"/>
          </w:tcPr>
          <w:p>
            <w:pPr>
              <w:spacing w:after="0"/>
              <w:rPr>
                <w:sz w:val="18"/>
                <w:szCs w:val="18"/>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40" w:type="dxa"/>
            <w:vAlign w:val="bottom"/>
            <w:gridSpan w:val="4"/>
          </w:tcPr>
          <w:p>
            <w:pPr>
              <w:spacing w:after="0"/>
              <w:rPr>
                <w:sz w:val="18"/>
                <w:szCs w:val="18"/>
                <w:color w:val="auto"/>
              </w:rPr>
            </w:pPr>
          </w:p>
        </w:tc>
        <w:tc>
          <w:tcPr>
            <w:tcW w:w="7380" w:type="dxa"/>
            <w:vAlign w:val="bottom"/>
            <w:gridSpan w:val="17"/>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380" w:type="dxa"/>
            <w:vAlign w:val="bottom"/>
            <w:gridSpan w:val="24"/>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80" w:type="dxa"/>
            <w:vAlign w:val="bottom"/>
            <w:gridSpan w:val="24"/>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380" w:type="dxa"/>
            <w:vAlign w:val="bottom"/>
            <w:gridSpan w:val="24"/>
          </w:tcPr>
          <w:p>
            <w:pPr>
              <w:spacing w:after="0"/>
              <w:rPr>
                <w:sz w:val="18"/>
                <w:szCs w:val="18"/>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100" w:type="dxa"/>
            <w:vAlign w:val="bottom"/>
            <w:gridSpan w:val="2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FF"/>
                <w:w w:val="99"/>
              </w:rPr>
              <w:t>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7"/>
        </w:trPr>
        <w:tc>
          <w:tcPr>
            <w:tcW w:w="3760" w:type="dxa"/>
            <w:vAlign w:val="bottom"/>
          </w:tcPr>
          <w:p>
            <w:pPr>
              <w:spacing w:after="0"/>
              <w:rPr>
                <w:sz w:val="24"/>
                <w:szCs w:val="24"/>
                <w:color w:val="auto"/>
              </w:rPr>
            </w:pPr>
          </w:p>
        </w:tc>
        <w:tc>
          <w:tcPr>
            <w:tcW w:w="3080" w:type="dxa"/>
            <w:vAlign w:val="bottom"/>
            <w:gridSpan w:val="5"/>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DOVER CORPORATION</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8400" w:type="dxa"/>
            <w:vAlign w:val="bottom"/>
            <w:gridSpan w:val="9"/>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EARNINGS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4260" w:type="dxa"/>
            <w:vAlign w:val="bottom"/>
            <w:gridSpan w:val="7"/>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3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7"/>
        </w:trPr>
        <w:tc>
          <w:tcPr>
            <w:tcW w:w="3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2"/>
                <w:szCs w:val="22"/>
                <w:color w:val="auto"/>
              </w:rPr>
            </w:pPr>
          </w:p>
        </w:tc>
        <w:tc>
          <w:tcPr>
            <w:tcW w:w="28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7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2,158,715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2,031,676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4,210,616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3,899,577</w:t>
            </w:r>
          </w:p>
        </w:tc>
      </w:tr>
      <w:tr>
        <w:trPr>
          <w:trHeight w:val="229"/>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1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1,377,432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1,259,504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2,686,139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2,405,857</w:t>
            </w: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1,493,720</w:t>
            </w:r>
          </w:p>
        </w:tc>
      </w:tr>
      <w:tr>
        <w:trPr>
          <w:trHeight w:val="229"/>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837,040</w:t>
            </w: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656,680</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53,484</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w:t>
            </w: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612,594</w:t>
            </w: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115,317</w:t>
            </w: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497,277</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per share:</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143,854</w:t>
            </w:r>
          </w:p>
        </w:tc>
      </w:tr>
      <w:tr>
        <w:trPr>
          <w:trHeight w:val="234"/>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145,040</w:t>
            </w: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gridSpan w:val="4"/>
          </w:tcPr>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8"/>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4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23"/>
        </w:trPr>
        <w:tc>
          <w:tcPr>
            <w:tcW w:w="58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515,771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497,277</w:t>
            </w: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earnings, net of tax</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(losses) gains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w:t>
            </w:r>
          </w:p>
        </w:tc>
      </w:tr>
      <w:tr>
        <w:trPr>
          <w:trHeight w:val="230"/>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58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foreign currency translation adjustments (net of $(10,539), $4,269,</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r>
      <w:tr>
        <w:trPr>
          <w:trHeight w:val="24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$(18,970) and $(6,223) tax benefit (provision), respectively)</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(93,290)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w:t>
            </w:r>
          </w:p>
        </w:tc>
      </w:tr>
      <w:tr>
        <w:trPr>
          <w:trHeight w:val="20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plans: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actuarial losses included in net periodic pension cost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r>
      <w:tr>
        <w:trPr>
          <w:trHeight w:val="229"/>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prior service costs included in net periodic pension cost</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156"/>
        </w:trPr>
        <w:tc>
          <w:tcPr>
            <w:tcW w:w="58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pension and other post-retirement benefit plans (net of $(202), $(774),</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4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$(410) and $(1,548) tax provision, respectively)</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1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net (losses) gains arising during period</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r>
      <w:tr>
        <w:trPr>
          <w:trHeight w:val="229"/>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gains reclassified into earnings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r>
      <w:tr>
        <w:trPr>
          <w:trHeight w:val="156"/>
        </w:trPr>
        <w:tc>
          <w:tcPr>
            <w:tcW w:w="58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flow hedges (net of $631, $447, $519 and $(424) tax benefit</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4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respectively)</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earnings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421,826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512,472</w:t>
            </w: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Receivables, net</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Inventories, net</w:t>
      </w:r>
    </w:p>
    <w:p>
      <w:pPr>
        <w:spacing w:after="0" w:line="23" w:lineRule="exact"/>
        <w:rPr>
          <w:sz w:val="20"/>
          <w:szCs w:val="20"/>
          <w:color w:val="auto"/>
        </w:rPr>
      </w:pPr>
    </w:p>
    <w:p>
      <w:pPr>
        <w:ind w:left="800" w:hanging="323"/>
        <w:spacing w:after="0" w:line="276" w:lineRule="auto"/>
        <w:rPr>
          <w:sz w:val="20"/>
          <w:szCs w:val="20"/>
          <w:color w:val="auto"/>
        </w:rPr>
      </w:pPr>
      <w:r>
        <w:rPr>
          <w:rFonts w:ascii="Times New Roman" w:cs="Times New Roman" w:eastAsia="Times New Roman" w:hAnsi="Times New Roman"/>
          <w:sz w:val="18"/>
          <w:szCs w:val="18"/>
          <w:color w:val="auto"/>
        </w:rPr>
        <w:t>Prepaid and other current assets Total current assets</w:t>
      </w:r>
    </w:p>
    <w:p>
      <w:pPr>
        <w:spacing w:after="0" w:line="1" w:lineRule="exact"/>
        <w:rPr>
          <w:sz w:val="20"/>
          <w:szCs w:val="20"/>
          <w:color w:val="auto"/>
        </w:rPr>
      </w:pPr>
    </w:p>
    <w:p>
      <w:pPr>
        <w:ind w:left="40" w:right="20"/>
        <w:spacing w:after="0" w:line="271" w:lineRule="auto"/>
        <w:rPr>
          <w:sz w:val="20"/>
          <w:szCs w:val="20"/>
          <w:color w:val="auto"/>
        </w:rPr>
      </w:pPr>
      <w:r>
        <w:rPr>
          <w:rFonts w:ascii="Times New Roman" w:cs="Times New Roman" w:eastAsia="Times New Roman" w:hAnsi="Times New Roman"/>
          <w:sz w:val="18"/>
          <w:szCs w:val="18"/>
          <w:b w:val="1"/>
          <w:bCs w:val="1"/>
          <w:color w:val="auto"/>
        </w:rPr>
        <w:t>Property, plant and equipment, net Goodwill</w:t>
      </w:r>
    </w:p>
    <w:p>
      <w:pPr>
        <w:ind w:left="4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assets and deferred charges</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1"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370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664"/>
        </w:trPr>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515,371</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385,504</w:t>
            </w:r>
          </w:p>
        </w:tc>
      </w:tr>
      <w:tr>
        <w:trPr>
          <w:trHeight w:val="229"/>
        </w:trPr>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1,514,455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1,347,514</w:t>
            </w:r>
          </w:p>
        </w:tc>
      </w:tr>
      <w:tr>
        <w:trPr>
          <w:trHeight w:val="229"/>
        </w:trPr>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1,381,607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1,191,095</w:t>
            </w:r>
          </w:p>
        </w:tc>
      </w:tr>
      <w:tr>
        <w:trPr>
          <w:trHeight w:val="234"/>
        </w:trPr>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179,563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137,596</w:t>
            </w:r>
          </w:p>
        </w:tc>
      </w:tr>
      <w:tr>
        <w:trPr>
          <w:trHeight w:val="223"/>
        </w:trPr>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3,590,996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3,061,709</w:t>
            </w:r>
          </w:p>
        </w:tc>
      </w:tr>
      <w:tr>
        <w:trPr>
          <w:trHeight w:val="218"/>
        </w:trPr>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963,780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957,310</w:t>
            </w:r>
          </w:p>
        </w:tc>
      </w:tr>
      <w:tr>
        <w:trPr>
          <w:trHeight w:val="229"/>
        </w:trPr>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4,481,451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4,558,822</w:t>
            </w:r>
          </w:p>
        </w:tc>
      </w:tr>
      <w:tr>
        <w:trPr>
          <w:trHeight w:val="230"/>
        </w:trPr>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1,359,522</w:t>
            </w:r>
          </w:p>
        </w:tc>
      </w:tr>
      <w:tr>
        <w:trPr>
          <w:trHeight w:val="234"/>
        </w:trPr>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476,568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466,264</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10,807,421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10,403,627</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-1807845</wp:posOffset>
            </wp:positionV>
            <wp:extent cx="711517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-1516380</wp:posOffset>
            </wp:positionV>
            <wp:extent cx="711517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-1224915</wp:posOffset>
            </wp:positionV>
            <wp:extent cx="711517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-933450</wp:posOffset>
            </wp:positionV>
            <wp:extent cx="71151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-624840</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-334010</wp:posOffset>
            </wp:positionV>
            <wp:extent cx="71151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60" w:space="720"/>
            <w:col w:w="774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169"/>
        </w:trPr>
        <w:tc>
          <w:tcPr>
            <w:tcW w:w="7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Notes payable</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393,654</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105,702</w:t>
            </w: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1,200,612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1,073,568</w:t>
            </w: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224,244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302,978</w:t>
            </w: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253,632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227,549</w:t>
            </w: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insurance</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101,448</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316,209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347,097</w:t>
            </w:r>
          </w:p>
        </w:tc>
      </w:tr>
      <w:tr>
        <w:trPr>
          <w:trHeight w:val="230"/>
        </w:trPr>
        <w:tc>
          <w:tcPr>
            <w:tcW w:w="7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Federal and other income taxes</w:t>
            </w: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91,999</w:t>
            </w:r>
          </w:p>
        </w:tc>
      </w:tr>
      <w:tr>
        <w:trPr>
          <w:trHeight w:val="223"/>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2,547,635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2,250,341</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2,936,124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3,018,714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366,498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364,117</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income tax payable</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48,385</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524,328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532,542</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4,388,523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4,189,528</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10,807,421</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10,403,627</w:t>
            </w:r>
          </w:p>
        </w:tc>
      </w:tr>
      <w:tr>
        <w:trPr>
          <w:trHeight w:val="20"/>
        </w:trPr>
        <w:tc>
          <w:tcPr>
            <w:tcW w:w="7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 w:type="dxa"/>
            <w:vAlign w:val="bottom"/>
          </w:tcPr>
          <w:p>
            <w:pPr>
              <w:spacing w:after="0"/>
              <w:rPr>
                <w:sz w:val="16"/>
                <w:szCs w:val="16"/>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$1 par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11"/>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858,587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9,599,195</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(168,821)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(6,218,758)</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($0.50 per share)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(71,853)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for the exercise of share-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(2,088)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based awards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acquired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(79,176)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863,717</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9,816,960</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(247,997)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(6,303,758)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$1 par value</w:t>
            </w:r>
          </w:p>
        </w:tc>
        <w:tc>
          <w:tcPr>
            <w:tcW w:w="20" w:type="dxa"/>
            <w:vAlign w:val="bottom"/>
          </w:tcPr>
          <w:p>
            <w:pPr>
              <w:spacing w:after="0"/>
              <w:rPr>
                <w:sz w:val="18"/>
                <w:szCs w:val="18"/>
                <w:color w:val="auto"/>
              </w:rPr>
            </w:pP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(loss) earnings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11"/>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259,338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849,585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8,769,709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(6,218,758)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3,499,144</w:t>
            </w: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264,508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($0.495 per share)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(71,354)</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for the exercise of share-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(2,615)</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based awards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net of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259,371</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853,887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8,962,863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(6,218,758)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3,719,304</w:t>
            </w:r>
          </w:p>
        </w:tc>
        <w:tc>
          <w:tcPr>
            <w:tcW w:w="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80" w:type="dxa"/>
            <w:vAlign w:val="bottom"/>
          </w:tcPr>
          <w:p>
            <w:pPr>
              <w:spacing w:after="0"/>
              <w:rPr>
                <w:sz w:val="16"/>
                <w:szCs w:val="16"/>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6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 par value</w:t>
            </w: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2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1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857,636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9,445,245</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(154,052)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(6,218,758)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4,189,528</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515,771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515,771</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($1.00 per share)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(144,056)</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for the exercise of share-</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(12,250)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(12,106)</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based awards</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18,331</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acquired</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(93,945)</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259,601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863,717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9,816,960</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(247,997)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(6,303,758)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4,388,523</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14"/>
        </w:trPr>
        <w:tc>
          <w:tcPr>
            <w:tcW w:w="3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 par value</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3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868,882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8,608,284</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(153,254)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(6,197,121)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3,385,773</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497,277</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($0.99 per share)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(142,698)</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for the exercise of share-</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0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(33,068)</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based awards</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18,393</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acquired</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(21,637)</w:t>
            </w:r>
          </w:p>
        </w:tc>
        <w:tc>
          <w:tcPr>
            <w:tcW w:w="0" w:type="dxa"/>
            <w:vAlign w:val="bottom"/>
          </w:tcPr>
          <w:p>
            <w:pPr>
              <w:spacing w:after="0"/>
              <w:rPr>
                <w:sz w:val="1"/>
                <w:szCs w:val="1"/>
                <w:color w:val="auto"/>
              </w:rPr>
            </w:pPr>
          </w:p>
        </w:tc>
      </w:tr>
      <w:tr>
        <w:trPr>
          <w:trHeight w:val="23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net of tax</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15,195</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35"/>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8,962,863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(6,218,758)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3,719,304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515,771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497,277</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cash from operating 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145,325</w:t>
            </w:r>
          </w:p>
        </w:tc>
      </w:tr>
      <w:tr>
        <w:trPr>
          <w:trHeight w:val="22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w:t>
            </w:r>
          </w:p>
        </w:tc>
      </w:tr>
      <w:tr>
        <w:trPr>
          <w:trHeight w:val="229"/>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effect of changes in assets and liabilities: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(192,192)</w:t>
            </w:r>
          </w:p>
        </w:tc>
      </w:tr>
      <w:tr>
        <w:trPr>
          <w:trHeight w:val="229"/>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(144,903)</w:t>
            </w:r>
          </w:p>
        </w:tc>
      </w:tr>
      <w:tr>
        <w:trPr>
          <w:trHeight w:val="22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(23,133)</w:t>
            </w:r>
          </w:p>
        </w:tc>
      </w:tr>
      <w:tr>
        <w:trPr>
          <w:trHeight w:val="230"/>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149,588</w:t>
            </w:r>
          </w:p>
        </w:tc>
      </w:tr>
      <w:tr>
        <w:trPr>
          <w:trHeight w:val="22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w:t>
            </w:r>
          </w:p>
        </w:tc>
      </w:tr>
      <w:tr>
        <w:trPr>
          <w:trHeight w:val="229"/>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w:t>
            </w:r>
          </w:p>
        </w:tc>
      </w:tr>
      <w:tr>
        <w:trPr>
          <w:trHeight w:val="230"/>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and deferred taxes,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437,257</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(73,231)</w:t>
            </w:r>
          </w:p>
        </w:tc>
      </w:tr>
      <w:tr>
        <w:trPr>
          <w:trHeight w:val="230"/>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(81,187)</w:t>
            </w:r>
          </w:p>
        </w:tc>
      </w:tr>
      <w:tr>
        <w:trPr>
          <w:trHeight w:val="230"/>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r>
      <w:tr>
        <w:trPr>
          <w:trHeight w:val="230"/>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(151,203)</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(21,637)</w:t>
            </w:r>
          </w:p>
        </w:tc>
      </w:tr>
      <w:tr>
        <w:trPr>
          <w:trHeight w:val="230"/>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in commercial paper and notes payable, net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(142,698)</w:t>
            </w:r>
          </w:p>
        </w:tc>
      </w:tr>
      <w:tr>
        <w:trPr>
          <w:trHeight w:val="22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to settle employee tax obligations on exercise of share-based awards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(33,068)</w:t>
            </w:r>
          </w:p>
        </w:tc>
      </w:tr>
      <w:tr>
        <w:trPr>
          <w:trHeight w:val="230"/>
        </w:trPr>
        <w:tc>
          <w:tcPr>
            <w:tcW w:w="8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(200,188)</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88,284</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513,075</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601,359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Basis of Presentation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2021, included in the Company's Annual Report on Form 10-K filed with the SEC on February 11, 2022. The year-end Condensed Consolidated Balance Sheet was derived from audited financial statements.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Less than 5% of the Company’s revenue is recognized over time and relates to the sale of equipment or services in which the Company transfers control of a good or service over time and the customer simultaneously receives and consumes the benefits provided by the Company's performance as the Company performs, or our performance creates or enhances an asset the customer controls as the asset is created or enhanced, or our performance does not create an asset with an alternative use to the Company and the Company has an enforceable right to payment for its performance to date plus a reasonable margin.</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disaggregated by segment and geographic location, as they best depict the nature and amount of the Company’s revenue. See Note 16 — Segment Information for further details for revenue by segment and geographic location.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we estimated that $287 million in revenue is expected to be recognized in the future related to performance obligations that are unsatisfied (or partially unsatisfied) at the end of the reporting period. We expect to recognize approximately 78% of our unsatisfied (or partially unsatisfied) performance obligations as revenue through 2023, with the remaining balance to be recognized in 2024 and thereafter.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184,845</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revenue recognized during the six months ended June 30, 2022 and 2021 that was included in contract liabilities at the beginning of the period, inclusive of adjustments, amounted to $157,175 and $139,891,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the Company completed one acquisition. On May 2, 2022, the Company acquired 100% of the voting stock of AMN DPI ("AMN"), a designer and manufacturer of polymer pelletizing tools, for $8,453, net of cash acquired. The AMN acquisition extends the Company's reach into polymer processing equipment production within the Pumps &amp; Process Solutions segment. In connection with this acquisition, the Company recorded goodwill of $2,315 and intangible assets o</w:t>
      </w:r>
      <w:r>
        <w:rPr>
          <w:rFonts w:ascii="Arial" w:cs="Arial" w:eastAsia="Arial" w:hAnsi="Arial"/>
          <w:sz w:val="18"/>
          <w:szCs w:val="18"/>
          <w:color w:val="auto"/>
        </w:rPr>
        <w:t>f</w:t>
      </w:r>
      <w:r>
        <w:rPr>
          <w:rFonts w:ascii="Times New Roman" w:cs="Times New Roman" w:eastAsia="Times New Roman" w:hAnsi="Times New Roman"/>
          <w:sz w:val="18"/>
          <w:szCs w:val="18"/>
          <w:color w:val="auto"/>
        </w:rPr>
        <w:t xml:space="preserve"> $5,349, primarily related to customer intangibles. The goodwill recorded as a result of this acquisition reflects the benefits expected to be derived from product line expansions and operational synergies. The goodwill is non-deductible for U.S. income tax purposes for this acquisition.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2021, the Company acquired four businesses in separate transactions for total consideration of $88,457, net of cash acquired and including contingent consideration. These businesses were acquired to complement and expand upon existing operations within the Imaging</w:t>
      </w:r>
    </w:p>
    <w:p>
      <w:pPr>
        <w:jc w:val="both"/>
        <w:ind w:firstLine="8"/>
        <w:spacing w:after="0" w:line="255" w:lineRule="auto"/>
        <w:tabs>
          <w:tab w:leader="none" w:pos="1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Pumps &amp; Process Solutions, and Clean Energy &amp; Fueling segments. The goodwill recorded as a result of these acquisitions represents the economic benefits expected to be derived from product line expansions and operational synergies. The goodwill is non-deductible for U.S. income tax purposes for these acquisitions.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2021, the Company acquired 100% of the voting stock of Blue Bite LLC ("Blue Bite"), a leading provider of consumer engagement and brand protection software solutions, for $29,035, net of cash acquired and including contingent consideration. The Blue Bite acquisition strengthens the Company's offering of product traceability and authentication solutions within the Imaging &amp; Identification segment. In connection with this acquisition, the Company recorded goodwill of $19,705 and intangible assets of $13,250, primarily related to technology.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23, 2021, the Company acquired 100% of the voting stock of Quantex Arc Limited ("Quantex"), a leading provider of single-use, recyclable pumps, for $23,896, net of cash acquired and including contingent consideration. The Quantex acquisition enhances the offering of single-use pumps for biopharma and other hygienic applications within the Pumps &amp; Process Solutions segment. In connection with this acquisition, the Company recorded goodwill of $15,596 and intangible assets of $11,034, primarily related to patented technology.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19, 2021, the Company acquired 100% of the voting stock of AvaLAN Wireless Systems, Incorporated ("AvaLAN"), a leading provider of secure wireless communications solutions for the convenience and fuel retail industry, for $34,003, net of cash acquired. The AvaLAN acquisition extends the Company's reach into the systems and software offering within the Clean Energy &amp; Fueling segment. In connection with this acquisition, the Company recorded goodwill of $26,495 and intangible assets of $14,630, primarily related to customer intangibles.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other immaterial acquisition was completed during the six months ended June 30, 2021 within the Pumps &amp; Process Solutions segment.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RegO</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28, 2021, the Company acquired 100% of the voting stock of ECI Holding Company, LLC ("RegO"), a provider of highly-engineered components and services that facilitate the production, storage, and distribution of cryogenic gases, for $626,620, net of cash acquired and inclusive of the impact of measurement period adjustments discussed below. In connection with this acquisition, the Company recorded goodwill of $158,212 deductible for income tax purposes and $121,616 non-deductible for income tax purposes. The Company also recorded intangible assets of $173,000 for customer intangibles, $40,000 for patents, and $21,000 for trademarks. The fair value of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fair value of assets acquired also includes trade receivables of $33,900. The gross amount is $34,606, of which $706 is expected to be uncollectible. The fair values of the assets acquired and liabilities assumed, and the related tax balances, are based on preliminary estimates and assumptions. These preliminary estimates and assumptions could change during the measurement period as the Company finalizes the valuations of the assets acquired and liabilities assumed, and the related tax balances.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recorded measurement period adjustments primarily related to its preliminary estimates of deferred taxes and changes in net working capital. These adjustments are based on facts and circumstances that existed as of the acquisition date which resulted in an increase in goodwill of $2,852.</w:t>
      </w:r>
    </w:p>
    <w:p>
      <w:pPr>
        <w:spacing w:after="0" w:line="20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following presents the updated preliminary allocation of purchase price, net of cash acquired of $10,382, to the assets acquired and liabilities assumed under the RegO acquisition, based on their estimated fair values at their acquisition dates: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74,484</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51,157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279,828</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(30,441)</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626,620</w:t>
            </w:r>
          </w:p>
        </w:tc>
        <w:tc>
          <w:tcPr>
            <w:tcW w:w="0" w:type="dxa"/>
            <w:vAlign w:val="bottom"/>
          </w:tcPr>
          <w:p>
            <w:pPr>
              <w:spacing w:after="0"/>
              <w:rPr>
                <w:sz w:val="1"/>
                <w:szCs w:val="1"/>
                <w:color w:val="auto"/>
              </w:rPr>
            </w:pPr>
          </w:p>
        </w:tc>
      </w:tr>
      <w:tr>
        <w:trPr>
          <w:trHeight w:val="21"/>
        </w:trPr>
        <w:tc>
          <w:tcPr>
            <w:tcW w:w="8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400" w:type="dxa"/>
            <w:vAlign w:val="bottom"/>
          </w:tcPr>
          <w:p>
            <w:pPr>
              <w:spacing w:after="0"/>
              <w:rPr>
                <w:sz w:val="18"/>
                <w:szCs w:val="18"/>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38"/>
        </w:trPr>
        <w:tc>
          <w:tcPr>
            <w:tcW w:w="84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 tax deductible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158,212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4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121,616</w:t>
            </w:r>
          </w:p>
        </w:tc>
        <w:tc>
          <w:tcPr>
            <w:tcW w:w="100" w:type="dxa"/>
            <w:vAlign w:val="bottom"/>
          </w:tcPr>
          <w:p>
            <w:pPr>
              <w:spacing w:after="0"/>
              <w:rPr>
                <w:sz w:val="19"/>
                <w:szCs w:val="19"/>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173,000</w:t>
            </w:r>
          </w:p>
        </w:tc>
        <w:tc>
          <w:tcPr>
            <w:tcW w:w="13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4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3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3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513,828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Acme Cryogenics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16, 2021, the Company acquired 100% of the voting stock of Acme Cryo Intermediate Inc. ("Acme Cryogenics"), a provider of highly-engineered components and services that facilitate the production, storage, and distribution of cryogenic gases, for $292,285, net of cash acquired and inclusive of the impact of measurement period adjustments discussed below. In connection with this acquisition, the Company recorded goodwill of $169,685 non-deductible for income tax purposes. The Company also recorded intangible assets of $99,000 for customer intangibles, $21,800 for unpatented technology and $6,500 for trademarks. The fair value of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fair value of assets acquired also includes trade receivables of $14,143. The gross amount is $14,912, of which $769 is expected to be uncollectible. The fair values of the assets acquired and liabilities assumed, and the related tax balances, are based on preliminary estimates and assumptions. These preliminary estimates and assumptions could change during the measurement period as the Company finalizes the valuations of the assets acquired and liabilities assumed, and the related tax balances. During the six months ended June 30, 2022, the Company recorded measurement period adjustments primarily related to changes in net working capital. These adjustments are based on facts and circumstances that existed as of the acquisition date which resulted in an increase in goodwill of $476.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presents the updated preliminary allocation of purchase price to the assets acquired and liabilities assumed under the Acme Cryogenics acquisition,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42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27,907</w:t>
            </w:r>
          </w:p>
        </w:tc>
        <w:tc>
          <w:tcPr>
            <w:tcW w:w="0" w:type="dxa"/>
            <w:vAlign w:val="bottom"/>
          </w:tcPr>
          <w:p>
            <w:pPr>
              <w:spacing w:after="0"/>
              <w:rPr>
                <w:sz w:val="1"/>
                <w:szCs w:val="1"/>
                <w:color w:val="auto"/>
              </w:rPr>
            </w:pPr>
          </w:p>
        </w:tc>
      </w:tr>
      <w:tr>
        <w:trPr>
          <w:trHeight w:val="229"/>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169,685</w:t>
            </w:r>
          </w:p>
        </w:tc>
        <w:tc>
          <w:tcPr>
            <w:tcW w:w="0" w:type="dxa"/>
            <w:vAlign w:val="bottom"/>
          </w:tcPr>
          <w:p>
            <w:pPr>
              <w:spacing w:after="0"/>
              <w:rPr>
                <w:sz w:val="1"/>
                <w:szCs w:val="1"/>
                <w:color w:val="auto"/>
              </w:rPr>
            </w:pPr>
          </w:p>
        </w:tc>
      </w:tr>
      <w:tr>
        <w:trPr>
          <w:trHeight w:val="229"/>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127,300</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(37,219)</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292,285</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1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42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gridSpan w:val="4"/>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13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Unpatented technologies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13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320" w:type="dxa"/>
            <w:vAlign w:val="bottom"/>
            <w:tcBorders>
              <w:bottom w:val="single" w:sz="8" w:color="CCEEFF"/>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296,985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 net</w:t>
            </w: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71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42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671,195</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308,706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271,659</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377,800</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3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1,512,819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1,320,654</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(129,559)</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1,381,607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1,191,095</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 net</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1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bottom w:val="single" w:sz="8" w:color="CCEEFF"/>
            </w:tcBorders>
          </w:tcPr>
          <w:p>
            <w:pPr>
              <w:spacing w:after="0"/>
              <w:rPr>
                <w:sz w:val="24"/>
                <w:szCs w:val="24"/>
                <w:color w:val="auto"/>
              </w:rPr>
            </w:pPr>
          </w:p>
        </w:tc>
        <w:tc>
          <w:tcPr>
            <w:tcW w:w="1560" w:type="dxa"/>
            <w:vAlign w:val="bottom"/>
            <w:tcBorders>
              <w:top w:val="single" w:sz="8" w:color="auto"/>
              <w:bottom w:val="single" w:sz="8" w:color="CCEEFF"/>
            </w:tcBorders>
          </w:tcPr>
          <w:p>
            <w:pPr>
              <w:spacing w:after="0"/>
              <w:rPr>
                <w:sz w:val="24"/>
                <w:szCs w:val="24"/>
                <w:color w:val="auto"/>
              </w:rPr>
            </w:pPr>
          </w:p>
        </w:tc>
        <w:tc>
          <w:tcPr>
            <w:tcW w:w="42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63,656</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582,314</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1,816,473</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3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2,494,661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2,462,443</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(1,505,133)</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963,780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957,310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totaled $36,573 and $36,045 for the three months ended June 30, 2022 and 2021, respectively. For the six months ended June 30, 2022 and 2021, depreciation expense totaled $74,385 and $74,239,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6. Credit Losses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Due to the short-term nature of such receivables, the estimate of the amount of accounts receivable that may not be collected is based on the aging of the accounts receivable balances and other historical and forward-looking information on the financial condition of customers. Balances are written off when determined to be uncollectible.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that is deducted from the amortized cost basis of accounts receivable to 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 December 31 of the Prior Year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40,474</w:t>
            </w:r>
          </w:p>
        </w:tc>
        <w:tc>
          <w:tcPr>
            <w:tcW w:w="0" w:type="dxa"/>
            <w:vAlign w:val="bottom"/>
          </w:tcPr>
          <w:p>
            <w:pPr>
              <w:spacing w:after="0"/>
              <w:rPr>
                <w:sz w:val="1"/>
                <w:szCs w:val="1"/>
                <w:color w:val="auto"/>
              </w:rPr>
            </w:pPr>
          </w:p>
        </w:tc>
      </w:tr>
      <w:tr>
        <w:trPr>
          <w:trHeight w:val="229"/>
        </w:trPr>
        <w:tc>
          <w:tcPr>
            <w:tcW w:w="4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 net of recoveries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30"/>
        </w:trPr>
        <w:tc>
          <w:tcPr>
            <w:tcW w:w="4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 charged against the allowance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 June 30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40,534</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7. Goodwill and Other Intangible Assets</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080" w:type="dxa"/>
            <w:vAlign w:val="bottom"/>
            <w:tcBorders>
              <w:bottom w:val="single" w:sz="8" w:color="auto"/>
            </w:tcBorders>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operating segments were as follows: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Clean Energy &amp;</w:t>
            </w:r>
          </w:p>
        </w:tc>
        <w:tc>
          <w:tcPr>
            <w:tcW w:w="140" w:type="dxa"/>
            <w:vAlign w:val="bottom"/>
          </w:tcPr>
          <w:p>
            <w:pPr>
              <w:spacing w:after="0"/>
              <w:rPr>
                <w:sz w:val="16"/>
                <w:szCs w:val="16"/>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4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Pumps &amp; Process</w:t>
            </w:r>
          </w:p>
        </w:tc>
        <w:tc>
          <w:tcPr>
            <w:tcW w:w="140" w:type="dxa"/>
            <w:vAlign w:val="bottom"/>
          </w:tcPr>
          <w:p>
            <w:pPr>
              <w:spacing w:after="0"/>
              <w:rPr>
                <w:sz w:val="16"/>
                <w:szCs w:val="16"/>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Climate &amp;</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2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Fueling</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20" w:type="dxa"/>
            <w:vAlign w:val="bottom"/>
          </w:tcPr>
          <w:p>
            <w:pPr>
              <w:spacing w:after="0"/>
              <w:rPr>
                <w:sz w:val="18"/>
                <w:szCs w:val="18"/>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1,106,202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508,807</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4,558,822</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(81,684)</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1,077,880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507,679</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4,481,451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the Company recognized additions of $2,315 to goodwill as a result of an acquisition as discussed in Note 3 — Acquisitions. During the six months ended June 30, 2022, the Company recorded measurement period adjustments that increased goodwill by $1,998, principally related to deferred taxes and working capital adjustments for 2021 acquisitions within the Clean Energy &amp; Fueling and Imaging &amp; Identification segments.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820" w:type="dxa"/>
            <w:vAlign w:val="bottom"/>
          </w:tcPr>
          <w:p>
            <w:pPr>
              <w:spacing w:after="0"/>
              <w:rPr>
                <w:sz w:val="15"/>
                <w:szCs w:val="15"/>
                <w:color w:val="auto"/>
              </w:rPr>
            </w:pPr>
          </w:p>
        </w:tc>
        <w:tc>
          <w:tcPr>
            <w:tcW w:w="1360" w:type="dxa"/>
            <w:vAlign w:val="bottom"/>
            <w:gridSpan w:val="3"/>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20" w:type="dxa"/>
            <w:vAlign w:val="bottom"/>
          </w:tcPr>
          <w:p>
            <w:pPr>
              <w:spacing w:after="0"/>
              <w:rPr>
                <w:sz w:val="15"/>
                <w:szCs w:val="15"/>
                <w:color w:val="auto"/>
              </w:rPr>
            </w:pPr>
          </w:p>
        </w:tc>
        <w:tc>
          <w:tcPr>
            <w:tcW w:w="12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38"/>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Customer intangibles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942,681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919,716</w:t>
            </w:r>
          </w:p>
        </w:tc>
        <w:tc>
          <w:tcPr>
            <w:tcW w:w="0" w:type="dxa"/>
            <w:vAlign w:val="bottom"/>
          </w:tcPr>
          <w:p>
            <w:pPr>
              <w:spacing w:after="0"/>
              <w:rPr>
                <w:sz w:val="1"/>
                <w:szCs w:val="1"/>
                <w:color w:val="auto"/>
              </w:rPr>
            </w:pP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146,734</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65,583</w:t>
            </w:r>
          </w:p>
        </w:tc>
        <w:tc>
          <w:tcPr>
            <w:tcW w:w="0" w:type="dxa"/>
            <w:vAlign w:val="bottom"/>
          </w:tcPr>
          <w:p>
            <w:pPr>
              <w:spacing w:after="0"/>
              <w:rPr>
                <w:sz w:val="1"/>
                <w:szCs w:val="1"/>
                <w:color w:val="auto"/>
              </w:rPr>
            </w:pPr>
          </w:p>
        </w:tc>
      </w:tr>
      <w:tr>
        <w:trPr>
          <w:trHeight w:val="230"/>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Unpatented technologies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97,775</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28,944</w:t>
            </w:r>
          </w:p>
        </w:tc>
        <w:tc>
          <w:tcPr>
            <w:tcW w:w="0" w:type="dxa"/>
            <w:vAlign w:val="bottom"/>
          </w:tcPr>
          <w:p>
            <w:pPr>
              <w:spacing w:after="0"/>
              <w:rPr>
                <w:sz w:val="1"/>
                <w:szCs w:val="1"/>
                <w:color w:val="auto"/>
              </w:rPr>
            </w:pP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Drawings and manuals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2,634,661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1,436,616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1,198,045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2,654,351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1,262,813</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96,709</w:t>
            </w:r>
          </w:p>
        </w:tc>
        <w:tc>
          <w:tcPr>
            <w:tcW w:w="0" w:type="dxa"/>
            <w:vAlign w:val="bottom"/>
          </w:tcPr>
          <w:p>
            <w:pPr>
              <w:spacing w:after="0"/>
              <w:rPr>
                <w:sz w:val="1"/>
                <w:szCs w:val="1"/>
                <w:color w:val="auto"/>
              </w:rPr>
            </w:pPr>
          </w:p>
        </w:tc>
      </w:tr>
      <w:tr>
        <w:trPr>
          <w:trHeight w:val="24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2,751,060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1,359,522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and 2021, amortization expense was $38,718 and $35,474, respectively. For the six months ended June 30, 2022 and 2021, amortization expense was $79,909 and $71,086, respectively. Amortization expense is primarily comprised of acquisition-related intangible amortization. During the six months ended June 30, 2022, the Company acquired certain intellectual property assets related to electric refuse collection vehicles for approximately $29,750, including contingent consideration of up to $20,000. These assets were classified as unpatented technologies and included in the Engineered Products segment.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8. Restructuring Activities</w:t>
            </w: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7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restructuring charges by segment were as follows: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7"/>
        </w:trPr>
        <w:tc>
          <w:tcPr>
            <w:tcW w:w="20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9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2"/>
                <w:szCs w:val="22"/>
                <w:color w:val="auto"/>
              </w:rPr>
            </w:pPr>
          </w:p>
        </w:tc>
        <w:tc>
          <w:tcPr>
            <w:tcW w:w="28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4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Engineered Products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w:t>
            </w:r>
          </w:p>
        </w:tc>
      </w:tr>
      <w:tr>
        <w:trPr>
          <w:trHeight w:val="22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3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2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r>
      <w:tr>
        <w:trPr>
          <w:trHeight w:val="229"/>
        </w:trPr>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48"/>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15,871</w:t>
            </w:r>
          </w:p>
        </w:tc>
      </w:tr>
      <w:tr>
        <w:trPr>
          <w:trHeight w:val="20"/>
        </w:trPr>
        <w:tc>
          <w:tcPr>
            <w:tcW w:w="49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85"/>
        </w:trPr>
        <w:tc>
          <w:tcPr>
            <w:tcW w:w="69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These amounts are classified in the Condensed Consolidated Statements of Earnings as follows: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r>
      <w:tr>
        <w:trPr>
          <w:trHeight w:val="230"/>
        </w:trPr>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w:t>
            </w:r>
          </w:p>
        </w:tc>
      </w:tr>
      <w:tr>
        <w:trPr>
          <w:trHeight w:val="248"/>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15,871</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restructuring expenses of $4,309 and $12,466 incurred during the three and six months ended June 30, 2022 were primarily the result of restructuring programs initiated in 2021 and 2022 in response to demand conditions and broad-based operational efficiency initiatives focusing on footprint consolidation and IT centralization.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$4,309 of restructuring charges incurred during the second quarter of 2022 primarily included the following items:</w:t>
      </w:r>
    </w:p>
    <w:p>
      <w:pPr>
        <w:spacing w:after="0" w:line="27"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Engineered Products segment recorded $524 of restructuring charges related primarily to headcount reductions and exit costs.</w:t>
      </w:r>
    </w:p>
    <w:p>
      <w:pPr>
        <w:spacing w:after="0" w:line="23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Clean Energy &amp; Fueling segment recorded $1,423 of restructuring charges primarily due to headcount reductions and exit costs.</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Imaging &amp; Identification segment recorded $344 of restructuring charges related primarily to headcount reductions and asset charges.</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Pumps &amp; Process Solutions segment recorded $1,476 of restructuring charges related primarily to headcount reductions.</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Climate &amp; Sustainability Technologies segment recorded $159 of restructuring charges related primarily to headcount reductions.</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recorded $383 of restructuring charges related primarily to simplification of organizational structure and headcount reductions.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severance and exit accrual activities were as follows: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6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320" w:type="dxa"/>
            <w:vAlign w:val="bottom"/>
          </w:tcPr>
          <w:p>
            <w:pPr>
              <w:spacing w:after="0"/>
              <w:rPr>
                <w:sz w:val="22"/>
                <w:szCs w:val="22"/>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Exit</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3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13,797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30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12,466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(8,778)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22"/>
              <w:spacing w:after="0" w:line="230" w:lineRule="exact"/>
              <w:rPr>
                <w:sz w:val="20"/>
                <w:szCs w:val="20"/>
                <w:color w:val="auto"/>
              </w:rPr>
            </w:pPr>
            <w:r>
              <w:rPr>
                <w:rFonts w:ascii="Times New Roman" w:cs="Times New Roman" w:eastAsia="Times New Roman" w:hAnsi="Times New Roman"/>
                <w:sz w:val="18"/>
                <w:szCs w:val="18"/>
                <w:color w:val="auto"/>
              </w:rPr>
              <w:t xml:space="preserve">(7,075)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(7,301)</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10,184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hanging="170"/>
        <w:spacing w:after="0" w:line="232" w:lineRule="auto"/>
        <w:tabs>
          <w:tab w:leader="none" w:pos="353"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activity includes non-cash foreign currency translation losses recorded as restructuring charges due to the substantial liquidation of businesses in certain Latin America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Borrowings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consisted of the following:</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8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tcPr>
          <w:p>
            <w:pPr>
              <w:spacing w:after="0"/>
              <w:rPr>
                <w:sz w:val="19"/>
                <w:szCs w:val="19"/>
                <w:color w:val="auto"/>
              </w:rPr>
            </w:pPr>
          </w:p>
        </w:tc>
        <w:tc>
          <w:tcPr>
            <w:tcW w:w="11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393,654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105,702</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10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2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Pr>
          <w:p>
            <w:pPr>
              <w:spacing w:after="0"/>
              <w:rPr>
                <w:sz w:val="14"/>
                <w:szCs w:val="14"/>
                <w:color w:val="auto"/>
              </w:rPr>
            </w:pPr>
          </w:p>
        </w:tc>
        <w:tc>
          <w:tcPr>
            <w:tcW w:w="12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24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162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3.15% 10-year notes due November 15, 2025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397,389</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1.25% 10-year notes due November 9, 2026 (euro-denominated)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628,695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674,217</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0.750% 8-year notes due November 4, 2027 (euro denominated)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561,293</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6.65% 30-year debentures due June 1, 2028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199,406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199,356</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2.950% 10-year notes due November 4, 2029</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297,029</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5.375% 30-year debentures due October 15, 2035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296,684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296,559</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6.60% 30-year notes due March 15, 2038</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248,166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5.375% 30-year notes due March 1, 2041</w:t>
            </w:r>
          </w:p>
        </w:tc>
        <w:tc>
          <w:tcPr>
            <w:tcW w:w="24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344,844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344,705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3,018,714</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40" w:hanging="170"/>
        <w:spacing w:after="0"/>
        <w:tabs>
          <w:tab w:leader="none" w:pos="3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Carrying amount is net of unamortized debt discount and deferred debt issuance costs. Total unamortized debt discounts were</w:t>
      </w:r>
    </w:p>
    <w:p>
      <w:pPr>
        <w:spacing w:after="0" w:line="10" w:lineRule="exact"/>
        <w:rPr>
          <w:sz w:val="20"/>
          <w:szCs w:val="20"/>
          <w:color w:val="auto"/>
        </w:rPr>
      </w:pPr>
    </w:p>
    <w:p>
      <w:pPr>
        <w:ind w:left="180"/>
        <w:spacing w:after="0" w:line="257" w:lineRule="auto"/>
        <w:rPr>
          <w:sz w:val="20"/>
          <w:szCs w:val="20"/>
          <w:color w:val="auto"/>
        </w:rPr>
      </w:pPr>
      <w:r>
        <w:rPr>
          <w:rFonts w:ascii="Times New Roman" w:cs="Times New Roman" w:eastAsia="Times New Roman" w:hAnsi="Times New Roman"/>
          <w:sz w:val="16"/>
          <w:szCs w:val="16"/>
          <w:color w:val="auto"/>
        </w:rPr>
        <w:t>$13.7 million and $15.1 million as of June 30, 2022 and December 31, 2021, respectively. Total deferred debt issuance costs were $11.6 million and $12.5 million as of June 30, 2022 and December 31, 2021, respectively.</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commercial paper borrowings increased $288,000. The borrowings outstanding under the commercial paper program had a weighted average annual interest rate of 1.90% and 0.38% as of June 30, 2022 and December 31, 2021, respectively.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2022, the Company maintained a $1.0 billion five-year unsecured revolving credit facility (the "Credit Agreement") with a syndicate of banks which expires on October 4, 2024. The Company uses the Credit Agreement principally as liquidity back-up for its commercial paper program and for general corporate purposes. At the Company's election, loans under the Credit Agreement will bear interest at a base rate plus an applicable margin. The Credit Agreement requires the Company to pay a facility fee and imposes various restrictions on the Company such as, among other things, a requirement to maintain a minimum interest coverage ratio of consolidated EBITDA to consolidated net interest expense of not less than 3.0 to 1. As of June 30, 2022 and December 31, 2021, there were no borrowings under the Credit Agreement.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covenants in the Credit Agreement and other long-term debt covenants at June 30, 2022 and had an interest coverage ratio of consolidated EBITDA to consolidated net interest expense of 17.8 to 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 and other Guarantees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the Company had approximately $166 million outstanding in letters of credit, surety bonds, and performance and other guarantees which expire on various dates through 2039. These letters of credit and bonds are primarily issued as security for insurance, warranty and other performance obligations. In general, we would only be liable for the amount of these guarantees in the event of default in the performance of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ind w:right="9260" w:firstLine="8"/>
        <w:spacing w:after="0" w:line="534" w:lineRule="auto"/>
        <w:tabs>
          <w:tab w:leader="none" w:pos="270" w:val="left"/>
        </w:tabs>
        <w:numPr>
          <w:ilvl w:val="0"/>
          <w:numId w:val="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Financial Instruments </w:t>
      </w:r>
      <w:r>
        <w:rPr>
          <w:rFonts w:ascii="Times New Roman" w:cs="Times New Roman" w:eastAsia="Times New Roman" w:hAnsi="Times New Roman"/>
          <w:sz w:val="18"/>
          <w:szCs w:val="18"/>
          <w:b w:val="1"/>
          <w:bCs w:val="1"/>
          <w:color w:val="auto"/>
        </w:rPr>
        <w:t>Derivatives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to occur within the next twelve months that are denominated in non-functional currencies, with currency forward contracts designated as cash flow hedges. At June 30, 2022 and December 31, 2021, the Company had contracts with total notional amounts of $173,852 and $180,929, respectively, to exchange currencies, principally euro, pound sterling, Swedish krona, Canadian dollar, Chinese yuan, and Swiss franc. The Company believes it is probable that all forecasted cash flow transactions will occur.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had outstanding contracts with a total notional amount of $112,640 and $108,736 as of June 30, 2022 and December 31, 2021,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fair values of derivative instruments held by the Company as of June 30, 2022 and December 31, 2021 and the balance sheet lines in which they are recorded: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Fair Value Asset (Liability)</w:t>
            </w:r>
          </w:p>
        </w:tc>
        <w:tc>
          <w:tcPr>
            <w:tcW w:w="30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19"/>
                <w:szCs w:val="19"/>
                <w:color w:val="auto"/>
              </w:rPr>
            </w:pPr>
          </w:p>
        </w:tc>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r>
    </w:tbl>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 cash flow hedge, the change in estimated fair value of a hedging instrument is recorded in accumulated other comprehensive (loss) earnings as a separate component of the Condensed Consolidated Statements of Stockholders' Equity and is reclassified into revenues, cost of goods and services, or selling, general and administrative expenses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designated the €500,000 and €600,000 of euro-denominated notes issued November 4, 2019 and November 9, 2016, respectively, as hedges of a portion of its net investment in euro-denominated operations. Changes in the value of the euro-denominated debt are recognized in foreign currency translation adjustments within other comprehensive earnings of the Condensed Consolidated Statements of Comprehensive Earnings to offset changes in the value of the net investment in euro-denominated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other comprehensive earnings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euro-denominated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6"/>
              </w:rPr>
              <w:t>46,742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6"/>
              </w:rPr>
              <w:t>84,490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27,539</w:t>
            </w:r>
          </w:p>
        </w:tc>
      </w:tr>
      <w:tr>
        <w:trPr>
          <w:trHeight w:val="23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(expense) benefit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(18,970)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(6,223)</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net investment hedges, net of tax</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6"/>
              </w:rPr>
              <w:t>36,203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6"/>
              </w:rPr>
              <w:t>65,520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21,316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assets and liabilities measured at fair value on a recurring basis as of June 30, 2022 and December 31,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15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5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2</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15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long-term debt at June 30, 2022 and December 31, 2021, was $2,879,335 and $3,440,501, respectively. The estimated fair value of long-term debt is based on quoted market prices for similar instruments and is, therefore, classified as Level 2 within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trade receivables, accounts payable and notes payable are reasonable estimates of their fair values as of June 30, 2022 and December 31, 2021 due to the short-term nature of these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11. Income Taxes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for the three months ended June 30, 2022 and 2021 were 13.6% and 18.2%, respectively. The decrease in the effective tax rate for the three months ended June 30, 2022 relative to the prior comparable period was primarily driven by favorable audit resolutions, including $22.6 million related to the Tax Cuts and Jobs Act.</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for the six months ended June 30, 2022 and 2021 were 15.6% and 18.8%, respectively. The decrease in the effective tax rate for the six months ended June 30, 2022 relative to the prior year comparable period was primarily driven by favorable audit resolutions, including $22.6 million related to the Tax Cuts and Jobs Act.</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zero to $4.5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12. Equity Incentive Program</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typically makes its annual grants of equity awards pursuant to actions taken by the Compensation Committee of the Board of Directors at its regularly scheduled first quarter meeting. During the six months ended June 30, 2022, the Company issued stock-settled appreciation rights ("SARs") covering 335,285 shares, performance share awards of 40,087 and restricted stock units ("RSUs") of 76,509.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SARs is based on the U.S. Treasury yield curve in effect at the time of grant.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determining the fair value of the SARs awarded during the respective periods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0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180" w:type="dxa"/>
            <w:vAlign w:val="bottom"/>
            <w:tcBorders>
              <w:bottom w:val="single" w:sz="8" w:color="auto"/>
            </w:tcBorders>
          </w:tcPr>
          <w:p>
            <w:pPr>
              <w:spacing w:after="0"/>
              <w:rPr>
                <w:sz w:val="20"/>
                <w:szCs w:val="20"/>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0.59 %</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30.49 %</w:t>
            </w:r>
          </w:p>
        </w:tc>
      </w:tr>
      <w:tr>
        <w:trPr>
          <w:trHeight w:val="216"/>
        </w:trPr>
        <w:tc>
          <w:tcPr>
            <w:tcW w:w="8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performance share awards granted in 2022 and 2021 are market condition awards as attainment is based on Dover's performance relative to its peer group (companies listed under the S&amp;P 500 Industrials sector) for the relevant performance period. The performance period and vesting period for these awards is three years. These awards were valued on the date of grant using the Monte Carlo simulation model (a binomial lattice-based valuation model) and are generally recognized ratably over the vesting period, and the fair value is not subject to change based on future market conditions. The assumptions used in determining the fair value of the performance shares granted in the respective periods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320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Performance Shares</w:t>
            </w:r>
          </w:p>
        </w:tc>
      </w:tr>
      <w:tr>
        <w:trPr>
          <w:trHeight w:val="223"/>
        </w:trPr>
        <w:tc>
          <w:tcPr>
            <w:tcW w:w="80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31.90 %</w:t>
            </w:r>
          </w:p>
        </w:tc>
      </w:tr>
      <w:tr>
        <w:trPr>
          <w:trHeight w:val="216"/>
        </w:trPr>
        <w:tc>
          <w:tcPr>
            <w:tcW w:w="8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$148.29</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has granted RSUs, and the fair value of these awards was determined using Dover's closing stock price on the date of grant, which was $160.21 and $122.73 for RSUs granted in 2022 and 2021, respectively.</w:t>
      </w:r>
    </w:p>
    <w:p>
      <w:pPr>
        <w:spacing w:after="0" w:line="200" w:lineRule="exact"/>
        <w:rPr>
          <w:sz w:val="20"/>
          <w:szCs w:val="20"/>
          <w:color w:val="auto"/>
        </w:rPr>
      </w:pPr>
    </w:p>
    <w:p>
      <w:pPr>
        <w:spacing w:after="0" w:line="23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32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18,331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18,393</w:t>
            </w:r>
          </w:p>
        </w:tc>
      </w:tr>
      <w:tr>
        <w:trPr>
          <w:trHeight w:val="23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(1,781)</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16,485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16,612</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ind w:right="7820" w:firstLine="8"/>
        <w:spacing w:after="0" w:line="534" w:lineRule="auto"/>
        <w:tabs>
          <w:tab w:leader="none" w:pos="270" w:val="left"/>
        </w:tabs>
        <w:numPr>
          <w:ilvl w:val="0"/>
          <w:numId w:val="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Commitments and Contingent Liabilities </w:t>
      </w:r>
      <w:r>
        <w:rPr>
          <w:rFonts w:ascii="Times New Roman" w:cs="Times New Roman" w:eastAsia="Times New Roman" w:hAnsi="Times New Roman"/>
          <w:sz w:val="18"/>
          <w:szCs w:val="18"/>
          <w:b w:val="1"/>
          <w:bCs w:val="1"/>
          <w:color w:val="auto"/>
        </w:rPr>
        <w:t>Litigation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the Company’s subsidiaries are involved in legal proceedings relating to the cleanup of waste disposal sites identified under federal and state statutes that provide for the allocation of such costs among "potentially responsible parties." In each instance, the extent of the Company’s liability appears to be very small in relation to the total projected expenditures and the number of other "potentially responsible parties" involved, and is anticipated to be immaterial to the Company. In addition, certain of the Company’s subsidiaries are involved in ongoing remedial activities at certain current and former plant sites, in cooperation with regulatory agencies, and appropriate estimated liabilities have been established. At June 30, 2022 and December 31, 2021, these estimated liabilities for environmental and other matters, including private party claims for exposure to hazardous substances that are probable and estimable, were not material.</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certain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the availability and extent of insurance coverage. The Company has estimated liabilities for legal matters that are probable and estimable, and at June 30, 2022 and December 31, 2021, these estimated liabilities were not 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Accruals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 The changes in the carrying amount of product warranties through June 30, 2022 and 2021,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 December 31 of the Prior Year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51,088</w:t>
            </w: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w:t>
            </w: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(34,424)</w:t>
            </w:r>
          </w:p>
        </w:tc>
      </w:tr>
      <w:tr>
        <w:trPr>
          <w:trHeight w:val="23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 including acquisitions and currency translation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 June 30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9140" w:firstLine="8"/>
        <w:spacing w:after="0" w:line="534" w:lineRule="auto"/>
        <w:tabs>
          <w:tab w:leader="none" w:pos="270" w:val="left"/>
        </w:tabs>
        <w:numPr>
          <w:ilvl w:val="0"/>
          <w:numId w:val="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Employee Benefit Plans </w:t>
      </w:r>
      <w:r>
        <w:rPr>
          <w:rFonts w:ascii="Times New Roman" w:cs="Times New Roman" w:eastAsia="Times New Roman" w:hAnsi="Times New Roman"/>
          <w:sz w:val="18"/>
          <w:szCs w:val="18"/>
          <w:b w:val="1"/>
          <w:bCs w:val="1"/>
          <w:color w:val="auto"/>
        </w:rPr>
        <w:t>Retirement Plans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qualified defined benefit pension plans covering certain employees of the Company and its subsidiaries, although the U.S. qualified and non-qualified defined benefit plans are closed to new entrants.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tables below set forth the components of the Company’s net periodic (income) expense relating to retirement benefit plans. The service cost component is recognized within selling, general and administrative expenses and cost of goods and services, depending on the functional area of the underlying employees included in the plans, and the non-operating components of pension costs are included within other income, net in the Condensed Consolidated Statements of Earnings.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Qualified Defined Benefits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7"/>
        </w:trPr>
        <w:tc>
          <w:tcPr>
            <w:tcW w:w="27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10"/>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223"/>
        </w:trPr>
        <w:tc>
          <w:tcPr>
            <w:tcW w:w="2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U.S. Plan</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6"/>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U.S. Plan</w:t>
            </w: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Non-U.S. Plans</w:t>
            </w:r>
          </w:p>
        </w:tc>
      </w:tr>
      <w:tr>
        <w:trPr>
          <w:trHeight w:val="223"/>
        </w:trPr>
        <w:tc>
          <w:tcPr>
            <w:tcW w:w="2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(3,706)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2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4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(income) expense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501"/>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Supplemental Benefits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6"/>
        </w:trPr>
        <w:tc>
          <w:tcPr>
            <w:tcW w:w="2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920" w:type="dxa"/>
            <w:vAlign w:val="bottom"/>
            <w:gridSpan w:val="10"/>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0" w:type="dxa"/>
            <w:vAlign w:val="bottom"/>
            <w:gridSpan w:val="9"/>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7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Prior service cost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9"/>
        </w:trPr>
        <w:tc>
          <w:tcPr>
            <w:tcW w:w="2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Recognized actuarial gain</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(504)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expense</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offers defined contribution retirement plans which cover the majority of its U.S. employees, as well as employees in certain other countries. The related expense is recognized within selling, general and administrative expenses and cost of goods and services, depending on the functional area of the underlying employees included in the plans. The Company’s expense relating to defined contribution plans was $14,584 and $16,052 for the three months ended June 30, 2022 and 2021, respectively, and $32,257 and $31,113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15. Other Comprehensive Earnings</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to earnings during the three and six months ended June 30, 2022 and 2021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2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48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substantial liquidation of businesses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reclassified into earnings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translation losses were recognized in selling, general and administrative expenses within the Condensed Consolidated Statement of Earnings as a result of the substantial liquidation of certain businesses.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the amortization of net actuarial gains and losses and prior service costs in other income, net within the Condensed Consolidated Statements of Earnings.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16. 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categorizes its operating companies into five reportable segments as follows:</w:t>
      </w:r>
    </w:p>
    <w:p>
      <w:pPr>
        <w:spacing w:after="0" w:line="252"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Products segment provides a wide range of equipment, components, software, solutions and services for vehicle aftermarket, waste handling, industrial automation,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Energy &amp; Fueling segment provides components, equipment, and software and service solutions enabling safe transport of traditional and clean fuels and other hazardous substances along the supply chain, as well as the safe and efficient operation of convenience retail, retail fueling and vehicle wash establishments.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&amp; Identification segment supplies precision marking and coding, packaging intelligence, product traceability, brand protection and digital textile printing equipment, as well as related consumables, software and services to the global packaged and consumer goods, pharmaceutical, industrial manufacturing, fashion and apparel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Pumps &amp; Process Solutions segment manufactures specialty pumps and flow meters, fluid connecting solutions, plastics and polymer processing equipment, and highly-engineered precision components for rotating and reciprocating machines serving single-use biopharmaceutical production, diversified industrial manufacturing, polymer processing, midstream and downstream oil and gas and other end-markets.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&amp; Sustainability Technologies segment is a provider of innovative and energy-efficient equipment and systems that serve the commercial refrigeration, heating and cooling and beverage can-making equipment 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uses segment earnings to evaluate segment performance and allocate resources. Segment earnings is defined as earnings before purchase accounting expenses, restructuring and other costs (benefits), loss (gain) on dispositions, corporate expenses/other, interest expense, interest income and provision for income taxes.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 period ended June 30, 2022, the segment measure of profit and loss used by the CODM was changed to segment earnings from segment earnings (EBIT), defined as earnings before corporate expenses/other, interest expense, interest income and provision for income taxes. This change in segment measure allows the CODM to better assess operating results over time and is consistent with how the CODM evaluates our businesses. Accordingly, we have updated our segment earnings for the three and six months ended June 30, 2021 to conform to the new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financial information and a reconciliation of segment results to consolidated results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1,002,083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870,218</w:t>
            </w:r>
          </w:p>
        </w:tc>
      </w:tr>
      <w:tr>
        <w:trPr>
          <w:trHeight w:val="229"/>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826,720</w:t>
            </w:r>
          </w:p>
        </w:tc>
      </w:tr>
      <w:tr>
        <w:trPr>
          <w:trHeight w:val="230"/>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578,404</w:t>
            </w:r>
          </w:p>
        </w:tc>
      </w:tr>
      <w:tr>
        <w:trPr>
          <w:trHeight w:val="229"/>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823,078</w:t>
            </w:r>
          </w:p>
        </w:tc>
      </w:tr>
      <w:tr>
        <w:trPr>
          <w:trHeight w:val="229"/>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802,583</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2,158,715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2,031,676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4,210,616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3,899,577</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147,939</w:t>
            </w:r>
          </w:p>
        </w:tc>
      </w:tr>
      <w:tr>
        <w:trPr>
          <w:trHeight w:val="230"/>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173,002</w:t>
            </w:r>
          </w:p>
        </w:tc>
      </w:tr>
      <w:tr>
        <w:trPr>
          <w:trHeight w:val="229"/>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130,183</w:t>
            </w:r>
          </w:p>
        </w:tc>
      </w:tr>
      <w:tr>
        <w:trPr>
          <w:trHeight w:val="229"/>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275,654</w:t>
            </w:r>
          </w:p>
        </w:tc>
      </w:tr>
      <w:tr>
        <w:trPr>
          <w:trHeight w:val="230"/>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100,380</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827,158</w:t>
            </w: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70,678</w:t>
            </w:r>
          </w:p>
        </w:tc>
      </w:tr>
      <w:tr>
        <w:trPr>
          <w:trHeight w:val="229"/>
        </w:trPr>
        <w:tc>
          <w:tcPr>
            <w:tcW w:w="4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w:t>
            </w: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on dispositions </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77,083</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53,484</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612,594</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115,317</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340" w:hanging="8"/>
        <w:spacing w:after="0" w:line="223" w:lineRule="auto"/>
        <w:tabs>
          <w:tab w:leader="none" w:pos="5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intangible assets and charges related to fair value step-ups for acquired inventory sold during the period.</w:t>
      </w:r>
    </w:p>
    <w:p>
      <w:pPr>
        <w:ind w:left="340" w:hanging="8"/>
        <w:spacing w:after="0" w:line="222" w:lineRule="auto"/>
        <w:tabs>
          <w:tab w:leader="none" w:pos="517"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employee reductions, facility consolidations and site closures, product line exits, and other asset charges. Restructuring and other costs consist of the following:</w:t>
      </w: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497"/>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9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15,871</w:t>
            </w:r>
          </w:p>
        </w:tc>
      </w:tr>
      <w:tr>
        <w:trPr>
          <w:trHeight w:val="21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(benefits), net</w:t>
            </w: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500" w:hanging="168"/>
        <w:spacing w:after="0"/>
        <w:tabs>
          <w:tab w:leader="none" w:pos="50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disposition includes working capital adjustments related to dispositions.</w:t>
      </w:r>
    </w:p>
    <w:p>
      <w:pPr>
        <w:ind w:left="500" w:hanging="168"/>
        <w:spacing w:after="0" w:line="191" w:lineRule="auto"/>
        <w:tabs>
          <w:tab w:leader="none" w:pos="50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expenses are maintained at the corporate level and not allocated to the segments. These expenses include executive and functional compensation costs, non-</w:t>
      </w:r>
    </w:p>
    <w:p>
      <w:pPr>
        <w:spacing w:after="0" w:line="10" w:lineRule="exact"/>
        <w:rPr>
          <w:sz w:val="20"/>
          <w:szCs w:val="20"/>
          <w:color w:val="auto"/>
        </w:rPr>
      </w:pPr>
    </w:p>
    <w:p>
      <w:pPr>
        <w:ind w:left="340" w:right="20"/>
        <w:spacing w:after="0" w:line="257" w:lineRule="auto"/>
        <w:rPr>
          <w:sz w:val="20"/>
          <w:szCs w:val="20"/>
          <w:color w:val="auto"/>
        </w:rPr>
      </w:pPr>
      <w:r>
        <w:rPr>
          <w:rFonts w:ascii="Times New Roman" w:cs="Times New Roman" w:eastAsia="Times New Roman" w:hAnsi="Times New Roman"/>
          <w:sz w:val="16"/>
          <w:szCs w:val="16"/>
          <w:color w:val="auto"/>
        </w:rPr>
        <w:t>service pension costs, non-operating insurance expenses, shared business services overhead costs, deal-related expenses and various administrative expenses relating to the corporate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geography based on the location of the Company's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1,091,015</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2,404,561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2,127,029</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459,074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904,369</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236,008</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428,115</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171,891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302,068</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73,688</w:t>
            </w:r>
          </w:p>
        </w:tc>
        <w:tc>
          <w:tcPr>
            <w:tcW w:w="3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137,996</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2,158,715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2,031,676</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4,210,616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3,899,577</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17. Share Repurchases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2020, the Company's Board of Directors approved a new standing share repurchase authorization, whereby the Company may repurchase up to 20 million shares beginning on January 1, 2021 through December 31, 2023. This share repurchase authorization replaced the February 2018 share repurchase authorization.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and six months ended June 30, 2022, the Company repurchased 641,428 shares of common stock at a total cost of $85,000, or $132.52 per share. In the first quarter of 2021, the Company repurchased 182,951 shares of common stock at a total cost of $21,637, or $118.27 per share. There were no repurchases during the three months ended June 30,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19,175,621 shares remain authorized for repurchase under the November 2020 share repurchase authorization.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18.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the information used in computing basic and diluted earnings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497,277</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143,832,000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143,941,000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143,959,000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143,854,000</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54"/>
        </w:trPr>
        <w:tc>
          <w:tcPr>
            <w:tcW w:w="4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144,669,000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145,118,000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144,998,000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145,040,000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the share amounts used in computing earnings per share: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p>
      <w:pPr>
        <w:spacing w:after="0" w:line="27"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8"/>
          <w:szCs w:val="18"/>
          <w:color w:val="auto"/>
        </w:rPr>
        <w:t>Dilutive effect of assumed exercise of SARs and vesting of performance shares and RSUs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8"/>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143,832,000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143,941,000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143,959,000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143,854,000</w:t>
            </w:r>
          </w:p>
        </w:tc>
      </w:tr>
      <w:tr>
        <w:trPr>
          <w:trHeight w:val="414"/>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837,000</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1,177,000</w:t>
            </w:r>
          </w:p>
        </w:tc>
        <w:tc>
          <w:tcPr>
            <w:tcW w:w="10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1,039,000</w:t>
            </w:r>
          </w:p>
        </w:tc>
        <w:tc>
          <w:tcPr>
            <w:tcW w:w="10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1,186,000</w:t>
            </w:r>
          </w:p>
        </w:tc>
      </w:tr>
      <w:tr>
        <w:trPr>
          <w:trHeight w:val="223"/>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144,669,000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145,118,000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144,998,000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145,040,000</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-607695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-187960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700"/>
            <w:col w:w="6260"/>
          </w:cols>
          <w:pgMar w:left="320" w:top="126" w:right="339" w:bottom="1440" w:gutter="0" w:footer="0" w:header="0"/>
          <w:type w:val="continuous"/>
        </w:sectPr>
      </w:pP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number of anti-dilutive potential common shares excluded from the calculation above were approximately 6,000 and 0 for the three months ended June 30, 2022 and 2021, respectively, and 32,000 and 34,000 for the six months ended June 30, 2022 and 2021, respectively.</w:t>
      </w:r>
    </w:p>
    <w:p>
      <w:pPr>
        <w:spacing w:after="0" w:line="185" w:lineRule="exact"/>
        <w:rPr>
          <w:sz w:val="20"/>
          <w:szCs w:val="20"/>
          <w:color w:val="auto"/>
        </w:rPr>
      </w:pPr>
    </w:p>
    <w:p>
      <w:pPr>
        <w:ind w:right="8100" w:firstLine="8"/>
        <w:spacing w:after="0" w:line="534" w:lineRule="auto"/>
        <w:tabs>
          <w:tab w:leader="none" w:pos="270" w:val="left"/>
        </w:tabs>
        <w:numPr>
          <w:ilvl w:val="0"/>
          <w:numId w:val="1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Recent Accounting Pronouncements </w:t>
      </w:r>
      <w:r>
        <w:rPr>
          <w:rFonts w:ascii="Times New Roman" w:cs="Times New Roman" w:eastAsia="Times New Roman" w:hAnsi="Times New Roman"/>
          <w:sz w:val="18"/>
          <w:szCs w:val="18"/>
          <w:b w:val="1"/>
          <w:bCs w:val="1"/>
          <w:color w:val="auto"/>
        </w:rPr>
        <w:t>Recently Adopted Accounting Standards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 Accounting for Contract Assets and Contract Liabilities from Contracts with Customers. The amendments in this update require that an acquirer recognize and measure contract assets and contract liabilities acquired in a business combination in accordance with Topic 606, Revenue from Contracts with Customers, as if the acquirer had originated the contracts. The Company early adopted the guidance during the first quarter of 2022. Prior to adoption, the acquirer recognized such contract assets and contract liabilities at fair value on the acquisition date. The adoption did not have a material impact on the Company's Condensed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 Subsequent Events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 2022, the Company completed the acquisition of Malema Engineering Corporation ("Malema"), a designer and manufacturer of flow measurement and control instruments serving customers in the biopharmaceutical, semiconductor and industrial sectors, for approximately $224,000, subject to customary post-closing adjustments, and contingent consideration of up to $50,000. At the closing of the transaction, the Company acquired 99.7% of the equity interests in the Malema group. The acquisition of the remaining equity interests is expected to occur during the third quarter. The Malema acquisition expands the Company's biopharma single-use production offering within the Pumps &amp; Process Solutions segment. The initial accounting for the Malema acquisition is incomplete as a result of the timing of the acquisition. Accordingly, it is impracticable for us to make certain business combination disclosures such as the estimated fair values of assets and liabilities acquired and the amount of goodwill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the section below entitled "Special Notes Regarding Forward-Looking Statements" for a discussion of factors that could cause our actual results to differ from the forward-looking statements contained below and throughout this quarterly report.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("MD&amp;A"), we refer to measures used by management to evaluate performance as well as liquidity, including a number of financial measures that are not defined under accounting principles generally accepted in the United States of America ("GAAP"). We believe these measures provide investors with important information that is useful in understanding our business results and trends. Explanations within this MD&amp;A provide more details on the use and derivation of these measures.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Dover's five operating segments are as follows:</w:t>
      </w:r>
    </w:p>
    <w:p>
      <w:pPr>
        <w:spacing w:after="0" w:line="252"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for vehicle aftermarket, waste handling, industrial automation,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Clean Energy &amp; Fueling segment provides components, equipment, and software and service solutions enabling safe transport of traditional and clean fuels and other hazardous substances along the supply chain, as well as the safe and efficient operation of convenience retail, retail fueling and vehicle wash establishments.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Imaging &amp; Identification segment supplies precision marking and coding, packaging intelligence, product traceability, brand protection and digital textile printing equipment, as well as related consumables, software and services to the global packaged and consumer goods, pharmaceutical, industrial manufacturing, fashion and apparel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Pumps &amp; Process Solutions segment manufactures specialty pumps and flow meters, fluid connecting solutions, plastics and polymer processing equipment, and highly-engineered precision components for rotating and reciprocating machines serving single-use biopharmaceutical production, diversified industrial manufacturing, polymer processing, midstream and downstream oil and gas and other end-markets.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and systems that serve the commercial refrigeration, heating and cooling and beverage can-making equipment markets.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2022, revenue was $2.2 billion, which increased $127.0 million, or 6.3%, as compared to the second quarter of 2021. This was driven by organic revenue growth of 7.5% and acquisition-related revenue growth of 4.1%, partially offset by an unfavorable impact from foreign currency translation of 3.6% and disposition-related decline of 1.7%. Pricing initiatives continued in the quarter to offset the impact of higher commodity costs, principally steel, component parts inflation, and higher freight and logistics costs.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7.5% organic revenue growth for the second quarter of 2022 was broad-based across most of our businesses based on solid underlying demand and our ability to produce and ship despite supply chain constraints, input cost inflation, and unforecasted production interruptions. The Engineered Products segment had organic revenue growth of 18.6% primarily as a result of pricing initiatives as well as strength in our waste handling, vehicle services, industrial automation, and industrial winch and hoist businesses, whereas our aerospace and defense business declined organically year-over-year driven by supply chain constraints and program timing. The Clean Energy &amp; Fueling segment had organic revenue decline of 1.1% principally due to</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reduced year-over-year demand in North America for Europay, Mastercard, and Visa ("EMV") compliant equipment following the compliance deadline in the second quarter of 2021, mostly offset by solid demand in our North America below ground retail fueling, fluid transfer solutions and vehicle wash solutions businesses, along with pricing initiatives. The Imaging &amp; Identification segment experienced organic revenue decline of 0.9% driven by sourced logistics headwinds and continued component shortages due to COVID-19 related lockdowns in China in our marking and coding business, partially offset by growth in our serialization and brand management software. The Pumps &amp; Process Solutions segment had organic revenue growth of 6.8%, driven by pricing initiatives, along with continued strength in our core non-COVID-19 biopharma platform, industrial pumps, plastics and polymer processing solutions, and bearings and compression components businesses, partially offset by lower shipments for single-use pumps and connectors used in biopharmaceutical production processes for the COVID-19 vaccine. The Climate &amp; Sustainability Technologies segment posted organic revenue growth of 11.4%, reflective of pricing initiatives combined with strong demand in retail refrigeration, can-making, and heat exchangers.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a geographic perspective, organic revenue for the U.S., our largest market, increased 12.5% in the second quarter of 2022. Organic revenue in Europe and Asia grew 11.8% and 0.4%, respectively. Revenue growth in Asia was negatively impacted by COVID-19 driven lockdowns in China in the quarter, which have since eased. Other Americas declined by 17.7% organically in the quarter.</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Bookings were $2.1 billion for the three months ended June 30, 2022, a decrease of $270.3 million, or 11.4% compared to the prior year comparable period. Included in this result was organic decline of 9.9%, an unfavorable impact from foreign currency translation of 2.9%, disposition-related decline of 1.8%, and acquisition-related growth of 3.2%. The organic bookings decline was driven primarily by a $74.0 million order reversal due to customer financing limitations in our beverage can-making business, a decrease in orders for biopharmaceutical components used in COVID-19 vaccine production, and declines in our vehicle service and waste handling businesses principally related to higher year-over-year comparables and timing of orders in waste handling. This was partially offset by solid demand in our marking and coding business.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Backlog as of June 30, 2022 was $3.3 billion, an increase from $2.6 billion in the prior year. See definition of bookings and backlog within "Segment Results of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Restructuring and other costs of $7.9 million included restructuring charges of $4.3 million and other costs of $3.6 million for the three months ended June 30, 2022. Restructuring and other costs were primarily due to headcount reductions and facility consolidations resulting from restructuring programs initiated in 2021 and 2022, and asset write-downs. See Note 8 — Restructuring Activities in the Condensed Consolidated Financial Statements in Item 1 of this Form 10-Q for further details.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the second quarter of 2022, on July 1, 2022, the Company completed the acquisition of Malema Engineering Corporation ("Malema"), a designer and manufacturer of flow measurement and control instruments serving customers in the biopharmaceutical, semiconductor and industrial sectors, for approximately $224.0 million, subject to customary post-closing adjustments, and contingent consideration of up to $50.0 million. The Malema acquisition expands the Company's biopharma single-use production offering within the Pumps &amp; Process Solutions segment. See Note 20 — Subsequent Events in the Condensed Consolidated Financial Statements in Item 1 of this Form 10-Q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Update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outbreak and associated counteracting measures implemented by governments and businesses around the world, as well as subsequent accelerated recovery in global business activity, have increased uncertainty in the global business environment and led to supply chain disruptions and shortages in global markets for commodities, logistics and labor, as well as input cost inflation. Currently our expectation is that the impact of cost inflation, including labor, freight and logistics costs, as well as supplier component input availability will continue throughout 2022.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public health situation, continued global response measures and corresponding impacts on various markets remain fluid and uncertain and may lead to sudden changes in trajectory and outlook. We will continue to proactively respond to the situation and may take further actions that alter our business activity as may be required by governmental authorities, or that we determine are in the best interests of our employees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00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w:t>
            </w:r>
          </w:p>
        </w:tc>
        <w:tc>
          <w:tcPr>
            <w:tcW w:w="3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3"/>
                <w:szCs w:val="13"/>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13"/>
                <w:szCs w:val="13"/>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data)</w:t>
            </w:r>
          </w:p>
        </w:tc>
        <w:tc>
          <w:tcPr>
            <w:tcW w:w="30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2,158,715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2,031,676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4,210,616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3,899,577</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1,377,432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1,259,504</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2,686,139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2,405,857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781,283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772,172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1,524,477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1,493,720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36.2 %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38.0 %</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38.3 %</w:t>
            </w:r>
          </w:p>
        </w:tc>
        <w:tc>
          <w:tcPr>
            <w:tcW w:w="1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(2.1)</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21"/>
                <w:szCs w:val="21"/>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424,433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428,042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868,276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837,040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3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19.7 %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21.1 %</w:t>
            </w:r>
          </w:p>
        </w:tc>
        <w:tc>
          <w:tcPr>
            <w:tcW w:w="108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20.6 %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21.5 %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(0.9)</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expenses as a percent of revenue</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30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356,850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344,130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656,201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656,680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26,661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53,541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53,484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nm*</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(7,776)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6"/>
        </w:trPr>
        <w:tc>
          <w:tcPr>
            <w:tcW w:w="30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Earnings before provision for income</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tcPr>
          <w:p>
            <w:pPr>
              <w:spacing w:after="0"/>
              <w:rPr>
                <w:sz w:val="21"/>
                <w:szCs w:val="21"/>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335,356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323,344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611,059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612,594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45,738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58,836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115,317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13.6 %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c>
          <w:tcPr>
            <w:tcW w:w="108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15.6 %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18.8 %</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(3.2)</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289,618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264,508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515,771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497,277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4"/>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per common share - diluted $</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nm - 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three months ended June 30, 2022 increased $127.0 million, or 6.3%, from the prior year comparable quarter. Results included organic revenue growth of 7.5%, primarily led by our Engineered Products and Climate &amp; Sustainability Technologies segments, and acquisition-related revenue growth of 4.1%, driven by our Clean Energy &amp; Fueling segment. This growth was partially offset by an unfavorable impact from foreign currency translation of 3.6% and disposition-related decline of 1.7%. Customer pricing favorably impacted revenue by approximately 6.6% in the second quarter of 2022 compared to 2.1% in the prior year comparable quarter.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six months ended June 30, 2022 increased $311.0 million, or 8.0%, from the comparable period. The increase primarily reflects organic revenue growth of 8.4%, primarily led by our Engineered Products and Climate &amp; Sustainability Technologies segments. Acquisition-related growth was 4.3%, led by our Clean Energy &amp; Fueling segment. This growth was partially offset by an unfavorable impact from foreign currency translation of 3.0% and a 1.7% impact from dispositions within the Climate &amp; Sustainability Technologies segment. Customer pricing favorably impacted revenue by approximately 6.3% for the six months ended June 30, 2022 compared to 1.4% in the prior year comparable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three months ended June 30, 2022 increased $9.1 million, or 1.2%, while gross profit margin decreased 180 basis points to 36.2%, from the prior year comparable quarter. Our pricing initiatives which started in 2021 and into 2022 offset increased material and logistics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six months ended June 30, 2022 increased $30.8 million, or 2.1%, while gross profit margin decreased by 210 basis points to 36.2%, from the comparable period. Our pricing initiatives which started in 2021 and into 2022 offset increased material and logistics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2022 decreased $3.6 million, or 0.8%, from the prior year comparable quarter, primarily due to lower variable compensation expense. As a percentage of revenue, selling, general and administrative expenses decreased 140 basis points as compared to the prior year comparable period to 19.7% due to an increase in the revenue base.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2022 increased $31.2 million, or 3.7%, from the comparable period, primarily due to increased labor costs, travel and marketing expenses, and amortization expense from acquisitions. Selling, general and administrative expenses as a percentage of revenue decreased 90 basis points as compared to the prior year comparable period to 20.6% due to an increase in the revenue base.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including qualifying engineering costs, are expensed when incurred and amounted to $38.6 million and $41.2 million for the three months ended June 30, 2022 and 2021, respectively, and $79.3 million and $82.4 million, for the six months ended June 30, 2022 and 2021, respectively. These costs as a percent of revenue were 1.8% and 2.0% for the three months ended June 30, 2022 and 2021, respectively, and 1.9% and 2.1% for the six months ended June 30, 2022 and 2021,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for the three months ended June 30, 2022 decreased $0.4 million from the prior year comparable period due to various immaterial items.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for the six months ended June 30, 2022 decreased $1.1 million due to various immaterial items.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 months ended June 30, 2022 and 2021 were 13.6% and 18.2%, respectively. The decrease in the effective tax rate for the three months ended June 30, 2022 relative to the prior year comparable quarter was primarily driven by favorable audit resolutions, including $22.6 million related to the Tax Cuts and Jobs Act.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for the six months ended June 30, 2022 and 2021 were 15.6% and 18.8%, respectively. The decrease in the effective tax rate for the six months ended June 30, 2022 relative to the prior year comparable quarter was primarily driven by favorable audit resolutions, including $22.6 million related to the Tax Cuts and Jobs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earnings for the three months ended June 30, 2022 increased 9.5% to $289.6 million, or $2.00 diluted earnings per share, from $264.5 million, or $1.82 diluted earnings per share, in the prior year comparable quarter. The increase in net earnings is mainly attributable to increased volumes, favorable business mix, and customer pricing actions, partially offset by increased material and logistic costs, increased labor costs, and unfavorable impact from foreign currency translation. Additionally, the three months ended June 30, 2022 was impacted by a $22.6 million reduction to income taxes previously recorded related to the Tax Cuts and Jobs Act.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earnings for the six months ended June 30, 2022 increased 3.7% to $515.8 million, or $3.56 diluted earnings per share, from $497.3 million, or $3.43 diluted earnings per share, in the prior year comparable quarter. The increase in net earnings is mainly attributable to increased volumes, favorable business mix, pricing initiatives, productivity actions, and restructuring benefits offset by higher material and logistic costs, increased labor costs and an unfavorable impact form foreign currency translation. Additionally, the six months ended June 30, 2022 was impacted by a $22.6 million reduction to income taxes previously recorded related to the Tax Cuts and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each of our five reportable operating segments (Engineered Products, Clean Energy &amp; Fueling, Imaging &amp; Identification, Pumps &amp; Process Solutions, and Climate &amp; Sustainability Technologies). Each of these segments is comprised of various product and service offerings that serve multiple markets. We evaluate our operating segment performance based on segment earnings as defined in Note 16 — Segment Information in the Condensed Consolidated Financial Statements in Item 1 of this Form 10-Q. For further information, see "Non-GAAP Disclosures" at the end of this Item 2.</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203" w:lineRule="exact"/>
        <w:rPr>
          <w:sz w:val="20"/>
          <w:szCs w:val="20"/>
          <w:color w:val="auto"/>
        </w:rPr>
      </w:pPr>
    </w:p>
    <w:p>
      <w:pPr>
        <w:ind w:left="660" w:right="20" w:hanging="328"/>
        <w:spacing w:after="0" w:line="265" w:lineRule="auto"/>
        <w:tabs>
          <w:tab w:leader="none" w:pos="65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Bookings represent total orders received from customers in the current reporting period. This metric is an important measure of performance and an indicator of revenue order trends.</w:t>
      </w:r>
    </w:p>
    <w:p>
      <w:pPr>
        <w:spacing w:after="0" w:line="190"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bookings represent total orders received from customers in the current reporting period excluding the impact of foreign currency exchange rates and the impact of acquisitions and dispositions. This metric is an important measure of performance and an indicator of revenue order trends.</w:t>
      </w:r>
    </w:p>
    <w:p>
      <w:pPr>
        <w:spacing w:after="0" w:line="196"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Backlog represents an estimate of the total remaining bookings at a point in time for which performance obligations have not yet been satisfied. This metric is useful as it represents the aggregate amount we expect to recognize as revenue in the future.</w:t>
      </w:r>
    </w:p>
    <w:p>
      <w:pPr>
        <w:spacing w:after="0" w:line="175"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Products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for vehicle aftermarket, waste handling, industrial automation, aerospace and defense, industrial winch and hoist, and fluid dispensing end-markets.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442,091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452,668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497,200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613,517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30"/>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3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3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2022 Compared to the Second Quarter 2021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Engineered Products segment revenue for the second quarter of 2022 increased $72.3 million, or 16.4%, as compared to the second quarter of 2021, comprised primarily of organic growth of 18.6%, acquisition-related growth of 1.1%, and an unfavorable impact from foreign currency translation of 3.3%. Customer pricing favorably impacted revenue in the second quarter of 2022 by approximately 10.3% compared to 2.7% in the prior year comparable quarter, reflecting actions to recover increasing costs.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organic revenue growth was most notable in our waste handling, vehicle service, industrial automation, and industrial winch and hoist businesses. Our aerospace and defense business was down year-over-year driven by supply chain constraints, program timing, and a difficult comparable against record shipment levels in the prior year. Despite the strong organic growth and near record-high backlog levels for the segment, shipments continue to be challenged by supply chain and labor availability constraints. We anticipate organic revenue growth to continue into the second half of the year as demand remains strong in several of our key end-markets, most notably waste handling and vehicle services.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Engineered Products segment earnings increased $10.4 million, or 14.6%, compared to the second quarter of 2021. The increase was primarily driven by increased volumes, favorable business mix, and customer pricing actions, partially offset by higher material and logistic costs, increased labor costs, as well as an unfavorable impact from foreign currency translation. As a result, segment margin decreased to 15.9% from 16.1% as compared to the prior year quarter.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Bookings decreased 9.0% for the segment, comprised primarily of organic decline of 8.3%, an unfavorable impact from foreign currency translation of 2.2%, partially offset by acquisition-related growth of 1.5%. The organic bookings decline was driven by declines in our vehicle service and waste handling businesses principally related to higher year-over-year comparables and timing of orders in waste handling. Segment book-to-bill was 0.88. Backlog increased 23.8% compared to the prior year comparable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the Six Months Ended June 30, 2021</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Engineered Products revenue for the six months ended June 30, 2022 increased $131.9 million, or 15.2%, compared to the prior year comparable period. This was comprised of organic revenue growth of 16.6% and acquisition-related growth of 1.2%, partially offset by an unfavorable impact from foreign currency translation of 2.6%. The organic revenue growth was most notable in our waste handling, vehicle service, industrial automation, and industrial winch and hoist businesses. Our aerospace and defense business was down year-over-year driven by program timing along with constrained labor availability and supply chain disruptions. Customer pricing favorably impacted revenue in the six months ended June 30, 2022 by approximately 10.5% compared to 1.6% in the prior comparable period.</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Segment earnings for the six months ended June 30, 2022 increased $4.9 million, or 3.3%, as compared to the 2021 comparable period. The growth was primarily driven by increased volumes, favorable business mix, and customer pricing actions, partially offset by higher material and logistic costs, increased labor costs, as well as an unfavorable impact from foreign currency translation. Segment margin decreased to 15.2% from 17.0% as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Clean Energy &amp; Fueling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Clean Energy &amp; Fueling segment provides components, equipment, and software and service solutions enabling safe transport of traditional and clean fuels and other hazardous substances along the supply chain, as well as the safe and efficient operation of convenience retail, retail fueling and vehicle wash establishments.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437,042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Operational metrics: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487,861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453,146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989,352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256,497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60.4 %</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Organic decline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29"/>
        </w:trPr>
        <w:tc>
          <w:tcPr>
            <w:tcW w:w="3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3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2022 Compared to the Second Quarter 2021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Clean Energy &amp; Fueling segment revenue for the second quarter of 2022 increased $57.0 million, or 13.0%, as compared to the second quarter of 2021, comprised of acquisition-related growth of 17.3%, an unfavorable impact from foreign currency translation of 3.2%, and an organic decline of 1.1%. Acquisition-related growth was driven by the acquisitions of AvaLAN Wireless Systems Incorporated, Liqal BV, Acme Cryogenics, and RegO. Customer pricing favorably impacted revenue in the second quarter of 2022 by approximately 5.4% compared to 2.5% in the prior year comparable quarter.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modest organic revenue decline was primarily driven by reduced year-over-year demand in North America for EMV compliant equipment following the compliance deadline in the second quarter of 2021. This was mostly offset by solid demand in our North America retail fueling, fluid transfer solutions and vehicle wash solutions business, along with pricing actions aimed at mitigating material and logistics cost inflation. We anticipate organic revenue to increase in the second half of the year as demand remains constructive in our key end-markets, most notably the retail fueling, fluid transfer and vehicle wash businesses, and we anticipate improvements related to supply chain and logistics constraints.</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Clean Energy &amp; Fueling segment earnings increased $5.6 million, or 6.0%, over the prior year comparable quarter. The increase was primarily driven by pricing, productivity initiatives and cost actions, and the favorable impact from acquisitions, which more than offset the unfavorable impact to earnings from lower EMV related revenues and increased material, logistics and labor costs. Segment margin decreased to 20.0% from 21.4% in the prior year quarter.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bookings increased 7.7% as compared to the prior year comparable quarter, driven by acquisition-related growth of 14.5% and partially offset by an organic decline of 4.6% and an unfavorable impact from foreign currency translation of 2.2%. The organic bookings decline was primarily driven by the decrease in demand for EMV compliant equipment, partially offset by strong order intake in our vehicle wash and North America retail fueling businesses. Segment book-to-bill was 0.99. Backlog increased 60.4% as compared to the prior year comparable period, driven in large part by the acquisitions completed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the Six Months Ended June 30, 2021</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Clean Energy &amp; Fueling segment revenue increased $125.8 million, or 15.2%, as compared to the six months ended June 30, 2021, attributable to acquisition-related growth of 18.3%, partially offset by an unfavorable impact from foreign currency translation of 2.6%, and an organic decline of 0.5%. Organic revenue remained relatively flat for the first half of the year with strong demand in our retail fueling, fluid transfer, and vehicle wash solutions markets being offset by the normalization of EMV related demand in North America. Customer pricing favorably impacted revenue in the six months ended June 30, 2022 by approximately 4.2% compared to 1.8% in the prior comparable period.</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Clean Energy &amp; Fueling segment earnings decreased $1.0 million, or 0.6%, for the six months ended June 30, 2022. The decrease was driven by lower organic revenues, increased material, logistics and labor costs, and an unfavorable impact from foreign currency translation. This was partially offset by benefits from higher pricing, productivity initiatives and cost actions, and acquisitions. Segment margin decreased to 18.1% from 20.9% in the prior year comparable period.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Imaging &amp; Identification</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Imaging &amp; Identification segment supplies precision marking and coding, packaging intelligence, product traceability, brand protection and digital textile printing equipment, as well as related consumables, software and services to the global packaged and consumer goods, pharmaceutical, industrial manufacturing, fashion and apparel and other end-markets.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578,404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Operational metrics: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292,136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299,608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599,240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593,222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revenue decline: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Organic decline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3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3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2022 Compared to the Second Quarter 2021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Imaging &amp; Identification segment revenue for the second quarter of 2022 decreased $18.1 million, or 6.2%, as compared to the second quarter of 2021, comprised of an unfavorable impact from foreign currency translation of 5.8% and an organic decline of 0.9%, partially offset by acquisition-related growth of 0.5%. Acquisition-related growth was driven by the acquisition of Blue Bite LLC. Customer pricing favorably impacted revenue in the second quarter of 2022 by approximately 3.2% compared to 1.1% in the prior year comparable quarter.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revenue decline was primarily driven by continued sourced component shortages and logistics headwinds in our marking and coding business, which was most notably impacted by component shortages that arose due to the COVID-19 related lockdowns in China. These lockdowns also impacted underlying demand in Asia. This was partially offset by increased revenue in our serialization and brand management software business. We expect deliveries in our marking and coding business to improve in the second half, as component availability improves, China restrictions ease, and underlying demand for our printers and consumables remains positive.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Imaging &amp; Identification segment earnings decreased $5.2 million, or 7.8%, over the prior year comparable quarter. This decrease was primarily driven by revenue reductions stemming from supply chain and logistics constraints, input cost inflation, and unfavorable foreign exchange, partially offset by pricing initiatives, productivity actions, restructuring benefits, and cost containment. Segment margin decreased to 22.2% from 22.6% in the prior year comparable quarter.</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Overall bookings decreased 2.5% as compared to the prior year comparable quarter, reflecting an unfavorable impact from foreign currency translation of 5.5% offset by organic growth of 2.6% and acquisition-related growth of 0.4%. Organic bookings growth was primarily driven by solid demand for new equipment and associated services and consumables in our marking and coding business. Segment book-to-bill was 1.06. Backlog increased 23.8% as compared to the prior year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the Six Months Ended June 30, 2021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Imaging &amp; Identification segment revenue decreased $30.2 million, or 5.2%, as compared to the six months ended June 30, 2021, attributable to an unfavorable impact from foreign currency translation of 4.6% and an organic decline of 1.0%, partially offset by acquisition-related growth of 0.4%. The organic revenue decline was primarily driven by supply chain and logistics headwinds in our marking and coding business, most notably due to the COVID-19 related lockdowns in China which also</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impacted underlying demand in Asia. Customer pricing favorably impacted revenue in the six months ended June 30, 2022 by approximately 2.6% compared to 1.0% in the prior comparable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Imaging &amp; Identification segment earnings decreased $10.2 million, or 7.8%, for the six months ended June 30, 2022 over the prior year comparable period. The decrease was primarily driven by the earnings impact from lower revenues, higher input costs, and unfavorable foreign exchange impacts, partially offset by cost reduction initiatives, price increases, restructuring benefits, and cost containment. Segment margin decreased to 21.9% from 22.5% in the prior year comparable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Pumps &amp; Process Solutions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Pumps &amp; Process Solutions segment manufactures specialty pumps and flow meters, fluid connecting solutions, plastics and polymer processing equipment, and highly-engineered precision components for rotating and reciprocating machines serving single-use biopharmaceutical production, diversified industrial manufacturing, polymer processing, midstream and downstream oil and gas and other end-markets.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428,701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823,078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275,654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Operational metrics: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471,693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931,483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1,072,375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634,477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29"/>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3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8"/>
        </w:trPr>
        <w:tc>
          <w:tcPr>
            <w:tcW w:w="3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2022 Compared to the Second Quarter 2021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Pumps &amp; Process Solutions segment revenue for the second quarter of 2022 increased $12.4 million, or 2.9%, as compared to the second quarter of 2021, comprised of organic growth of 6.8%, acquisition-related growth of 0.4%, and an unfavorable impact from foreign currency translation of 4.3%. Acquisition-related growth was primarily driven by the acquisition of AMN Dpi, Quantex Arc Limited, and one other immaterial acquisition. Customer pricing favorably impacted revenue in the second quarter of 2022 by approximately 3.4% compared to 1.3% in the prior year comparable quarter.</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organic revenue growth was driven by pricing initiatives, along with continued strength in our core non-COVID-19 biopharma platform, industrial pumps, plastics and polymer processing solutions, and bearings and compression components businesses which all saw revenue growth driven by robust end market demand and strong backlogs. Revenue from shipments of single-use pumps and connectors used in biopharmaceutical production processes declined compared to the second quarter of 2021, as biopharmaceutical manufacturers reduced orders for components used in COVID-19 vaccine production. Additionally, COVID-19 related lockdowns affected our supply chain in China and negatively impacted revenues in the second quarter. While underlying demand remains positive in our core biopharmaceutical platform, we expect sales of products used in the production of COVID-19 vaccines to continue to decline in the second half of 2022.</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Pumps &amp; Process Solutions segment earnings decreased $8.7 million, or 5.9%, over the prior year comparable quarter. The decrease was primarily driven by the impact of reduced revenues relating to single use components used in COVID-19 vaccine production, along with material and labor cost inflation. This was partially offset by pricing initiatives, conversion on increased revenues in industrial pumps, plastics and polymer processing solutions, and bearings and compression components, productivity actions, and restructuring benefits. Segment margin decreased to 31.3% from 34.2% from the prior year comparable period mainly due to revenue mix within the segment.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bookings decreased 9.5% as compared to the prior year comparable quarter, reflecting an organic decline of 6.5%, an unfavorable impact from foreign currency translation of 3.4%, and acquisition-related growth of 0.4%. The organic bookings decline was driven by a decrease in orders for biopharmaceutical components used in COVID-19 vaccine production, but partially offset by record order intake levels in our plastics and polymer processing business. Segment book-to-bill was 1.07. Backlog increased 12.8% compared to the prior year comparable quarter, driven by strong order rates in our plastics and polymer processing solutions and bearings and compression components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the Six Months Ended June 30, 2021</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Pumps &amp; Process Solutions segment revenue increased $53.2 million, or 6.5%, as compared to the six months ended June 30, 2021, attributable to organic growth of 9.6% and acquisition-related growth of 0.3%, partially offset by an unfavorable impact from foreign currency translation of 3.4%. The organic growth was primarily driven by continued demand strength and strong backlogs entering the year in our core non-COVID-19 biopharma platform, industrial pumps, plastics and polymer processing solutions, and bearings and compression components businesses. The increase was partially offset by reduced demand for biopharmaceutical components used in COVID-19 vaccine production. Customer pricing favorably impacted revenue in the six months ended June 30, 2022 by approximately 3.5% compared to 1.1% in the prior comparable period.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Pumps &amp; Process Solutions segment earnings increased $9.0 million, or 3.3%, for the six months ended June 30, 2022 over the prior year comparable period, predominantly driven by conversion on higher revenues, pricing initiatives, productivity actions, and restructuring benefits, but partially offset by an unfavorable impact from material and labor cost inflation, and an unfavorable impact from foreign exchange. Segment margin decreased to 32.5% from 33.5% from the prior year comparable period.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&amp; Sustainability Technologies</w:t>
      </w:r>
    </w:p>
    <w:p>
      <w:pPr>
        <w:spacing w:after="0" w:line="1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and systems that serve the commercial refrigeration, heating and cooling and beverage can-making equipment 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802,583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Operational metrics: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606,545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1,143,871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854,188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29"/>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Dispositions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3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3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2022 Compared to the Second Quarter 2021</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Climate &amp; Sustainability Technologies segment revenue increased $3.7 million, or 0.8%, as compared to the second quarter of 2021, reflecting organic revenue growth of 11.4%, offset by 8.0% from our disposition of Unified Brands in fourth quarter of 2021, and an unfavorable impact from foreign currency translation of 2.6%. Customer pricing favorably impacted revenue in the second quarter of 2022 by approximately 9.5% compared to 2.6% in the prior year comparable quarter, reflecting actions to recover higher costs.</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organic revenue growth was driven by customer price actions implemented to recover increased material and logistics costs combined with strong demand across most of our key end-markets. Retail refrigeration revenues increased from the prior year, driven by customer pricing actions on flat unit volumes despite robust end market demand, as industry-wide supply chain constraints resulted in deferred shipments that are anticipated to be recovered in the second half of the year as supply chain availability improves. Beverage can-making business revenues experienced strong growth, driven by continued favorable macro trends in the global beverage industry as producers shift from plastic and glass packaging to aluminum cans for environmental sustainability and merchandising benefits offered by modern aluminum cans. During the quarter, this business terminated a contract due to customer financing limitations, resulting in non-refundable deposits recognized in revenue and segment earnings. Our heat exchanger business experienced healthy growth across all regions, fueled by regulation-driven heat pump demand in Europe, robust demand in Asia and strengthening commercial HVAC and industrial markets globally.</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Climate &amp; Sustainability Technologies segment earnings increased $7.3 million, or 12.8%, as compared to the second quarter of 2021. Segment margin increased to 14.8% from 13.2% in the prior year comparable quarter. The earnings increase was driven by increased volumes, favorable business mix, and customer pricing actions, partially offset by increased material and logistics costs, most notably metals and freight, plant productivity shortfalls resulting from supply chain disruption and increased labor costs, and the disposition of Unified Brands in the fourth quarter of 2021.</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Bookings in the second quarter of 2022 decreased 33.5% from the prior year comparable quarter, reflecting organic decline of 24.1%, a disposition-related decline of 7.2%, and an unfavorable impact from foreign currency translation of 2.2%. The organic bookings decline includes a $74.0 million reversal of an order slated for 2023 completion in our beverage can-making business due to customer financing limitations, along with a challenging comparable quarter in the prior year, especially in retail refrigeration. Segment book-to-bill for the second quarter of 2022 was 0.93. Backlog increased 38.9% over the prior year comparable period, reflective of the improving outlook across all businesses within the segment, which more than offset the order reversal in our beverage can-making business.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the Six Months Ended June 30, 2021</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Climate &amp; Sustainability Technologies segment revenue increased $30.7 million, or 3.8%, compared to the six months ended June 30, 2021, reflecting an organic revenue growth of 14.2%, an 8.1% decline from the dispositions of AMS Chino and Unified Brands and an unfavorable foreign currency translation of 2.3%. The organic revenue growth for the six months ended June 30, 2022 was driven by robust demand across all our key end-markets. Retail refrigeration revenues increased from the prior year, driven by robust remodel programs with key supermarket customers and continued growing demand for our environmentally friendly natural refrigerant systems in Europe. Our beverage equipment business experienced strong revenue growth, driven by continued favorable macro trends in the global beverage industry as producers shift from plastic and glass packaging to aluminum cans for environmental sustainability and merchandising benefits offered by modern aluminum cans. The beverage can-making business terminated a contract due to customer financing limitations, resulting in non-refundable deposits recognized in revenue and segment earnings. Our heat exchanger business experienced healthy growth across all regions, fueled by regulation-driven heat pump demand in Europe, robust demand in Asia and strengthening commercial HVAC and industrial markets globally. Customer pricing favorably impacted revenue in the six months ended June 30, 2022 by approximately 9.4% compared to 1.4% in the prior comparable period.</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Climate &amp; Sustainability Technologies segment earnings increased $17.4 million, or 17.3%, for the six months ended June 30, 2022, as compared to the prior year comparable period. Segment margin increased to 14.1% from 12.5% in the prior year. The earnings increase was driven by increased volumes, favorable business mix, and customer pricing actions, partially offset by increased material and logistics costs, most notably metals and freight, plant productivity shortfalls resulting from supply chain disruption and increased labor costs, and the disposition of Unified Brands in Q4,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to Net Earnings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3"/>
        </w:trPr>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1"/>
                <w:szCs w:val="21"/>
                <w:color w:val="auto"/>
              </w:rPr>
            </w:pPr>
          </w:p>
        </w:tc>
        <w:tc>
          <w:tcPr>
            <w:tcW w:w="308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23"/>
        </w:trPr>
        <w:tc>
          <w:tcPr>
            <w:tcW w:w="45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147,939</w:t>
            </w:r>
          </w:p>
        </w:tc>
      </w:tr>
      <w:tr>
        <w:trPr>
          <w:trHeight w:val="229"/>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173,002</w:t>
            </w:r>
          </w:p>
        </w:tc>
      </w:tr>
      <w:tr>
        <w:trPr>
          <w:trHeight w:val="230"/>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130,183</w:t>
            </w:r>
          </w:p>
        </w:tc>
      </w:tr>
      <w:tr>
        <w:trPr>
          <w:trHeight w:val="229"/>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275,654</w:t>
            </w:r>
          </w:p>
        </w:tc>
      </w:tr>
      <w:tr>
        <w:trPr>
          <w:trHeight w:val="230"/>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100,380</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827,158</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70,678</w:t>
            </w:r>
          </w:p>
        </w:tc>
      </w:tr>
      <w:tr>
        <w:trPr>
          <w:trHeight w:val="229"/>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w:t>
            </w:r>
          </w:p>
        </w:tc>
      </w:tr>
      <w:tr>
        <w:trPr>
          <w:trHeight w:val="229"/>
        </w:trPr>
        <w:tc>
          <w:tcPr>
            <w:tcW w:w="4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on dispositions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77,083</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53,484</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612,594</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115,317</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515,771</w:t>
            </w: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hanging="8"/>
        <w:spacing w:after="0" w:line="225" w:lineRule="auto"/>
        <w:tabs>
          <w:tab w:leader="none" w:pos="5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intangible assets and charges related to fair value step-ups for acquired inventory sold during the period.</w:t>
      </w:r>
    </w:p>
    <w:p>
      <w:pPr>
        <w:ind w:left="500" w:hanging="168"/>
        <w:spacing w:after="0" w:line="197" w:lineRule="auto"/>
        <w:tabs>
          <w:tab w:leader="none" w:pos="50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employee reductions, facility consolidations and site closures, product line exits, and other asset charges.</w:t>
      </w:r>
    </w:p>
    <w:p>
      <w:pPr>
        <w:ind w:left="500" w:hanging="168"/>
        <w:spacing w:after="0" w:line="187" w:lineRule="auto"/>
        <w:tabs>
          <w:tab w:leader="none" w:pos="50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disposition includes working capital adjustments related to dispositions.</w:t>
      </w:r>
    </w:p>
    <w:p>
      <w:pPr>
        <w:jc w:val="both"/>
        <w:ind w:left="340" w:right="20" w:hanging="8"/>
        <w:spacing w:after="0" w:line="229" w:lineRule="auto"/>
        <w:tabs>
          <w:tab w:leader="none" w:pos="50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overhead costs, deal-related expenses and various administrative expenses relating to the corporate headquarters.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Costs (Benefits)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Restructuring and other costs (benefits) are not presented in our segment earnings because these costs are excluded from the segment operating performance measure reviewed by management. Restructuring and other costs of $7.9 million for the three months ended June 30, 2022 were primarily due to headcount reductions and facility consolidations resulting from restructuring programs initiated in 2021 and 2022, and asset write-downs. For the six months ended June 30, 2022, substantial liquidation and exit from certain Latin America countries in our Climate &amp; Sustainability Technologies segment contributed to restructuring expenses of $12.5 million and other costs (benefits), net of $6.0 million, comprised primarily of foreign currency translation losses and asset write-downs. These restructuring and other charges were recorded in cost of goods and services and selling, general and administrative expenses in the Condensed Consolidated Statement of Earnings. Additional programs beyond the scope of the announced programs may be implemented during 2022 with related restructuring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three and six months ended June 30,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22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7,944</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22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2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12,466</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18,496</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and six months ended June 30, 2021, restructuring and other activities included restructuring charges of $9.4 million and $15.9 million, respectively, and other costs (benefits) of $1.3 million and $(0.9) million, respectively. Restructuring expense and other costs were comprised primarily of new actions initiated in 2020 and 2021 in response to demand conditions, asset charges related to a product line exit and broad-based operational efficiency initiatives focusing on footprint consolidation and IT centralization. Other costs (benefits), net for the six months ended June 30, 2021 was comprised primarily of a gain on sale of assets of $2.0 million and $1.3 million in our Pumps &amp; Process Solutions and Climate &amp; Sustainability Technologies segments, respectively, as a result of restructuring actions, partially offset by $2.4 million of restructuring related costs. These restructuring and other charges were recorded in cost of goods and services and selling, general and administrative expenses in the Condensed Consolidated Statement of Earnings.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three and six months ended June 30,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9,436</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15,871</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 (benefits)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Expenses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Purchase accounting expenses primarily relate to amortization of acquired assets and charges related to fair value step-ups for acquired inventory sold during the period. These expenses are not presented in our segment earnings because they are excluded from the segment operating performance measure reviewed by management. These expenses reconcile to segment earnings as follows:</w:t>
      </w: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accounting expenses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Engineered Products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w:t>
            </w:r>
          </w:p>
        </w:tc>
      </w:tr>
      <w:tr>
        <w:trPr>
          <w:trHeight w:val="229"/>
        </w:trPr>
        <w:tc>
          <w:tcPr>
            <w:tcW w:w="41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Clean Energy &amp; Fueling </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26,052</w:t>
            </w:r>
          </w:p>
        </w:tc>
      </w:tr>
      <w:tr>
        <w:trPr>
          <w:trHeight w:val="229"/>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11,584</w:t>
            </w:r>
          </w:p>
        </w:tc>
      </w:tr>
      <w:tr>
        <w:trPr>
          <w:trHeight w:val="230"/>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w:t>
            </w:r>
          </w:p>
        </w:tc>
      </w:tr>
      <w:tr>
        <w:trPr>
          <w:trHeight w:val="229"/>
        </w:trPr>
        <w:tc>
          <w:tcPr>
            <w:tcW w:w="4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10,791</w:t>
            </w: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35,162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70,678</w:t>
            </w:r>
          </w:p>
        </w:tc>
      </w:tr>
    </w:tbl>
    <w:p>
      <w:pPr>
        <w:ind w:left="20" w:right="440" w:firstLine="6"/>
        <w:spacing w:after="0" w:line="236" w:lineRule="auto"/>
        <w:tabs>
          <w:tab w:leader="none" w:pos="9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increase of $13,877 and $32,173 in purchase accounting expenses for the three and six months ended June 30, 2022, respectively, from the prior year comparable period in our Clean Energy &amp; Fueling segment is due to the acquisition of RegO and Acme Cryogenics in Q4 2021, inclusive of $6,898 and $18,995, respectively, in charges related to fair value step-ups for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-292100</wp:posOffset>
            </wp:positionV>
            <wp:extent cx="45002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repurchases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Summary</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derived from our Condensed Consolidated Statements of Cash Flows:</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6"/>
        </w:trPr>
        <w:tc>
          <w:tcPr>
            <w:tcW w:w="71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i w:val="1"/>
                <w:iCs w:val="1"/>
                <w:color w:val="auto"/>
              </w:rPr>
              <w:t>(dollars in thousands)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202,456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437,257</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(151,203)</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(200,188)</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June 30, 2022 decreased approximately $234.8 million compared to the comparable period in 2021. This decrease was primarily driven by higher investments in inventory to support business and backlog growth, and also to mitigate potential inventory shortages given the continuing supply chain disruptions and constraints, as well as higher compensation payouts. Additionally, estimated tax payments increased from 2021 to 2022, which includes a $43.5 million income tax payment in 2022 related to the gain on sale of Unified Brands in Q4 2021.</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Working Capital: </w:t>
      </w:r>
      <w:r>
        <w:rPr>
          <w:rFonts w:ascii="Times New Roman" w:cs="Times New Roman" w:eastAsia="Times New Roman" w:hAnsi="Times New Roman"/>
          <w:sz w:val="18"/>
          <w:szCs w:val="18"/>
          <w:color w:val="auto"/>
        </w:rPr>
        <w:t>We believe adjusted working capital (a non-GAAP measure calculated as accounts receivable, plus inventory, less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provides a meaningful measure of liquidity by showing changes caused by operational results. The following table provides a calculation of adjusted working capital:</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Working Capital </w:t>
            </w:r>
            <w:r>
              <w:rPr>
                <w:rFonts w:ascii="Times New Roman" w:cs="Times New Roman" w:eastAsia="Times New Roman" w:hAnsi="Times New Roman"/>
                <w:sz w:val="18"/>
                <w:szCs w:val="18"/>
                <w:i w:val="1"/>
                <w:iCs w:val="1"/>
                <w:color w:val="auto"/>
              </w:rPr>
              <w:t>(dollars in thousands)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1,514,455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1,347,514</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1,191,095</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Accounts payable</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1,073,568</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working capital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1,695,450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1,465,041</w:t>
            </w:r>
          </w:p>
        </w:tc>
      </w:tr>
    </w:tbl>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working capital increased from December 31, 2021 by $230.4 million, or 15.7%, to $1.7 billion at June 30, 2022, which reflected an increase of $166.9 million in accounts receivable and $190.5 million in inventory, partially offset by an increase in accounts payable of $127.0 million. These amounts include the effects of acquisitions and foreign currency translation. Accounts receivable increased compared to the prior year as a result of higher revenue. Inventories increased to support business and backlog growth, and to also mitigate potential inventory shortages due to supply chain disruptions and constraints. These factors also led to an increase in accounts payable.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facilitate the opportunity for suppliers to participate in voluntary supply chain financing ("SCF") programs with participating financial institutions. Participating suppliers have the ability to sell receivables due from us to SCF financial institutions at the discretion of both the suppliers and the SCF financial institutions, at no economic impact to the Company. The Company and our suppliers agree on commercial terms, including payment terms, for the goods and services we procure regardless of whether the supplier participates in SCF. For participating suppliers, our responsibility is limited to making all payments to the SCF financial institutions on the terms originally negotiated with the supplier, irrespective of whether the supplier elects to sell receivables to the SCF financial institution. The SCF financial institution pays the supplier on the invoice due date for any invoices that were not previously sold by the supplier to the SCF financial institution. Thus, suppliers using SCF have additional potential flexibility in managing their liquidity by accelerating, at their option and cost, collection of receivables due from Dover.</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Outstanding payments related to SCF programs are recorded within accounts payable in our consolidated balance sheets. As of June 30, 2022 and December 31, 2021, amounts due to financial institutions for suppliers using SCF were approximately $162 million and $211 million, respectively. SCF-related payments are classified as a reduction to cash flows from operations. During the six months ended June 30, 2022 and 2021, amounts paid to SCF financial institutions were approximately $460 million and $378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is derived from cash outflows for capital expenditures and acquisitions, offset by proceeds from sales of property, plant and equipment. For the six months ended June 30, 2022 and 2021, we used cash in investing activities of $115.9 million and $151.2 million, respectively, primarily driven by the the following factors:</w:t>
      </w:r>
    </w:p>
    <w:p>
      <w:pPr>
        <w:spacing w:after="0" w:line="201" w:lineRule="exact"/>
        <w:rPr>
          <w:sz w:val="20"/>
          <w:szCs w:val="20"/>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six months ended June 30, 2022, we deployed approximately $8.5 million, net, to acquire AMN within the Pumps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Solutions segment. In comparison, during the six months ended June 30, 2021, we acquired AvaLAN and Blue Bite within the Clean Energy &amp; Fueling and Imaging &amp; Identification segments, respectively, and Quantex and one other immaterial acquisition within the Pumps &amp; Process Solutions segment for an aggregate of $81.2 million, net.</w:t>
      </w:r>
    </w:p>
    <w:p>
      <w:pPr>
        <w:spacing w:after="0" w:line="206" w:lineRule="exact"/>
        <w:rPr>
          <w:rFonts w:ascii="Times New Roman" w:cs="Times New Roman" w:eastAsia="Times New Roman" w:hAnsi="Times New Roman"/>
          <w:sz w:val="18"/>
          <w:szCs w:val="18"/>
          <w:b w:val="1"/>
          <w:bCs w:val="1"/>
          <w:i w:val="1"/>
          <w:iCs w:val="1"/>
          <w:color w:val="auto"/>
        </w:rPr>
      </w:pPr>
    </w:p>
    <w:p>
      <w:pPr>
        <w:ind w:left="660" w:hanging="328"/>
        <w:spacing w:after="0" w:line="28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spending: </w:t>
      </w:r>
      <w:r>
        <w:rPr>
          <w:rFonts w:ascii="Times New Roman" w:cs="Times New Roman" w:eastAsia="Times New Roman" w:hAnsi="Times New Roman"/>
          <w:sz w:val="18"/>
          <w:szCs w:val="18"/>
          <w:color w:val="auto"/>
        </w:rPr>
        <w:t>Our capital expenditures increased $27.3 million during the six months ended June 30, 2022 compared to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2021. We expect full year 2022 capital expenditures to be approximately $200-$220 million.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capital expenditures and any acquisitions we make through the remainder of 2022 will be funded from available cash and internally generated funds and through the issuance of commercial paper, use of lines of credit or public or private debt markets, as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flow from financing activities generally relates to the use of cash for purchases of our common stock and payment of dividends, offset by net borrowing activity. For the six months ended June 30, 2022 and 2021, we generated cash totaling $45.3 million and used cash totaling $200.2 million, respectively, for financing activities, with the activity primarily attributable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right="20" w:hanging="328"/>
        <w:spacing w:after="0" w:line="284" w:lineRule="auto"/>
        <w:tabs>
          <w:tab w:leader="none" w:pos="649" w:val="left"/>
        </w:tabs>
        <w:numPr>
          <w:ilvl w:val="0"/>
          <w:numId w:val="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Repurchase of common stock: </w:t>
      </w:r>
      <w:r>
        <w:rPr>
          <w:rFonts w:ascii="Times New Roman" w:cs="Times New Roman" w:eastAsia="Times New Roman" w:hAnsi="Times New Roman"/>
          <w:sz w:val="18"/>
          <w:szCs w:val="18"/>
          <w:color w:val="auto"/>
        </w:rPr>
        <w:t>During the six months ended June 30, 2022, we used $85.0 million to repurchase 641,428 shares. During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2021, we used $21.6 million to repurchase 182,951 shares.</w:t>
      </w:r>
    </w:p>
    <w:p>
      <w:pPr>
        <w:spacing w:after="0" w:line="185" w:lineRule="exact"/>
        <w:rPr>
          <w:rFonts w:ascii="Times New Roman" w:cs="Times New Roman" w:eastAsia="Times New Roman" w:hAnsi="Times New Roman"/>
          <w:sz w:val="16"/>
          <w:szCs w:val="16"/>
          <w:b w:val="1"/>
          <w:bCs w:val="1"/>
          <w:i w:val="1"/>
          <w:iCs w:val="1"/>
          <w:color w:val="auto"/>
        </w:rPr>
      </w:pPr>
    </w:p>
    <w:p>
      <w:pPr>
        <w:ind w:left="660" w:hanging="328"/>
        <w:spacing w:after="0" w:line="284" w:lineRule="auto"/>
        <w:tabs>
          <w:tab w:leader="none" w:pos="65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Commercial paper and notes payable: </w:t>
      </w:r>
      <w:r>
        <w:rPr>
          <w:rFonts w:ascii="Times New Roman" w:cs="Times New Roman" w:eastAsia="Times New Roman" w:hAnsi="Times New Roman"/>
          <w:sz w:val="18"/>
          <w:szCs w:val="18"/>
          <w:color w:val="auto"/>
        </w:rPr>
        <w:t>During the six months ended June 30, 2022 we received net proceeds of $288.0 million from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 borrowings. During the six months ended June 30, 2021 we did not borrow or have proceeds from commercial paper or notes payable.</w:t>
      </w:r>
    </w:p>
    <w:p>
      <w:pPr>
        <w:spacing w:after="0" w:line="185"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payments: </w:t>
      </w:r>
      <w:r>
        <w:rPr>
          <w:rFonts w:ascii="Times New Roman" w:cs="Times New Roman" w:eastAsia="Times New Roman" w:hAnsi="Times New Roman"/>
          <w:sz w:val="18"/>
          <w:szCs w:val="18"/>
          <w:color w:val="auto"/>
        </w:rPr>
        <w:t>Dividends paid to shareholders during the six months ended June 30, 2022 totaled $144.1 million as compared to $142.7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the same period in 2021. Our dividends paid per common share increased 1.0% to $1.00 during the six months ended June 30, 2022 compared to $0.99 during the same period in 2021.</w:t>
      </w:r>
    </w:p>
    <w:p>
      <w:pPr>
        <w:spacing w:after="0" w:line="20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Payments to settle employee tax obligations: </w:t>
      </w:r>
      <w:r>
        <w:rPr>
          <w:rFonts w:ascii="Times New Roman" w:cs="Times New Roman" w:eastAsia="Times New Roman" w:hAnsi="Times New Roman"/>
          <w:sz w:val="18"/>
          <w:szCs w:val="18"/>
          <w:color w:val="auto"/>
        </w:rPr>
        <w:t>Payments to settle tax obligations from the exercise of share-based awards declined $21.0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 period, primarily due to the decrease in the number of shares exercised.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liquidity because it provides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free cash flow to cash flow provided by operating activities: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75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i w:val="1"/>
                <w:iCs w:val="1"/>
                <w:color w:val="auto"/>
              </w:rPr>
              <w:t>(dollars in thousands)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202,456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437,257</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(100,577)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(73,231)</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101,879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364,026</w:t>
            </w:r>
          </w:p>
        </w:tc>
      </w:tr>
      <w:tr>
        <w:trPr>
          <w:trHeight w:val="121"/>
        </w:trPr>
        <w:tc>
          <w:tcPr>
            <w:tcW w:w="7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revenue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121"/>
        </w:trPr>
        <w:tc>
          <w:tcPr>
            <w:tcW w:w="7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net earnings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87.9 %</w:t>
            </w:r>
          </w:p>
        </w:tc>
      </w:tr>
      <w:tr>
        <w:trPr>
          <w:trHeight w:val="122"/>
        </w:trPr>
        <w:tc>
          <w:tcPr>
            <w:tcW w:w="7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revenue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121"/>
        </w:trPr>
        <w:tc>
          <w:tcPr>
            <w:tcW w:w="7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net earnings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73.2 %</w:t>
            </w: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2022, we generated cash flow from operating activities of $202.5 million, representing 4.8% of revenue and 39.3% of net earnings, and we generated free cash flow of $101.9 million, representing 2.4% of revenue and 19.8% of net earnings. Free cash flow for the six months ended June 30, 2022 decreased $262.1 million compared to the prior year period, due to lower operating cash flow primarily as a result of increases in inventory, compensation payouts, estimated tax payments, and investments in capital expenditures compared to the prior year. The six months ended June 30, 2022 includes a $43.5 million income tax payment related to the gain on sale of Unified Brands in Q4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commercial paper borrowings for general corporate purposes, including the funding of acquisitions and the repurchase of our common stock. As of June 30, 2022, we maintained a $1.0 billion five-year unsecured revolving credit facility (the "Credit Agreement") with a syndicate of banks which expires on October 4, 2024. The Credit Agreement is used as liquidity back-up for our commercial paper program and for general corporate purposes.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Credit Agreement, we are required to pay a facility fee and to maintain an interest coverage ratio of consolidated EBITDA to consolidated net interest expense of not less than 3.0 to 1.0. We were in compliance with this covenant and our other long-term debt covenants at June 30, 2022 and had an interest coverage ratio of 17.8 to 1. We are not aware of any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potential impairment to our liquidity and expect to remain in compliance with all of our debt covenants. Additionally, our earliest long-term debt maturity is in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At June 30, 2022, our cash and cash equivalents totaled $515.4 million, of which $252.9 million was held outside the United States. At December 31, 2021, our cash and cash equivalents totaled $385.5 million, of which $257.5 million was held outside the United States. Cash and cash equivalents in excess of near-term requirements are invested in highly liquid investment-grade money market instruments, short-term investments, or bank deposits, which consist of investment-grade time deposits with original maturity dates at the time of purchase of no greater than three months. Subsequent to the second quarter of 2022, the Company completed the acquisition of Malema and paid approximately $224.0 million. See Note 20 — Subsequent Events in the Condensed Consolidated Financial Statements in Item 1 of this Form 10-Q for further details.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Debt to Net Capitalization Ratio </w:t>
            </w: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20"/>
                <w:szCs w:val="20"/>
                <w:color w:val="auto"/>
              </w:rPr>
            </w:pP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40" w:type="dxa"/>
            <w:vAlign w:val="bottom"/>
          </w:tcPr>
          <w:p>
            <w:pPr>
              <w:spacing w:after="0"/>
              <w:rPr>
                <w:sz w:val="20"/>
                <w:szCs w:val="20"/>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702</w:t>
            </w:r>
          </w:p>
        </w:tc>
      </w:tr>
      <w:tr>
        <w:trPr>
          <w:trHeight w:val="229"/>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393,000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105,000</w:t>
            </w:r>
          </w:p>
        </w:tc>
      </w:tr>
      <w:tr>
        <w:trPr>
          <w:trHeight w:val="223"/>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393,654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105,702</w:t>
            </w:r>
          </w:p>
        </w:tc>
      </w:tr>
      <w:tr>
        <w:trPr>
          <w:trHeight w:val="229"/>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2,936,124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3,018,714</w:t>
            </w:r>
          </w:p>
        </w:tc>
      </w:tr>
      <w:tr>
        <w:trPr>
          <w:trHeight w:val="223"/>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3,329,778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3,124,416</w:t>
            </w:r>
          </w:p>
        </w:tc>
      </w:tr>
      <w:tr>
        <w:trPr>
          <w:trHeight w:val="229"/>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(515,371)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(385,504)</w:t>
            </w:r>
          </w:p>
        </w:tc>
      </w:tr>
      <w:tr>
        <w:trPr>
          <w:trHeight w:val="223"/>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2,814,407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2,738,912</w:t>
            </w:r>
          </w:p>
        </w:tc>
      </w:tr>
      <w:tr>
        <w:trPr>
          <w:trHeight w:val="230"/>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Add: Stockholders' equity</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4,388,523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4,189,528</w:t>
            </w:r>
          </w:p>
        </w:tc>
      </w:tr>
      <w:tr>
        <w:trPr>
          <w:trHeight w:val="248"/>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7,202,930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6,928,440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Net debt to net capitalization</w:t>
            </w: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39.1 %</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39.5 %</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debt to net capitalization ratio decreased to 39.1% at June 30, 2022 compared to 39.5% at December 31, 2021. Net debt increased $75.5 million during the period primarily due to an increase in commercial paper borrowings, partially offset by the increase in cash and cash equivalents. Stockholders' equity increased $199.0 million primarily as a result of earnings during the period, partially offset by dividends paid and exercises of share-based awards.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cash flow, existing capacity of our Credit Agreement, and access to capital markets are expected to satisfy our various cash flow requirements, including acquisitions, capital expenditures, purchase obligations, lease obligations, and share repurchases.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19 — Recent Accounting Pronouncements in the Condensed Consolidated Financial Statements in Item 1 of this Form 10-Q. The adoption of recent accounting standards as included in Note 19 — Recent Accounting Pronouncements in the Condensed Consolidated Financial Statements has not had, and is not expected to have, a significant impact on our revenue, earnings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Notes Regarding 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especially MD&amp;A, contains "forward-looking" statements within the meaning of the Private Securities Litigation Reform Act of 1995. All statements in this document other than statements of historical fact are statements that are, or could be deemed, "forward-looking" statements. Some of these statements may be indicated by words such as "may", "anticipate", "expect", "believe", "intend", "guidance", "estimates", "suggest", "will", "plan", "should", "would", "could", "forecast", "headwind", "tailwind" and other words and terms that use the future tense or have a similar meaning. Forward-looking statements are based on current expectations and are subject to numerous important risks, uncertainties, assumptions and other factors, some of which are beyond the Company’s control. Factors that could cause actual results to differ materially from current expectations include, among other things, the impacts of COVID-19 or other future pandemics on the global economy and on our customers, suppliers, employees, business and cash flows, supply chain constraints and labor shortages that could result in production stoppages, inflation in material input costs and freight logistics, other general economic conditions and conditions in the particular markets in which we operate,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 productivity initiatives and other cost reduction actions, changes in material costs or the supply of input materials, the impact of legal compliance risks and litigation, including with respect to product quality and safety, cybersecurity and privacy, our ability to capture and protect intellectual property rights, and various other factors that are described in our periodic reports filed with or furnished to the Securities and Exchange Commission, including our Annual Report on Form 10-K for the year ended December 31, 2021. The Company undertakes no obligation to publicly update any forward-looking statement, whether as a result of new information, future events or otherwise.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Disclosures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net earnings,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net earnings equals free cash flow divided by net earnings. We believe that reporting adjusted working capital provides a meaningful measure of liquidity by showing changes caused by operational results. We believe that reporting organic revenue growth, which excludes the impact of foreign currency exchange rates and the impact of acquisitions and divestitures, provides a useful comparison of our revenue performance and trends between periods.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non-GAAP measures can be found above in this Item 2, Management's Discussion and Analysis of Financial Condition and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six months ended June 30, 2022. For a discussion of our exposure to market risk, refer to Item 7A, "Quantitative and Qualitative Disclosures about Market Risk," contained in our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June 30, 2022.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2022, there were no changes in the Company’s internal control over financial reporting that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 Commitments and Contingent Liabilities in the Condensed Consolidated Financial Statements in Item 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2021.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shares of Dover stock that we acquired during the quarter.</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 to April 30</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to May 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1 to June 30</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 the Second Quarter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9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Value) of Shares that</w:t>
            </w:r>
          </w:p>
        </w:tc>
        <w:tc>
          <w:tcPr>
            <w:tcW w:w="0" w:type="dxa"/>
            <w:vAlign w:val="bottom"/>
          </w:tcPr>
          <w:p>
            <w:pPr>
              <w:spacing w:after="0"/>
              <w:rPr>
                <w:sz w:val="1"/>
                <w:szCs w:val="1"/>
                <w:color w:val="auto"/>
              </w:rPr>
            </w:pPr>
          </w:p>
        </w:tc>
      </w:tr>
      <w:tr>
        <w:trPr>
          <w:trHeight w:val="189"/>
        </w:trPr>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20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175"/>
        </w:trPr>
        <w:tc>
          <w:tcPr>
            <w:tcW w:w="15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230"/>
        </w:trPr>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4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9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 xml:space="preserve">Programs </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18"/>
        </w:trPr>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19,817,049</w:t>
            </w:r>
          </w:p>
        </w:tc>
        <w:tc>
          <w:tcPr>
            <w:tcW w:w="0" w:type="dxa"/>
            <w:vAlign w:val="bottom"/>
          </w:tcPr>
          <w:p>
            <w:pPr>
              <w:spacing w:after="0"/>
              <w:rPr>
                <w:sz w:val="1"/>
                <w:szCs w:val="1"/>
                <w:color w:val="auto"/>
              </w:rPr>
            </w:pPr>
          </w:p>
        </w:tc>
      </w:tr>
      <w:tr>
        <w:trPr>
          <w:trHeight w:val="229"/>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641,428</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19,175,621</w:t>
            </w:r>
          </w:p>
        </w:tc>
        <w:tc>
          <w:tcPr>
            <w:tcW w:w="0" w:type="dxa"/>
            <w:vAlign w:val="bottom"/>
          </w:tcPr>
          <w:p>
            <w:pPr>
              <w:spacing w:after="0"/>
              <w:rPr>
                <w:sz w:val="1"/>
                <w:szCs w:val="1"/>
                <w:color w:val="auto"/>
              </w:rPr>
            </w:pPr>
          </w:p>
        </w:tc>
      </w:tr>
      <w:tr>
        <w:trPr>
          <w:trHeight w:val="234"/>
        </w:trPr>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19,175,621</w:t>
            </w:r>
          </w:p>
        </w:tc>
        <w:tc>
          <w:tcPr>
            <w:tcW w:w="0" w:type="dxa"/>
            <w:vAlign w:val="bottom"/>
          </w:tcPr>
          <w:p>
            <w:pPr>
              <w:spacing w:after="0"/>
              <w:rPr>
                <w:sz w:val="1"/>
                <w:szCs w:val="1"/>
                <w:color w:val="auto"/>
              </w:rPr>
            </w:pPr>
          </w:p>
        </w:tc>
      </w:tr>
      <w:tr>
        <w:trPr>
          <w:trHeight w:val="223"/>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641,428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641,428</w:t>
            </w:r>
          </w:p>
        </w:tc>
        <w:tc>
          <w:tcPr>
            <w:tcW w:w="10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19,175,621</w:t>
            </w: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-633730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-334010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720"/>
            <w:col w:w="7080"/>
          </w:cols>
          <w:pgMar w:left="320" w:top="126" w:right="339" w:bottom="1440" w:gutter="0" w:footer="0" w:header="0"/>
          <w:type w:val="continuous"/>
        </w:sectPr>
      </w:pPr>
    </w:p>
    <w:p>
      <w:pPr>
        <w:spacing w:after="0" w:line="38" w:lineRule="exact"/>
        <w:rPr>
          <w:sz w:val="20"/>
          <w:szCs w:val="20"/>
          <w:color w:val="auto"/>
        </w:rPr>
      </w:pPr>
    </w:p>
    <w:p>
      <w:pPr>
        <w:jc w:val="both"/>
        <w:ind w:firstLine="8"/>
        <w:spacing w:after="0" w:line="239" w:lineRule="auto"/>
        <w:tabs>
          <w:tab w:leader="none" w:pos="18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November 2020, the Company's Board of Directors approved a new standing share repurchase authorization, whereby the Company may repurchase up to 20 million shares beginning on January 1, 2021 through December 31, 2023. The Company repurchased 641,428 shares under the November 2020 authorization during the three months ended June 30, 2022. As of June 30, 2022, the number of shares still available for repurchase under the November 2020 share repurchase authorization was 19,175,621.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Brad M. Cerepak.</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Richard J. Tobin.</w:t>
      </w:r>
    </w:p>
    <w:p>
      <w:pPr>
        <w:spacing w:after="0" w:line="144" w:lineRule="exact"/>
        <w:rPr>
          <w:sz w:val="20"/>
          <w:szCs w:val="20"/>
          <w:color w:val="auto"/>
        </w:rPr>
      </w:pPr>
    </w:p>
    <w:p>
      <w:pPr>
        <w:ind w:left="980" w:right="60" w:hanging="215"/>
        <w:spacing w:after="0" w:line="23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signed and dated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Richard J. Tobin and Brad M. Cerepak.</w:t>
      </w:r>
    </w:p>
    <w:p>
      <w:pPr>
        <w:spacing w:after="0" w:line="158" w:lineRule="exact"/>
        <w:rPr>
          <w:sz w:val="20"/>
          <w:szCs w:val="20"/>
          <w:color w:val="auto"/>
        </w:rPr>
      </w:pPr>
    </w:p>
    <w:p>
      <w:pPr>
        <w:jc w:val="both"/>
        <w:ind w:left="980" w:hanging="369"/>
        <w:spacing w:after="0" w:line="22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Dover Corporation’s Quarterly Report on Form 10-Q for the quarter ended June 30, 2022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104 Cover Page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000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CORPORATION</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21, 2022</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M. Cerepak</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M. Cerepak</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21, 2022</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W. Paulson</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W. Paulson</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1240"/>
          </w:cols>
          <w:pgMar w:left="320" w:top="12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July 21, 2022</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M. Cerepak</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M. Cerepak</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July 21, 2022</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Dover Corporation</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104" w:lineRule="exact"/>
        <w:rPr>
          <w:sz w:val="20"/>
          <w:szCs w:val="20"/>
          <w:color w:val="auto"/>
        </w:rPr>
      </w:pPr>
    </w:p>
    <w:p>
      <w:pPr>
        <w:ind w:left="660" w:right="2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2022 (the “Form 10-Q</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fully complies with the requirements of Section 13(a) of the Securities Exchange Act of 1934, as amended; and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Form 10-Q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21,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21,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M. Cerepak</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M. Cerepak</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amp;"/>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0"/>
    </w:lvl>
  </w:abstractNum>
  <w:abstractNum w:abstractNumId="7">
    <w:nsid w:val="25E45D32"/>
    <w:multiLevelType w:val="hybridMultilevel"/>
    <w:lvl w:ilvl="0">
      <w:lvlJc w:val="left"/>
      <w:lvlText w:val="%1."/>
      <w:numFmt w:val="decimal"/>
      <w:start w:val="13"/>
    </w:lvl>
  </w:abstractNum>
  <w:abstractNum w:abstractNumId="8">
    <w:nsid w:val="519B500D"/>
    <w:multiLevelType w:val="hybridMultilevel"/>
    <w:lvl w:ilvl="0">
      <w:lvlJc w:val="left"/>
      <w:lvlText w:val="%1."/>
      <w:numFmt w:val="decimal"/>
      <w:start w:val="14"/>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3"/>
    </w:lvl>
  </w:abstractNum>
  <w:abstractNum w:abstractNumId="13">
    <w:nsid w:val="62BBD95A"/>
    <w:multiLevelType w:val="hybridMultilevel"/>
    <w:lvl w:ilvl="0">
      <w:lvlJc w:val="left"/>
      <w:lvlText w:val="%1."/>
      <w:numFmt w:val="decimal"/>
      <w:start w:val="19"/>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0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2022-07-21T05:37:05Z</dcterms:created>
  <dcterms:modified xsi:type="dcterms:W3CDTF">2022-07-21T05:37:05Z</dcterms:modified>
</cp:coreProperties>
</file>