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7" w:lineRule="exact"/>
        <w:rPr>
          <w:sz w:val="24"/>
          <w:szCs w:val="24"/>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18"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Registration No. 333-293679</w:t>
      </w:r>
    </w:p>
    <w:p>
      <w:pPr>
        <w:spacing w:after="0" w:line="9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(to Prospectus dated February 24, 2026)</w:t>
      </w:r>
    </w:p>
    <w:p>
      <w:pPr>
        <w:spacing w:after="0" w:line="4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€800,000,000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2993390</wp:posOffset>
            </wp:positionH>
            <wp:positionV relativeFrom="paragraph">
              <wp:posOffset>73660</wp:posOffset>
            </wp:positionV>
            <wp:extent cx="1181100"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3"/>
          <w:szCs w:val="33"/>
          <w:b w:val="1"/>
          <w:bCs w:val="1"/>
          <w:color w:val="auto"/>
        </w:rPr>
        <w:t>Dover Corporation</w:t>
      </w:r>
    </w:p>
    <w:p>
      <w:pPr>
        <w:spacing w:after="0" w:line="9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4.350% Notes due 2030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127000</wp:posOffset>
            </wp:positionV>
            <wp:extent cx="11163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60" w:lineRule="exact"/>
        <w:rPr>
          <w:sz w:val="24"/>
          <w:szCs w:val="24"/>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Dover Corporation is offering €800,000,000 aggregate principal amount of 4.350% notes due 2030 (the “notes”). The notes will bear interest at the rate of 4.350% per year, which interest shall accrue from November 2, 2026. Interest on the notes will be payable in arrears annually on November 2, commencing November 2, 2027. The notes will mature on November 2, 2030.</w:t>
      </w:r>
    </w:p>
    <w:p>
      <w:pPr>
        <w:spacing w:after="0" w:line="61" w:lineRule="exact"/>
        <w:rPr>
          <w:sz w:val="24"/>
          <w:szCs w:val="24"/>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We may redeem some or all of the notes at any time, at the “make-whole” redemption price indicated under the heading “Description of Notes— Optional Redemption” beginning on page S-14 of this prospectus supplement. In addition, the notes may be redeemed in whole but not in part, at any time at our option, in the event of certain developments affecting U.S. taxation. See “Description of Notes—Redemption for Tax Reasons” on page S-16 of this prospectus supplement.</w:t>
      </w:r>
    </w:p>
    <w:p>
      <w:pPr>
        <w:spacing w:after="0" w:line="65" w:lineRule="exact"/>
        <w:rPr>
          <w:sz w:val="24"/>
          <w:szCs w:val="24"/>
          <w:color w:val="auto"/>
        </w:rPr>
      </w:pPr>
    </w:p>
    <w:p>
      <w:pPr>
        <w:ind w:left="1480" w:right="519"/>
        <w:spacing w:after="0" w:line="254"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the holders of the notes may require us to repurchase some or all of their notes at a purchase price equal to 101% of the principal amount of the notes, plus accrued and unpaid interest, if any, to, but excluding, the repurchase date. See “Description of Notes—Change of Control” beginning on page S-17 of this prospectus supplement.</w:t>
      </w:r>
    </w:p>
    <w:p>
      <w:pPr>
        <w:spacing w:after="0" w:line="61" w:lineRule="exact"/>
        <w:rPr>
          <w:sz w:val="24"/>
          <w:szCs w:val="24"/>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The notes will be our senior unsecured debt obligations and will rank on parity with all of our other senior unsecured indebtedness. The notes will not be convertible or exchangeable for any other securities. The notes will be issued in minimum denominations of €100,000 and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111760</wp:posOffset>
            </wp:positionV>
            <wp:extent cx="11163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24" w:lineRule="exact"/>
        <w:rPr>
          <w:sz w:val="24"/>
          <w:szCs w:val="24"/>
          <w:color w:val="auto"/>
        </w:rPr>
      </w:pPr>
    </w:p>
    <w:p>
      <w:pPr>
        <w:jc w:val="both"/>
        <w:ind w:left="1480" w:right="499"/>
        <w:spacing w:after="0" w:line="284" w:lineRule="auto"/>
        <w:rPr>
          <w:sz w:val="20"/>
          <w:szCs w:val="20"/>
          <w:color w:val="auto"/>
        </w:rPr>
      </w:pPr>
      <w:r>
        <w:rPr>
          <w:rFonts w:ascii="Times New Roman" w:cs="Times New Roman" w:eastAsia="Times New Roman" w:hAnsi="Times New Roman"/>
          <w:sz w:val="16"/>
          <w:szCs w:val="16"/>
          <w:b w:val="1"/>
          <w:bCs w:val="1"/>
          <w:color w:val="auto"/>
        </w:rPr>
        <w:t>Investing in our notes involves risks that are described under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S-6 of this prospectus supplement and under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1 of the accompanying prospectus.</w:t>
      </w:r>
    </w:p>
    <w:p>
      <w:pPr>
        <w:spacing w:after="0" w:line="22" w:lineRule="exact"/>
        <w:rPr>
          <w:sz w:val="24"/>
          <w:szCs w:val="24"/>
          <w:color w:val="auto"/>
        </w:rPr>
      </w:pPr>
    </w:p>
    <w:p>
      <w:pPr>
        <w:jc w:val="both"/>
        <w:ind w:left="1480" w:right="499"/>
        <w:spacing w:after="0" w:line="25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other regulatory body has approved or disapproved of these securities or determined if this prospectus supplement or the accompanying prospectus is truthful or complete. Any representation to the contrary is a criminal offense.</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8"/>
              </w:rPr>
              <w:t>Public Offering</w:t>
            </w:r>
          </w:p>
        </w:tc>
        <w:tc>
          <w:tcPr>
            <w:tcW w:w="11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Underwriting</w:t>
            </w:r>
          </w:p>
        </w:tc>
        <w:tc>
          <w:tcPr>
            <w:tcW w:w="18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Proceeds,</w:t>
            </w: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1"/>
                <w:szCs w:val="11"/>
                <w:b w:val="1"/>
                <w:bCs w:val="1"/>
                <w:color w:val="auto"/>
                <w:w w:val="96"/>
              </w:rPr>
              <w:t>Before</w:t>
            </w:r>
          </w:p>
        </w:tc>
        <w:tc>
          <w:tcPr>
            <w:tcW w:w="0" w:type="dxa"/>
            <w:vAlign w:val="bottom"/>
          </w:tcPr>
          <w:p>
            <w:pPr>
              <w:spacing w:after="0"/>
              <w:rPr>
                <w:sz w:val="1"/>
                <w:szCs w:val="1"/>
                <w:color w:val="auto"/>
              </w:rPr>
            </w:pPr>
          </w:p>
        </w:tc>
      </w:tr>
      <w:tr>
        <w:trPr>
          <w:trHeight w:val="132"/>
        </w:trPr>
        <w:tc>
          <w:tcPr>
            <w:tcW w:w="210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Price(1)</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Expenses, to Us</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note</w:t>
            </w:r>
          </w:p>
        </w:tc>
        <w:tc>
          <w:tcPr>
            <w:tcW w:w="16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99.917%</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rPr>
              <w:t>0.400%</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99.517%</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€799,336,000</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€ 3,200,000</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€796,136,000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935990</wp:posOffset>
            </wp:positionH>
            <wp:positionV relativeFrom="paragraph">
              <wp:posOffset>57150</wp:posOffset>
            </wp:positionV>
            <wp:extent cx="5842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98" w:lineRule="exact"/>
        <w:rPr>
          <w:sz w:val="24"/>
          <w:szCs w:val="24"/>
          <w:color w:val="auto"/>
        </w:rPr>
      </w:pPr>
    </w:p>
    <w:p>
      <w:pPr>
        <w:ind w:left="1800" w:hanging="326"/>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November 2, 2026.</w:t>
      </w:r>
    </w:p>
    <w:p>
      <w:pPr>
        <w:spacing w:after="0" w:line="84" w:lineRule="exact"/>
        <w:rPr>
          <w:sz w:val="24"/>
          <w:szCs w:val="24"/>
          <w:color w:val="auto"/>
        </w:rPr>
      </w:pPr>
    </w:p>
    <w:p>
      <w:pPr>
        <w:ind w:left="1480" w:right="339"/>
        <w:spacing w:after="0" w:line="254" w:lineRule="auto"/>
        <w:rPr>
          <w:sz w:val="20"/>
          <w:szCs w:val="20"/>
          <w:color w:val="auto"/>
        </w:rPr>
      </w:pPr>
      <w:r>
        <w:rPr>
          <w:rFonts w:ascii="Times New Roman" w:cs="Times New Roman" w:eastAsia="Times New Roman" w:hAnsi="Times New Roman"/>
          <w:sz w:val="14"/>
          <w:szCs w:val="14"/>
          <w:color w:val="auto"/>
        </w:rPr>
        <w:t>We intend to apply to list the notes on The New York Stock Exchange (the “NYSE”). The listing application will be subject to the approval by the NYSE. We expect listing of the notes on the NYSE to occur within 30 days after the original issue date. If such listing is obtained, we have no obligation to maintain such listing, and we may delist the notes at any time.</w:t>
      </w:r>
    </w:p>
    <w:p>
      <w:pPr>
        <w:spacing w:after="0" w:line="61" w:lineRule="exact"/>
        <w:rPr>
          <w:sz w:val="24"/>
          <w:szCs w:val="24"/>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We expect to deliver the notes to purchasers through the book-entry delivery system of Euroclear Bank SA/NV (“Euroclear”) and Clearstream Banking S.A. (“Clearstream”) on or about November 2, 2026, which is the fifth London business day following the date of this prospectus supplement. Purchasers of the notes should note that trading of the notes may be affected by this settlement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105410</wp:posOffset>
            </wp:positionV>
            <wp:extent cx="11163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2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0159"/>
          </w:cols>
          <w:pgMar w:left="300" w:top="205" w:right="1440" w:bottom="1440" w:gutter="0" w:footer="0" w:header="0"/>
        </w:sectPr>
      </w:pPr>
    </w:p>
    <w:p>
      <w:pPr>
        <w:spacing w:after="0" w:line="8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21"/>
          <w:szCs w:val="21"/>
          <w:b w:val="1"/>
          <w:bCs w:val="1"/>
          <w:color w:val="auto"/>
        </w:rPr>
        <w:t>Deutsche Bank</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21"/>
          <w:szCs w:val="21"/>
          <w:b w:val="1"/>
          <w:bCs w:val="1"/>
          <w:color w:val="auto"/>
        </w:rPr>
        <w:t>HSBC</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106" w:lineRule="exact"/>
        <w:rPr>
          <w:sz w:val="24"/>
          <w:szCs w:val="24"/>
          <w:color w:val="auto"/>
        </w:rPr>
      </w:pPr>
    </w:p>
    <w:p>
      <w:pPr>
        <w:sectPr>
          <w:pgSz w:w="11900" w:h="16838" w:orient="portrait"/>
          <w:cols w:equalWidth="0" w:num="3">
            <w:col w:w="4680" w:space="720"/>
            <w:col w:w="2560" w:space="720"/>
            <w:col w:w="1479"/>
          </w:cols>
          <w:pgMar w:left="300" w:top="205" w:right="1440"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ING</w:t>
      </w:r>
    </w:p>
    <w:p>
      <w:pPr>
        <w:spacing w:after="0" w:line="107" w:lineRule="exact"/>
        <w:rPr>
          <w:sz w:val="24"/>
          <w:szCs w:val="24"/>
          <w:color w:val="auto"/>
        </w:rPr>
      </w:pPr>
    </w:p>
    <w:p>
      <w:pPr>
        <w:sectPr>
          <w:pgSz w:w="11900" w:h="16838" w:orient="portrait"/>
          <w:cols w:equalWidth="0" w:num="4">
            <w:col w:w="3040" w:space="720"/>
            <w:col w:w="900" w:space="640"/>
            <w:col w:w="3200" w:space="720"/>
            <w:col w:w="939"/>
          </w:cols>
          <w:pgMar w:left="300" w:top="205" w:right="1440" w:bottom="1440" w:gutter="0" w:footer="0" w:header="0"/>
          <w:type w:val="continuous"/>
        </w:sectPr>
      </w:pPr>
    </w:p>
    <w:p>
      <w:pPr>
        <w:ind w:left="5260"/>
        <w:spacing w:after="0"/>
        <w:rPr>
          <w:sz w:val="20"/>
          <w:szCs w:val="20"/>
          <w:color w:val="auto"/>
        </w:rPr>
      </w:pPr>
      <w:r>
        <w:rPr>
          <w:rFonts w:ascii="Times New Roman" w:cs="Times New Roman" w:eastAsia="Times New Roman" w:hAnsi="Times New Roman"/>
          <w:sz w:val="12"/>
          <w:szCs w:val="12"/>
          <w:b w:val="1"/>
          <w:bCs w:val="1"/>
          <w:i w:val="1"/>
          <w:iCs w:val="1"/>
          <w:color w:val="auto"/>
        </w:rPr>
        <w:t>Co-Managers</w:t>
      </w:r>
    </w:p>
    <w:p>
      <w:pPr>
        <w:sectPr>
          <w:pgSz w:w="11900" w:h="16838" w:orient="portrait"/>
          <w:cols w:equalWidth="0" w:num="1">
            <w:col w:w="10159"/>
          </w:cols>
          <w:pgMar w:left="300" w:top="205" w:right="1440" w:bottom="1440" w:gutter="0" w:footer="0" w:header="0"/>
          <w:type w:val="continuous"/>
        </w:sectPr>
      </w:pPr>
    </w:p>
    <w:p>
      <w:pPr>
        <w:spacing w:after="0" w:line="1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BNP PARIBAS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Scotiabank</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Academy Securities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Bancorp</w:t>
      </w:r>
    </w:p>
    <w:p>
      <w:pPr>
        <w:spacing w:after="0" w:line="90" w:lineRule="exact"/>
        <w:rPr>
          <w:sz w:val="24"/>
          <w:szCs w:val="24"/>
          <w:color w:val="auto"/>
        </w:rPr>
      </w:pPr>
    </w:p>
    <w:p>
      <w:pPr>
        <w:sectPr>
          <w:pgSz w:w="11900" w:h="16838" w:orient="portrait"/>
          <w:cols w:equalWidth="0" w:num="4">
            <w:col w:w="3120" w:space="720"/>
            <w:col w:w="1220" w:space="720"/>
            <w:col w:w="2080" w:space="720"/>
            <w:col w:w="1579"/>
          </w:cols>
          <w:pgMar w:left="300" w:top="205" w:right="1440"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2"/>
          <w:szCs w:val="12"/>
          <w:b w:val="1"/>
          <w:bCs w:val="1"/>
          <w:color w:val="auto"/>
        </w:rPr>
        <w:t>October 26, 2026</w:t>
      </w:r>
    </w:p>
    <w:p>
      <w:pPr>
        <w:sectPr>
          <w:pgSz w:w="11900" w:h="16838" w:orient="portrait"/>
          <w:cols w:equalWidth="0" w:num="1">
            <w:col w:w="10159"/>
          </w:cols>
          <w:pgMar w:left="300" w:top="20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40" w:type="dxa"/>
            <w:vAlign w:val="bottom"/>
            <w:gridSpan w:val="3"/>
          </w:tcPr>
          <w:p>
            <w:pPr>
              <w:jc w:val="center"/>
              <w:ind w:right="326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0" w:type="dxa"/>
            <w:vAlign w:val="bottom"/>
          </w:tcPr>
          <w:p>
            <w:pPr>
              <w:spacing w:after="0"/>
              <w:rPr>
                <w:sz w:val="1"/>
                <w:szCs w:val="1"/>
                <w:color w:val="auto"/>
              </w:rPr>
            </w:pPr>
          </w:p>
        </w:tc>
      </w:tr>
      <w:tr>
        <w:trPr>
          <w:trHeight w:val="327"/>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3"/>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w w:val="96"/>
              </w:rPr>
              <w:t>Prospectus Supplement</w:t>
            </w:r>
          </w:p>
        </w:tc>
        <w:tc>
          <w:tcPr>
            <w:tcW w:w="0" w:type="dxa"/>
            <w:vAlign w:val="bottom"/>
          </w:tcPr>
          <w:p>
            <w:pPr>
              <w:spacing w:after="0"/>
              <w:rPr>
                <w:sz w:val="1"/>
                <w:szCs w:val="1"/>
                <w:color w:val="auto"/>
              </w:rPr>
            </w:pPr>
          </w:p>
        </w:tc>
      </w:tr>
      <w:tr>
        <w:trPr>
          <w:trHeight w:val="297"/>
        </w:trPr>
        <w:tc>
          <w:tcPr>
            <w:tcW w:w="192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EE"/>
                <w:w w:val="95"/>
              </w:rPr>
              <w:t>About This Prospectus Supplement</w:t>
            </w:r>
          </w:p>
        </w:tc>
        <w:tc>
          <w:tcPr>
            <w:tcW w:w="1360" w:type="dxa"/>
            <w:vAlign w:val="bottom"/>
            <w:gridSpan w:val="2"/>
            <w:vMerge w:val="restart"/>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8"/>
        </w:trPr>
        <w:tc>
          <w:tcPr>
            <w:tcW w:w="1920" w:type="dxa"/>
            <w:vAlign w:val="bottom"/>
            <w:tcBorders>
              <w:bottom w:val="single" w:sz="8" w:color="0000EE"/>
            </w:tcBorders>
            <w:gridSpan w:val="1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4700" w:type="dxa"/>
            <w:vAlign w:val="bottom"/>
          </w:tcPr>
          <w:p>
            <w:pPr>
              <w:spacing w:after="0"/>
              <w:rPr>
                <w:sz w:val="10"/>
                <w:szCs w:val="10"/>
                <w:color w:val="auto"/>
              </w:rPr>
            </w:pPr>
          </w:p>
        </w:tc>
        <w:tc>
          <w:tcPr>
            <w:tcW w:w="3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S-ii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0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1780" w:type="dxa"/>
            <w:vAlign w:val="bottom"/>
            <w:gridSpan w:val="5"/>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S-v</w:t>
            </w:r>
          </w:p>
        </w:tc>
        <w:tc>
          <w:tcPr>
            <w:tcW w:w="0" w:type="dxa"/>
            <w:vAlign w:val="bottom"/>
          </w:tcPr>
          <w:p>
            <w:pPr>
              <w:spacing w:after="0"/>
              <w:rPr>
                <w:sz w:val="1"/>
                <w:szCs w:val="1"/>
                <w:color w:val="auto"/>
              </w:rPr>
            </w:pPr>
          </w:p>
        </w:tc>
      </w:tr>
      <w:tr>
        <w:trPr>
          <w:trHeight w:val="144"/>
        </w:trPr>
        <w:tc>
          <w:tcPr>
            <w:tcW w:w="160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Forward-Looking Statements</w:t>
            </w:r>
          </w:p>
        </w:tc>
        <w:tc>
          <w:tcPr>
            <w:tcW w:w="1680" w:type="dxa"/>
            <w:vAlign w:val="bottom"/>
            <w:gridSpan w:val="4"/>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S-vi</w:t>
            </w:r>
          </w:p>
        </w:tc>
        <w:tc>
          <w:tcPr>
            <w:tcW w:w="0" w:type="dxa"/>
            <w:vAlign w:val="bottom"/>
          </w:tcPr>
          <w:p>
            <w:pPr>
              <w:spacing w:after="0"/>
              <w:rPr>
                <w:sz w:val="1"/>
                <w:szCs w:val="1"/>
                <w:color w:val="auto"/>
              </w:rPr>
            </w:pPr>
          </w:p>
        </w:tc>
      </w:tr>
      <w:tr>
        <w:trPr>
          <w:trHeight w:val="144"/>
        </w:trPr>
        <w:tc>
          <w:tcPr>
            <w:tcW w:w="32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Summary</w:t>
            </w: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3"/>
              </w:rPr>
              <w:t>Risk Factors</w:t>
            </w:r>
          </w:p>
        </w:tc>
        <w:tc>
          <w:tcPr>
            <w:tcW w:w="2600" w:type="dxa"/>
            <w:vAlign w:val="bottom"/>
            <w:gridSpan w:val="11"/>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4"/>
        </w:trPr>
        <w:tc>
          <w:tcPr>
            <w:tcW w:w="880" w:type="dxa"/>
            <w:vAlign w:val="bottom"/>
            <w:tcBorders>
              <w:bottom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4"/>
              </w:rPr>
              <w:t>Use of Proceeds</w:t>
            </w:r>
          </w:p>
        </w:tc>
        <w:tc>
          <w:tcPr>
            <w:tcW w:w="2400" w:type="dxa"/>
            <w:vAlign w:val="bottom"/>
            <w:gridSpan w:val="7"/>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4"/>
        </w:trPr>
        <w:tc>
          <w:tcPr>
            <w:tcW w:w="78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6"/>
              </w:rPr>
              <w:t>Capitalization</w:t>
            </w:r>
          </w:p>
        </w:tc>
        <w:tc>
          <w:tcPr>
            <w:tcW w:w="2500" w:type="dxa"/>
            <w:vAlign w:val="bottom"/>
            <w:gridSpan w:val="8"/>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4"/>
        </w:trPr>
        <w:tc>
          <w:tcPr>
            <w:tcW w:w="32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Description of Notes</w:t>
            </w: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Certain United States Federal Income Tax Considerations</w:t>
            </w:r>
          </w:p>
        </w:tc>
        <w:tc>
          <w:tcPr>
            <w:tcW w:w="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4"/>
        </w:trPr>
        <w:tc>
          <w:tcPr>
            <w:tcW w:w="168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6"/>
              </w:rPr>
              <w:t>Certain ERISA Considerations</w:t>
            </w:r>
          </w:p>
        </w:tc>
        <w:tc>
          <w:tcPr>
            <w:tcW w:w="1600" w:type="dxa"/>
            <w:vAlign w:val="bottom"/>
            <w:gridSpan w:val="3"/>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S-34</w:t>
            </w:r>
          </w:p>
        </w:tc>
        <w:tc>
          <w:tcPr>
            <w:tcW w:w="0" w:type="dxa"/>
            <w:vAlign w:val="bottom"/>
          </w:tcPr>
          <w:p>
            <w:pPr>
              <w:spacing w:after="0"/>
              <w:rPr>
                <w:sz w:val="1"/>
                <w:szCs w:val="1"/>
                <w:color w:val="auto"/>
              </w:rPr>
            </w:pPr>
          </w:p>
        </w:tc>
      </w:tr>
      <w:tr>
        <w:trPr>
          <w:trHeight w:val="144"/>
        </w:trPr>
        <w:tc>
          <w:tcPr>
            <w:tcW w:w="32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Underwriting</w:t>
            </w: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520" w:type="dxa"/>
            <w:vAlign w:val="bottom"/>
            <w:gridSpan w:val="9"/>
          </w:tcPr>
          <w:p>
            <w:pPr>
              <w:spacing w:after="0"/>
              <w:rPr>
                <w:sz w:val="12"/>
                <w:szCs w:val="12"/>
                <w:color w:val="auto"/>
              </w:rPr>
            </w:pP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S-43</w:t>
            </w:r>
          </w:p>
        </w:tc>
        <w:tc>
          <w:tcPr>
            <w:tcW w:w="0" w:type="dxa"/>
            <w:vAlign w:val="bottom"/>
          </w:tcPr>
          <w:p>
            <w:pPr>
              <w:spacing w:after="0"/>
              <w:rPr>
                <w:sz w:val="1"/>
                <w:szCs w:val="1"/>
                <w:color w:val="auto"/>
              </w:rPr>
            </w:pPr>
          </w:p>
        </w:tc>
      </w:tr>
      <w:tr>
        <w:trPr>
          <w:trHeight w:val="144"/>
        </w:trPr>
        <w:tc>
          <w:tcPr>
            <w:tcW w:w="3280" w:type="dxa"/>
            <w:vAlign w:val="bottom"/>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4700" w:type="dxa"/>
            <w:vAlign w:val="bottom"/>
          </w:tcPr>
          <w:p>
            <w:pPr>
              <w:spacing w:after="0"/>
              <w:rPr>
                <w:sz w:val="12"/>
                <w:szCs w:val="12"/>
                <w:color w:val="auto"/>
              </w:rPr>
            </w:pPr>
          </w:p>
        </w:tc>
        <w:tc>
          <w:tcPr>
            <w:tcW w:w="34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S-43</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3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0" w:type="dxa"/>
            <w:vAlign w:val="bottom"/>
          </w:tcPr>
          <w:p>
            <w:pPr>
              <w:spacing w:after="0"/>
              <w:rPr>
                <w:sz w:val="1"/>
                <w:szCs w:val="1"/>
                <w:color w:val="auto"/>
              </w:rPr>
            </w:pPr>
          </w:p>
        </w:tc>
      </w:tr>
      <w:tr>
        <w:trPr>
          <w:trHeight w:val="297"/>
        </w:trPr>
        <w:tc>
          <w:tcPr>
            <w:tcW w:w="1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760" w:type="dxa"/>
            <w:vAlign w:val="bottom"/>
            <w:gridSpan w:val="5"/>
            <w:vMerge w:val="restart"/>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8"/>
        </w:trPr>
        <w:tc>
          <w:tcPr>
            <w:tcW w:w="1240" w:type="dxa"/>
            <w:vAlign w:val="bottom"/>
            <w:tcBorders>
              <w:bottom w:val="single" w:sz="8" w:color="0000EE"/>
            </w:tcBorders>
            <w:gridSpan w:val="7"/>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5060" w:type="dxa"/>
            <w:vAlign w:val="bottom"/>
          </w:tcPr>
          <w:p>
            <w:pPr>
              <w:spacing w:after="0"/>
              <w:rPr>
                <w:sz w:val="10"/>
                <w:szCs w:val="10"/>
                <w:color w:val="auto"/>
              </w:rPr>
            </w:pPr>
          </w:p>
        </w:tc>
        <w:tc>
          <w:tcPr>
            <w:tcW w:w="24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Dover Corporation</w:t>
            </w: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68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3"/>
              </w:rPr>
              <w:t>Risk Factors</w:t>
            </w:r>
          </w:p>
        </w:tc>
        <w:tc>
          <w:tcPr>
            <w:tcW w:w="340" w:type="dxa"/>
            <w:vAlign w:val="bottom"/>
            <w:tcBorders>
              <w:top w:val="single" w:sz="8" w:color="0000EE"/>
            </w:tcBorders>
            <w:gridSpan w:val="3"/>
          </w:tcPr>
          <w:p>
            <w:pPr>
              <w:spacing w:after="0"/>
              <w:rPr>
                <w:sz w:val="12"/>
                <w:szCs w:val="12"/>
                <w:color w:val="auto"/>
              </w:rPr>
            </w:pPr>
          </w:p>
        </w:tc>
        <w:tc>
          <w:tcPr>
            <w:tcW w:w="1980" w:type="dxa"/>
            <w:vAlign w:val="bottom"/>
            <w:gridSpan w:val="7"/>
          </w:tcPr>
          <w:p>
            <w:pPr>
              <w:spacing w:after="0"/>
              <w:rPr>
                <w:sz w:val="12"/>
                <w:szCs w:val="12"/>
                <w:color w:val="auto"/>
              </w:rPr>
            </w:pP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30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1500" w:type="dxa"/>
            <w:vAlign w:val="bottom"/>
            <w:tcBorders>
              <w:top w:val="single" w:sz="8" w:color="0000EE"/>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660" w:type="dxa"/>
            <w:vAlign w:val="bottom"/>
            <w:tcBorders>
              <w:top w:val="single" w:sz="8" w:color="0000EE"/>
            </w:tcBorders>
            <w:gridSpan w:val="3"/>
          </w:tcPr>
          <w:p>
            <w:pPr>
              <w:spacing w:after="0"/>
              <w:rPr>
                <w:sz w:val="12"/>
                <w:szCs w:val="12"/>
                <w:color w:val="auto"/>
              </w:rPr>
            </w:pPr>
          </w:p>
        </w:tc>
        <w:tc>
          <w:tcPr>
            <w:tcW w:w="840" w:type="dxa"/>
            <w:vAlign w:val="bottom"/>
          </w:tcPr>
          <w:p>
            <w:pPr>
              <w:spacing w:after="0"/>
              <w:rPr>
                <w:sz w:val="12"/>
                <w:szCs w:val="12"/>
                <w:color w:val="auto"/>
              </w:rPr>
            </w:pP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160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6"/>
              </w:rPr>
              <w:t>Forward-Looking Statements</w:t>
            </w:r>
          </w:p>
        </w:tc>
        <w:tc>
          <w:tcPr>
            <w:tcW w:w="1400" w:type="dxa"/>
            <w:vAlign w:val="bottom"/>
            <w:gridSpan w:val="3"/>
          </w:tcPr>
          <w:p>
            <w:pPr>
              <w:spacing w:after="0"/>
              <w:rPr>
                <w:sz w:val="12"/>
                <w:szCs w:val="12"/>
                <w:color w:val="auto"/>
              </w:rPr>
            </w:pP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4"/>
        </w:trPr>
        <w:tc>
          <w:tcPr>
            <w:tcW w:w="88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4"/>
              </w:rPr>
              <w:t>Use of Proceeds</w:t>
            </w:r>
          </w:p>
        </w:tc>
        <w:tc>
          <w:tcPr>
            <w:tcW w:w="2120" w:type="dxa"/>
            <w:vAlign w:val="bottom"/>
            <w:gridSpan w:val="8"/>
          </w:tcPr>
          <w:p>
            <w:pPr>
              <w:spacing w:after="0"/>
              <w:rPr>
                <w:sz w:val="12"/>
                <w:szCs w:val="12"/>
                <w:color w:val="auto"/>
              </w:rPr>
            </w:pP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4"/>
        </w:trPr>
        <w:tc>
          <w:tcPr>
            <w:tcW w:w="30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3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4"/>
        </w:trPr>
        <w:tc>
          <w:tcPr>
            <w:tcW w:w="1080" w:type="dxa"/>
            <w:vAlign w:val="bottom"/>
            <w:tcBorders>
              <w:top w:val="single" w:sz="8" w:color="0000EE"/>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560" w:type="dxa"/>
            <w:vAlign w:val="bottom"/>
            <w:tcBorders>
              <w:top w:val="single" w:sz="8" w:color="0000EE"/>
            </w:tcBorders>
            <w:gridSpan w:val="4"/>
          </w:tcPr>
          <w:p>
            <w:pPr>
              <w:spacing w:after="0"/>
              <w:rPr>
                <w:sz w:val="12"/>
                <w:szCs w:val="12"/>
                <w:color w:val="auto"/>
              </w:rPr>
            </w:pPr>
          </w:p>
        </w:tc>
        <w:tc>
          <w:tcPr>
            <w:tcW w:w="1360" w:type="dxa"/>
            <w:vAlign w:val="bottom"/>
            <w:gridSpan w:val="2"/>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240" w:type="dxa"/>
            <w:vAlign w:val="bottom"/>
            <w:gridSpan w:val="9"/>
          </w:tcPr>
          <w:p>
            <w:pPr>
              <w:spacing w:after="0"/>
              <w:rPr>
                <w:sz w:val="12"/>
                <w:szCs w:val="12"/>
                <w:color w:val="auto"/>
              </w:rPr>
            </w:pP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5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0"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the offering of the notes and other matters relating to us and our business, properties, financial condition, results of operations and prospects. The second part is the accompanying prospectus, which gives more general information about debt securities we may offer from time to time, some of which does not apply to the notes we are offering. Generally, when we refer to the prospectus, we are referring to both parts of this document combined. To the extent that information in this prospectus supplement or the information incorporated by reference in this prospectus supplement is inconsistent with information in the accompanying prospectus, the information in this prospectus supplement or the information incorporated by reference in this prospectus supplement replaces the information in the accompanying prospectus.</w:t>
      </w:r>
    </w:p>
    <w:p>
      <w:pPr>
        <w:spacing w:after="0" w:line="149" w:lineRule="exact"/>
        <w:rPr>
          <w:sz w:val="20"/>
          <w:szCs w:val="20"/>
          <w:color w:val="auto"/>
        </w:rPr>
      </w:pPr>
    </w:p>
    <w:p>
      <w:pPr>
        <w:ind w:left="1480" w:right="499"/>
        <w:spacing w:after="0" w:line="248" w:lineRule="auto"/>
        <w:rPr>
          <w:sz w:val="20"/>
          <w:szCs w:val="20"/>
          <w:color w:val="auto"/>
        </w:rPr>
      </w:pPr>
      <w:r>
        <w:rPr>
          <w:rFonts w:ascii="Times New Roman" w:cs="Times New Roman" w:eastAsia="Times New Roman" w:hAnsi="Times New Roman"/>
          <w:sz w:val="14"/>
          <w:szCs w:val="14"/>
          <w:color w:val="auto"/>
        </w:rPr>
        <w:t>Except as the context otherwise requires, or as otherwise specified in this prospectus supplement or the accompanying prospectus, the terms “we,” “our,” “us,” “the Company” and “Dover” refer to Dover Corporation and its subsidiaries. References to “euro,” “euros” and “€” are to the single currency introduced at the third stage of the European Monetary Union pursuant to the Treaty on the Functioning of the European Union, as amended, and “U.S. dollars,” “U.S.$” or “$” are to the currency of the United States of America. Except as noted, all financial data included or incorporated by reference in this prospectus supplement have been presented in accordance with generally accepted accounting principles of the United States of America.</w:t>
      </w:r>
    </w:p>
    <w:p>
      <w:pPr>
        <w:spacing w:after="0" w:line="147"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any information other than that contained or incorporated by reference in this prospectus supplement, the accompanying prospectus and any free writing prospectus prepared by or on behalf of us or to which we may refer you. We and the underwriters take no responsibility for, and can provide no assurance as to the reliability of, any other information that others may give you. You should only assume that the information contained or incorporated by reference in this prospectus supplement and the accompanying prospectus is accurate as of the date on the front of the respective document. Our business, properties, financial condition, results of operations and prospects may have changed since those dates.</w:t>
      </w:r>
    </w:p>
    <w:p>
      <w:pPr>
        <w:spacing w:after="0" w:line="147"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Neither this prospectus supplement, any related free writing prospectus that we provide to you nor the accompanying prospectus constitutes an offer, or a solicitation on our behalf or on behalf of the underwriters, to subscribe for and purchase any notes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Neither we nor the underwriters are making an offer to sell these securities in any jurisdiction where the offer or sale is not permitted.</w:t>
      </w:r>
    </w:p>
    <w:p>
      <w:pPr>
        <w:spacing w:after="0" w:line="147" w:lineRule="exact"/>
        <w:rPr>
          <w:sz w:val="20"/>
          <w:szCs w:val="20"/>
          <w:color w:val="auto"/>
        </w:rPr>
      </w:pPr>
    </w:p>
    <w:p>
      <w:pPr>
        <w:ind w:left="1480" w:right="499"/>
        <w:spacing w:after="0" w:line="250" w:lineRule="auto"/>
        <w:rPr>
          <w:sz w:val="20"/>
          <w:szCs w:val="20"/>
          <w:color w:val="auto"/>
        </w:rPr>
      </w:pPr>
      <w:r>
        <w:rPr>
          <w:rFonts w:ascii="Times New Roman" w:cs="Times New Roman" w:eastAsia="Times New Roman" w:hAnsi="Times New Roman"/>
          <w:sz w:val="14"/>
          <w:szCs w:val="14"/>
          <w:color w:val="auto"/>
        </w:rPr>
        <w:t>You should not consider any information contained or incorporated by reference in this prospectus supplement or the accompanying prospectus to be investment, legal or tax advice. We encourage you to consult your own counsel, accountant and other advisors for legal, tax, business, financial and related advice regarding the purchase of the notes. We are not making any representation to you regarding the legality of an investment in the notes by you under applicable investment or similar laws.</w:t>
      </w:r>
    </w:p>
    <w:p>
      <w:pPr>
        <w:spacing w:after="0" w:line="147" w:lineRule="exact"/>
        <w:rPr>
          <w:sz w:val="20"/>
          <w:szCs w:val="20"/>
          <w:color w:val="auto"/>
        </w:rPr>
      </w:pPr>
    </w:p>
    <w:p>
      <w:pPr>
        <w:ind w:left="1480" w:right="559"/>
        <w:spacing w:after="0" w:line="265" w:lineRule="auto"/>
        <w:rPr>
          <w:sz w:val="20"/>
          <w:szCs w:val="20"/>
          <w:color w:val="auto"/>
        </w:rPr>
      </w:pPr>
      <w:r>
        <w:rPr>
          <w:rFonts w:ascii="Times New Roman" w:cs="Times New Roman" w:eastAsia="Times New Roman" w:hAnsi="Times New Roman"/>
          <w:sz w:val="14"/>
          <w:szCs w:val="14"/>
          <w:color w:val="auto"/>
        </w:rPr>
        <w:t>You should read and consider all information contained or incorporated by reference in this prospectus supplement and the accompanying prospectus before making an investment decision with respect to the notes.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88" w:lineRule="exact"/>
        <w:rPr>
          <w:sz w:val="20"/>
          <w:szCs w:val="20"/>
          <w:color w:val="auto"/>
        </w:rPr>
      </w:pPr>
    </w:p>
    <w:p>
      <w:pPr>
        <w:ind w:left="1480" w:right="399"/>
        <w:spacing w:after="0" w:line="316" w:lineRule="auto"/>
        <w:rPr>
          <w:sz w:val="20"/>
          <w:szCs w:val="20"/>
          <w:color w:val="auto"/>
        </w:rPr>
      </w:pPr>
      <w:r>
        <w:rPr>
          <w:rFonts w:ascii="Times New Roman" w:cs="Times New Roman" w:eastAsia="Times New Roman" w:hAnsi="Times New Roman"/>
          <w:sz w:val="12"/>
          <w:szCs w:val="12"/>
          <w:color w:val="auto"/>
        </w:rPr>
        <w:t>We own or have rights to various trademarks, service marks and trade names, including those that may be mentioned in this prospectus supplement, that we use in connection with the operation of our business. This prospectus supplement may also contain trademarks, service marks and trade names of third parties, which are the property of their respective owners. We do not intend our use or display of third parties’ trademarks, service</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99"/>
        <w:spacing w:after="0" w:line="239" w:lineRule="auto"/>
        <w:rPr>
          <w:sz w:val="20"/>
          <w:szCs w:val="20"/>
          <w:color w:val="auto"/>
        </w:rPr>
      </w:pPr>
      <w:r>
        <w:rPr>
          <w:rFonts w:ascii="Times New Roman" w:cs="Times New Roman" w:eastAsia="Times New Roman" w:hAnsi="Times New Roman"/>
          <w:sz w:val="13"/>
          <w:szCs w:val="13"/>
          <w:color w:val="auto"/>
        </w:rPr>
        <w:t xml:space="preserve">marks or trade names in this prospectus supplement to imply, and such use or display should not be construed to imply, a relationship with, or endorsement or sponsorship by us of, these third parties. Solely for convenience, the trademarks, service marks and trade names referred to in this prospectus supplement may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3"/>
          <w:szCs w:val="13"/>
          <w:color w:val="auto"/>
        </w:rPr>
        <w:t xml:space="preserve"> symbols, but such references are not intended to indicate, in any way, that we will not assert, to the fullest extent permitted under applicable law, our rights or the rights of the applicable licensor to such trademarks, service marks and trade names.</w:t>
      </w:r>
    </w:p>
    <w:p>
      <w:pPr>
        <w:spacing w:after="0" w:line="2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88" w:lineRule="exact"/>
        <w:rPr>
          <w:sz w:val="20"/>
          <w:szCs w:val="20"/>
          <w:color w:val="auto"/>
        </w:rPr>
      </w:pPr>
    </w:p>
    <w:p>
      <w:pPr>
        <w:ind w:left="1480" w:right="399"/>
        <w:spacing w:after="0" w:line="295" w:lineRule="auto"/>
        <w:rPr>
          <w:sz w:val="20"/>
          <w:szCs w:val="20"/>
          <w:color w:val="auto"/>
        </w:rPr>
      </w:pPr>
      <w:r>
        <w:rPr>
          <w:rFonts w:ascii="Times New Roman" w:cs="Times New Roman" w:eastAsia="Times New Roman" w:hAnsi="Times New Roman"/>
          <w:sz w:val="12"/>
          <w:szCs w:val="12"/>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21" w:lineRule="exact"/>
        <w:rPr>
          <w:sz w:val="20"/>
          <w:szCs w:val="20"/>
          <w:color w:val="auto"/>
        </w:rPr>
      </w:pPr>
    </w:p>
    <w:p>
      <w:pPr>
        <w:ind w:left="1480" w:right="379"/>
        <w:spacing w:after="0" w:line="300" w:lineRule="auto"/>
        <w:rPr>
          <w:sz w:val="20"/>
          <w:szCs w:val="20"/>
          <w:color w:val="auto"/>
        </w:rPr>
      </w:pPr>
      <w:r>
        <w:rPr>
          <w:rFonts w:ascii="Times New Roman" w:cs="Times New Roman" w:eastAsia="Times New Roman" w:hAnsi="Times New Roman"/>
          <w:sz w:val="12"/>
          <w:szCs w:val="12"/>
          <w:color w:val="auto"/>
        </w:rPr>
        <w:t>This prospectus supplement and the accompanying prospectus have been prepared on the basis that any offer of notes in any member state of the EEA (each, a “Member State”) will be made pursuant to an exemption under Regulation (EU) 2017/1129 (as amended, the “Prospectus Regulation”) from the requirement to publish a prospectus for offers of notes. Neither this prospectus supplement nor the accompanying prospectus is a prospectus for the purposes of the Prospectus Regulation. Neither we nor the joint book-running managers have authorized, nor do we or they authorize, the making of any offer of notes in circumstances in which an obligation arises for us or the joint book-running managers to publish a prospectus for such offer.</w:t>
      </w:r>
    </w:p>
    <w:p>
      <w:pPr>
        <w:spacing w:after="0" w:line="115" w:lineRule="exact"/>
        <w:rPr>
          <w:sz w:val="20"/>
          <w:szCs w:val="20"/>
          <w:color w:val="auto"/>
        </w:rPr>
      </w:pPr>
    </w:p>
    <w:p>
      <w:pPr>
        <w:ind w:left="1480" w:right="379"/>
        <w:spacing w:after="0" w:line="298" w:lineRule="auto"/>
        <w:rPr>
          <w:sz w:val="20"/>
          <w:szCs w:val="20"/>
          <w:color w:val="auto"/>
        </w:rPr>
      </w:pPr>
      <w:r>
        <w:rPr>
          <w:rFonts w:ascii="Times New Roman" w:cs="Times New Roman" w:eastAsia="Times New Roman" w:hAnsi="Times New Roman"/>
          <w:sz w:val="12"/>
          <w:szCs w:val="12"/>
          <w:b w:val="1"/>
          <w:bCs w:val="1"/>
          <w:color w:val="auto"/>
        </w:rPr>
        <w:t xml:space="preserve">MiFID II product governance/Professional investors and ECPs only target market </w:t>
      </w:r>
      <w:r>
        <w:rPr>
          <w:rFonts w:ascii="Times New Roman" w:cs="Times New Roman" w:eastAsia="Times New Roman" w:hAnsi="Times New Roman"/>
          <w:sz w:val="12"/>
          <w:szCs w:val="12"/>
          <w:color w:val="auto"/>
        </w:rPr>
        <w:t>- Solely for the purposes of the manufacturer’s product approval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88" w:lineRule="exact"/>
        <w:rPr>
          <w:sz w:val="20"/>
          <w:szCs w:val="20"/>
          <w:color w:val="auto"/>
        </w:rPr>
      </w:pPr>
    </w:p>
    <w:p>
      <w:pPr>
        <w:ind w:left="1480" w:right="419"/>
        <w:spacing w:after="0" w:line="247" w:lineRule="auto"/>
        <w:rPr>
          <w:sz w:val="20"/>
          <w:szCs w:val="20"/>
          <w:color w:val="auto"/>
        </w:rPr>
      </w:pPr>
      <w:r>
        <w:rPr>
          <w:rFonts w:ascii="Times New Roman" w:cs="Times New Roman" w:eastAsia="Times New Roman" w:hAnsi="Times New Roman"/>
          <w:sz w:val="14"/>
          <w:szCs w:val="14"/>
          <w:color w:val="auto"/>
        </w:rPr>
        <w:t>The notes are not intended to be offered, sold, distributed or otherwise made available to and should not be offered, sold, distributed or otherwise made available to any retail investor in the United Kingdom (“UK”). For these purposes, a retail investor means a person who is not a professional client as defined in point (8) of Article 2(1) of Regulation (EU) No 600/2014 as it forms part of domestic law by virtue of the European Union (Withdrawal) Act 2018 (“EUWA”).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w:t>
      </w:r>
    </w:p>
    <w:p>
      <w:pPr>
        <w:spacing w:after="0" w:line="149" w:lineRule="exact"/>
        <w:rPr>
          <w:sz w:val="20"/>
          <w:szCs w:val="20"/>
          <w:color w:val="auto"/>
        </w:rPr>
      </w:pPr>
    </w:p>
    <w:p>
      <w:pPr>
        <w:ind w:left="1480" w:right="479"/>
        <w:spacing w:after="0" w:line="26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the UK will be made pursuant to an exception from the prohibition on offers of notes to the public under</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80" w:right="439"/>
        <w:spacing w:after="0" w:line="254" w:lineRule="auto"/>
        <w:rPr>
          <w:sz w:val="20"/>
          <w:szCs w:val="20"/>
          <w:color w:val="auto"/>
        </w:rPr>
      </w:pPr>
      <w:r>
        <w:rPr>
          <w:rFonts w:ascii="Times New Roman" w:cs="Times New Roman" w:eastAsia="Times New Roman" w:hAnsi="Times New Roman"/>
          <w:sz w:val="14"/>
          <w:szCs w:val="14"/>
          <w:color w:val="auto"/>
        </w:rPr>
        <w:t>the Public Offers and Admissions to Trading Regulations 2024 (the “POATRs”). Neither we nor the joint book-running managers have authorized, nor do we or they authorize, the making of any offer of notes other than pursuant to an exception from the prohibition on offers of notes to the public under the POATRs. Neither this prospectus supplement nor the accompanying prospectus is a prospectus for the purposes of the POATRs.</w:t>
      </w:r>
    </w:p>
    <w:p>
      <w:pPr>
        <w:spacing w:after="0" w:line="143" w:lineRule="exact"/>
        <w:rPr>
          <w:sz w:val="20"/>
          <w:szCs w:val="20"/>
          <w:color w:val="auto"/>
        </w:rPr>
      </w:pPr>
    </w:p>
    <w:p>
      <w:pPr>
        <w:ind w:left="1480" w:right="339"/>
        <w:spacing w:after="0" w:line="294" w:lineRule="auto"/>
        <w:rPr>
          <w:sz w:val="20"/>
          <w:szCs w:val="20"/>
          <w:color w:val="auto"/>
        </w:rPr>
      </w:pPr>
      <w:r>
        <w:rPr>
          <w:rFonts w:ascii="Times New Roman" w:cs="Times New Roman" w:eastAsia="Times New Roman" w:hAnsi="Times New Roman"/>
          <w:sz w:val="12"/>
          <w:szCs w:val="12"/>
          <w:color w:val="auto"/>
        </w:rPr>
        <w:t>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the POATRs) who are (i) persons having professional experience in matters relating to investments falling within Article 19(5) of the Financial Services and Markets Act 2000 (Financial Promotion) Order 2005 (as amended, the “Order”), or (ii) high net worth entities falling within Article 49(2)(a) to (d) of the Order, or (iii) persons to whom it would otherwise be lawful to distribute them, all such persons together being referred to as “Relevant Persons.” The notes are only available to, and any investment activity or invitation, offer or agreement to subscribe for, purchase or otherwise acquire such notes will be engaged in only with, Relevant Persons. This prospectus supplement, the accompanying prospectus and their contents should not be distributed, published or reproduced (in whole or in part) or disclosed by any recipients to any other person in the United Kingdom. Any person in the</w:t>
      </w:r>
    </w:p>
    <w:p>
      <w:pPr>
        <w:spacing w:after="0" w:line="137" w:lineRule="exact"/>
        <w:rPr>
          <w:sz w:val="20"/>
          <w:szCs w:val="20"/>
          <w:color w:val="auto"/>
        </w:rPr>
      </w:pPr>
    </w:p>
    <w:p>
      <w:pPr>
        <w:ind w:left="1480" w:right="459"/>
        <w:spacing w:after="0" w:line="247" w:lineRule="auto"/>
        <w:rPr>
          <w:sz w:val="20"/>
          <w:szCs w:val="20"/>
          <w:color w:val="auto"/>
        </w:rPr>
      </w:pPr>
      <w:r>
        <w:rPr>
          <w:rFonts w:ascii="Times New Roman" w:cs="Times New Roman" w:eastAsia="Times New Roman" w:hAnsi="Times New Roman"/>
          <w:sz w:val="14"/>
          <w:szCs w:val="14"/>
          <w:color w:val="auto"/>
        </w:rPr>
        <w:t>United Kingdom that is not a Relevant Person should not act or rely on this prospectus supplement and/or the accompanying prospectus or any of their contents. The notes are not being offered to the public in the United Kingdom.</w:t>
      </w:r>
    </w:p>
    <w:p>
      <w:pPr>
        <w:spacing w:after="0" w:line="143"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b w:val="1"/>
          <w:bCs w:val="1"/>
          <w:color w:val="auto"/>
        </w:rPr>
        <w:t xml:space="preserve">UK MiFIR product governance/Professional investors and ECPs only target market </w:t>
      </w:r>
      <w:r>
        <w:rPr>
          <w:rFonts w:ascii="Times New Roman" w:cs="Times New Roman" w:eastAsia="Times New Roman" w:hAnsi="Times New Roman"/>
          <w:sz w:val="14"/>
          <w:szCs w:val="14"/>
          <w:color w:val="auto"/>
        </w:rPr>
        <w:t>- Solely for the purposes of each manufacturer’s product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44"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b w:val="1"/>
          <w:bCs w:val="1"/>
          <w:color w:val="auto"/>
        </w:rPr>
        <w:t>IN CONNECTION WITH THE ISSUE OF THE NOTES, HSBC BANK PLC (IN THIS CAPACITY, THE “STABILIZING MANAGER”) (OR ANY PERSON ACTING ON ITS BEHALF) MAY OVER-ALLOT NOTES OR EFFECT TRANSACTIONS WITH A VIEW TO SUPPORTING THE MARKET PRICE OF THE NOTES AT A LEVEL HIGHER THAN THAT WHICH MIGHT OTHERWISE PREVAIL. HOWEVER, STABILIZATION MAY NOT NECESSARILY OCCUR. ANY STABILIZATION ACTION MAY BEGIN ON OR AFTER THE DATE ON WHICH ADEQUATE PUBLIC DISCLOSURE OF THE FINAL TERMS OF THE OFFER OF THE NOTES IS MADE, AND, IF BEGUN, MAY CEASE AT ANY TIME. ANY STABILIZATION ACTION COMMENCED MUST BE CARRIED OUT IN ACCORDANCE WITH APPLICABLE LAWS AND REGULATIONS. SEE “UNDERWRITING.”</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0" w:lineRule="exact"/>
        <w:rPr>
          <w:sz w:val="20"/>
          <w:szCs w:val="20"/>
          <w:color w:val="auto"/>
        </w:rPr>
      </w:pPr>
    </w:p>
    <w:p>
      <w:pPr>
        <w:ind w:left="1480" w:right="459"/>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and the accompanying prospectus information which we file with the SEC. This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any inconsistent information in this prospectus supplement and the accompanying prospectus and in our other filings with the SEC.</w:t>
      </w:r>
    </w:p>
    <w:p>
      <w:pPr>
        <w:spacing w:after="0" w:line="146" w:lineRule="exact"/>
        <w:rPr>
          <w:sz w:val="20"/>
          <w:szCs w:val="20"/>
          <w:color w:val="auto"/>
        </w:rPr>
      </w:pPr>
    </w:p>
    <w:p>
      <w:pPr>
        <w:ind w:left="1480" w:right="519"/>
        <w:spacing w:after="0" w:line="265" w:lineRule="auto"/>
        <w:rPr>
          <w:sz w:val="20"/>
          <w:szCs w:val="20"/>
          <w:color w:val="auto"/>
        </w:rPr>
      </w:pPr>
      <w:r>
        <w:rPr>
          <w:rFonts w:ascii="Times New Roman" w:cs="Times New Roman" w:eastAsia="Times New Roman" w:hAnsi="Times New Roman"/>
          <w:sz w:val="14"/>
          <w:szCs w:val="14"/>
          <w:color w:val="auto"/>
        </w:rPr>
        <w:t>We incorporate by reference the following documents that we previously filed with the SEC (SEC File No. 001-04018) (other than any information in such documents that is deemed not to be filed):</w:t>
      </w:r>
    </w:p>
    <w:p>
      <w:pPr>
        <w:spacing w:after="0" w:line="64" w:lineRule="exact"/>
        <w:rPr>
          <w:sz w:val="20"/>
          <w:szCs w:val="20"/>
          <w:color w:val="auto"/>
        </w:rPr>
      </w:pPr>
    </w:p>
    <w:p>
      <w:pPr>
        <w:ind w:left="2200" w:right="739" w:hanging="317"/>
        <w:spacing w:after="0" w:line="265"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13, 2026 (the “2025 Annual Report”);</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t>
      </w:r>
      <w:hyperlink r:id="rId19">
        <w:r>
          <w:rPr>
            <w:rFonts w:ascii="Times New Roman" w:cs="Times New Roman" w:eastAsia="Times New Roman" w:hAnsi="Times New Roman"/>
            <w:sz w:val="14"/>
            <w:szCs w:val="14"/>
            <w:u w:val="single" w:color="auto"/>
            <w:color w:val="0000EE"/>
          </w:rPr>
          <w:t>portions of our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24, 2026 incorporated by reference into the 2025 Annual Report;</w:t>
      </w:r>
    </w:p>
    <w:p>
      <w:pPr>
        <w:spacing w:after="0" w:line="94" w:lineRule="exact"/>
        <w:rPr>
          <w:rFonts w:ascii="Times New Roman" w:cs="Times New Roman" w:eastAsia="Times New Roman" w:hAnsi="Times New Roman"/>
          <w:sz w:val="14"/>
          <w:szCs w:val="14"/>
          <w:color w:val="auto"/>
        </w:rPr>
      </w:pPr>
    </w:p>
    <w:p>
      <w:pPr>
        <w:ind w:left="2200" w:right="379" w:hanging="317"/>
        <w:spacing w:after="0" w:line="265"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w:t>
      </w:r>
      <w:hyperlink r:id="rId20">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EE"/>
          </w:rPr>
          <w:t>June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2">
        <w:r>
          <w:rPr>
            <w:rFonts w:ascii="Times New Roman" w:cs="Times New Roman" w:eastAsia="Times New Roman" w:hAnsi="Times New Roman"/>
            <w:sz w:val="14"/>
            <w:szCs w:val="14"/>
            <w:u w:val="single" w:color="auto"/>
            <w:color w:val="0000EE"/>
          </w:rPr>
          <w:t>September 30, 2026</w:t>
        </w:r>
      </w:hyperlink>
      <w:r>
        <w:rPr>
          <w:rFonts w:ascii="Times New Roman" w:cs="Times New Roman" w:eastAsia="Times New Roman" w:hAnsi="Times New Roman"/>
          <w:sz w:val="14"/>
          <w:szCs w:val="14"/>
          <w:color w:val="auto"/>
        </w:rPr>
        <w:t>, filed with the SEC on April 23, 2026, July 23, 2026 and October 22, 2026, respectively; and</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3">
        <w:r>
          <w:rPr>
            <w:rFonts w:ascii="Times New Roman" w:cs="Times New Roman" w:eastAsia="Times New Roman" w:hAnsi="Times New Roman"/>
            <w:sz w:val="14"/>
            <w:szCs w:val="14"/>
            <w:u w:val="single" w:color="auto"/>
            <w:color w:val="0000EE"/>
          </w:rPr>
          <w:t>April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4">
        <w:r>
          <w:rPr>
            <w:rFonts w:ascii="Times New Roman" w:cs="Times New Roman" w:eastAsia="Times New Roman" w:hAnsi="Times New Roman"/>
            <w:sz w:val="14"/>
            <w:szCs w:val="14"/>
            <w:u w:val="single" w:color="auto"/>
            <w:color w:val="0000EE"/>
          </w:rPr>
          <w:t>May 12, 2026</w:t>
        </w:r>
      </w:hyperlink>
      <w:r>
        <w:rPr>
          <w:rFonts w:ascii="Times New Roman" w:cs="Times New Roman" w:eastAsia="Times New Roman" w:hAnsi="Times New Roman"/>
          <w:sz w:val="14"/>
          <w:szCs w:val="14"/>
          <w:color w:val="auto"/>
        </w:rPr>
        <w:t>.</w:t>
      </w:r>
    </w:p>
    <w:p>
      <w:pPr>
        <w:spacing w:after="0" w:line="166" w:lineRule="exact"/>
        <w:rPr>
          <w:rFonts w:ascii="Times New Roman" w:cs="Times New Roman" w:eastAsia="Times New Roman" w:hAnsi="Times New Roman"/>
          <w:sz w:val="14"/>
          <w:szCs w:val="14"/>
          <w:color w:val="auto"/>
        </w:rPr>
      </w:pPr>
    </w:p>
    <w:p>
      <w:pPr>
        <w:ind w:left="1480"/>
        <w:spacing w:after="0"/>
        <w:rPr>
          <w:sz w:val="20"/>
          <w:szCs w:val="20"/>
          <w:color w:val="auto"/>
        </w:rPr>
      </w:pPr>
      <w:r>
        <w:rPr>
          <w:rFonts w:ascii="Times New Roman" w:cs="Times New Roman" w:eastAsia="Times New Roman" w:hAnsi="Times New Roman"/>
          <w:sz w:val="14"/>
          <w:szCs w:val="14"/>
          <w:color w:val="auto"/>
        </w:rPr>
        <w:t>These documents contain important information about our business and our financial performance.</w:t>
      </w:r>
    </w:p>
    <w:p>
      <w:pPr>
        <w:spacing w:after="0" w:line="166" w:lineRule="exact"/>
        <w:rPr>
          <w:rFonts w:ascii="Times New Roman" w:cs="Times New Roman" w:eastAsia="Times New Roman" w:hAnsi="Times New Roman"/>
          <w:sz w:val="14"/>
          <w:szCs w:val="14"/>
          <w:color w:val="auto"/>
        </w:rPr>
      </w:pPr>
    </w:p>
    <w:p>
      <w:pPr>
        <w:ind w:left="1480" w:right="419"/>
        <w:spacing w:after="0" w:line="249" w:lineRule="auto"/>
        <w:rPr>
          <w:sz w:val="20"/>
          <w:szCs w:val="20"/>
          <w:color w:val="auto"/>
        </w:rPr>
      </w:pPr>
      <w:r>
        <w:rPr>
          <w:rFonts w:ascii="Times New Roman" w:cs="Times New Roman" w:eastAsia="Times New Roman" w:hAnsi="Times New Roman"/>
          <w:sz w:val="14"/>
          <w:szCs w:val="14"/>
          <w:color w:val="auto"/>
        </w:rPr>
        <w:t>We also incorporate by reference any future filings we make with the SEC pursuant to Sections 13(a), 13(c), 14 or 15(d) of the Securities Exchange Act of 1934, as amended (the “Exchange Act”), on or after the date hereof and prior to the termination of the offering; provided, however, that we are not incorporating by reference any information furnished under Item 2.02 or Item 7.01 of any current report on Form 8-K, unless, and to the extent, specified in any such current report on Form 8-K. Our future filings with the SEC will automatically update and supersede any inconsistent information in this prospectus supplement and accompanying prospectus.</w:t>
      </w:r>
    </w:p>
    <w:p>
      <w:pPr>
        <w:spacing w:after="0" w:line="146"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You may obtain a free copy of these filings from us by telephoning or writing to us at the following address and telephone number:</w:t>
      </w:r>
    </w:p>
    <w:p>
      <w:pPr>
        <w:spacing w:after="0" w:line="166"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Dover Corporation</w:t>
      </w:r>
    </w:p>
    <w:p>
      <w:pPr>
        <w:spacing w:after="0" w:line="1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3005 Highland Parkway, Suite 200</w:t>
      </w:r>
    </w:p>
    <w:p>
      <w:pPr>
        <w:spacing w:after="0" w:line="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Downers Grove, Illinois 60515</w:t>
      </w:r>
    </w:p>
    <w:p>
      <w:pPr>
        <w:spacing w:after="0" w:line="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3"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Telephone: +1-630-541-1540</w:t>
      </w:r>
    </w:p>
    <w:p>
      <w:pPr>
        <w:spacing w:after="0" w:line="31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rFonts w:ascii="Times New Roman" w:cs="Times New Roman" w:eastAsia="Times New Roman" w:hAnsi="Times New Roman"/>
          <w:sz w:val="14"/>
          <w:szCs w:val="14"/>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In addition, we have filed a registration statement and related exhibits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at our website at </w:t>
      </w:r>
      <w:r>
        <w:rPr>
          <w:rFonts w:ascii="Times New Roman" w:cs="Times New Roman" w:eastAsia="Times New Roman" w:hAnsi="Times New Roman"/>
          <w:sz w:val="14"/>
          <w:szCs w:val="14"/>
          <w:i w:val="1"/>
          <w:iCs w:val="1"/>
          <w:color w:val="auto"/>
        </w:rPr>
        <w:t>www.dovercorporation.com</w:t>
      </w:r>
      <w:r>
        <w:rPr>
          <w:rFonts w:ascii="Times New Roman" w:cs="Times New Roman" w:eastAsia="Times New Roman" w:hAnsi="Times New Roman"/>
          <w:sz w:val="14"/>
          <w:szCs w:val="14"/>
          <w:color w:val="auto"/>
        </w:rPr>
        <w:t>. Except for the SEC filings that are incorporated by reference in this prospectus supplement and the accompanying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the contents of our website are not part of these documents.</w:t>
      </w:r>
    </w:p>
    <w:p>
      <w:pPr>
        <w:spacing w:after="0" w:line="96"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0" w:lineRule="exact"/>
        <w:rPr>
          <w:sz w:val="20"/>
          <w:szCs w:val="20"/>
          <w:color w:val="auto"/>
        </w:rPr>
      </w:pPr>
    </w:p>
    <w:p>
      <w:pPr>
        <w:ind w:left="1480" w:right="339"/>
        <w:spacing w:after="0" w:line="248" w:lineRule="auto"/>
        <w:rPr>
          <w:sz w:val="20"/>
          <w:szCs w:val="20"/>
          <w:color w:val="auto"/>
        </w:rPr>
      </w:pPr>
      <w:r>
        <w:rPr>
          <w:rFonts w:ascii="Times New Roman" w:cs="Times New Roman" w:eastAsia="Times New Roman" w:hAnsi="Times New Roman"/>
          <w:sz w:val="14"/>
          <w:szCs w:val="14"/>
          <w:color w:val="auto"/>
        </w:rPr>
        <w:t>Statements included or incorporated by reference in this prospectus supplement or the accompanying prospectus may constitute “forward-looking statements” within the meaning of the Securities Act of 1933, as amended (the “Securities Act”), the Exchange Act and the Private Securities Litigation Reform Act of 1995. All statements in this document other than statements of historical fact are statements that are, or could be deemed, “forward-looking” statements. Forward-looking statements may be indicated by words or phrases such as “may,” “anticipate,” “expect,” “believe,” “intend,” “continue,” “guidance,” “estimate,” “suggest,” “will,” “plan,” “should,” “would,” “could,” “forecast” and other words and terms that use the future tense or have a similar meaning.</w:t>
      </w:r>
    </w:p>
    <w:p>
      <w:pPr>
        <w:spacing w:after="0" w:line="147" w:lineRule="exact"/>
        <w:rPr>
          <w:sz w:val="20"/>
          <w:szCs w:val="20"/>
          <w:color w:val="auto"/>
        </w:rPr>
      </w:pPr>
    </w:p>
    <w:p>
      <w:pPr>
        <w:ind w:left="1480" w:right="439"/>
        <w:spacing w:after="0" w:line="250"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and are subject to numerous important risks, uncertainties and assumptions, including those described in our 2025 Annual Report. Factors that could cause actual results to differ materially from current expectations include, among others, the factors discussed under “Risk Factors” herein, under “Risk Factors” in our filings with the SEC incorporated by reference into this prospectus supplement and the factors listed below:</w:t>
      </w:r>
    </w:p>
    <w:p>
      <w:pPr>
        <w:spacing w:after="0" w:line="75" w:lineRule="exact"/>
        <w:rPr>
          <w:sz w:val="20"/>
          <w:szCs w:val="20"/>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conditions in the particular markets in which we operate;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chain constraints and labor shortages that could result in production stoppages, inflation in material input costs and freight logistics;</w:t>
      </w:r>
    </w:p>
    <w:p>
      <w:pPr>
        <w:spacing w:after="0" w:line="117" w:lineRule="exact"/>
        <w:rPr>
          <w:rFonts w:ascii="Times New Roman" w:cs="Times New Roman" w:eastAsia="Times New Roman" w:hAnsi="Times New Roman"/>
          <w:sz w:val="12"/>
          <w:szCs w:val="12"/>
          <w:color w:val="auto"/>
        </w:rPr>
      </w:pPr>
    </w:p>
    <w:p>
      <w:pPr>
        <w:ind w:left="2200" w:right="579" w:hanging="317"/>
        <w:spacing w:after="0" w:line="265"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natural or human-induced disasters, acts of war, terrorism, international conflicts, and public health crises or other future pandemics on the global economy and on our customers, suppliers, employees, business and cash flows;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demand and capital spending;</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and pricing pressures;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launch new products in a cost-effective manner;</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the effect of tax laws and developments with respect to trade policy and tariffs;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complete acquisitions and integrate and realize synergies from newly acquired businesses;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valuation levels;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interest rate and currency exchange rate fluctuations;</w:t>
      </w:r>
    </w:p>
    <w:p>
      <w:pPr>
        <w:spacing w:after="0" w:line="94" w:lineRule="exact"/>
        <w:rPr>
          <w:rFonts w:ascii="Times New Roman" w:cs="Times New Roman" w:eastAsia="Times New Roman" w:hAnsi="Times New Roman"/>
          <w:sz w:val="14"/>
          <w:szCs w:val="14"/>
          <w:color w:val="auto"/>
        </w:rPr>
      </w:pPr>
    </w:p>
    <w:p>
      <w:pPr>
        <w:ind w:left="2200" w:right="619" w:hanging="317"/>
        <w:spacing w:after="0" w:line="265"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allocation plans and changes in those plans, including with respect to dividends, share repurchases, investments in research and development, capital expenditures and acquisitions;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deploy capital resulting from dispositions;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derive expected benefits from restructurings, productivity initiatives and other cost reduction actions;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legal compliance risks and litigation, including with respect to product quality and safety, cybersecurity and privacy;</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capture and protect intellectual property rights;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factors that are described in our periodic reports filed with or furnished to the SEC, including our 2025 Annual Report.</w:t>
      </w:r>
    </w:p>
    <w:p>
      <w:pPr>
        <w:spacing w:after="0" w:line="166" w:lineRule="exact"/>
        <w:rPr>
          <w:sz w:val="20"/>
          <w:szCs w:val="20"/>
          <w:color w:val="auto"/>
        </w:rPr>
      </w:pPr>
    </w:p>
    <w:p>
      <w:pPr>
        <w:ind w:left="1480" w:right="359"/>
        <w:spacing w:after="0" w:line="349" w:lineRule="auto"/>
        <w:rPr>
          <w:sz w:val="20"/>
          <w:szCs w:val="20"/>
          <w:color w:val="auto"/>
        </w:rPr>
      </w:pPr>
      <w:r>
        <w:rPr>
          <w:rFonts w:ascii="Times New Roman" w:cs="Times New Roman" w:eastAsia="Times New Roman" w:hAnsi="Times New Roman"/>
          <w:sz w:val="12"/>
          <w:szCs w:val="12"/>
          <w:color w:val="auto"/>
        </w:rPr>
        <w:t>We undertake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S-vi</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158750</wp:posOffset>
            </wp:positionV>
            <wp:extent cx="5302250" cy="4419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302250" cy="4419600"/>
                    </a:xfrm>
                    <a:prstGeom prst="rect">
                      <a:avLst/>
                    </a:prstGeom>
                    <a:noFill/>
                  </pic:spPr>
                </pic:pic>
              </a:graphicData>
            </a:graphic>
          </wp:anchor>
        </w:drawing>
      </w:r>
    </w:p>
    <w:p>
      <w:pPr>
        <w:spacing w:after="0" w:line="35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86" w:lineRule="exact"/>
        <w:rPr>
          <w:sz w:val="20"/>
          <w:szCs w:val="20"/>
          <w:color w:val="auto"/>
        </w:rPr>
      </w:pPr>
    </w:p>
    <w:p>
      <w:pPr>
        <w:ind w:left="1620" w:right="579"/>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contained elsewhere in this prospectus supplement, the accompanying prospectus and in the documents incorporated by reference in this prospectus supplement and the accompanying prospectus and may not contain all the information you will need in making your investment decision. You should read carefully this entire prospectus supplement, the accompanying prospectus and the documents incorporated by reference herein and therein before making an investment decision.</w:t>
      </w:r>
    </w:p>
    <w:p>
      <w:pPr>
        <w:spacing w:after="0" w:line="3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Dover Corporation</w:t>
      </w:r>
    </w:p>
    <w:p>
      <w:pPr>
        <w:spacing w:after="0" w:line="88"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4"/>
          <w:szCs w:val="14"/>
          <w:color w:val="auto"/>
        </w:rPr>
        <w:t>Dover Corporation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Dover’s entrepreneurial business model encourages, promotes and fosters deep customer engagement and collaboration, which has led to its well-established and valued reputation for providing superior customer service and industry-leading product innovation. Dover was incorporated in 1947 in the State of Delaware and became a publicly traded company in 1955. Dover is headquartered in Downers Grove, Illinois and currently employs approximately 24,000 people worldwide.</w:t>
      </w:r>
    </w:p>
    <w:p>
      <w:pPr>
        <w:spacing w:after="0" w:line="149" w:lineRule="exact"/>
        <w:rPr>
          <w:sz w:val="20"/>
          <w:szCs w:val="20"/>
          <w:color w:val="auto"/>
        </w:rPr>
      </w:pPr>
    </w:p>
    <w:p>
      <w:pPr>
        <w:ind w:left="1620" w:right="559"/>
        <w:spacing w:after="0" w:line="250" w:lineRule="auto"/>
        <w:rPr>
          <w:sz w:val="20"/>
          <w:szCs w:val="20"/>
          <w:color w:val="auto"/>
        </w:rPr>
      </w:pPr>
      <w:r>
        <w:rPr>
          <w:rFonts w:ascii="Times New Roman" w:cs="Times New Roman" w:eastAsia="Times New Roman" w:hAnsi="Times New Roman"/>
          <w:sz w:val="14"/>
          <w:szCs w:val="14"/>
          <w:color w:val="auto"/>
        </w:rPr>
        <w:t>Dover’s five segments are structured around businesses with similar business models, go-to-market strategies, product categories, and manufacturing practices. This structure increases management efficiency and better aligns Dover’s operations with its strategic initiatives and capital allocation priorities, and it provides greater transparency about performance to external stakeholders. Dover’s five operating and reportable segments are as follows:</w:t>
      </w:r>
    </w:p>
    <w:p>
      <w:pPr>
        <w:spacing w:after="0" w:line="73" w:lineRule="exact"/>
        <w:rPr>
          <w:sz w:val="20"/>
          <w:szCs w:val="20"/>
          <w:color w:val="auto"/>
        </w:rPr>
      </w:pPr>
    </w:p>
    <w:p>
      <w:pPr>
        <w:ind w:left="2320" w:right="679" w:hanging="310"/>
        <w:spacing w:after="0" w:line="268" w:lineRule="auto"/>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Engineered Products</w:t>
      </w:r>
      <w:r>
        <w:rPr>
          <w:rFonts w:ascii="Times New Roman" w:cs="Times New Roman" w:eastAsia="Times New Roman" w:hAnsi="Times New Roman"/>
          <w:sz w:val="14"/>
          <w:szCs w:val="14"/>
          <w:color w:val="auto"/>
        </w:rPr>
        <w:t xml:space="preserve"> segment provides a wide range of equipment, components, software, solutions and services to the vehicle aftermarket, aerospace and defense, industrial winch and hoist, precision soldering and fluid dispensing end-markets.</w:t>
      </w:r>
    </w:p>
    <w:p>
      <w:pPr>
        <w:spacing w:after="0" w:line="59" w:lineRule="exact"/>
        <w:rPr>
          <w:rFonts w:ascii="Times New Roman" w:cs="Times New Roman" w:eastAsia="Times New Roman" w:hAnsi="Times New Roman"/>
          <w:sz w:val="14"/>
          <w:szCs w:val="14"/>
          <w:color w:val="auto"/>
        </w:rPr>
      </w:pPr>
    </w:p>
    <w:p>
      <w:pPr>
        <w:ind w:left="2320" w:right="559" w:hanging="310"/>
        <w:spacing w:after="0" w:line="251" w:lineRule="auto"/>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Clean Energy &amp; Fueling</w:t>
      </w:r>
      <w:r>
        <w:rPr>
          <w:rFonts w:ascii="Times New Roman" w:cs="Times New Roman" w:eastAsia="Times New Roman" w:hAnsi="Times New Roman"/>
          <w:sz w:val="14"/>
          <w:szCs w:val="14"/>
          <w:color w:val="auto"/>
        </w:rPr>
        <w:t xml:space="preserve"> segment provides components, equipment, software solutions and services enabling safe and reliable storage, transport, dispensing and remote monitoring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72" w:lineRule="exact"/>
        <w:rPr>
          <w:rFonts w:ascii="Times New Roman" w:cs="Times New Roman" w:eastAsia="Times New Roman" w:hAnsi="Times New Roman"/>
          <w:sz w:val="14"/>
          <w:szCs w:val="14"/>
          <w:color w:val="auto"/>
        </w:rPr>
      </w:pPr>
    </w:p>
    <w:p>
      <w:pPr>
        <w:ind w:left="2320" w:right="539" w:hanging="310"/>
        <w:spacing w:after="0" w:line="256" w:lineRule="auto"/>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Imaging &amp; Identification</w:t>
      </w:r>
      <w:r>
        <w:rPr>
          <w:rFonts w:ascii="Times New Roman" w:cs="Times New Roman" w:eastAsia="Times New Roman" w:hAnsi="Times New Roman"/>
          <w:sz w:val="14"/>
          <w:szCs w:val="14"/>
          <w:color w:val="auto"/>
        </w:rPr>
        <w:t xml:space="preserve">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67" w:lineRule="exact"/>
        <w:rPr>
          <w:rFonts w:ascii="Times New Roman" w:cs="Times New Roman" w:eastAsia="Times New Roman" w:hAnsi="Times New Roman"/>
          <w:sz w:val="14"/>
          <w:szCs w:val="14"/>
          <w:color w:val="auto"/>
        </w:rPr>
      </w:pPr>
    </w:p>
    <w:p>
      <w:pPr>
        <w:ind w:left="2320" w:right="559" w:hanging="310"/>
        <w:spacing w:after="0" w:line="248" w:lineRule="auto"/>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Pumps &amp; Process Solutions</w:t>
      </w:r>
      <w:r>
        <w:rPr>
          <w:rFonts w:ascii="Times New Roman" w:cs="Times New Roman" w:eastAsia="Times New Roman" w:hAnsi="Times New Roman"/>
          <w:sz w:val="14"/>
          <w:szCs w:val="14"/>
          <w:color w:val="auto"/>
        </w:rPr>
        <w:t xml:space="preserve"> segment manufactures specialty pumps and flow meters, fluid transfer connectors, highly engineered precision components, instruments and digital controls for rotating and reciprocating machines, polymer processing equipment,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75" w:lineRule="exact"/>
        <w:rPr>
          <w:rFonts w:ascii="Times New Roman" w:cs="Times New Roman" w:eastAsia="Times New Roman" w:hAnsi="Times New Roman"/>
          <w:sz w:val="14"/>
          <w:szCs w:val="14"/>
          <w:color w:val="auto"/>
        </w:rPr>
      </w:pPr>
    </w:p>
    <w:p>
      <w:pPr>
        <w:ind w:left="2320" w:right="599" w:hanging="310"/>
        <w:spacing w:after="0" w:line="352" w:lineRule="auto"/>
        <w:tabs>
          <w:tab w:leader="none" w:pos="2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w:t>
      </w:r>
      <w:r>
        <w:rPr>
          <w:rFonts w:ascii="Times New Roman" w:cs="Times New Roman" w:eastAsia="Times New Roman" w:hAnsi="Times New Roman"/>
          <w:sz w:val="12"/>
          <w:szCs w:val="12"/>
          <w:i w:val="1"/>
          <w:iCs w:val="1"/>
          <w:color w:val="auto"/>
        </w:rPr>
        <w:t>Climate &amp; Sustainability Technologies</w:t>
      </w:r>
      <w:r>
        <w:rPr>
          <w:rFonts w:ascii="Times New Roman" w:cs="Times New Roman" w:eastAsia="Times New Roman" w:hAnsi="Times New Roman"/>
          <w:sz w:val="12"/>
          <w:szCs w:val="12"/>
          <w:color w:val="auto"/>
        </w:rPr>
        <w:t xml:space="preserve"> segment is a provider of innovative and energy-efficient equipment, components, solutions, services and parts for the commercial refrigeration, heating and cooling and beverage can-making equipment end-markets.</w:t>
      </w:r>
    </w:p>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158750</wp:posOffset>
            </wp:positionV>
            <wp:extent cx="5302250" cy="4335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302250" cy="4335145"/>
                    </a:xfrm>
                    <a:prstGeom prst="rect">
                      <a:avLst/>
                    </a:prstGeom>
                    <a:noFill/>
                  </pic:spPr>
                </pic:pic>
              </a:graphicData>
            </a:graphic>
          </wp:anchor>
        </w:drawing>
      </w: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Tender Offers</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2"/>
          <w:szCs w:val="12"/>
          <w:color w:val="auto"/>
        </w:rPr>
        <w:t>On October 26, 2026, we commenced tender offers to purchase up to $230,000,000 aggregate purchase price (the “tender cap”) of the outstanding</w:t>
      </w:r>
    </w:p>
    <w:p>
      <w:pPr>
        <w:spacing w:after="0" w:line="37" w:lineRule="exact"/>
        <w:rPr>
          <w:sz w:val="20"/>
          <w:szCs w:val="20"/>
          <w:color w:val="auto"/>
        </w:rPr>
      </w:pPr>
    </w:p>
    <w:p>
      <w:pPr>
        <w:ind w:left="1620" w:right="519" w:hanging="8"/>
        <w:spacing w:after="0" w:line="290" w:lineRule="auto"/>
        <w:tabs>
          <w:tab w:leader="none" w:pos="178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$200,000,000 aggregate principal amount of our 6.650% debentures due 2028 (the “2028 debentures”), (ii) $250,000,000 aggregate principal amount of our 6.600% notes due 2038 (the “2038 notes”), (iii) $300,000,000 aggregate principal amount of our 5.375% debentures due 2035 (the “2035 debentures”) and (iv) $350,000,000 aggregate principal amount of our 5.375% notes due 2041 (the “2041 notes” and, together with the 2028 debentures, the 2038 notes and the 2035 debentures, the “existing notes”) (each, a “tender offer” and, collectively, the “tender offers”). The tender offers are being made on the terms and subject to the conditions set forth in the Offer to Purchase, dated October 26, 2026 (as may be amended from time to time, the “Offer to Purchase”), including the financing condition described below. Existing notes will be accepted in the order of priority set forth in clauses (i) through (iv) above, subject to proration, as described in the Offer to Purchase. We reserve the right at any time, but are under no obligation, to accept for purchase additional existing notes of any series in an aggregate principal amount not exceeding 2% of the outstanding aggregate principal amount of such series without extending the tender offers, subject to applicable law.</w:t>
      </w:r>
    </w:p>
    <w:p>
      <w:pPr>
        <w:spacing w:after="0" w:line="290" w:lineRule="exact"/>
        <w:rPr>
          <w:sz w:val="20"/>
          <w:szCs w:val="20"/>
          <w:color w:val="auto"/>
        </w:rPr>
      </w:pPr>
    </w:p>
    <w:p>
      <w:pPr>
        <w:ind w:left="1620" w:right="599"/>
        <w:spacing w:after="0" w:line="300" w:lineRule="auto"/>
        <w:rPr>
          <w:sz w:val="20"/>
          <w:szCs w:val="20"/>
          <w:color w:val="auto"/>
        </w:rPr>
      </w:pPr>
      <w:r>
        <w:rPr>
          <w:rFonts w:ascii="Times New Roman" w:cs="Times New Roman" w:eastAsia="Times New Roman" w:hAnsi="Times New Roman"/>
          <w:sz w:val="12"/>
          <w:szCs w:val="12"/>
          <w:color w:val="auto"/>
        </w:rPr>
        <w:t>This offering is not contingent on the consummation of the tender offers. The tender offers are subject to the satisfaction or waiver of certain conditions, including a financing condition. The financing condition requires that we shall have completed this offering on terms and conditions satisfactory to us, resulting in our receipt of net proceeds that are sufficient to fund the repayment of our €600,000,000 1.25% notes due 2026 (the “2026 notes”). We cannot assure you that the tender offers will be completed on the terms described in this prospectus supplement, or at all. Nothing in this prospectus supplement should be construed as an offer to purchase or a solicitation of an offer to sell any of our existing notes.</w:t>
      </w:r>
    </w:p>
    <w:p>
      <w:pPr>
        <w:spacing w:after="0" w:line="119" w:lineRule="exact"/>
        <w:rPr>
          <w:sz w:val="20"/>
          <w:szCs w:val="20"/>
          <w:color w:val="auto"/>
        </w:rPr>
      </w:pPr>
    </w:p>
    <w:p>
      <w:pPr>
        <w:ind w:left="1620" w:right="679"/>
        <w:spacing w:after="0" w:line="250"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cash on hand, (i) to repay our 2026 notes at maturity, (ii) to fund the purchase price for existing notes validly tendered and accepted for purchase in the tender offers, including the payment of accrued and unpaid interest thereon to, but excluding, the settlement date for the tender offers, and fees and expenses related thereto, and (iii) to the extent any proceeds remain, for general corporate purposes. See “Use of Proceeds.”</w:t>
      </w:r>
    </w:p>
    <w:p>
      <w:pPr>
        <w:spacing w:after="0" w:line="147" w:lineRule="exact"/>
        <w:rPr>
          <w:sz w:val="20"/>
          <w:szCs w:val="20"/>
          <w:color w:val="auto"/>
        </w:rPr>
      </w:pPr>
    </w:p>
    <w:p>
      <w:pPr>
        <w:ind w:left="1620" w:right="539"/>
        <w:spacing w:after="0" w:line="296" w:lineRule="auto"/>
        <w:rPr>
          <w:sz w:val="20"/>
          <w:szCs w:val="20"/>
          <w:color w:val="auto"/>
        </w:rPr>
      </w:pPr>
      <w:r>
        <w:rPr>
          <w:rFonts w:ascii="Times New Roman" w:cs="Times New Roman" w:eastAsia="Times New Roman" w:hAnsi="Times New Roman"/>
          <w:sz w:val="12"/>
          <w:szCs w:val="12"/>
          <w:color w:val="auto"/>
        </w:rPr>
        <w:t>Information in this prospectus supplement that is presented after giving effect to the tender offers assumes (i) the application of a portion of the net proceeds from this offering to fund the tender offers and (ii) that we purchase existing notes for an aggregate purchase price equal to the tender cap in accordance with the terms of the Offer to Purchase (including the order of priority described above). This information has been prepared for illustrative purposes only. Because the tender offers are voluntary and depend on holders of the existing notes tendering their existing notes, we may purchase existing notes for an aggregate purchase price less than the tender cap, and the actual amounts of each series of existing notes we purchase may differ from those assumed. Accordingly, we cannot predict with certainty how much of the net proceeds from this offering will be applied towards consummating the tender offers or the amount of each series of existing notes we will purchase.</w:t>
      </w:r>
    </w:p>
    <w:p>
      <w:pPr>
        <w:spacing w:after="0" w:line="3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Other Purchases of Existing Notes</w:t>
      </w:r>
    </w:p>
    <w:p>
      <w:pPr>
        <w:spacing w:after="0" w:line="88" w:lineRule="exact"/>
        <w:rPr>
          <w:sz w:val="20"/>
          <w:szCs w:val="20"/>
          <w:color w:val="auto"/>
        </w:rPr>
      </w:pPr>
    </w:p>
    <w:p>
      <w:pPr>
        <w:jc w:val="both"/>
        <w:ind w:left="1620" w:right="599"/>
        <w:spacing w:after="0" w:line="249" w:lineRule="auto"/>
        <w:rPr>
          <w:sz w:val="20"/>
          <w:szCs w:val="20"/>
          <w:color w:val="auto"/>
        </w:rPr>
      </w:pPr>
      <w:r>
        <w:rPr>
          <w:rFonts w:ascii="Times New Roman" w:cs="Times New Roman" w:eastAsia="Times New Roman" w:hAnsi="Times New Roman"/>
          <w:sz w:val="14"/>
          <w:szCs w:val="14"/>
          <w:color w:val="auto"/>
        </w:rPr>
        <w:t>After the expiration of the tender offers, we may purchase or redeem any remaining existing notes not purchased in the tender offers as permitted by the applicable indenture relating to such existing notes or any of our other indebtedness. Any future purchases or redemptions by us and/or our affiliates will depend on various factors existing at that time. There can be no assurance as to which, if any, of these alternatives (or combinations thereof) we and/or our affiliates may choose to pursue in the future. The effect of any of these actions may directly or indirectly affect the price of any existing notes that remain outstanding after the consummation or termination of the tender offers.</w:t>
      </w: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158750</wp:posOffset>
            </wp:positionV>
            <wp:extent cx="5302250" cy="4543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302250" cy="4543425"/>
                    </a:xfrm>
                    <a:prstGeom prst="rect">
                      <a:avLst/>
                    </a:prstGeom>
                    <a:noFill/>
                  </pic:spPr>
                </pic:pic>
              </a:graphicData>
            </a:graphic>
          </wp:anchor>
        </w:drawing>
      </w:r>
    </w:p>
    <w:p>
      <w:pPr>
        <w:spacing w:after="0" w:line="3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86" w:lineRule="exact"/>
        <w:rPr>
          <w:sz w:val="20"/>
          <w:szCs w:val="20"/>
          <w:color w:val="auto"/>
        </w:rPr>
      </w:pPr>
    </w:p>
    <w:p>
      <w:pPr>
        <w:ind w:left="1620" w:right="659"/>
        <w:spacing w:after="0" w:line="268" w:lineRule="auto"/>
        <w:rPr>
          <w:sz w:val="20"/>
          <w:szCs w:val="20"/>
          <w:color w:val="auto"/>
        </w:rPr>
      </w:pPr>
      <w:r>
        <w:rPr>
          <w:rFonts w:ascii="Times New Roman" w:cs="Times New Roman" w:eastAsia="Times New Roman" w:hAnsi="Times New Roman"/>
          <w:sz w:val="14"/>
          <w:szCs w:val="14"/>
          <w:i w:val="1"/>
          <w:iCs w:val="1"/>
          <w:color w:val="auto"/>
        </w:rPr>
        <w:t>The following is a brief summary of some of the terms of the notes. For a more complete description of the terms of the notes see “Description of Notes” in this prospectus supplement and “Description of Debt Securities” in the accompanying prospectus.</w:t>
      </w:r>
    </w:p>
    <w:p>
      <w:pPr>
        <w:spacing w:after="0" w:line="150" w:lineRule="exact"/>
        <w:rPr>
          <w:sz w:val="20"/>
          <w:szCs w:val="20"/>
          <w:color w:val="auto"/>
        </w:rPr>
      </w:pPr>
    </w:p>
    <w:tbl>
      <w:tblPr>
        <w:tblLayout w:type="fixed"/>
        <w:tblInd w:w="1460" w:type="dxa"/>
        <w:tblCellMar>
          <w:top w:w="0" w:type="dxa"/>
          <w:left w:w="0" w:type="dxa"/>
          <w:bottom w:w="0" w:type="dxa"/>
          <w:right w:w="0" w:type="dxa"/>
        </w:tblCellMar>
      </w:tblPr>
      <w:tr>
        <w:trPr>
          <w:trHeight w:val="179"/>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Dover Corporation.</w:t>
            </w:r>
          </w:p>
        </w:tc>
      </w:tr>
      <w:tr>
        <w:trPr>
          <w:trHeight w:val="358"/>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€800,000,000 aggregate principal amount of 4.350% notes due 2030.</w:t>
            </w:r>
          </w:p>
        </w:tc>
      </w:tr>
      <w:tr>
        <w:trPr>
          <w:trHeight w:val="358"/>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November 2, 2030.</w:t>
            </w:r>
          </w:p>
        </w:tc>
      </w:tr>
      <w:tr>
        <w:trPr>
          <w:trHeight w:val="346"/>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 Rate and Payment Dates</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notes will bear interest at a rate of 4.350% per annum, paid annually in arrears on</w:t>
            </w:r>
          </w:p>
        </w:tc>
      </w:tr>
      <w:tr>
        <w:trPr>
          <w:trHeight w:val="175"/>
        </w:trPr>
        <w:tc>
          <w:tcPr>
            <w:tcW w:w="2640" w:type="dxa"/>
            <w:vAlign w:val="bottom"/>
          </w:tcPr>
          <w:p>
            <w:pPr>
              <w:spacing w:after="0"/>
              <w:rPr>
                <w:sz w:val="15"/>
                <w:szCs w:val="15"/>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November 2 of each year, beginning on November 2, 2027.</w:t>
            </w:r>
          </w:p>
        </w:tc>
      </w:tr>
      <w:tr>
        <w:trPr>
          <w:trHeight w:val="348"/>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notes will be our unsecured, unsubordinated obligations and will:</w:t>
            </w:r>
          </w:p>
        </w:tc>
      </w:tr>
      <w:tr>
        <w:trPr>
          <w:trHeight w:val="254"/>
        </w:trPr>
        <w:tc>
          <w:tcPr>
            <w:tcW w:w="2640" w:type="dxa"/>
            <w:vAlign w:val="bottom"/>
          </w:tcPr>
          <w:p>
            <w:pPr>
              <w:spacing w:after="0"/>
              <w:rPr>
                <w:sz w:val="22"/>
                <w:szCs w:val="22"/>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rank equally in right of payment with all of our other unsecured and unsubordinated</w:t>
            </w:r>
          </w:p>
        </w:tc>
      </w:tr>
      <w:tr>
        <w:trPr>
          <w:trHeight w:val="175"/>
        </w:trPr>
        <w:tc>
          <w:tcPr>
            <w:tcW w:w="2640" w:type="dxa"/>
            <w:vAlign w:val="bottom"/>
          </w:tcPr>
          <w:p>
            <w:pPr>
              <w:spacing w:after="0"/>
              <w:rPr>
                <w:sz w:val="15"/>
                <w:szCs w:val="15"/>
                <w:color w:val="auto"/>
              </w:rPr>
            </w:pPr>
          </w:p>
        </w:tc>
        <w:tc>
          <w:tcPr>
            <w:tcW w:w="57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indebtedness;</w:t>
            </w:r>
          </w:p>
        </w:tc>
      </w:tr>
      <w:tr>
        <w:trPr>
          <w:trHeight w:val="244"/>
        </w:trPr>
        <w:tc>
          <w:tcPr>
            <w:tcW w:w="2640" w:type="dxa"/>
            <w:vAlign w:val="bottom"/>
          </w:tcPr>
          <w:p>
            <w:pPr>
              <w:spacing w:after="0"/>
              <w:rPr>
                <w:sz w:val="21"/>
                <w:szCs w:val="21"/>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rank senior in right of payment to any of our future indebtedness that is</w:t>
            </w:r>
          </w:p>
        </w:tc>
      </w:tr>
      <w:tr>
        <w:trPr>
          <w:trHeight w:val="175"/>
        </w:trPr>
        <w:tc>
          <w:tcPr>
            <w:tcW w:w="2640" w:type="dxa"/>
            <w:vAlign w:val="bottom"/>
          </w:tcPr>
          <w:p>
            <w:pPr>
              <w:spacing w:after="0"/>
              <w:rPr>
                <w:sz w:val="15"/>
                <w:szCs w:val="15"/>
                <w:color w:val="auto"/>
              </w:rPr>
            </w:pPr>
          </w:p>
        </w:tc>
        <w:tc>
          <w:tcPr>
            <w:tcW w:w="57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subordinated to the notes;</w:t>
            </w:r>
          </w:p>
        </w:tc>
      </w:tr>
      <w:tr>
        <w:trPr>
          <w:trHeight w:val="244"/>
        </w:trPr>
        <w:tc>
          <w:tcPr>
            <w:tcW w:w="2640" w:type="dxa"/>
            <w:vAlign w:val="bottom"/>
          </w:tcPr>
          <w:p>
            <w:pPr>
              <w:spacing w:after="0"/>
              <w:rPr>
                <w:sz w:val="21"/>
                <w:szCs w:val="21"/>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be effectively subordinated in right of payment to all of our future secured</w:t>
            </w:r>
          </w:p>
        </w:tc>
      </w:tr>
      <w:tr>
        <w:trPr>
          <w:trHeight w:val="175"/>
        </w:trPr>
        <w:tc>
          <w:tcPr>
            <w:tcW w:w="2640" w:type="dxa"/>
            <w:vAlign w:val="bottom"/>
          </w:tcPr>
          <w:p>
            <w:pPr>
              <w:spacing w:after="0"/>
              <w:rPr>
                <w:sz w:val="15"/>
                <w:szCs w:val="15"/>
                <w:color w:val="auto"/>
              </w:rPr>
            </w:pPr>
          </w:p>
        </w:tc>
        <w:tc>
          <w:tcPr>
            <w:tcW w:w="57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indebtedness to the extent of the value of the assets securing such indebtedness; and</w:t>
            </w:r>
          </w:p>
        </w:tc>
      </w:tr>
      <w:tr>
        <w:trPr>
          <w:trHeight w:val="244"/>
        </w:trPr>
        <w:tc>
          <w:tcPr>
            <w:tcW w:w="2640" w:type="dxa"/>
            <w:vAlign w:val="bottom"/>
          </w:tcPr>
          <w:p>
            <w:pPr>
              <w:spacing w:after="0"/>
              <w:rPr>
                <w:sz w:val="21"/>
                <w:szCs w:val="21"/>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   be structurally subordinated in right of payment to all existing and future</w:t>
            </w:r>
          </w:p>
        </w:tc>
      </w:tr>
      <w:tr>
        <w:trPr>
          <w:trHeight w:val="175"/>
        </w:trPr>
        <w:tc>
          <w:tcPr>
            <w:tcW w:w="2640" w:type="dxa"/>
            <w:vAlign w:val="bottom"/>
          </w:tcPr>
          <w:p>
            <w:pPr>
              <w:spacing w:after="0"/>
              <w:rPr>
                <w:sz w:val="15"/>
                <w:szCs w:val="15"/>
                <w:color w:val="auto"/>
              </w:rPr>
            </w:pPr>
          </w:p>
        </w:tc>
        <w:tc>
          <w:tcPr>
            <w:tcW w:w="57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indebtedness, liabilities and other obligations of our subsidiaries.</w:t>
            </w:r>
          </w:p>
        </w:tc>
      </w:tr>
      <w:tr>
        <w:trPr>
          <w:trHeight w:val="336"/>
        </w:trPr>
        <w:tc>
          <w:tcPr>
            <w:tcW w:w="2640" w:type="dxa"/>
            <w:vAlign w:val="bottom"/>
          </w:tcPr>
          <w:p>
            <w:pPr>
              <w:spacing w:after="0"/>
              <w:rPr>
                <w:sz w:val="24"/>
                <w:szCs w:val="2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As of September 30, 2026, we had approximately $6,043.3 million of total liabilities on a</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consolidated basis, including $3,272.7 million of senior indebtedness outstanding. Of this</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amount, the Company’s subsidiaries had approximately $2,744.7 million of liabilities</w:t>
            </w:r>
          </w:p>
        </w:tc>
      </w:tr>
      <w:tr>
        <w:trPr>
          <w:trHeight w:val="175"/>
        </w:trPr>
        <w:tc>
          <w:tcPr>
            <w:tcW w:w="2640" w:type="dxa"/>
            <w:vAlign w:val="bottom"/>
          </w:tcPr>
          <w:p>
            <w:pPr>
              <w:spacing w:after="0"/>
              <w:rPr>
                <w:sz w:val="15"/>
                <w:szCs w:val="15"/>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(including trade payables) to which the notes will be effectively subordinated.</w:t>
            </w:r>
          </w:p>
        </w:tc>
      </w:tr>
      <w:tr>
        <w:trPr>
          <w:trHeight w:val="336"/>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 and Denomination</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notes will be issued in minimum denominations of €100,000 in principal amount and</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integral multiples of €1,000 in excess thereof. These global notes will be deposited with a</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common depositary on behalf of Euroclear and Clearstream and registered in the name of</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common depositary or its nominee. Except in the limited circumstances described</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under “Description of Notes—Book-Entry, Delivery and Form,” notes in certificated form</w:t>
            </w:r>
          </w:p>
        </w:tc>
      </w:tr>
      <w:tr>
        <w:trPr>
          <w:trHeight w:val="175"/>
        </w:trPr>
        <w:tc>
          <w:tcPr>
            <w:tcW w:w="2640" w:type="dxa"/>
            <w:vAlign w:val="bottom"/>
          </w:tcPr>
          <w:p>
            <w:pPr>
              <w:spacing w:after="0"/>
              <w:rPr>
                <w:sz w:val="15"/>
                <w:szCs w:val="15"/>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will not be issued or exchanged for interests in global securities.</w:t>
            </w:r>
          </w:p>
        </w:tc>
      </w:tr>
      <w:tr>
        <w:trPr>
          <w:trHeight w:val="336"/>
        </w:trPr>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We may redeem the notes in whole or in part at any time prior to October 2, 2030 (the date</w:t>
            </w:r>
          </w:p>
        </w:tc>
      </w:tr>
      <w:tr>
        <w:trPr>
          <w:trHeight w:val="164"/>
        </w:trPr>
        <w:tc>
          <w:tcPr>
            <w:tcW w:w="2640" w:type="dxa"/>
            <w:vAlign w:val="bottom"/>
          </w:tcPr>
          <w:p>
            <w:pPr>
              <w:spacing w:after="0"/>
              <w:rPr>
                <w:sz w:val="14"/>
                <w:szCs w:val="14"/>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that is one month prior to the maturity date of the notes) at the “make-whole” redemption</w:t>
            </w:r>
          </w:p>
        </w:tc>
      </w:tr>
      <w:tr>
        <w:trPr>
          <w:trHeight w:val="175"/>
        </w:trPr>
        <w:tc>
          <w:tcPr>
            <w:tcW w:w="2640" w:type="dxa"/>
            <w:vAlign w:val="bottom"/>
          </w:tcPr>
          <w:p>
            <w:pPr>
              <w:spacing w:after="0"/>
              <w:rPr>
                <w:sz w:val="15"/>
                <w:szCs w:val="15"/>
                <w:color w:val="auto"/>
              </w:rPr>
            </w:pPr>
          </w:p>
        </w:tc>
        <w:tc>
          <w:tcPr>
            <w:tcW w:w="5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price determined as described under “Description of Notes—Optional Redemption,”</w:t>
            </w:r>
          </w:p>
        </w:tc>
      </w:tr>
      <w:tr>
        <w:trPr>
          <w:trHeight w:val="129"/>
        </w:trPr>
        <w:tc>
          <w:tcPr>
            <w:tcW w:w="2640" w:type="dxa"/>
            <w:vAlign w:val="bottom"/>
            <w:tcBorders>
              <w:bottom w:val="single" w:sz="8" w:color="auto"/>
            </w:tcBorders>
          </w:tcPr>
          <w:p>
            <w:pPr>
              <w:spacing w:after="0"/>
              <w:rPr>
                <w:sz w:val="11"/>
                <w:szCs w:val="11"/>
                <w:color w:val="auto"/>
              </w:rPr>
            </w:pPr>
          </w:p>
        </w:tc>
        <w:tc>
          <w:tcPr>
            <w:tcW w:w="5720" w:type="dxa"/>
            <w:vAlign w:val="bottom"/>
            <w:tcBorders>
              <w:bottom w:val="single" w:sz="8" w:color="auto"/>
            </w:tcBorders>
          </w:tcPr>
          <w:p>
            <w:pPr>
              <w:spacing w:after="0"/>
              <w:rPr>
                <w:sz w:val="11"/>
                <w:szCs w:val="11"/>
                <w:color w:val="auto"/>
              </w:rPr>
            </w:pPr>
          </w:p>
        </w:tc>
      </w:tr>
      <w:tr>
        <w:trPr>
          <w:trHeight w:val="270"/>
        </w:trPr>
        <w:tc>
          <w:tcPr>
            <w:tcW w:w="2640" w:type="dxa"/>
            <w:vAlign w:val="bottom"/>
          </w:tcPr>
          <w:p>
            <w:pPr>
              <w:spacing w:after="0"/>
              <w:rPr>
                <w:sz w:val="23"/>
                <w:szCs w:val="23"/>
                <w:color w:val="auto"/>
              </w:rPr>
            </w:pPr>
          </w:p>
        </w:tc>
        <w:tc>
          <w:tcPr>
            <w:tcW w:w="572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S-3</w:t>
            </w:r>
          </w:p>
        </w:tc>
      </w:tr>
    </w:tbl>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70" w:type="dxa"/>
        <w:tblCellMar>
          <w:top w:w="0" w:type="dxa"/>
          <w:left w:w="0" w:type="dxa"/>
          <w:bottom w:w="0" w:type="dxa"/>
          <w:right w:w="0" w:type="dxa"/>
        </w:tblCellMar>
      </w:tblPr>
      <w:tr>
        <w:trPr>
          <w:trHeight w:val="289"/>
        </w:trPr>
        <w:tc>
          <w:tcPr>
            <w:tcW w:w="2520" w:type="dxa"/>
            <w:vAlign w:val="bottom"/>
            <w:tcBorders>
              <w:top w:val="single" w:sz="8" w:color="auto"/>
              <w:left w:val="single" w:sz="8" w:color="auto"/>
            </w:tcBorders>
          </w:tcPr>
          <w:p>
            <w:pPr>
              <w:spacing w:after="0"/>
              <w:rPr>
                <w:sz w:val="24"/>
                <w:szCs w:val="24"/>
                <w:color w:val="auto"/>
              </w:rPr>
            </w:pPr>
          </w:p>
        </w:tc>
        <w:tc>
          <w:tcPr>
            <w:tcW w:w="584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plus accrued and unpaid interest, to, but excluding, the redemption date. We may redeem</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the notes in whole or in part at any time on or after October 2, 2030 (the date that is one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month prior to the maturity date of the notes) at a redemption price equal to 100% of the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principal amount of the notes being redeemed, plus accrued and unpaid interest, to, but</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excluding, the redemption date.</w:t>
            </w:r>
          </w:p>
        </w:tc>
      </w:tr>
      <w:tr>
        <w:trPr>
          <w:trHeight w:val="34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Additional Amounts</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We will, subject to certain exceptions and limitations set forth in this prospectus</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supplement, pay as additional interest on the notes such additional amounts as are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necessary in order that the net payment by us of the principal of, premium, if any, and</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interest on the notes to a holder who is not a United States person, after withholding or</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deduction for any present or future tax, assessment or other governmental charge imposed</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by the United States or a taxing authority in the United States, will not be less than the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amount provided in the notes to be then due and payable. See “Description of Notes—</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Payment of Additional Amounts.”</w:t>
            </w:r>
          </w:p>
        </w:tc>
      </w:tr>
      <w:tr>
        <w:trPr>
          <w:trHeight w:val="33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Redemption for Tax Reasons</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9"/>
              </w:rPr>
              <w:t>We may redeem all, but not part, of the notes in the event of certain changes in the tax laws</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of the United States (or any taxing authority in the United States). This redemption would</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be at 100% of the principal amount, together with accrued and unpaid interest on the notes</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to, but excluding, the date fixed for redemption. See “Description of Notes—Redemption</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for Tax Reasons.”</w:t>
            </w:r>
          </w:p>
        </w:tc>
      </w:tr>
      <w:tr>
        <w:trPr>
          <w:trHeight w:val="33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Upon a change of control triggering event, the holders of the notes may require us to</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repurchase some or all of their notes at a purchase price equal to 101% of the principal</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amount of the notes, plus accrued and unpaid interest, if any, to, but excluding, the</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repurchase date. See “Description of Notes—Change of Control.”</w:t>
            </w:r>
          </w:p>
        </w:tc>
      </w:tr>
      <w:tr>
        <w:trPr>
          <w:trHeight w:val="33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Further Issues</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the notes,</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create and issue additional debt securities having the same terms as and ranking equally</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and ratably with the notes in all respects.</w:t>
            </w:r>
          </w:p>
        </w:tc>
      </w:tr>
      <w:tr>
        <w:trPr>
          <w:trHeight w:val="348"/>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Governing Law</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State of New York.</w:t>
            </w:r>
          </w:p>
        </w:tc>
      </w:tr>
      <w:tr>
        <w:trPr>
          <w:trHeight w:val="34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Listing</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We intend to apply to list the notes on the NYSE. The listing application will be subject to</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9"/>
              </w:rPr>
              <w:t>approval by the NYSE. We expect listing of the notes on the NYSE to occur within 30 days</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after the original issue date. If such a listing is obtained, we have no obligation to maintain</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such listing, and we may delist the notes at any time.</w:t>
            </w:r>
          </w:p>
        </w:tc>
      </w:tr>
      <w:tr>
        <w:trPr>
          <w:trHeight w:val="336"/>
        </w:trPr>
        <w:tc>
          <w:tcPr>
            <w:tcW w:w="25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Certain of the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underwriters have advised us that they intend to make a market in the notes, but they are</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not obligated to do so and may discontinue market-making with respect to the notes at any</w:t>
            </w:r>
          </w:p>
        </w:tc>
      </w:tr>
      <w:tr>
        <w:trPr>
          <w:trHeight w:val="164"/>
        </w:trPr>
        <w:tc>
          <w:tcPr>
            <w:tcW w:w="252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time without notice. See “Underwriting” in this prospectus supplement for more</w:t>
            </w:r>
          </w:p>
        </w:tc>
      </w:tr>
      <w:tr>
        <w:trPr>
          <w:trHeight w:val="175"/>
        </w:trPr>
        <w:tc>
          <w:tcPr>
            <w:tcW w:w="252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information about possible market-making by the underwriters.</w:t>
            </w:r>
          </w:p>
        </w:tc>
      </w:tr>
      <w:tr>
        <w:trPr>
          <w:trHeight w:val="129"/>
        </w:trPr>
        <w:tc>
          <w:tcPr>
            <w:tcW w:w="2520" w:type="dxa"/>
            <w:vAlign w:val="bottom"/>
            <w:tcBorders>
              <w:left w:val="single" w:sz="8" w:color="auto"/>
              <w:bottom w:val="single" w:sz="8" w:color="auto"/>
            </w:tcBorders>
          </w:tcPr>
          <w:p>
            <w:pPr>
              <w:spacing w:after="0"/>
              <w:rPr>
                <w:sz w:val="11"/>
                <w:szCs w:val="11"/>
                <w:color w:val="auto"/>
              </w:rPr>
            </w:pPr>
          </w:p>
        </w:tc>
        <w:tc>
          <w:tcPr>
            <w:tcW w:w="5840" w:type="dxa"/>
            <w:vAlign w:val="bottom"/>
            <w:tcBorders>
              <w:bottom w:val="single" w:sz="8" w:color="auto"/>
              <w:right w:val="single" w:sz="8" w:color="auto"/>
            </w:tcBorders>
          </w:tcPr>
          <w:p>
            <w:pPr>
              <w:spacing w:after="0"/>
              <w:rPr>
                <w:sz w:val="11"/>
                <w:szCs w:val="11"/>
                <w:color w:val="auto"/>
              </w:rPr>
            </w:pPr>
          </w:p>
        </w:tc>
      </w:tr>
      <w:tr>
        <w:trPr>
          <w:trHeight w:val="270"/>
        </w:trPr>
        <w:tc>
          <w:tcPr>
            <w:tcW w:w="2520" w:type="dxa"/>
            <w:vAlign w:val="bottom"/>
          </w:tcPr>
          <w:p>
            <w:pPr>
              <w:spacing w:after="0"/>
              <w:rPr>
                <w:sz w:val="23"/>
                <w:szCs w:val="23"/>
                <w:color w:val="auto"/>
              </w:rPr>
            </w:pPr>
          </w:p>
        </w:tc>
        <w:tc>
          <w:tcPr>
            <w:tcW w:w="5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70" w:type="dxa"/>
        <w:tblCellMar>
          <w:top w:w="0" w:type="dxa"/>
          <w:left w:w="0" w:type="dxa"/>
          <w:bottom w:w="0" w:type="dxa"/>
          <w:right w:w="0" w:type="dxa"/>
        </w:tblCellMar>
      </w:tblPr>
      <w:tr>
        <w:trPr>
          <w:trHeight w:val="300"/>
        </w:trPr>
        <w:tc>
          <w:tcPr>
            <w:tcW w:w="272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56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The Bank of New York Mellon.</w:t>
            </w:r>
          </w:p>
        </w:tc>
      </w:tr>
      <w:tr>
        <w:trPr>
          <w:trHeight w:val="358"/>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Paying Agent</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The Bank of New York Mellon, London Branch.</w:t>
            </w:r>
          </w:p>
        </w:tc>
      </w:tr>
      <w:tr>
        <w:trPr>
          <w:trHeight w:val="346"/>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We estimate that the net proceeds from this offering, after deducting the underwriters’</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discount and estimated offering expenses payable by us, will be approximately</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€794.2 million ($892.0 million). We intend to use the net proceeds from this offering,</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together with cash on hand, (i) to repay the 2026 notes at maturity, (ii) to fund the purchase</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price for existing notes validly tendered and accepted for purchase in the tender offers,</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including the payment of accrued and unpaid interest thereon to, but excluding, the</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settlement date for the tender offers, and fees and expenses related thereto, and (iii) to the</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extent any proceeds remain, for general corporate purposes. Certain of the underwriters</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and/or their affiliates may hold positions in the 2026 notes and/or the existing notes and</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therefore may receive a portion of the net proceeds from this offering. Nothing in this</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prospectus supplement should be construed as an offer to purchase or a solicitation of an</w:t>
            </w:r>
          </w:p>
        </w:tc>
      </w:tr>
      <w:tr>
        <w:trPr>
          <w:trHeight w:val="175"/>
        </w:trPr>
        <w:tc>
          <w:tcPr>
            <w:tcW w:w="27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offer to sell any of our existing notes. See “Use of Proceeds” and “Underwriting.”</w:t>
            </w:r>
          </w:p>
        </w:tc>
      </w:tr>
      <w:tr>
        <w:trPr>
          <w:trHeight w:val="348"/>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Common Code</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355409643</w:t>
            </w:r>
          </w:p>
        </w:tc>
      </w:tr>
      <w:tr>
        <w:trPr>
          <w:trHeight w:val="358"/>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ISIN</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XS3554096431</w:t>
            </w:r>
          </w:p>
        </w:tc>
      </w:tr>
      <w:tr>
        <w:trPr>
          <w:trHeight w:val="358"/>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260003 AS7</w:t>
            </w:r>
          </w:p>
        </w:tc>
      </w:tr>
      <w:tr>
        <w:trPr>
          <w:trHeight w:val="358"/>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Legal Entity Identifier of the Issuer</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549300FMC2ALGA7N9E80</w:t>
            </w:r>
          </w:p>
        </w:tc>
      </w:tr>
      <w:tr>
        <w:trPr>
          <w:trHeight w:val="346"/>
        </w:trPr>
        <w:tc>
          <w:tcPr>
            <w:tcW w:w="27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See “Risk Factors” included in this prospectus supplement and “Risk Factors” in the</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accompanying prospectus, as well as the “Risk Factors” contained in the documents</w:t>
            </w:r>
          </w:p>
        </w:tc>
      </w:tr>
      <w:tr>
        <w:trPr>
          <w:trHeight w:val="164"/>
        </w:trPr>
        <w:tc>
          <w:tcPr>
            <w:tcW w:w="2720" w:type="dxa"/>
            <w:vAlign w:val="bottom"/>
            <w:tcBorders>
              <w:left w:val="single" w:sz="8" w:color="auto"/>
            </w:tcBorders>
          </w:tcPr>
          <w:p>
            <w:pPr>
              <w:spacing w:after="0"/>
              <w:rPr>
                <w:sz w:val="14"/>
                <w:szCs w:val="14"/>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incorporated or deemed incorporated by reference herein, for a discussion of risks you</w:t>
            </w:r>
          </w:p>
        </w:tc>
      </w:tr>
      <w:tr>
        <w:trPr>
          <w:trHeight w:val="175"/>
        </w:trPr>
        <w:tc>
          <w:tcPr>
            <w:tcW w:w="2720" w:type="dxa"/>
            <w:vAlign w:val="bottom"/>
            <w:tcBorders>
              <w:left w:val="single" w:sz="8" w:color="auto"/>
            </w:tcBorders>
          </w:tcPr>
          <w:p>
            <w:pPr>
              <w:spacing w:after="0"/>
              <w:rPr>
                <w:sz w:val="15"/>
                <w:szCs w:val="15"/>
                <w:color w:val="auto"/>
              </w:rPr>
            </w:pPr>
          </w:p>
        </w:tc>
        <w:tc>
          <w:tcPr>
            <w:tcW w:w="56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should carefully consider before deciding to invest in the notes.</w:t>
            </w:r>
          </w:p>
        </w:tc>
      </w:tr>
      <w:tr>
        <w:trPr>
          <w:trHeight w:val="129"/>
        </w:trPr>
        <w:tc>
          <w:tcPr>
            <w:tcW w:w="2720" w:type="dxa"/>
            <w:vAlign w:val="bottom"/>
            <w:tcBorders>
              <w:left w:val="single" w:sz="8" w:color="auto"/>
              <w:bottom w:val="single" w:sz="8" w:color="auto"/>
            </w:tcBorders>
          </w:tcPr>
          <w:p>
            <w:pPr>
              <w:spacing w:after="0"/>
              <w:rPr>
                <w:sz w:val="11"/>
                <w:szCs w:val="11"/>
                <w:color w:val="auto"/>
              </w:rPr>
            </w:pPr>
          </w:p>
        </w:tc>
        <w:tc>
          <w:tcPr>
            <w:tcW w:w="5640" w:type="dxa"/>
            <w:vAlign w:val="bottom"/>
            <w:tcBorders>
              <w:bottom w:val="single" w:sz="8" w:color="auto"/>
              <w:right w:val="single" w:sz="8" w:color="auto"/>
            </w:tcBorders>
          </w:tcPr>
          <w:p>
            <w:pPr>
              <w:spacing w:after="0"/>
              <w:rPr>
                <w:sz w:val="11"/>
                <w:szCs w:val="11"/>
                <w:color w:val="auto"/>
              </w:rPr>
            </w:pPr>
          </w:p>
        </w:tc>
      </w:tr>
      <w:tr>
        <w:trPr>
          <w:trHeight w:val="270"/>
        </w:trPr>
        <w:tc>
          <w:tcPr>
            <w:tcW w:w="2720" w:type="dxa"/>
            <w:vAlign w:val="bottom"/>
          </w:tcPr>
          <w:p>
            <w:pPr>
              <w:spacing w:after="0"/>
              <w:rPr>
                <w:sz w:val="23"/>
                <w:szCs w:val="23"/>
                <w:color w:val="auto"/>
              </w:rPr>
            </w:pPr>
          </w:p>
        </w:tc>
        <w:tc>
          <w:tcPr>
            <w:tcW w:w="564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480" w:right="339"/>
        <w:spacing w:after="0" w:line="256" w:lineRule="auto"/>
        <w:rPr>
          <w:sz w:val="20"/>
          <w:szCs w:val="20"/>
          <w:color w:val="auto"/>
        </w:rPr>
      </w:pPr>
      <w:r>
        <w:rPr>
          <w:rFonts w:ascii="Times New Roman" w:cs="Times New Roman" w:eastAsia="Times New Roman" w:hAnsi="Times New Roman"/>
          <w:sz w:val="14"/>
          <w:szCs w:val="14"/>
          <w:i w:val="1"/>
          <w:iCs w:val="1"/>
          <w:color w:val="auto"/>
        </w:rPr>
        <w:t>Before investing in the notes, you should carefully consider the risks described below in addition to the risks described in “Item 1A. Risk Factors” in our 2025 Annual Report, which is incorporated by reference in this prospectus supplement and the accompanying prospectus, as well as the other information contained in or incorporated by reference into this prospectus supplement and the accompanying prospectus.</w:t>
      </w:r>
    </w:p>
    <w:p>
      <w:pPr>
        <w:spacing w:after="0" w:line="2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b w:val="1"/>
          <w:bCs w:val="1"/>
          <w:i w:val="1"/>
          <w:iCs w:val="1"/>
          <w:color w:val="auto"/>
        </w:rPr>
        <w:t>The notes will not be guaranteed by any of our subsidiaries and will be structurally subordinated to the debt and other liabilities of our subsidiaries.</w:t>
      </w:r>
    </w:p>
    <w:p>
      <w:pPr>
        <w:spacing w:after="0" w:line="111" w:lineRule="exact"/>
        <w:rPr>
          <w:sz w:val="20"/>
          <w:szCs w:val="20"/>
          <w:color w:val="auto"/>
        </w:rPr>
      </w:pPr>
    </w:p>
    <w:p>
      <w:pPr>
        <w:ind w:left="1480" w:right="479"/>
        <w:spacing w:after="0" w:line="248" w:lineRule="auto"/>
        <w:rPr>
          <w:sz w:val="20"/>
          <w:szCs w:val="20"/>
          <w:color w:val="auto"/>
        </w:rPr>
      </w:pPr>
      <w:r>
        <w:rPr>
          <w:rFonts w:ascii="Times New Roman" w:cs="Times New Roman" w:eastAsia="Times New Roman" w:hAnsi="Times New Roman"/>
          <w:sz w:val="14"/>
          <w:szCs w:val="14"/>
          <w:color w:val="auto"/>
        </w:rPr>
        <w:t>We conduct substantially all of our operations through our subsidiaries. Our primary source of cash to pay principal of and premium and additional amounts, if any, and interest on the notes is from dividends and other payments from our subsidiaries. Our subsidiaries’ ability to make such payments may be restricted by, among other things, applicable state and foreign corporate laws and other laws and regulations. However, the notes will be obligations exclusively of Dover Corporation and will not be guaranteed by any of our subsidiaries. As a result, the notes will be structurally subordinated to all debt and other liabilities of our subsidiaries (including liabilities to trade creditors), which means that creditors of our subsidiaries will be paid from their assets before holders of the notes would have any claims to those assets.</w:t>
      </w:r>
    </w:p>
    <w:p>
      <w:pPr>
        <w:spacing w:after="0" w:line="147" w:lineRule="exact"/>
        <w:rPr>
          <w:sz w:val="20"/>
          <w:szCs w:val="20"/>
          <w:color w:val="auto"/>
        </w:rPr>
      </w:pPr>
    </w:p>
    <w:p>
      <w:pPr>
        <w:ind w:left="1480" w:right="659"/>
        <w:spacing w:after="0" w:line="254" w:lineRule="auto"/>
        <w:rPr>
          <w:sz w:val="20"/>
          <w:szCs w:val="20"/>
          <w:color w:val="auto"/>
        </w:rPr>
      </w:pPr>
      <w:r>
        <w:rPr>
          <w:rFonts w:ascii="Times New Roman" w:cs="Times New Roman" w:eastAsia="Times New Roman" w:hAnsi="Times New Roman"/>
          <w:sz w:val="14"/>
          <w:szCs w:val="14"/>
          <w:color w:val="auto"/>
        </w:rPr>
        <w:t>As of September 30, 2026, we had approximately $6,043.3 million of total liabilities on a consolidated basis, including $3,272.7 million of senior indebtedness outstanding. Of this amount, our subsidiaries had approximately $2,744.7 million of liabilities (including trade payables) to which the notes will be effectively subordinated.</w:t>
      </w:r>
    </w:p>
    <w:p>
      <w:pPr>
        <w:spacing w:after="0" w:line="221" w:lineRule="exact"/>
        <w:rPr>
          <w:sz w:val="20"/>
          <w:szCs w:val="20"/>
          <w:color w:val="auto"/>
        </w:rPr>
      </w:pPr>
    </w:p>
    <w:p>
      <w:pPr>
        <w:ind w:left="1480" w:right="3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There are no financial covenants in the indenture and few negative covenants other than limitations on the incurrence of secured debt and sale and leaseback transactions.</w:t>
      </w:r>
    </w:p>
    <w:p>
      <w:pPr>
        <w:spacing w:after="0" w:line="49" w:lineRule="exact"/>
        <w:rPr>
          <w:sz w:val="20"/>
          <w:szCs w:val="20"/>
          <w:color w:val="auto"/>
        </w:rPr>
      </w:pPr>
    </w:p>
    <w:p>
      <w:pPr>
        <w:ind w:left="1480" w:right="539"/>
        <w:spacing w:after="0" w:line="250" w:lineRule="auto"/>
        <w:rPr>
          <w:sz w:val="20"/>
          <w:szCs w:val="20"/>
          <w:color w:val="auto"/>
        </w:rPr>
      </w:pPr>
      <w:r>
        <w:rPr>
          <w:rFonts w:ascii="Times New Roman" w:cs="Times New Roman" w:eastAsia="Times New Roman" w:hAnsi="Times New Roman"/>
          <w:sz w:val="14"/>
          <w:szCs w:val="14"/>
          <w:color w:val="auto"/>
        </w:rPr>
        <w:t>Neither we nor any of our subsidiaries are restricted from incurring additional unsecured debt or other liabilities, including senior debt, under the indenture governing the notes. If we incur additional debt or liabilities, our ability to pay our obligations on the notes could be adversely affected. We expect that we will from time to time incur additional debt and other liabilities. In addition, we are not restricted from paying dividends or issuing or repurchasing our securities under the indenture.</w:t>
      </w:r>
    </w:p>
    <w:p>
      <w:pPr>
        <w:spacing w:after="0" w:line="147"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There are no financial covenants in the indenture and few negative covenants other than limitations on the incurrence of secured debt and sale and leaseback transactions. However, there are financial covenants in the agreement governing our outstanding credit facility, and there may be financial covenants in agreements governing our future indebtedness. You are not protected under the indenture in the event of a highly leveraged transaction, reorganization, a default under our existing indebtedness, restructuring, merger or similar transaction that may adversely affect you, except to the extent described under “Description of Notes—Change of Control” in this prospectus supplement and “Description of Debt Securities—Mergers, Consolidations and Certain Sales of Assets” included in the accompanying prospectus.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all of the notes upon a change of control triggering event.</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Upon the occurrence of a change of control triggering event, the holders of notes may require us to repurchase some or all of their notes at a purchase price equal to 101% of the principal amount of the notes, plus accrued and unpaid interest, if any, to, but excluding, the repurchase date. As described under “Description of Notes—Change of Control,” upon the occurrence of a change of control triggering event, we will be required to make to each holder of then outstanding notes an offer to repurchase the notes. We may not have sufficient funds to repurchase the notes and our other outstanding debt securities that contain similar repurchase obligations or the ability to arrange necessary financing on acceptable terms to effect the repurchase of all such notes and other debt securities. Our failure to offer to repurchase all outstanding notes or to repurchase all validly tendered notes would be an event of default under the indenture for the notes. Such an event of default may cause the</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639"/>
        <w:spacing w:after="0" w:line="265" w:lineRule="auto"/>
        <w:rPr>
          <w:sz w:val="20"/>
          <w:szCs w:val="20"/>
          <w:color w:val="auto"/>
        </w:rPr>
      </w:pPr>
      <w:r>
        <w:rPr>
          <w:rFonts w:ascii="Times New Roman" w:cs="Times New Roman" w:eastAsia="Times New Roman" w:hAnsi="Times New Roman"/>
          <w:sz w:val="14"/>
          <w:szCs w:val="14"/>
          <w:color w:val="auto"/>
        </w:rPr>
        <w:t>acceleration of our other debt. In addition, the terms of our other debt agreements or applicable law may limit our ability to repurchase the notes for cash.</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We have outstanding indebtedness, and our indebtedness may increase if we issue additional debt securities and do not retire existing debt.</w:t>
      </w:r>
    </w:p>
    <w:p>
      <w:pPr>
        <w:spacing w:after="0" w:line="88" w:lineRule="exact"/>
        <w:rPr>
          <w:sz w:val="20"/>
          <w:szCs w:val="20"/>
          <w:color w:val="auto"/>
        </w:rPr>
      </w:pPr>
    </w:p>
    <w:p>
      <w:pPr>
        <w:ind w:left="1480" w:right="439"/>
        <w:spacing w:after="0" w:line="265" w:lineRule="auto"/>
        <w:rPr>
          <w:sz w:val="20"/>
          <w:szCs w:val="20"/>
          <w:color w:val="auto"/>
        </w:rPr>
      </w:pPr>
      <w:r>
        <w:rPr>
          <w:rFonts w:ascii="Times New Roman" w:cs="Times New Roman" w:eastAsia="Times New Roman" w:hAnsi="Times New Roman"/>
          <w:sz w:val="14"/>
          <w:szCs w:val="14"/>
          <w:color w:val="auto"/>
        </w:rPr>
        <w:t>We have outstanding debt and other financial obligations and significant unused borrowing capacity. Our debt level and related debt service obligations could have important consequences. For example, our existing and future debt and other financial obligations could:</w:t>
      </w:r>
    </w:p>
    <w:p>
      <w:pPr>
        <w:spacing w:after="0" w:line="64" w:lineRule="exact"/>
        <w:rPr>
          <w:sz w:val="20"/>
          <w:szCs w:val="20"/>
          <w:color w:val="auto"/>
        </w:rPr>
      </w:pPr>
    </w:p>
    <w:p>
      <w:pPr>
        <w:ind w:left="2200" w:right="499" w:hanging="317"/>
        <w:spacing w:after="0" w:line="265" w:lineRule="auto"/>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significant cash flow from operations to the payment of principal and interest on our debt, which would reduce the funds we have available for other purposes;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our flexibility in planning for or reacting to changes in our business and market conditions;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expose us to interest rate risk since a portion of our debt obligations is at variable rates.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If we incur new debt, the risks described above could increase.</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notes may not develop.</w:t>
      </w:r>
    </w:p>
    <w:p>
      <w:pPr>
        <w:spacing w:after="0" w:line="88" w:lineRule="exact"/>
        <w:rPr>
          <w:sz w:val="20"/>
          <w:szCs w:val="20"/>
          <w:color w:val="auto"/>
        </w:rPr>
      </w:pPr>
    </w:p>
    <w:p>
      <w:pPr>
        <w:ind w:left="1480" w:right="359"/>
        <w:spacing w:after="0" w:line="293" w:lineRule="auto"/>
        <w:rPr>
          <w:sz w:val="20"/>
          <w:szCs w:val="20"/>
          <w:color w:val="auto"/>
        </w:rPr>
      </w:pPr>
      <w:r>
        <w:rPr>
          <w:rFonts w:ascii="Times New Roman" w:cs="Times New Roman" w:eastAsia="Times New Roman" w:hAnsi="Times New Roman"/>
          <w:sz w:val="12"/>
          <w:szCs w:val="12"/>
          <w:color w:val="auto"/>
        </w:rPr>
        <w:t>The notes are a new issue of securities with no established trading market. Although we intend to apply for listing of the notes for trading on the NYSE, no assurance can be given that the notes will become or will remain listed or regarding development of a trading market for the notes. Failure of the notes to be listed on, or the delisting of the notes from, the NYSE may have a material adverse effect on a holder’s ability to sell such notes. Certain of the underwriters for this offering have advised us that they currently intend to make a market in the notes after completion of the offering. However, the underwriters are not obligated to do so and may discontinue any market-making with respect to the notes at any time without notice, in their sole discretion. In addition, the liquidity of any trading market in the notes, and the market price quoted for the notes, may be adversely affected by changes in the overall market for these notes, prevailing interest rates and changes in our consolidated financial condition, results of operations or prospects, general economic conditions and other factors. As a result, there is no assurance that an active trading market will develop for the notes. To the extent an active trading market does not develop, you may not be able to resell your notes at their fair market value or at all.</w:t>
      </w:r>
    </w:p>
    <w:p>
      <w:pPr>
        <w:spacing w:after="0" w:line="3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credit ratings or the debt markets could adversely affect the market prices of the notes.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market prices for the notes will depend on many factors, including:</w:t>
      </w:r>
    </w:p>
    <w:p>
      <w:pPr>
        <w:spacing w:after="0" w:line="95" w:lineRule="exact"/>
        <w:rPr>
          <w:sz w:val="20"/>
          <w:szCs w:val="20"/>
          <w:color w:val="auto"/>
        </w:rPr>
      </w:pPr>
    </w:p>
    <w:p>
      <w:pPr>
        <w:ind w:left="2200" w:hanging="317"/>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ratings with major credit rating agencies;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prevailing interest rates being paid by other companies similar to us;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financial performance and future prospects;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condition of the financial markets.</w:t>
      </w:r>
    </w:p>
    <w:p>
      <w:pPr>
        <w:spacing w:after="0" w:line="166" w:lineRule="exact"/>
        <w:rPr>
          <w:sz w:val="20"/>
          <w:szCs w:val="20"/>
          <w:color w:val="auto"/>
        </w:rPr>
      </w:pPr>
    </w:p>
    <w:p>
      <w:pPr>
        <w:ind w:left="1480" w:right="459"/>
        <w:spacing w:after="0" w:line="265"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fluctuate in the future. Such fluctuations could have an adverse effect on the market prices of the notes.</w:t>
      </w:r>
    </w:p>
    <w:p>
      <w:pPr>
        <w:spacing w:after="0" w:line="135" w:lineRule="exact"/>
        <w:rPr>
          <w:sz w:val="20"/>
          <w:szCs w:val="20"/>
          <w:color w:val="auto"/>
        </w:rPr>
      </w:pPr>
    </w:p>
    <w:p>
      <w:pPr>
        <w:ind w:left="1480" w:right="539"/>
        <w:spacing w:after="0" w:line="265" w:lineRule="auto"/>
        <w:rPr>
          <w:sz w:val="20"/>
          <w:szCs w:val="20"/>
          <w:color w:val="auto"/>
        </w:rPr>
      </w:pPr>
      <w:r>
        <w:rPr>
          <w:rFonts w:ascii="Times New Roman" w:cs="Times New Roman" w:eastAsia="Times New Roman" w:hAnsi="Times New Roman"/>
          <w:sz w:val="14"/>
          <w:szCs w:val="14"/>
          <w:color w:val="auto"/>
        </w:rPr>
        <w:t>Credit rating agencies continually review their ratings for the companies that they follow, including us. Negative changes in our ratings could have an adverse effect on the market prices of the notes.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Holders of the notes will receive payments solely in euro except under the limited circumstances provided herein.</w:t>
      </w:r>
    </w:p>
    <w:p>
      <w:pPr>
        <w:spacing w:after="0" w:line="88" w:lineRule="exact"/>
        <w:rPr>
          <w:sz w:val="20"/>
          <w:szCs w:val="20"/>
          <w:color w:val="auto"/>
        </w:rPr>
      </w:pPr>
    </w:p>
    <w:p>
      <w:pPr>
        <w:ind w:left="1480" w:right="439"/>
        <w:spacing w:after="0" w:line="265" w:lineRule="auto"/>
        <w:rPr>
          <w:sz w:val="20"/>
          <w:szCs w:val="20"/>
          <w:color w:val="auto"/>
        </w:rPr>
      </w:pPr>
      <w:r>
        <w:rPr>
          <w:rFonts w:ascii="Times New Roman" w:cs="Times New Roman" w:eastAsia="Times New Roman" w:hAnsi="Times New Roman"/>
          <w:sz w:val="14"/>
          <w:szCs w:val="14"/>
          <w:color w:val="auto"/>
        </w:rPr>
        <w:t>All payments of interest on and the principal of the notes and any redemption price for, or additional amounts with respect to, the notes will be made in euro except under the limited circumstances provided herein. See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19"/>
        <w:spacing w:after="0" w:line="254" w:lineRule="auto"/>
        <w:rPr>
          <w:sz w:val="20"/>
          <w:szCs w:val="20"/>
          <w:color w:val="auto"/>
        </w:rPr>
      </w:pPr>
      <w:r>
        <w:rPr>
          <w:rFonts w:ascii="Times New Roman" w:cs="Times New Roman" w:eastAsia="Times New Roman" w:hAnsi="Times New Roman"/>
          <w:sz w:val="14"/>
          <w:szCs w:val="14"/>
          <w:color w:val="auto"/>
        </w:rPr>
        <w:t>“Description of Notes—Issuance in Euro; Payment on the Notes.” We, the underwriters, the trustee and the paying agent with respect to the notes will not be obligated to convert, or to assist any registered owner or beneficial owner of such notes in converting, payments of interest, principal, any redemption price or any additional amount in euro made with respect to such notes into U.S. dollars or any other currency.</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An investment in the notes by a purchaser whose home currency is not euro entails significant risks.</w:t>
      </w:r>
    </w:p>
    <w:p>
      <w:pPr>
        <w:spacing w:after="0" w:line="88" w:lineRule="exact"/>
        <w:rPr>
          <w:sz w:val="20"/>
          <w:szCs w:val="20"/>
          <w:color w:val="auto"/>
        </w:rPr>
      </w:pPr>
    </w:p>
    <w:p>
      <w:pPr>
        <w:ind w:left="1480" w:right="759"/>
        <w:spacing w:after="0" w:line="265" w:lineRule="auto"/>
        <w:rPr>
          <w:sz w:val="20"/>
          <w:szCs w:val="20"/>
          <w:color w:val="auto"/>
        </w:rPr>
      </w:pPr>
      <w:r>
        <w:rPr>
          <w:rFonts w:ascii="Times New Roman" w:cs="Times New Roman" w:eastAsia="Times New Roman" w:hAnsi="Times New Roman"/>
          <w:sz w:val="14"/>
          <w:szCs w:val="14"/>
          <w:color w:val="auto"/>
        </w:rPr>
        <w:t>The initial investors in the notes will be required to pay for the notes in euro. Neither we nor the underwriters will be obligated to assist the initial investors in obtaining euro or in converting other currencies into euro to facilitate the payment of the purchase price for the notes.</w:t>
      </w:r>
    </w:p>
    <w:p>
      <w:pPr>
        <w:spacing w:after="0" w:line="135"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An investment in any security denominated in, and all payments with respect to which are to be made in, a currency other than the currency of the country in which an investor in the notes resides or the currency in which an investor conducts its business or activities (the “investor’s home currency”), entails significant risks not associated with a similar investment in a security denominated in the investor’s home currency. In the case of the notes offered hereby, these risks may include the possibility of:</w:t>
      </w:r>
    </w:p>
    <w:p>
      <w:pPr>
        <w:spacing w:after="0" w:line="75" w:lineRule="exact"/>
        <w:rPr>
          <w:sz w:val="20"/>
          <w:szCs w:val="20"/>
          <w:color w:val="auto"/>
        </w:rPr>
      </w:pPr>
    </w:p>
    <w:p>
      <w:pPr>
        <w:ind w:left="2200" w:hanging="317"/>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rates of exchange between the euro and the investor’s home currency;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or modification of foreign exchange controls with respect to the euro or the investor’s home currency.</w:t>
      </w:r>
    </w:p>
    <w:p>
      <w:pPr>
        <w:spacing w:after="0" w:line="166" w:lineRule="exact"/>
        <w:rPr>
          <w:sz w:val="20"/>
          <w:szCs w:val="20"/>
          <w:color w:val="auto"/>
        </w:rPr>
      </w:pPr>
    </w:p>
    <w:p>
      <w:pPr>
        <w:ind w:left="1480" w:right="459"/>
        <w:spacing w:after="0" w:line="293" w:lineRule="auto"/>
        <w:rPr>
          <w:sz w:val="20"/>
          <w:szCs w:val="20"/>
          <w:color w:val="auto"/>
        </w:rPr>
      </w:pPr>
      <w:r>
        <w:rPr>
          <w:rFonts w:ascii="Times New Roman" w:cs="Times New Roman" w:eastAsia="Times New Roman" w:hAnsi="Times New Roman"/>
          <w:sz w:val="12"/>
          <w:szCs w:val="12"/>
          <w:color w:val="auto"/>
        </w:rPr>
        <w:t>We have no control over a number of factors affecting the notes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 surpluses or deficits in various countries. All of these factors are, in turn, sensitive to the monetary, fiscal and trade policies pursued by the governments of various countries important to international trade and finance. Moreover, global economic instability and the actions taken or to be taken by various national governments in response to such instability as well as market perceptions concerning the instability of the euro could significantly affect the exchange rates between the euro and the investor’s home currency.</w:t>
      </w:r>
    </w:p>
    <w:p>
      <w:pPr>
        <w:spacing w:after="0" w:line="288" w:lineRule="exact"/>
        <w:rPr>
          <w:sz w:val="20"/>
          <w:szCs w:val="20"/>
          <w:color w:val="auto"/>
        </w:rPr>
      </w:pPr>
    </w:p>
    <w:p>
      <w:pPr>
        <w:ind w:left="1480" w:right="339"/>
        <w:spacing w:after="0" w:line="249" w:lineRule="auto"/>
        <w:rPr>
          <w:sz w:val="20"/>
          <w:szCs w:val="20"/>
          <w:color w:val="auto"/>
        </w:rPr>
      </w:pPr>
      <w:r>
        <w:rPr>
          <w:rFonts w:ascii="Times New Roman" w:cs="Times New Roman" w:eastAsia="Times New Roman" w:hAnsi="Times New Roman"/>
          <w:sz w:val="14"/>
          <w:szCs w:val="14"/>
          <w:color w:val="auto"/>
        </w:rPr>
        <w:t>The exchange rates of an investor’s home currency for euro and the fluctuations in those exchange rates that have occurred in the past are not necessarily indicative of the exchange rates or the fluctuations therein that may occur in the future. Depreciation of the euro against the investor’s home currency would result in the decrease in the investor’s home currency equivalent yield on a note, in the investor’s home currency equivalent of the principal payable at the maturity of that note and generally in the investor’s home currency equivalent market value of that note. Appreciation of the euro in relation to the investor’s home currency would have the opposite effects.</w:t>
      </w:r>
    </w:p>
    <w:p>
      <w:pPr>
        <w:spacing w:after="0" w:line="146" w:lineRule="exact"/>
        <w:rPr>
          <w:sz w:val="20"/>
          <w:szCs w:val="20"/>
          <w:color w:val="auto"/>
        </w:rPr>
      </w:pPr>
    </w:p>
    <w:p>
      <w:pPr>
        <w:jc w:val="both"/>
        <w:ind w:left="1480" w:right="659"/>
        <w:spacing w:after="0" w:line="254" w:lineRule="auto"/>
        <w:rPr>
          <w:sz w:val="20"/>
          <w:szCs w:val="20"/>
          <w:color w:val="auto"/>
        </w:rPr>
      </w:pPr>
      <w:r>
        <w:rPr>
          <w:rFonts w:ascii="Times New Roman" w:cs="Times New Roman" w:eastAsia="Times New Roman" w:hAnsi="Times New Roman"/>
          <w:sz w:val="14"/>
          <w:szCs w:val="14"/>
          <w:color w:val="auto"/>
        </w:rPr>
        <w:t>The European Union or one or more of its member states may, in the future, impose exchange controls and modify any exchange controls imposed, which controls could affect exchange rates, as well as the availability of euro at the time of payment of principal of, interest on, or any redemption payment or additional amounts with respect to, the notes.</w:t>
      </w:r>
    </w:p>
    <w:p>
      <w:pPr>
        <w:spacing w:after="0" w:line="143"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This description of foreign exchange risks does not describe all the risks of an investment in securities, including, in particular, the notes, that are denominated or payable in a currency other than an investor’s home currency. You should consult your own financial, legal and tax advisors as to the risks involved in an investment in the notes.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7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right="3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Market perceptions concerning the instability of the euro, the potential re-introduction of individual currencies within the Eurozone, or the potential dissolution of the euro entirely, could adversely affect the value of the notes.</w:t>
      </w:r>
    </w:p>
    <w:p>
      <w:pPr>
        <w:spacing w:after="0" w:line="49" w:lineRule="exact"/>
        <w:rPr>
          <w:sz w:val="20"/>
          <w:szCs w:val="20"/>
          <w:color w:val="auto"/>
        </w:rPr>
      </w:pPr>
    </w:p>
    <w:p>
      <w:pPr>
        <w:ind w:left="1480" w:right="379"/>
        <w:spacing w:after="0" w:line="297" w:lineRule="auto"/>
        <w:rPr>
          <w:sz w:val="20"/>
          <w:szCs w:val="20"/>
          <w:color w:val="auto"/>
        </w:rPr>
      </w:pPr>
      <w:r>
        <w:rPr>
          <w:rFonts w:ascii="Times New Roman" w:cs="Times New Roman" w:eastAsia="Times New Roman" w:hAnsi="Times New Roman"/>
          <w:sz w:val="12"/>
          <w:szCs w:val="12"/>
          <w:color w:val="auto"/>
        </w:rPr>
        <w:t>Despite the European Commission’s measures to address sovereign debt issues in Europe, concerns persist regarding the debt burden of certain Eurozone countries and their ability to meet future financial obligations, the overall stability of the euro and the suitability of the euro as a single currency given the diverse economic and political circumstances in individual member states. These and other concerns could lead to the re-introduction of individual currencies in one or more member states, or, in more extreme circumstances, the possible dissolution of the euro entirely. Should the euro dissolve entirely, the legal and contractual consequences for holders of euro-denominated obligations would be determined by laws in effect at such time. These potential developments, or market perceptions concerning these and related issues, could adversely affect the value of the notes.</w:t>
      </w:r>
    </w:p>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The notes permit us to make payments in U.S. dollars if we are unable to obtain euro.</w:t>
      </w:r>
    </w:p>
    <w:p>
      <w:pPr>
        <w:spacing w:after="0" w:line="88"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published in The Wall Street Journal on or prior to the second business day prior to the relevant payment date. Any payment in respect of the notes so made in U.S. dollars will not constitute an event of default under the notes or the indenture governing the notes. There can be no assurance that this exchange rate will be as favorable to holders of notes as the exchange rate otherwise determined by applicable law.</w:t>
      </w:r>
    </w:p>
    <w:p>
      <w:pPr>
        <w:spacing w:after="0" w:line="2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 a lawsuit for payment on the notes, an investor may bear currency exchange risk.</w:t>
      </w:r>
    </w:p>
    <w:p>
      <w:pPr>
        <w:spacing w:after="0" w:line="88" w:lineRule="exact"/>
        <w:rPr>
          <w:sz w:val="20"/>
          <w:szCs w:val="20"/>
          <w:color w:val="auto"/>
        </w:rPr>
      </w:pPr>
    </w:p>
    <w:p>
      <w:pPr>
        <w:ind w:left="1480" w:right="399"/>
        <w:spacing w:after="0" w:line="249" w:lineRule="auto"/>
        <w:rPr>
          <w:sz w:val="20"/>
          <w:szCs w:val="20"/>
          <w:color w:val="auto"/>
        </w:rPr>
      </w:pPr>
      <w:r>
        <w:rPr>
          <w:rFonts w:ascii="Times New Roman" w:cs="Times New Roman" w:eastAsia="Times New Roman" w:hAnsi="Times New Roman"/>
          <w:sz w:val="14"/>
          <w:szCs w:val="14"/>
          <w:color w:val="auto"/>
        </w:rPr>
        <w:t>The indenture is, and the notes will be, governed by the laws of the State of New York. Under New York law, a New York state court rendering a judgment on the notes would be required to render the judgment in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 A U.S. federal court sitting in New York with diversity jurisdiction over a dispute arising in connection with the notes would apply New York law.</w:t>
      </w:r>
    </w:p>
    <w:p>
      <w:pPr>
        <w:spacing w:after="0" w:line="146"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225" w:lineRule="exact"/>
        <w:rPr>
          <w:sz w:val="20"/>
          <w:szCs w:val="20"/>
          <w:color w:val="auto"/>
        </w:rPr>
      </w:pPr>
    </w:p>
    <w:p>
      <w:pPr>
        <w:ind w:left="1480" w:right="3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notes will initially be held in book-entry form and therefore investors must rely on the procedures of Euroclear and Clearstream to exercise any rights and remedies.</w:t>
      </w:r>
    </w:p>
    <w:p>
      <w:pPr>
        <w:spacing w:after="0" w:line="49"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So long as Euroclear or Clearstream or their common depositary or nominee is the registered holder of the notes issued in the form of one or more global notes, Euroclear, Clearstream or such common depositary or nominee, as the case may be, will be considered the sole owner or holder of the notes represented by the global notes for all purposes under the indenture. Payments of principal, interest and premium and additional amounts, if any, in respect of the global notes will be made to Euroclear, Clearstream, such common depositary or such nominee, as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7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49" w:lineRule="auto"/>
        <w:rPr>
          <w:sz w:val="20"/>
          <w:szCs w:val="20"/>
          <w:color w:val="auto"/>
        </w:rPr>
      </w:pPr>
      <w:r>
        <w:rPr>
          <w:rFonts w:ascii="Times New Roman" w:cs="Times New Roman" w:eastAsia="Times New Roman" w:hAnsi="Times New Roman"/>
          <w:sz w:val="14"/>
          <w:szCs w:val="14"/>
          <w:color w:val="auto"/>
        </w:rPr>
        <w:t>the case may be, as registered holder thereof. After payment to the common depositary for Euroclear and Clearstream, we will have no responsibility or liability for the payment of interest, principal or other amounts to the owners of book-entry interests. Accordingly, if investors own a book-entry interest, they must rely on the procedures of Euroclear and Clearstream and, if investors are not participants in Euroclear and Clearstream, they must rely on the procedures of the participant through which they own their interest, to receive such payments or to exercise any other rights and obligations of a holder of notes under the indenture.</w:t>
      </w:r>
    </w:p>
    <w:p>
      <w:pPr>
        <w:spacing w:after="0" w:line="146"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Unlike the holders of the notes themselves, owners of book-entry interests will not have the direct right to act upon our solicitations for consents, requests for waivers or other actions from holders of the notes. Instead, if an investor owns a book-entry interest, it will be permitted to act only to the extent it has received appropriate proxies to do so from Euroclear and Clearstream. The procedures implemented for the granting of such proxies may not be sufficient to enable such investor to vote on a timely basis.</w:t>
      </w:r>
    </w:p>
    <w:p>
      <w:pPr>
        <w:spacing w:after="0" w:line="147"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Similarly, upon the occurrence of an event of default under the indenture, unless and until definitive or certificated registered notes are issued in respect of all book-entry interests, if investors own book-entry interests, they will be restricted to acting through Euroclear and Clearstream. The procedures to be implemented through Euroclear and Clearstream may not be adequate to ensure the timely exercise of rights under the notes. See “Description of Notes—Book-Entry, Delivery and Form” in this prospectus supplement.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Trading in the clearing systems is subject to minimum denomination requirements.</w:t>
      </w:r>
    </w:p>
    <w:p>
      <w:pPr>
        <w:spacing w:after="0" w:line="8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The terms of the notes provide that notes will be issued with a minimum denomination of €100,000 and integral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We estimate that the net proceeds from this offering, after deducting the underwriters’ discount and estimated offering expenses payable by us, will be approximately €794.2 million ($892.0 million).</w:t>
      </w:r>
    </w:p>
    <w:p>
      <w:pPr>
        <w:spacing w:after="0" w:line="135" w:lineRule="exact"/>
        <w:rPr>
          <w:sz w:val="20"/>
          <w:szCs w:val="20"/>
          <w:color w:val="auto"/>
        </w:rPr>
      </w:pPr>
    </w:p>
    <w:p>
      <w:pPr>
        <w:ind w:left="1480" w:right="519"/>
        <w:spacing w:after="0" w:line="249"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cash on hand, (i) to repay the 2026 notes at maturity, (ii) to fund the purchase price for existing notes validly tendered and accepted for purchase in the tender offers, including the payment of accrued and unpaid interest thereon to, but excluding, the settlement date for the tender offers, and fees and expenses related thereto, and (iii) to the extent any proceeds remain, for general corporate purposes. Pending such uses, we may invest the net proceeds in short-term investments, including cash, cash equivalents and/or marketable securities.</w:t>
      </w:r>
    </w:p>
    <w:p>
      <w:pPr>
        <w:spacing w:after="0" w:line="146"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Certain of the underwriters and/or their affiliates may hold positions in the 2026 notes and/or the existing notes and therefore may receive a portion of the net proceeds from this offering. See “Underwriting.”</w:t>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Nothing in this prospectus supplement should be construed as an offer to purchase or a solicitation of an offer to sell any of our existing notes.</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following table sets forth our capitalization as of September 30, 2026:</w:t>
      </w:r>
    </w:p>
    <w:p>
      <w:pPr>
        <w:spacing w:after="0" w:line="95" w:lineRule="exact"/>
        <w:rPr>
          <w:sz w:val="20"/>
          <w:szCs w:val="20"/>
          <w:color w:val="auto"/>
        </w:rPr>
      </w:pPr>
    </w:p>
    <w:p>
      <w:pPr>
        <w:ind w:left="2200" w:hanging="317"/>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principal basis,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and</w:t>
      </w:r>
    </w:p>
    <w:p>
      <w:pPr>
        <w:spacing w:after="0" w:line="94" w:lineRule="exact"/>
        <w:rPr>
          <w:rFonts w:ascii="Times New Roman" w:cs="Times New Roman" w:eastAsia="Times New Roman" w:hAnsi="Times New Roman"/>
          <w:sz w:val="14"/>
          <w:szCs w:val="14"/>
          <w:color w:val="auto"/>
        </w:rPr>
      </w:pPr>
    </w:p>
    <w:p>
      <w:pPr>
        <w:ind w:left="2200" w:right="359" w:hanging="317"/>
        <w:spacing w:after="0" w:line="250"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the sale of the notes in this offering and the application of the net proceeds from this offering to repay the 2026 notes at maturity and to fund the tender offers, excluding accrued interest and fees and expenses related thereto as described under “Use of Proceeds,” assuming that we purchase existing notes for an aggregate purchase price equal to the tender cap in accordance with the terms of the Offer to Purchase (including its order of priority).</w:t>
      </w:r>
    </w:p>
    <w:p>
      <w:pPr>
        <w:spacing w:after="0" w:line="147" w:lineRule="exact"/>
        <w:rPr>
          <w:sz w:val="20"/>
          <w:szCs w:val="20"/>
          <w:color w:val="auto"/>
        </w:rPr>
      </w:pPr>
    </w:p>
    <w:p>
      <w:pPr>
        <w:ind w:left="1480" w:right="459"/>
        <w:spacing w:after="0" w:line="349" w:lineRule="auto"/>
        <w:rPr>
          <w:sz w:val="20"/>
          <w:szCs w:val="20"/>
          <w:color w:val="auto"/>
        </w:rPr>
      </w:pPr>
      <w:r>
        <w:rPr>
          <w:rFonts w:ascii="Times New Roman" w:cs="Times New Roman" w:eastAsia="Times New Roman" w:hAnsi="Times New Roman"/>
          <w:sz w:val="12"/>
          <w:szCs w:val="12"/>
          <w:color w:val="auto"/>
        </w:rPr>
        <w:t>You should read this table in conjunction with “Use of Proceeds” and our consolidated financial statements and related notes incorporated by reference in this prospectus supplement. The capitalization table below is not necessarily indicative of our future capitalization or financial condition.</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132"/>
        </w:trPr>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5"/>
              </w:rPr>
              <w:t>September 30, 2026</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line="103" w:lineRule="exact"/>
              <w:rPr>
                <w:sz w:val="20"/>
                <w:szCs w:val="20"/>
                <w:color w:val="auto"/>
              </w:rPr>
            </w:pPr>
            <w:r>
              <w:rPr>
                <w:rFonts w:ascii="Times New Roman" w:cs="Times New Roman" w:eastAsia="Times New Roman" w:hAnsi="Times New Roman"/>
                <w:sz w:val="11"/>
                <w:szCs w:val="11"/>
                <w:b w:val="1"/>
                <w:bCs w:val="1"/>
                <w:color w:val="auto"/>
                <w:w w:val="94"/>
              </w:rPr>
              <w:t>  Principal </w:t>
            </w: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jc w:val="right"/>
              <w:ind w:right="440"/>
              <w:spacing w:after="0" w:line="103" w:lineRule="exact"/>
              <w:rPr>
                <w:sz w:val="20"/>
                <w:szCs w:val="20"/>
                <w:color w:val="auto"/>
              </w:rPr>
            </w:pPr>
            <w:r>
              <w:rPr>
                <w:rFonts w:ascii="Times New Roman" w:cs="Times New Roman" w:eastAsia="Times New Roman" w:hAnsi="Times New Roman"/>
                <w:sz w:val="11"/>
                <w:szCs w:val="11"/>
                <w:b w:val="1"/>
                <w:bCs w:val="1"/>
                <w:color w:val="auto"/>
                <w:w w:val="95"/>
              </w:rPr>
              <w:t xml:space="preserve">  Actual(1) </w:t>
            </w: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 xml:space="preserve">  As adjusted(2) </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36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2820" w:type="dxa"/>
            <w:vAlign w:val="bottom"/>
            <w:tcBorders>
              <w:bottom w:val="single" w:sz="8" w:color="auto"/>
            </w:tcBorders>
            <w:gridSpan w:val="9"/>
          </w:tcPr>
          <w:p>
            <w:pPr>
              <w:jc w:val="right"/>
              <w:ind w:right="152"/>
              <w:spacing w:after="0" w:line="103" w:lineRule="exact"/>
              <w:rPr>
                <w:sz w:val="20"/>
                <w:szCs w:val="20"/>
                <w:color w:val="auto"/>
              </w:rPr>
            </w:pPr>
            <w:r>
              <w:rPr>
                <w:rFonts w:ascii="Times New Roman" w:cs="Times New Roman" w:eastAsia="Times New Roman" w:hAnsi="Times New Roman"/>
                <w:sz w:val="11"/>
                <w:szCs w:val="11"/>
                <w:b w:val="1"/>
                <w:bCs w:val="1"/>
                <w:color w:val="auto"/>
              </w:rPr>
              <w:t>(in thousands, except par value and share amounts)</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39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ind w:left="360"/>
              <w:spacing w:after="0" w:line="154" w:lineRule="exact"/>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1,693,175</w:t>
            </w:r>
          </w:p>
        </w:tc>
        <w:tc>
          <w:tcPr>
            <w:tcW w:w="3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9"/>
              <w:spacing w:after="0" w:line="15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1,672,861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Short-term debt</w:t>
            </w:r>
          </w:p>
        </w:tc>
        <w:tc>
          <w:tcPr>
            <w:tcW w:w="2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 (3)</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6"/>
              </w:rPr>
              <w:t>€ 600,000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683,403</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Long-term debt, net of current</w:t>
            </w: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0.750% notes due November 4, 2027 (euro-denominated)</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6"/>
              </w:rPr>
              <w:t>€ 500,000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568,628</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560,573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6.650% debentures due June 1, 2028 (4)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6"/>
              </w:rPr>
              <w:t>$ 200,000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199,833</w:t>
            </w:r>
          </w:p>
        </w:tc>
        <w:tc>
          <w:tcPr>
            <w:tcW w:w="300" w:type="dxa"/>
            <w:vAlign w:val="bottom"/>
          </w:tcPr>
          <w:p>
            <w:pPr>
              <w:spacing w:after="0"/>
              <w:rPr>
                <w:sz w:val="14"/>
                <w:szCs w:val="14"/>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2.950% notes due November 4, 2029</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6"/>
              </w:rPr>
              <w:t>$ 300,000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298,829</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3.500% notes due November 12, 2033 (euro-denominated)</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6"/>
              </w:rPr>
              <w:t>€ 550,000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621,432</w:t>
            </w:r>
          </w:p>
        </w:tc>
        <w:tc>
          <w:tcPr>
            <w:tcW w:w="300" w:type="dxa"/>
            <w:vAlign w:val="bottom"/>
          </w:tcPr>
          <w:p>
            <w:pPr>
              <w:spacing w:after="0"/>
              <w:rPr>
                <w:sz w:val="14"/>
                <w:szCs w:val="14"/>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5.375% debentures due October 15, 2035 (4)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6"/>
              </w:rPr>
              <w:t>$ 300,000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297,744</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6.600% notes due March 15, 2038 (4)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6"/>
              </w:rPr>
              <w:t>$ 250,000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248,703</w:t>
            </w:r>
          </w:p>
        </w:tc>
        <w:tc>
          <w:tcPr>
            <w:tcW w:w="300" w:type="dxa"/>
            <w:vAlign w:val="bottom"/>
          </w:tcPr>
          <w:p>
            <w:pPr>
              <w:spacing w:after="0"/>
              <w:rPr>
                <w:sz w:val="14"/>
                <w:szCs w:val="14"/>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5.375% notes due March 1, 2041 (4)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6"/>
              </w:rPr>
              <w:t>$ 350,000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346,018</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4.350% notes due 2030 offered hereby (euro-denominated)</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6"/>
              </w:rPr>
              <w:t>€ 800,000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vMerge w:val="continue"/>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long-term debt, net of current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2,581,187</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3,226,563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39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Common stock, $1 par value, authorized 500,000,000 shares; issued</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and outstanding 260,437,063 shares</w:t>
            </w:r>
          </w:p>
        </w:tc>
        <w:tc>
          <w:tcPr>
            <w:tcW w:w="20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260,437</w:t>
            </w:r>
          </w:p>
        </w:tc>
        <w:tc>
          <w:tcPr>
            <w:tcW w:w="300" w:type="dxa"/>
            <w:vAlign w:val="bottom"/>
          </w:tcPr>
          <w:p>
            <w:pPr>
              <w:spacing w:after="0"/>
              <w:rPr>
                <w:sz w:val="15"/>
                <w:szCs w:val="15"/>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882,035</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(228,013)</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(228,013)</w:t>
            </w: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14,893,807</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14,893,807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shares in treasury, at cost; 127,436,400 shares</w:t>
            </w:r>
          </w:p>
        </w:tc>
        <w:tc>
          <w:tcPr>
            <w:tcW w:w="20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(8,172,252)</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(8,172,252)</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0" w:type="dxa"/>
            <w:vAlign w:val="bottom"/>
            <w:vMerge w:val="continue"/>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7,636,014</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7,636,014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Total capitalization (5)</w:t>
            </w:r>
          </w:p>
        </w:tc>
        <w:tc>
          <w:tcPr>
            <w:tcW w:w="200" w:type="dxa"/>
            <w:vAlign w:val="bottom"/>
          </w:tcPr>
          <w:p>
            <w:pPr>
              <w:spacing w:after="0"/>
              <w:rPr>
                <w:sz w:val="14"/>
                <w:szCs w:val="14"/>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85"/>
              </w:rPr>
              <w:t>— </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10,900,604</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10,862,577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0" w:right="519" w:hanging="326"/>
        <w:spacing w:after="0" w:line="265"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amount is net of unamortized debt discount and deferred debt issuance costs. Total unamortized debt discounts were $7.0 million as of September 30, 2026. Total deferred debt issuance costs were $8.1 million as of September 30, 2026.</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800" w:right="599" w:hanging="326"/>
        <w:spacing w:after="0" w:line="247"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“as adjusted” column of the above table are the U.S. dollar equivalent of the aggregate principal amount of the notes being offered hereby and the other euro-denominated debt converted from euro using an exchange rate of €1.00 = $1.1231, the noon buying rate published by the Federal Reserve Bank of New York for the euro/U.S.$ exchange rate on October 16, 2026. Carrying amount is net of unamortized debt discount and deferred debt issuance costs, as adjusted, which were $7.7 million and $13.8 million, respectively, as of September 30, 2026.</w:t>
      </w:r>
    </w:p>
    <w:p>
      <w:pPr>
        <w:spacing w:after="0" w:line="1" w:lineRule="exact"/>
        <w:rPr>
          <w:rFonts w:ascii="Times New Roman" w:cs="Times New Roman" w:eastAsia="Times New Roman" w:hAnsi="Times New Roman"/>
          <w:sz w:val="14"/>
          <w:szCs w:val="14"/>
          <w:color w:val="auto"/>
        </w:rPr>
      </w:pPr>
    </w:p>
    <w:p>
      <w:pPr>
        <w:ind w:left="1800" w:hanging="32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€600 million principal amount of the 2026 notes.</w:t>
      </w:r>
    </w:p>
    <w:p>
      <w:pPr>
        <w:spacing w:after="0" w:line="2" w:lineRule="exact"/>
        <w:rPr>
          <w:rFonts w:ascii="Times New Roman" w:cs="Times New Roman" w:eastAsia="Times New Roman" w:hAnsi="Times New Roman"/>
          <w:sz w:val="14"/>
          <w:szCs w:val="14"/>
          <w:color w:val="auto"/>
        </w:rPr>
      </w:pPr>
    </w:p>
    <w:p>
      <w:pPr>
        <w:ind w:left="1800" w:right="339" w:hanging="326"/>
        <w:spacing w:after="0" w:line="243"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the application of a portion of the net proceeds from this offering to fund the tender offers, together with cash on hand, and (ii) that we purchase existing notes for an aggregate purchase price equal to the tender cap in accordance with the terms of the Offer to Purchase (including its order of priority), resulting in the purchase of $200 million aggregate principal amount of our 2028 debentures, $30 million aggregate principal amount of our 2038 notes, none of the principal amount of our 2035 debentures and none of the principal amount of our 2041 notes. The “as adjusted” amounts include the write-off of unamortized debt discount and deferred debt issuance costs of our 2028 debentures and 2038 notes of $167 thousand and $156 thousand, respectively. This information has been prepared for illustrative purposes only and excludes accrued and unpaid interest and fees and expenses related to the tender offers. The actual amounts of existing notes purchased in the tender offers may differ from those assumed. See “Summary—Recent Developments—Tender Offers.”</w:t>
      </w:r>
    </w:p>
    <w:p>
      <w:pPr>
        <w:spacing w:after="0" w:line="4" w:lineRule="exact"/>
        <w:rPr>
          <w:rFonts w:ascii="Times New Roman" w:cs="Times New Roman" w:eastAsia="Times New Roman" w:hAnsi="Times New Roman"/>
          <w:sz w:val="14"/>
          <w:szCs w:val="14"/>
          <w:color w:val="auto"/>
        </w:rPr>
      </w:pPr>
    </w:p>
    <w:p>
      <w:pPr>
        <w:ind w:left="1800" w:hanging="326"/>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capitalization includes short-term debt and total long-term debt, net of current.</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68" w:lineRule="exact"/>
        <w:rPr>
          <w:sz w:val="20"/>
          <w:szCs w:val="20"/>
          <w:color w:val="auto"/>
        </w:rPr>
      </w:pPr>
    </w:p>
    <w:p>
      <w:pPr>
        <w:ind w:left="1480" w:right="479"/>
        <w:spacing w:after="0" w:line="318" w:lineRule="auto"/>
        <w:rPr>
          <w:sz w:val="20"/>
          <w:szCs w:val="20"/>
          <w:color w:val="auto"/>
        </w:rPr>
      </w:pPr>
      <w:r>
        <w:rPr>
          <w:rFonts w:ascii="Times New Roman" w:cs="Times New Roman" w:eastAsia="Times New Roman" w:hAnsi="Times New Roman"/>
          <w:sz w:val="12"/>
          <w:szCs w:val="12"/>
          <w:i w:val="1"/>
          <w:iCs w:val="1"/>
          <w:color w:val="auto"/>
        </w:rPr>
        <w:t>The following description of the terms of the notes offered hereby supplements, and to the extent it is inconsistent therewith replaces, the description of the general terms of debt securities set forth in the accompanying prospectus, to which description reference is hereby made. In this “Description of Notes” section, the terms “we,” “our,” “us,” “the Company” and “Dover” refer solely to Dover Corporation (and not its subsidiaries).</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The notes will be issued under our indenture, dated as of February 8, 2001, between us and The Bank of New York Mellon, a New York banking corporation, as successor trustee to JPMorgan Chase Bank, N.A. (successor to Bank One Trust Company, N.A.), as supplemented by the first supplemental indenture, dated as of October 13, 2005, the second supplemental indenture, dated as of March 14, 2008, the third supplemental indenture, dated as of February 22, 2011, the fourth supplemental indenture, dated as of December 2, 2013, the fifth supplemental indenture, dated as of November 3, 2015, the sixth supplemental indenture, dated as of November 9, 2016, the seventh supplemental indenture, dated as of November 4, 2019, the eighth supplemental indenture, dated as of November 4, 2019, the ninth supplemental indenture, dated as of November 12, 2025, and the tenth supplemental indenture, to be entered into between us, The Bank of New York Mellon, as trustee, and The Bank of New York Mellon, London Branch, as paying agent (together, the “indenture”).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notes will constitute a new separate series of notes under the indenture and will mature on November 2, 2030.</w:t>
      </w:r>
    </w:p>
    <w:p>
      <w:pPr>
        <w:spacing w:after="0" w:line="166"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The notes will bear interest at the rate of 4.350% per year, accruing from November 2, 2026 or the most recent interest payment date to which interest has been paid or provided for. We will pay interest on the notes annually in arrears on November 2 of each year, beginning on November 2, 2027, to the persons in whose names the notes are registered at the close of business on the preceding October 15. The amount of interest payable for any interest period will be computed on the basis of the actual number of days in the period for which interest is being calculated and the actual number of days from and including the last date on which interest was paid on the notes (or November 2, 2026 if no interest has been paid on the notes), to but excluding, the next scheduled interest payment date. This payment convention is referred to as ACTUAL/ACTUAL (ICMA) as defined in the rulebook of the International Capital Market Association.</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will issue the notes in minimum denominations of €100,000 and integral multiples of €1,000 in excess thereof.</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notes will be our senior unsecured debt obligations and will rank on parity with all of our other senior unsecured indebtedness.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notes will not have the benefit of any sinking fund. The notes will not be convertible or exchangeable.</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provisions relating to defeasance and covenant defeasance that are described below will apply to the notes.</w:t>
      </w:r>
    </w:p>
    <w:p>
      <w:pPr>
        <w:spacing w:after="0" w:line="166"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Transfer of the notes shall be registrable, the notes shall be exchangeable for notes of a like aggregate principal amount and notices and demands to or on us in respect of the notes and the indenture may be served at the office or agency we maintain for such purpose in New York, New York, which shall initially be the Corporate Trust Office of the trustee in New York, New York.</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Issuance in Euro; Payment on the Notes</w:t>
      </w:r>
    </w:p>
    <w:p>
      <w:pPr>
        <w:spacing w:after="0" w:line="88" w:lineRule="exact"/>
        <w:rPr>
          <w:sz w:val="20"/>
          <w:szCs w:val="20"/>
          <w:color w:val="auto"/>
        </w:rPr>
      </w:pPr>
    </w:p>
    <w:p>
      <w:pPr>
        <w:jc w:val="both"/>
        <w:ind w:left="1480" w:right="519"/>
        <w:spacing w:after="0" w:line="254" w:lineRule="auto"/>
        <w:rPr>
          <w:sz w:val="20"/>
          <w:szCs w:val="20"/>
          <w:color w:val="auto"/>
        </w:rPr>
      </w:pPr>
      <w:r>
        <w:rPr>
          <w:rFonts w:ascii="Times New Roman" w:cs="Times New Roman" w:eastAsia="Times New Roman" w:hAnsi="Times New Roman"/>
          <w:sz w:val="14"/>
          <w:szCs w:val="14"/>
          <w:color w:val="auto"/>
        </w:rPr>
        <w:t>Initial holders will be required to pay for the notes in euro, and all payments of principal of, the redemption price (if any), change of control payments (as defined below, if any), and interest and additional amounts (as defined below, if any), on the notes, will be payable in euros; provided, that if on or after the date of this prospectus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92" w:lineRule="auto"/>
        <w:rPr>
          <w:sz w:val="20"/>
          <w:szCs w:val="20"/>
          <w:color w:val="auto"/>
        </w:rPr>
      </w:pPr>
      <w:r>
        <w:rPr>
          <w:rFonts w:ascii="Times New Roman" w:cs="Times New Roman" w:eastAsia="Times New Roman" w:hAnsi="Times New Roman"/>
          <w:sz w:val="12"/>
          <w:szCs w:val="12"/>
          <w:color w:val="auto"/>
        </w:rPr>
        <w:t xml:space="preserve">supplement,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Times New Roman" w:cs="Times New Roman" w:eastAsia="Times New Roman" w:hAnsi="Times New Roman"/>
          <w:sz w:val="12"/>
          <w:szCs w:val="12"/>
          <w:i w:val="1"/>
          <w:iCs w:val="1"/>
          <w:color w:val="auto"/>
        </w:rPr>
        <w:t>The Wall Street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Journal </w:t>
      </w:r>
      <w:r>
        <w:rPr>
          <w:rFonts w:ascii="Times New Roman" w:cs="Times New Roman" w:eastAsia="Times New Roman" w:hAnsi="Times New Roman"/>
          <w:sz w:val="12"/>
          <w:szCs w:val="12"/>
          <w:color w:val="auto"/>
        </w:rPr>
        <w:t>on or prior to the second business day prior to the relevant payment date. Any payment in respect of the notes so made in U.S. dollars will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constitute an event of default under the notes or the indenture governing the notes. Neither the trustee nor the paying agent shall have any responsibility for any calculation or conversion in connection with the foregoing. Any references in this prospectus supplement to payments being made in euros notwithstanding, payments shall be made in U.S. dollars to the extent set forth under this heading “—Issuance in Euro; Payment on the Notes.”</w:t>
      </w:r>
    </w:p>
    <w:p>
      <w:pPr>
        <w:spacing w:after="0" w:line="288"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Investors will be subject to foreign exchange risks as to payments of principal and interest that may have important economic and tax consequences to them. See “Risk Factors.”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Paying Agent and Registrar</w:t>
      </w:r>
    </w:p>
    <w:p>
      <w:pPr>
        <w:spacing w:after="0" w:line="88" w:lineRule="exact"/>
        <w:rPr>
          <w:sz w:val="20"/>
          <w:szCs w:val="20"/>
          <w:color w:val="auto"/>
        </w:rPr>
      </w:pPr>
    </w:p>
    <w:p>
      <w:pPr>
        <w:ind w:left="1480" w:right="759"/>
        <w:spacing w:after="0" w:line="265" w:lineRule="auto"/>
        <w:rPr>
          <w:sz w:val="20"/>
          <w:szCs w:val="20"/>
          <w:color w:val="auto"/>
        </w:rPr>
      </w:pPr>
      <w:r>
        <w:rPr>
          <w:rFonts w:ascii="Times New Roman" w:cs="Times New Roman" w:eastAsia="Times New Roman" w:hAnsi="Times New Roman"/>
          <w:sz w:val="14"/>
          <w:szCs w:val="14"/>
          <w:color w:val="auto"/>
        </w:rPr>
        <w:t>The Bank of New York Mellon, London Branch will initially act as paying agent for the notes. The Bank of New York Mellon will initially act as security registrar for the notes. Upon notice to the trustee, we may change any paying agent or security registrar.</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Business Day</w:t>
      </w:r>
    </w:p>
    <w:p>
      <w:pPr>
        <w:spacing w:after="0" w:line="88" w:lineRule="exact"/>
        <w:rPr>
          <w:sz w:val="20"/>
          <w:szCs w:val="20"/>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The term “business day” means any day, other than a Saturday or Sunday, (1) which is not a day on which banking institutions in the City of New York or London are authorized or required by law, regulation or executive order to close and (2) on which the Trans-European Automated Real-time Gross Settlement Express Transfer system (the TARGET2 system), or any successor thereto, is open.</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Issuance of Additional Notes</w:t>
      </w:r>
    </w:p>
    <w:p>
      <w:pPr>
        <w:spacing w:after="0" w:line="88" w:lineRule="exact"/>
        <w:rPr>
          <w:sz w:val="20"/>
          <w:szCs w:val="20"/>
          <w:color w:val="auto"/>
        </w:rPr>
      </w:pPr>
    </w:p>
    <w:p>
      <w:pPr>
        <w:ind w:left="1480" w:right="379"/>
        <w:spacing w:after="0" w:line="247" w:lineRule="auto"/>
        <w:rPr>
          <w:sz w:val="20"/>
          <w:szCs w:val="20"/>
          <w:color w:val="auto"/>
        </w:rPr>
      </w:pPr>
      <w:r>
        <w:rPr>
          <w:rFonts w:ascii="Times New Roman" w:cs="Times New Roman" w:eastAsia="Times New Roman" w:hAnsi="Times New Roman"/>
          <w:sz w:val="14"/>
          <w:szCs w:val="14"/>
          <w:color w:val="auto"/>
        </w:rPr>
        <w:t>The notes are initially limited in aggregate principal amount to €800,000,000. We may, without the consent of the holders, increase the principal amount of notes by issuing additional notes in the future on the same terms and conditions, except for any differences in the issue date, issue price, interest accrued prior to the issue date of the additional notes and, in some cases, the first interest payment date. The additional notes will be fungible for U.S. federal income tax purposes with, and will have the same ISIN and CUSIP numbers as, the notes offered hereby. Under the indenture, notes and any additional notes we may issue will be treated as a single series for all purposes under the indenture, including for purposes of determining whether the required percentage of the holders of record has given approval or consent to an amendment or waiver or joined in directing the trustee to take certain actions on behalf of all holders.</w:t>
      </w:r>
    </w:p>
    <w:p>
      <w:pPr>
        <w:spacing w:after="0" w:line="149" w:lineRule="exact"/>
        <w:rPr>
          <w:sz w:val="20"/>
          <w:szCs w:val="20"/>
          <w:color w:val="auto"/>
        </w:rPr>
      </w:pPr>
    </w:p>
    <w:p>
      <w:pPr>
        <w:ind w:left="1480" w:right="479"/>
        <w:spacing w:after="0" w:line="265" w:lineRule="auto"/>
        <w:rPr>
          <w:sz w:val="20"/>
          <w:szCs w:val="20"/>
          <w:color w:val="auto"/>
        </w:rPr>
      </w:pPr>
      <w:r>
        <w:rPr>
          <w:rFonts w:ascii="Times New Roman" w:cs="Times New Roman" w:eastAsia="Times New Roman" w:hAnsi="Times New Roman"/>
          <w:sz w:val="14"/>
          <w:szCs w:val="14"/>
          <w:color w:val="auto"/>
        </w:rPr>
        <w:t>We also may, without the consent of the holders, issue other series of debt securities under the indenture in the future on terms and conditions different from the series of notes offered hereby.</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ind w:left="1480" w:right="599"/>
        <w:spacing w:after="0" w:line="265" w:lineRule="auto"/>
        <w:rPr>
          <w:sz w:val="20"/>
          <w:szCs w:val="20"/>
          <w:color w:val="auto"/>
        </w:rPr>
      </w:pPr>
      <w:r>
        <w:rPr>
          <w:rFonts w:ascii="Times New Roman" w:cs="Times New Roman" w:eastAsia="Times New Roman" w:hAnsi="Times New Roman"/>
          <w:sz w:val="14"/>
          <w:szCs w:val="14"/>
          <w:color w:val="auto"/>
        </w:rPr>
        <w:t>The notes will be redeemable, in whole or in part, at our option and from time to time. If the notes are redeemed before the Par Call Date (as defined below), the notes will be redeemed at a redemption price equal to the greater of:</w:t>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(1) 100% of the principal amount of the notes to be redeemed; and</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80" w:right="459" w:hanging="6"/>
        <w:spacing w:after="0" w:line="250" w:lineRule="auto"/>
        <w:tabs>
          <w:tab w:leader="none" w:pos="167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the present values of the remaining scheduled payments of principal and interest thereon (not including any portion of such payments of interest accrued as of the date of redemption and, for the purposes of the calculation, assuming that the notes would be redeemed on the Par Call Date), discounted to the date of redemption on an annual basis (ACTUAL/ACTUAL (ICMA)) at the applicable Comparable Government Bond Rate (as defined below), plus 20 basis points,</w:t>
      </w:r>
    </w:p>
    <w:p>
      <w:pPr>
        <w:spacing w:after="0" w:line="147" w:lineRule="exact"/>
        <w:rPr>
          <w:sz w:val="20"/>
          <w:szCs w:val="20"/>
          <w:color w:val="auto"/>
        </w:rPr>
      </w:pPr>
    </w:p>
    <w:p>
      <w:pPr>
        <w:jc w:val="both"/>
        <w:ind w:left="1480" w:right="399"/>
        <w:spacing w:after="0" w:line="254" w:lineRule="auto"/>
        <w:rPr>
          <w:sz w:val="20"/>
          <w:szCs w:val="20"/>
          <w:color w:val="auto"/>
        </w:rPr>
      </w:pPr>
      <w:r>
        <w:rPr>
          <w:rFonts w:ascii="Times New Roman" w:cs="Times New Roman" w:eastAsia="Times New Roman" w:hAnsi="Times New Roman"/>
          <w:sz w:val="14"/>
          <w:szCs w:val="14"/>
          <w:color w:val="auto"/>
        </w:rPr>
        <w:t>plus, in each case, accrued and unpaid interest thereon to, but excluding, the redemption date. Notwithstanding the foregoing, installments of interest on notes to be redeemed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43" w:lineRule="exact"/>
        <w:rPr>
          <w:sz w:val="20"/>
          <w:szCs w:val="20"/>
          <w:color w:val="auto"/>
        </w:rPr>
      </w:pPr>
    </w:p>
    <w:p>
      <w:pPr>
        <w:ind w:left="1480" w:right="519"/>
        <w:spacing w:after="0" w:line="265" w:lineRule="auto"/>
        <w:rPr>
          <w:sz w:val="20"/>
          <w:szCs w:val="20"/>
          <w:color w:val="auto"/>
        </w:rPr>
      </w:pPr>
      <w:r>
        <w:rPr>
          <w:rFonts w:ascii="Times New Roman" w:cs="Times New Roman" w:eastAsia="Times New Roman" w:hAnsi="Times New Roman"/>
          <w:sz w:val="14"/>
          <w:szCs w:val="14"/>
          <w:color w:val="auto"/>
        </w:rPr>
        <w:t>If the notes are redeemed on or after the Par Call Date, the notes may be redeemed at a redemption price equal to 100% of the principal amount of the notes then outstanding to be redeemed, plus accrued and unpaid interest thereon to, but excluding, the redemption date.</w:t>
      </w:r>
    </w:p>
    <w:p>
      <w:pPr>
        <w:spacing w:after="0" w:line="133"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Comparable Government Bond</w:t>
      </w:r>
      <w:r>
        <w:rPr>
          <w:rFonts w:ascii="Times New Roman" w:cs="Times New Roman" w:eastAsia="Times New Roman" w:hAnsi="Times New Roman"/>
          <w:sz w:val="14"/>
          <w:szCs w:val="14"/>
          <w:color w:val="auto"/>
        </w:rPr>
        <w:t>” means, with respect to the notes to be redeemed prior to the Par Call Date in relation to any Comparable Government Bond Rate calculation, at the discretion of an independent investment bank selected by us, a bond that is a direct obligation of the Federal Republic of Germany (“German government bond”) whose maturity is closest to the Par Call Date,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47" w:lineRule="exact"/>
        <w:rPr>
          <w:sz w:val="20"/>
          <w:szCs w:val="20"/>
          <w:color w:val="auto"/>
        </w:rPr>
      </w:pPr>
    </w:p>
    <w:p>
      <w:pPr>
        <w:jc w:val="both"/>
        <w:ind w:left="1480" w:right="39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Comparable Government Bond Rate</w:t>
      </w:r>
      <w:r>
        <w:rPr>
          <w:rFonts w:ascii="Times New Roman" w:cs="Times New Roman" w:eastAsia="Times New Roman" w:hAnsi="Times New Roman"/>
          <w:sz w:val="14"/>
          <w:szCs w:val="14"/>
          <w:color w:val="auto"/>
        </w:rPr>
        <w:t>” means the gross redemption yield (rounded to three decimal places, with 0.0005 being rounded upwards) on the Comparable Government Bond on the third business day prior to the date fixed for redemption, calculated on the basis of the middle market price of the Comparable Government Bond prevailing at 11:00 a.m. (London time) on such business day as determined by an independent investment bank selected by us in accordance with generally accepted market practice at such time.</w:t>
      </w:r>
    </w:p>
    <w:p>
      <w:pPr>
        <w:spacing w:after="0" w:line="1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 Call Date</w:t>
      </w:r>
      <w:r>
        <w:rPr>
          <w:rFonts w:ascii="Times New Roman" w:cs="Times New Roman" w:eastAsia="Times New Roman" w:hAnsi="Times New Roman"/>
          <w:sz w:val="14"/>
          <w:szCs w:val="14"/>
          <w:color w:val="auto"/>
        </w:rPr>
        <w:t>” means the date that is one month prior to the maturity date of the notes.</w:t>
      </w:r>
    </w:p>
    <w:p>
      <w:pPr>
        <w:spacing w:after="0" w:line="168" w:lineRule="exact"/>
        <w:rPr>
          <w:sz w:val="20"/>
          <w:szCs w:val="20"/>
          <w:color w:val="auto"/>
        </w:rPr>
      </w:pPr>
    </w:p>
    <w:p>
      <w:pPr>
        <w:ind w:left="1480" w:right="399"/>
        <w:spacing w:after="0" w:line="249" w:lineRule="auto"/>
        <w:rPr>
          <w:sz w:val="20"/>
          <w:szCs w:val="20"/>
          <w:color w:val="auto"/>
        </w:rPr>
      </w:pPr>
      <w:r>
        <w:rPr>
          <w:rFonts w:ascii="Times New Roman" w:cs="Times New Roman" w:eastAsia="Times New Roman" w:hAnsi="Times New Roman"/>
          <w:sz w:val="14"/>
          <w:szCs w:val="14"/>
          <w:color w:val="auto"/>
        </w:rPr>
        <w:t>Notice of any redemption will be delivered electronically in accordance with the policies and procedures of Euroclear or Clearstream, or otherwise mailed at least 10 days but not more than 60 days before the redemption date to each registered holder of the notes to be redeemed. Unless we default in payment of the redemption price, on and after the redemption date, interest will cease to accrue on the notes or portions thereof called for redemption. If less than all of the notes are to be redeemed, the notes to be redeemed shall be selected, in the case of global notes, in accordance with the policies and procedures of Euroclear or Clearstream, and in the case of certificated notes, by the trustee by lot.</w:t>
      </w:r>
    </w:p>
    <w:p>
      <w:pPr>
        <w:spacing w:after="0" w:line="146"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The notes are also subject to redemption prior to maturity if certain events occur involving U.S. taxation. If any of these special tax events do occur, the notes will be redeemed at a redemption price of 100% of their principal amount plus accrued and unpaid interest to, but excluding, the date fixed for redemption. See “—Redemption for Tax Reasons.”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of Additional Amounts</w:t>
      </w:r>
    </w:p>
    <w:p>
      <w:pPr>
        <w:spacing w:after="0" w:line="88" w:lineRule="exact"/>
        <w:rPr>
          <w:sz w:val="20"/>
          <w:szCs w:val="20"/>
          <w:color w:val="auto"/>
        </w:rPr>
      </w:pPr>
    </w:p>
    <w:p>
      <w:pPr>
        <w:ind w:left="1480" w:right="479"/>
        <w:spacing w:after="0" w:line="316" w:lineRule="auto"/>
        <w:rPr>
          <w:sz w:val="20"/>
          <w:szCs w:val="20"/>
          <w:color w:val="auto"/>
        </w:rPr>
      </w:pPr>
      <w:r>
        <w:rPr>
          <w:rFonts w:ascii="Times New Roman" w:cs="Times New Roman" w:eastAsia="Times New Roman" w:hAnsi="Times New Roman"/>
          <w:sz w:val="12"/>
          <w:szCs w:val="12"/>
          <w:color w:val="auto"/>
        </w:rPr>
        <w:t>We will, subject to the exceptions and limitations set forth below, pay as additional interest on the notes such additional amounts as are necessary in order that the net payment by us of the principal of, premium, if any, and interest on the notes to a holder who is not a United States person (as defined below), after withholding or deduction for any present or future tax, assessment or other governmental charge imposed by the United States or</w:t>
      </w:r>
    </w:p>
    <w:p>
      <w:pPr>
        <w:spacing w:after="0" w:line="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79"/>
        <w:spacing w:after="0" w:line="265" w:lineRule="auto"/>
        <w:rPr>
          <w:sz w:val="20"/>
          <w:szCs w:val="20"/>
          <w:color w:val="auto"/>
        </w:rPr>
      </w:pPr>
      <w:r>
        <w:rPr>
          <w:rFonts w:ascii="Times New Roman" w:cs="Times New Roman" w:eastAsia="Times New Roman" w:hAnsi="Times New Roman"/>
          <w:sz w:val="14"/>
          <w:szCs w:val="14"/>
          <w:color w:val="auto"/>
        </w:rPr>
        <w:t>a taxing authority in the United States, will not be less than the amount provided in the notes to be then due and payable; provided, however, that the foregoing obligation to pay additional amounts shall not apply:</w:t>
      </w:r>
    </w:p>
    <w:p>
      <w:pPr>
        <w:spacing w:after="0" w:line="64" w:lineRule="exact"/>
        <w:rPr>
          <w:sz w:val="20"/>
          <w:szCs w:val="20"/>
          <w:color w:val="auto"/>
        </w:rPr>
      </w:pPr>
    </w:p>
    <w:p>
      <w:pPr>
        <w:jc w:val="both"/>
        <w:ind w:left="1800" w:right="359" w:hanging="326"/>
        <w:spacing w:after="0" w:line="254"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71" w:lineRule="exact"/>
        <w:rPr>
          <w:rFonts w:ascii="Times New Roman" w:cs="Times New Roman" w:eastAsia="Times New Roman" w:hAnsi="Times New Roman"/>
          <w:sz w:val="14"/>
          <w:szCs w:val="14"/>
          <w:color w:val="auto"/>
        </w:rPr>
      </w:pPr>
    </w:p>
    <w:p>
      <w:pPr>
        <w:ind w:left="2200" w:right="459" w:hanging="399"/>
        <w:spacing w:after="0" w:line="265" w:lineRule="auto"/>
        <w:tabs>
          <w:tab w:leader="none" w:pos="22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or having been engaged in a trade or business in the United States or having or having had a permanent establishment in the United States;</w:t>
      </w:r>
    </w:p>
    <w:p>
      <w:pPr>
        <w:spacing w:after="0" w:line="63" w:lineRule="exact"/>
        <w:rPr>
          <w:rFonts w:ascii="Times New Roman" w:cs="Times New Roman" w:eastAsia="Times New Roman" w:hAnsi="Times New Roman"/>
          <w:sz w:val="14"/>
          <w:szCs w:val="14"/>
          <w:color w:val="auto"/>
        </w:rPr>
      </w:pPr>
    </w:p>
    <w:p>
      <w:pPr>
        <w:ind w:left="2200" w:right="479" w:hanging="399"/>
        <w:spacing w:after="0" w:line="254" w:lineRule="auto"/>
        <w:tabs>
          <w:tab w:leader="none" w:pos="22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a current or former connection with the United States (other than a connection arising solely as a result of the ownership of the notes, the receipt of any payment or the enforcement of any rights thereunder), including being or having been a citizen or resident of the United States;</w:t>
      </w:r>
    </w:p>
    <w:p>
      <w:pPr>
        <w:spacing w:after="0" w:line="71" w:lineRule="exact"/>
        <w:rPr>
          <w:rFonts w:ascii="Times New Roman" w:cs="Times New Roman" w:eastAsia="Times New Roman" w:hAnsi="Times New Roman"/>
          <w:sz w:val="14"/>
          <w:szCs w:val="14"/>
          <w:color w:val="auto"/>
        </w:rPr>
      </w:pPr>
    </w:p>
    <w:p>
      <w:pPr>
        <w:ind w:left="2200" w:right="559" w:hanging="399"/>
        <w:spacing w:after="0" w:line="265" w:lineRule="auto"/>
        <w:tabs>
          <w:tab w:leader="none" w:pos="22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or having been a personal holding company, a passive foreign investment company or a controlled foreign corporation for United States income tax purposes or a corporation that has accumulated earnings to avoid United States federal income tax;</w:t>
      </w:r>
    </w:p>
    <w:p>
      <w:pPr>
        <w:spacing w:after="0" w:line="63" w:lineRule="exact"/>
        <w:rPr>
          <w:rFonts w:ascii="Times New Roman" w:cs="Times New Roman" w:eastAsia="Times New Roman" w:hAnsi="Times New Roman"/>
          <w:sz w:val="14"/>
          <w:szCs w:val="14"/>
          <w:color w:val="auto"/>
        </w:rPr>
      </w:pPr>
    </w:p>
    <w:p>
      <w:pPr>
        <w:ind w:left="2200" w:right="579" w:hanging="399"/>
        <w:spacing w:after="0" w:line="265" w:lineRule="auto"/>
        <w:tabs>
          <w:tab w:leader="none" w:pos="22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or having been a “10-percent shareholder” of the Company as defined in Section 871(h)(3) of the United States Internal Revenue Code of 1986, as amended (the “Code”) or any successor provision; or</w:t>
      </w:r>
    </w:p>
    <w:p>
      <w:pPr>
        <w:spacing w:after="0" w:line="63" w:lineRule="exact"/>
        <w:rPr>
          <w:rFonts w:ascii="Times New Roman" w:cs="Times New Roman" w:eastAsia="Times New Roman" w:hAnsi="Times New Roman"/>
          <w:sz w:val="14"/>
          <w:szCs w:val="14"/>
          <w:color w:val="auto"/>
        </w:rPr>
      </w:pPr>
    </w:p>
    <w:p>
      <w:pPr>
        <w:ind w:left="2200" w:right="619" w:hanging="399"/>
        <w:spacing w:after="0" w:line="265" w:lineRule="auto"/>
        <w:tabs>
          <w:tab w:leader="none" w:pos="22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a bank receiving payments on an extension of credit made pursuant to a loan agreement entered into in the ordinary course of its trade or business;</w:t>
      </w:r>
    </w:p>
    <w:p>
      <w:pPr>
        <w:spacing w:after="0" w:line="63" w:lineRule="exact"/>
        <w:rPr>
          <w:rFonts w:ascii="Times New Roman" w:cs="Times New Roman" w:eastAsia="Times New Roman" w:hAnsi="Times New Roman"/>
          <w:sz w:val="14"/>
          <w:szCs w:val="14"/>
          <w:color w:val="auto"/>
        </w:rPr>
      </w:pPr>
    </w:p>
    <w:p>
      <w:pPr>
        <w:ind w:left="1800" w:right="359" w:hanging="326"/>
        <w:spacing w:after="0" w:line="250"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additional amounts had the beneficiary, settlor, beneficial owner or member received directly its beneficial or distributive share of the payment;</w:t>
      </w:r>
    </w:p>
    <w:p>
      <w:pPr>
        <w:spacing w:after="0" w:line="75" w:lineRule="exact"/>
        <w:rPr>
          <w:rFonts w:ascii="Times New Roman" w:cs="Times New Roman" w:eastAsia="Times New Roman" w:hAnsi="Times New Roman"/>
          <w:sz w:val="14"/>
          <w:szCs w:val="14"/>
          <w:color w:val="auto"/>
        </w:rPr>
      </w:pPr>
    </w:p>
    <w:p>
      <w:pPr>
        <w:ind w:left="1800" w:right="419" w:hanging="326"/>
        <w:spacing w:after="0" w:line="249"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that would not have been imposed but for the failure of the holder or beneficial owner of the notes to comply with our request or a request of our agent to satisfy any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74" w:lineRule="exact"/>
        <w:rPr>
          <w:rFonts w:ascii="Times New Roman" w:cs="Times New Roman" w:eastAsia="Times New Roman" w:hAnsi="Times New Roman"/>
          <w:sz w:val="14"/>
          <w:szCs w:val="14"/>
          <w:color w:val="auto"/>
        </w:rPr>
      </w:pPr>
    </w:p>
    <w:p>
      <w:pPr>
        <w:ind w:left="1800" w:hanging="326"/>
        <w:spacing w:after="0"/>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that is imposed otherwise than by withholding by us or a paying agent from the payment;</w:t>
      </w:r>
    </w:p>
    <w:p>
      <w:pPr>
        <w:spacing w:after="0" w:line="94" w:lineRule="exact"/>
        <w:rPr>
          <w:rFonts w:ascii="Times New Roman" w:cs="Times New Roman" w:eastAsia="Times New Roman" w:hAnsi="Times New Roman"/>
          <w:sz w:val="14"/>
          <w:szCs w:val="14"/>
          <w:color w:val="auto"/>
        </w:rPr>
      </w:pPr>
    </w:p>
    <w:p>
      <w:pPr>
        <w:ind w:left="1800" w:right="1099" w:hanging="326"/>
        <w:spacing w:after="0" w:line="265"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estate, inheritance, gift, sales, excise, transfer, wealth, capital gains or personal property tax or similar tax, assessment or other governmental charge;</w:t>
      </w:r>
    </w:p>
    <w:p>
      <w:pPr>
        <w:spacing w:after="0" w:line="63" w:lineRule="exact"/>
        <w:rPr>
          <w:rFonts w:ascii="Times New Roman" w:cs="Times New Roman" w:eastAsia="Times New Roman" w:hAnsi="Times New Roman"/>
          <w:sz w:val="14"/>
          <w:szCs w:val="14"/>
          <w:color w:val="auto"/>
        </w:rPr>
      </w:pPr>
    </w:p>
    <w:p>
      <w:pPr>
        <w:ind w:left="1800" w:right="479" w:hanging="326"/>
        <w:spacing w:after="0" w:line="265"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63" w:lineRule="exact"/>
        <w:rPr>
          <w:rFonts w:ascii="Times New Roman" w:cs="Times New Roman" w:eastAsia="Times New Roman" w:hAnsi="Times New Roman"/>
          <w:sz w:val="14"/>
          <w:szCs w:val="14"/>
          <w:color w:val="auto"/>
        </w:rPr>
      </w:pPr>
    </w:p>
    <w:p>
      <w:pPr>
        <w:jc w:val="both"/>
        <w:ind w:left="1800" w:right="479" w:hanging="326"/>
        <w:spacing w:after="0" w:line="254"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71" w:lineRule="exact"/>
        <w:rPr>
          <w:rFonts w:ascii="Times New Roman" w:cs="Times New Roman" w:eastAsia="Times New Roman" w:hAnsi="Times New Roman"/>
          <w:sz w:val="14"/>
          <w:szCs w:val="14"/>
          <w:color w:val="auto"/>
        </w:rPr>
      </w:pPr>
    </w:p>
    <w:p>
      <w:pPr>
        <w:ind w:left="1800" w:right="659" w:hanging="326"/>
        <w:spacing w:after="0" w:line="254" w:lineRule="auto"/>
        <w:tabs>
          <w:tab w:leader="none" w:pos="18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800" w:right="579"/>
        <w:spacing w:after="0" w:line="265" w:lineRule="auto"/>
        <w:rPr>
          <w:sz w:val="20"/>
          <w:szCs w:val="20"/>
          <w:color w:val="auto"/>
        </w:rPr>
      </w:pPr>
      <w:r>
        <w:rPr>
          <w:rFonts w:ascii="Times New Roman" w:cs="Times New Roman" w:eastAsia="Times New Roman" w:hAnsi="Times New Roman"/>
          <w:sz w:val="14"/>
          <w:szCs w:val="14"/>
          <w:color w:val="auto"/>
        </w:rPr>
        <w:t>legislation, rules or practices adopted pursuant to any intergovernmental agreement entered into in connection with the implementation of such sections of the Code; or</w:t>
      </w:r>
    </w:p>
    <w:p>
      <w:pPr>
        <w:spacing w:after="0" w:line="64" w:lineRule="exact"/>
        <w:rPr>
          <w:sz w:val="20"/>
          <w:szCs w:val="20"/>
          <w:color w:val="auto"/>
        </w:rPr>
      </w:pPr>
    </w:p>
    <w:p>
      <w:pPr>
        <w:ind w:left="1800" w:hanging="326"/>
        <w:spacing w:after="0"/>
        <w:tabs>
          <w:tab w:leader="none" w:pos="18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combination of items (1), (2), (3), (4), (5), (6), (7) and (8).</w:t>
      </w:r>
    </w:p>
    <w:p>
      <w:pPr>
        <w:spacing w:after="0" w:line="166" w:lineRule="exact"/>
        <w:rPr>
          <w:sz w:val="20"/>
          <w:szCs w:val="20"/>
          <w:color w:val="auto"/>
        </w:rPr>
      </w:pPr>
    </w:p>
    <w:p>
      <w:pPr>
        <w:ind w:left="1480" w:right="379"/>
        <w:spacing w:after="0" w:line="316" w:lineRule="auto"/>
        <w:rPr>
          <w:sz w:val="20"/>
          <w:szCs w:val="20"/>
          <w:color w:val="auto"/>
        </w:rPr>
      </w:pPr>
      <w:r>
        <w:rPr>
          <w:rFonts w:ascii="Times New Roman" w:cs="Times New Roman" w:eastAsia="Times New Roman" w:hAnsi="Times New Roman"/>
          <w:sz w:val="12"/>
          <w:szCs w:val="12"/>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9" w:lineRule="exact"/>
        <w:rPr>
          <w:sz w:val="20"/>
          <w:szCs w:val="20"/>
          <w:color w:val="auto"/>
        </w:rPr>
      </w:pPr>
    </w:p>
    <w:p>
      <w:pPr>
        <w:ind w:left="1480" w:right="379"/>
        <w:spacing w:after="0" w:line="300" w:lineRule="auto"/>
        <w:rPr>
          <w:sz w:val="20"/>
          <w:szCs w:val="20"/>
          <w:color w:val="auto"/>
        </w:rPr>
      </w:pPr>
      <w:r>
        <w:rPr>
          <w:rFonts w:ascii="Times New Roman" w:cs="Times New Roman" w:eastAsia="Times New Roman" w:hAnsi="Times New Roman"/>
          <w:sz w:val="12"/>
          <w:szCs w:val="12"/>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(or other entity taxable as a corporation), partnership (or other entity taxable as a partnership) or other entity created or organized in or under the laws of the United States, any state of the United States or the District of Columbia, or any estate or trust the income of which is subject to United States federal income taxation regardless of its source.</w:t>
      </w:r>
    </w:p>
    <w:p>
      <w:pPr>
        <w:spacing w:after="0" w:line="119" w:lineRule="exact"/>
        <w:rPr>
          <w:sz w:val="20"/>
          <w:szCs w:val="20"/>
          <w:color w:val="auto"/>
        </w:rPr>
      </w:pPr>
    </w:p>
    <w:p>
      <w:pPr>
        <w:ind w:left="1480" w:right="639"/>
        <w:spacing w:after="0" w:line="265" w:lineRule="auto"/>
        <w:rPr>
          <w:sz w:val="20"/>
          <w:szCs w:val="20"/>
          <w:color w:val="auto"/>
        </w:rPr>
      </w:pPr>
      <w:r>
        <w:rPr>
          <w:rFonts w:ascii="Times New Roman" w:cs="Times New Roman" w:eastAsia="Times New Roman" w:hAnsi="Times New Roman"/>
          <w:sz w:val="14"/>
          <w:szCs w:val="14"/>
          <w:color w:val="auto"/>
        </w:rPr>
        <w:t>Any references in this prospectus supplement to principal, premium, interest or any other amount payable in respect of the notes shall be deemed to include additional amounts, as the context shall require.</w:t>
      </w:r>
    </w:p>
    <w:p>
      <w:pPr>
        <w:spacing w:after="0" w:line="135" w:lineRule="exact"/>
        <w:rPr>
          <w:sz w:val="20"/>
          <w:szCs w:val="20"/>
          <w:color w:val="auto"/>
        </w:rPr>
      </w:pPr>
    </w:p>
    <w:p>
      <w:pPr>
        <w:ind w:left="1480" w:right="519"/>
        <w:spacing w:after="0" w:line="249" w:lineRule="auto"/>
        <w:rPr>
          <w:sz w:val="20"/>
          <w:szCs w:val="20"/>
          <w:color w:val="auto"/>
        </w:rPr>
      </w:pPr>
      <w:r>
        <w:rPr>
          <w:rFonts w:ascii="Times New Roman" w:cs="Times New Roman" w:eastAsia="Times New Roman" w:hAnsi="Times New Roman"/>
          <w:sz w:val="14"/>
          <w:szCs w:val="14"/>
          <w:color w:val="auto"/>
        </w:rPr>
        <w:t>If we shall be obligated to pay any additional amounts with respect to any payment under or with respect to the notes, we will deliver to the trustee a certificate of an officer stating that such additional amounts shall be payable and the amounts so payable and setting forth such other information as is necessary to enable the trustee or other paying agent to pay such additional amounts to the holders of such notes on the payment date. We will make copies of such certificate, as well as copies of tax receipts or other documentation evidencing the payment of the associated taxes or other charges, available to the holders or beneficial owners of the notes upon written request.</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Redemption for Tax Reasons</w:t>
      </w:r>
    </w:p>
    <w:p>
      <w:pPr>
        <w:spacing w:after="0" w:line="88"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supplemental indenture related to the notes, we become or, based upon a written opinion of independent counsel selected by us, will become obligated to pay additional amounts as described herein under the heading “—Payment of Additional Amounts” with respect to the notes and such obligation cannot be avoided by the use of reasonable measures available to us, then we may at any time at our option redeem, in whole, but not in part, the notes on not less than 30 nor more than 60 days’ prior notice, at a redemption price equal to 100% of their principal amount, together with accrued and unpaid interest on those notes to, but excluding, the date fixed for redemption.</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Change of Control</w:t>
      </w:r>
    </w:p>
    <w:p>
      <w:pPr>
        <w:spacing w:after="0" w:line="88"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If a change of control triggering event occurs with respect to the notes, unless we have exercised our option to redeem the notes as described above, we will be required to make an offer (the “change of control offer”) to each holder of the then outstanding notes to repurchase all or any part (equal to €1,000 or an integral multiple thereof) of that holder’s notes on the terms set forth in the notes; provided that a holder tendering notes for repurchase only in part must retain not less than €100,000 aggregate principal amount of notes. In the change of control offer, we will be required to offer payment in cash equal to 101% of the aggregate principal amount of notes repurchased, plus accrued and unpaid interest, if any, on the notes repurchased to, but excluding, the repurchase date (the “change of control payment”). Within 30 days following any change of control triggering event or, at our option, prior to any change of control, but after public announcement of the transaction that constitutes or</w:t>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may constitute the change of control, we will electronically deliver or otherwise mail to holders of the notes, and furnish the trustee with a copy thereof, a notice describing the transaction that constitutes or may constitute the change of control triggering event and offer to repurchase the securities on the date specified in the notice, which date will be no earlier than 30 days and no later than 60 days from the date such notice is sent (the “change of control payment date”). The notice will set forth the instructions determined by us, consistent with the provisions under this heading “—Change of Control,” that a holder must follow in order to have its notes purchased, and stating that a holder may elect to have such notes purchased by completing the purchase election form annexed to the notes, or a comparable form, together with any other procedures that a holder must follow to accept a change of control offer or effect withdrawal of such acceptance.</w:t>
      </w:r>
    </w:p>
    <w:p>
      <w:pPr>
        <w:spacing w:after="0" w:line="149" w:lineRule="exact"/>
        <w:rPr>
          <w:sz w:val="20"/>
          <w:szCs w:val="20"/>
          <w:color w:val="auto"/>
        </w:rPr>
      </w:pPr>
    </w:p>
    <w:p>
      <w:pPr>
        <w:ind w:left="1480" w:right="359"/>
        <w:spacing w:after="0" w:line="265" w:lineRule="auto"/>
        <w:rPr>
          <w:sz w:val="20"/>
          <w:szCs w:val="20"/>
          <w:color w:val="auto"/>
        </w:rPr>
      </w:pPr>
      <w:r>
        <w:rPr>
          <w:rFonts w:ascii="Times New Roman" w:cs="Times New Roman" w:eastAsia="Times New Roman" w:hAnsi="Times New Roman"/>
          <w:sz w:val="14"/>
          <w:szCs w:val="14"/>
          <w:color w:val="auto"/>
        </w:rPr>
        <w:t>The notice will, if sent prior to the date of consummation of the change of control, state that the offer to purchase is conditioned on the change of control triggering event occurring on or prior to the change of control payment date.</w:t>
      </w:r>
    </w:p>
    <w:p>
      <w:pPr>
        <w:spacing w:after="0" w:line="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On the change of control payment date, we will, to the extent lawful:</w:t>
      </w:r>
    </w:p>
    <w:p>
      <w:pPr>
        <w:spacing w:after="0" w:line="95" w:lineRule="exact"/>
        <w:rPr>
          <w:sz w:val="20"/>
          <w:szCs w:val="20"/>
          <w:color w:val="auto"/>
        </w:rPr>
      </w:pPr>
    </w:p>
    <w:p>
      <w:pPr>
        <w:ind w:left="2200" w:hanging="317"/>
        <w:spacing w:after="0"/>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the change of control offer;</w:t>
      </w:r>
    </w:p>
    <w:p>
      <w:pPr>
        <w:spacing w:after="0" w:line="94" w:lineRule="exact"/>
        <w:rPr>
          <w:rFonts w:ascii="Times New Roman" w:cs="Times New Roman" w:eastAsia="Times New Roman" w:hAnsi="Times New Roman"/>
          <w:sz w:val="14"/>
          <w:szCs w:val="14"/>
          <w:color w:val="auto"/>
        </w:rPr>
      </w:pPr>
    </w:p>
    <w:p>
      <w:pPr>
        <w:ind w:left="2200" w:right="779" w:hanging="317"/>
        <w:spacing w:after="0" w:line="265"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change of control payment in respect of all notes or portions of notes properly tendered; and</w:t>
      </w:r>
    </w:p>
    <w:p>
      <w:pPr>
        <w:spacing w:after="0" w:line="63" w:lineRule="exact"/>
        <w:rPr>
          <w:rFonts w:ascii="Times New Roman" w:cs="Times New Roman" w:eastAsia="Times New Roman" w:hAnsi="Times New Roman"/>
          <w:sz w:val="14"/>
          <w:szCs w:val="14"/>
          <w:color w:val="auto"/>
        </w:rPr>
      </w:pPr>
    </w:p>
    <w:p>
      <w:pPr>
        <w:ind w:left="2200" w:right="839" w:hanging="317"/>
        <w:spacing w:after="0" w:line="265" w:lineRule="auto"/>
        <w:tabs>
          <w:tab w:leader="none" w:pos="2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or portions of notes being repurchased.</w:t>
      </w:r>
    </w:p>
    <w:p>
      <w:pPr>
        <w:spacing w:after="0" w:line="135" w:lineRule="exact"/>
        <w:rPr>
          <w:sz w:val="20"/>
          <w:szCs w:val="20"/>
          <w:color w:val="auto"/>
        </w:rPr>
      </w:pPr>
    </w:p>
    <w:p>
      <w:pPr>
        <w:ind w:left="1480" w:right="339"/>
        <w:spacing w:after="0" w:line="249" w:lineRule="auto"/>
        <w:rPr>
          <w:sz w:val="20"/>
          <w:szCs w:val="20"/>
          <w:color w:val="auto"/>
        </w:rPr>
      </w:pPr>
      <w:r>
        <w:rPr>
          <w:rFonts w:ascii="Times New Roman" w:cs="Times New Roman" w:eastAsia="Times New Roman" w:hAnsi="Times New Roman"/>
          <w:sz w:val="14"/>
          <w:szCs w:val="14"/>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46" w:lineRule="exact"/>
        <w:rPr>
          <w:sz w:val="20"/>
          <w:szCs w:val="20"/>
          <w:color w:val="auto"/>
        </w:rPr>
      </w:pPr>
    </w:p>
    <w:p>
      <w:pPr>
        <w:ind w:left="1480" w:right="399"/>
        <w:spacing w:after="0" w:line="249" w:lineRule="auto"/>
        <w:rPr>
          <w:sz w:val="20"/>
          <w:szCs w:val="20"/>
          <w:color w:val="auto"/>
        </w:rPr>
      </w:pPr>
      <w:r>
        <w:rPr>
          <w:rFonts w:ascii="Times New Roman" w:cs="Times New Roman" w:eastAsia="Times New Roman" w:hAnsi="Times New Roman"/>
          <w:sz w:val="14"/>
          <w:szCs w:val="14"/>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For purposes of the change of control offer provisions of the notes, the following terms will be applicable:</w:t>
      </w:r>
    </w:p>
    <w:p>
      <w:pPr>
        <w:spacing w:after="0" w:line="164"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any of the following: (1) the consummation of any transaction (including, without limitation, any merger or consolidation) the result of which is that any “person” (as that term is used in Section 13(d)(3) of the Exchange Act) (other than our Company or one of our subsidiaries) becomes the beneficial owner (as defined in Rules 13d-3 and 13d-5 under the Exchange Act), directly or indirectly, of more than 50% of our voting stock or other voting stock into which our voting stock is reclassified, consolidated, exchanged or changed, measured by voting power rather than number of shares; or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defined in the indenture) (other than our Company or one of our subsidiaries). Notwithstanding the foregoing, a transaction will not be deemed to involve a change of control if (A) we become a direct or indirect wholly-owned subsidiary of a holding company and (B)(i) the direct or indirect holders of the voting stock of such holding company immediately following that transaction are substantially the same as the holders of our voting stock immediately prior to that transaction or (ii) immediately</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679"/>
        <w:spacing w:after="0" w:line="265" w:lineRule="auto"/>
        <w:rPr>
          <w:sz w:val="20"/>
          <w:szCs w:val="20"/>
          <w:color w:val="auto"/>
        </w:rPr>
      </w:pPr>
      <w:r>
        <w:rPr>
          <w:rFonts w:ascii="Times New Roman" w:cs="Times New Roman" w:eastAsia="Times New Roman" w:hAnsi="Times New Roman"/>
          <w:sz w:val="14"/>
          <w:szCs w:val="14"/>
          <w:color w:val="auto"/>
        </w:rPr>
        <w:t>following that transaction no person (other than a holding company satisfying the requirements of this sentence) is the beneficial owner, directly or indirectly, of more than 50% of the voting stock of such holding company.</w:t>
      </w:r>
    </w:p>
    <w:p>
      <w:pPr>
        <w:spacing w:after="0" w:line="1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 triggering event</w:t>
      </w:r>
      <w:r>
        <w:rPr>
          <w:rFonts w:ascii="Times New Roman" w:cs="Times New Roman" w:eastAsia="Times New Roman" w:hAnsi="Times New Roman"/>
          <w:sz w:val="14"/>
          <w:szCs w:val="14"/>
          <w:color w:val="auto"/>
        </w:rPr>
        <w:t>” means the occurrence of both a change of control and a rating event with respect to the notes.</w:t>
      </w:r>
    </w:p>
    <w:p>
      <w:pPr>
        <w:spacing w:after="0" w:line="166" w:lineRule="exact"/>
        <w:rPr>
          <w:sz w:val="20"/>
          <w:szCs w:val="20"/>
          <w:color w:val="auto"/>
        </w:rPr>
      </w:pPr>
    </w:p>
    <w:p>
      <w:pPr>
        <w:ind w:left="1480" w:right="579"/>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Investment grade rating</w:t>
      </w:r>
      <w:r>
        <w:rPr>
          <w:rFonts w:ascii="Times New Roman" w:cs="Times New Roman" w:eastAsia="Times New Roman" w:hAnsi="Times New Roman"/>
          <w:sz w:val="14"/>
          <w:szCs w:val="14"/>
          <w:color w:val="auto"/>
        </w:rPr>
        <w:t>” means a rating equal to or higher than Baa3 (or the equivalent) by Moody’s and BBB- (or the equivalent) by S&amp;P, and the equivalent investment grade credit rating from any additional rating agency or rating agencies selected by us.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Moody’s</w:t>
      </w:r>
      <w:r>
        <w:rPr>
          <w:rFonts w:ascii="Times New Roman" w:cs="Times New Roman" w:eastAsia="Times New Roman" w:hAnsi="Times New Roman"/>
          <w:sz w:val="14"/>
          <w:szCs w:val="14"/>
          <w:color w:val="auto"/>
        </w:rPr>
        <w:t>” means Moody’s Investors Service Inc. and any successor to its rating agency business.</w:t>
      </w:r>
    </w:p>
    <w:p>
      <w:pPr>
        <w:spacing w:after="0" w:line="166" w:lineRule="exact"/>
        <w:rPr>
          <w:sz w:val="20"/>
          <w:szCs w:val="20"/>
          <w:color w:val="auto"/>
        </w:rPr>
      </w:pPr>
    </w:p>
    <w:p>
      <w:pPr>
        <w:ind w:left="1480" w:right="539"/>
        <w:spacing w:after="0" w:line="29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Rating agencies</w:t>
      </w:r>
      <w:r>
        <w:rPr>
          <w:rFonts w:ascii="Times New Roman" w:cs="Times New Roman" w:eastAsia="Times New Roman" w:hAnsi="Times New Roman"/>
          <w:sz w:val="12"/>
          <w:szCs w:val="12"/>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Section 3(a)</w:t>
      </w:r>
    </w:p>
    <w:p>
      <w:pPr>
        <w:spacing w:after="0" w:line="1" w:lineRule="exact"/>
        <w:rPr>
          <w:sz w:val="20"/>
          <w:szCs w:val="20"/>
          <w:color w:val="auto"/>
        </w:rPr>
      </w:pPr>
    </w:p>
    <w:p>
      <w:pPr>
        <w:ind w:left="1480" w:right="419" w:hanging="6"/>
        <w:spacing w:after="0" w:line="247" w:lineRule="auto"/>
        <w:tabs>
          <w:tab w:leader="none" w:pos="174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Exchange Act selected by us (as certified by a resolution of our Board of Directors) as a replacement agency for Moody’s or S&amp;P, or both of them, as the case may be.</w:t>
      </w:r>
    </w:p>
    <w:p>
      <w:pPr>
        <w:spacing w:after="0" w:line="145" w:lineRule="exact"/>
        <w:rPr>
          <w:sz w:val="20"/>
          <w:szCs w:val="20"/>
          <w:color w:val="auto"/>
        </w:rPr>
      </w:pPr>
    </w:p>
    <w:p>
      <w:pPr>
        <w:ind w:left="1480" w:right="439"/>
        <w:spacing w:after="0" w:line="29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Rating event</w:t>
      </w:r>
      <w:r>
        <w:rPr>
          <w:rFonts w:ascii="Times New Roman" w:cs="Times New Roman" w:eastAsia="Times New Roman" w:hAnsi="Times New Roman"/>
          <w:sz w:val="12"/>
          <w:szCs w:val="12"/>
          <w:color w:val="auto"/>
        </w:rPr>
        <w:t>” means the rating on the notes is lowered by each of the rating agencies and the notes are rated below an investment grade rating by each of the rating agencies on any day within the 60-day period (which 60-day period will be extended so long as the rating of the notes is under publicly announced consideration for a possible downgrade by any of the rating agencies) after the earlier of (1) the occurrence of a change of control and</w:t>
      </w:r>
    </w:p>
    <w:p>
      <w:pPr>
        <w:spacing w:after="0" w:line="1" w:lineRule="exact"/>
        <w:rPr>
          <w:sz w:val="20"/>
          <w:szCs w:val="20"/>
          <w:color w:val="auto"/>
        </w:rPr>
      </w:pPr>
    </w:p>
    <w:p>
      <w:pPr>
        <w:ind w:left="1480" w:right="339" w:hanging="6"/>
        <w:spacing w:after="0" w:line="244" w:lineRule="auto"/>
        <w:tabs>
          <w:tab w:leader="none" w:pos="167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notice of the occurrence of a change of control or our intention to effect a change of control; provided, however, that a rating event otherwise arising by virtue of a particular reduction in rating will not be deemed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a responsible officer of the trustee assigned to the corporate trust office of the trustee in writing at our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S&amp;P</w:t>
      </w:r>
      <w:r>
        <w:rPr>
          <w:rFonts w:ascii="Times New Roman" w:cs="Times New Roman" w:eastAsia="Times New Roman" w:hAnsi="Times New Roman"/>
          <w:sz w:val="14"/>
          <w:szCs w:val="14"/>
          <w:color w:val="auto"/>
        </w:rPr>
        <w:t>” means S&amp;P Global Ratings, a division of S&amp;P Global Inc., and any successor to its rating agency business.</w:t>
      </w:r>
    </w:p>
    <w:p>
      <w:pPr>
        <w:spacing w:after="0" w:line="166" w:lineRule="exact"/>
        <w:rPr>
          <w:sz w:val="20"/>
          <w:szCs w:val="20"/>
          <w:color w:val="auto"/>
        </w:rPr>
      </w:pPr>
    </w:p>
    <w:p>
      <w:pPr>
        <w:ind w:left="1480" w:right="559"/>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Voting stock</w:t>
      </w:r>
      <w:r>
        <w:rPr>
          <w:rFonts w:ascii="Times New Roman" w:cs="Times New Roman" w:eastAsia="Times New Roman" w:hAnsi="Times New Roman"/>
          <w:sz w:val="14"/>
          <w:szCs w:val="14"/>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33"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our and our subsidiaries’ properties or assets taken as a whole. Although there is a limited body of case law interpreting the phrase “substantially all,” there is no precise established definition of this phrase under applicable law. Accordingly, the ability of a holder of notes to require us to repurchase such holder’s notes as a result of a sale, lease, transfer, conveyance or other disposition of less than all of our and our subsidiaries’ assets taken as a whole to another person or group may be uncertain. See “Risk Factors—We may not be able to repurchase all of the notes upon a change of control triggering event.”</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Defeasance; Satisfaction and Discharge</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notes will be subject to defeasance and discharge and to defeasance of certain covenants as set forth below.</w:t>
      </w:r>
    </w:p>
    <w:p>
      <w:pPr>
        <w:spacing w:after="0" w:line="164" w:lineRule="exact"/>
        <w:rPr>
          <w:sz w:val="20"/>
          <w:szCs w:val="20"/>
          <w:color w:val="auto"/>
        </w:rPr>
      </w:pPr>
    </w:p>
    <w:p>
      <w:pPr>
        <w:ind w:left="1480" w:right="439"/>
        <w:spacing w:after="0" w:line="268" w:lineRule="auto"/>
        <w:rPr>
          <w:sz w:val="20"/>
          <w:szCs w:val="20"/>
          <w:color w:val="auto"/>
        </w:rPr>
      </w:pPr>
      <w:r>
        <w:rPr>
          <w:rFonts w:ascii="Times New Roman" w:cs="Times New Roman" w:eastAsia="Times New Roman" w:hAnsi="Times New Roman"/>
          <w:sz w:val="14"/>
          <w:szCs w:val="14"/>
          <w:i w:val="1"/>
          <w:iCs w:val="1"/>
          <w:color w:val="auto"/>
        </w:rPr>
        <w:t>Defeasance and Discharge</w:t>
      </w:r>
      <w:r>
        <w:rPr>
          <w:rFonts w:ascii="Times New Roman" w:cs="Times New Roman" w:eastAsia="Times New Roman" w:hAnsi="Times New Roman"/>
          <w:sz w:val="14"/>
          <w:szCs w:val="14"/>
          <w:color w:val="auto"/>
        </w:rPr>
        <w:t>. The indenture provides that, upon our exercise of our option, we will be discharged from all our obligations with respect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notes, except for certain obligations to exchange or register the</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7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49" w:lineRule="auto"/>
        <w:rPr>
          <w:sz w:val="20"/>
          <w:szCs w:val="20"/>
          <w:color w:val="auto"/>
        </w:rPr>
      </w:pPr>
      <w:r>
        <w:rPr>
          <w:rFonts w:ascii="Times New Roman" w:cs="Times New Roman" w:eastAsia="Times New Roman" w:hAnsi="Times New Roman"/>
          <w:sz w:val="14"/>
          <w:szCs w:val="14"/>
          <w:color w:val="auto"/>
        </w:rPr>
        <w:t>transfer of notes, to replace stolen, lost or mutilated notes, to maintain paying agencies and to hold moneys for payment in trust, upon the deposit in trust for the benefit of the holders of the notes of money or Government Obligations, or both, which, through the payment of principal and interest in respect thereof in accordance with their terms, will provide money in an amount sufficient to pay (without reinvestment of any interest earned thereon) the principal of and any premium and interest on the notes when due in accordance with the terms of the indenture and the notes. Such defeasance or discharge may occur only if, among other things, we have delivered to the trustee an opinion of counsel to the effect that:</w:t>
      </w:r>
    </w:p>
    <w:p>
      <w:pPr>
        <w:spacing w:after="0" w:line="75" w:lineRule="exact"/>
        <w:rPr>
          <w:sz w:val="20"/>
          <w:szCs w:val="20"/>
          <w:color w:val="auto"/>
        </w:rPr>
      </w:pPr>
    </w:p>
    <w:p>
      <w:pPr>
        <w:ind w:left="2200" w:hanging="317"/>
        <w:spacing w:after="0"/>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received from, or there has been published by, the United States Internal Revenue Service a ruling; or</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change in tax law,</w:t>
      </w:r>
    </w:p>
    <w:p>
      <w:pPr>
        <w:spacing w:after="0" w:line="166"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in either case to the effect that holders of the notes will not recognize gain or loss for United States federal income tax purposes as a result of such deposit, defeasance and discharge and will be subject to United States federal income tax on the same amount, in the same manner and at the same times as would have been the case if such deposit, defeasance and discharge were not to occur.</w:t>
      </w:r>
    </w:p>
    <w:p>
      <w:pPr>
        <w:spacing w:after="0" w:line="141" w:lineRule="exact"/>
        <w:rPr>
          <w:sz w:val="20"/>
          <w:szCs w:val="20"/>
          <w:color w:val="auto"/>
        </w:rPr>
      </w:pPr>
    </w:p>
    <w:p>
      <w:pPr>
        <w:ind w:left="1480" w:right="579"/>
        <w:spacing w:after="0" w:line="250"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upon our exercise of our option, we may omit to comply with certain restrictive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covenants, and the occurrence of certain events of default will be deemed not to be or result in an event of default, in each case with respect to notes. We, in order to exercise such option, will be required to deposit, in trust for the benefit of the holders of the notes (i) money in an amount,</w:t>
      </w:r>
    </w:p>
    <w:p>
      <w:pPr>
        <w:spacing w:after="0" w:line="1" w:lineRule="exact"/>
        <w:rPr>
          <w:sz w:val="20"/>
          <w:szCs w:val="20"/>
          <w:color w:val="auto"/>
        </w:rPr>
      </w:pPr>
    </w:p>
    <w:p>
      <w:pPr>
        <w:ind w:left="1480" w:right="379" w:hanging="6"/>
        <w:spacing w:after="0" w:line="244" w:lineRule="auto"/>
        <w:tabs>
          <w:tab w:leader="none" w:pos="168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Obligations, which, through the payment of principal and interest in respect thereof in accordance with their terms, will provide money in an amount, or (iii) a combination, in each case sufficient to pay (without reinvestment of any interest earned thereon) the principal of and any premium and interest on the notes on their stated maturity and interest payment dates in accordance with the terms of the indenture and the notes. We will also be required, among other things, to deliver to the trustee an opinion of counsel to the effect that holders of the notes will not recognize gain or loss for United States federal income tax purposes as a result of such deposit and defeasance of certain obligations and will be subject to United States federal income tax on the same amount, in the same manner and at the same times as would have been the case if such deposit and defeasance were not to occur. In the event we exercised this option with respect to the notes and the notes were declared due and payable because of the occurrence of any event of default, the amount of money and Government Obligations so deposited in trust would be sufficient to pay amounts due on the notes at the time of their stated maturity but may not be sufficient to pay amounts due on such debt securities upon any acceleration resulting from such event of default. In such case, we would remain liable for such payments.</w:t>
      </w:r>
    </w:p>
    <w:p>
      <w:pPr>
        <w:spacing w:after="0" w:line="150"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color w:val="auto"/>
        </w:rPr>
        <w:t>As used under this heading “—Defeasance; Satisfaction and Discharge,” the term “Government Obligations” means (i) direct obligations of a Participating Member State, (ii) obligations the timely payment of the principal of and interest on which is fully and unconditionally guaranteed by such Participating Member State, a central bank of a Participating Member State or a governmental agency of such Participating Member State, and</w:t>
      </w:r>
    </w:p>
    <w:p>
      <w:pPr>
        <w:spacing w:after="0" w:line="1" w:lineRule="exact"/>
        <w:rPr>
          <w:sz w:val="20"/>
          <w:szCs w:val="20"/>
          <w:color w:val="auto"/>
        </w:rPr>
      </w:pPr>
    </w:p>
    <w:p>
      <w:pPr>
        <w:ind w:left="1480" w:right="399" w:hanging="6"/>
        <w:spacing w:after="0" w:line="245" w:lineRule="auto"/>
        <w:tabs>
          <w:tab w:leader="none" w:pos="171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depositary receipts or other instruments which evidence a direct ownership interest in obligations described in clause (i) or (ii) above or in any specific principal or interest payments due in respect thereof, and the term “Participating Member State” means a member state of the European Union which has adopted or adopts the single currency in accordance with the Treaty establishing the European Community (as that Treaty is amended from time to time).</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Supplemental Indentures Requiring Consent of Holders</w:t>
      </w:r>
    </w:p>
    <w:p>
      <w:pPr>
        <w:spacing w:after="0" w:line="88" w:lineRule="exact"/>
        <w:rPr>
          <w:sz w:val="20"/>
          <w:szCs w:val="20"/>
          <w:color w:val="auto"/>
        </w:rPr>
      </w:pPr>
    </w:p>
    <w:p>
      <w:pPr>
        <w:ind w:left="1480" w:right="439"/>
        <w:spacing w:after="0" w:line="265" w:lineRule="auto"/>
        <w:rPr>
          <w:sz w:val="20"/>
          <w:szCs w:val="20"/>
          <w:color w:val="auto"/>
        </w:rPr>
      </w:pPr>
      <w:r>
        <w:rPr>
          <w:rFonts w:ascii="Times New Roman" w:cs="Times New Roman" w:eastAsia="Times New Roman" w:hAnsi="Times New Roman"/>
          <w:sz w:val="14"/>
          <w:szCs w:val="14"/>
          <w:color w:val="auto"/>
        </w:rPr>
        <w:t>We (with the authorization of our Board of Directors) and the trustee may make modifications and amendments to the indenture with the consent of the holders of a majority in aggregate principal amount of the outstanding</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79"/>
        <w:spacing w:after="0" w:line="265" w:lineRule="auto"/>
        <w:rPr>
          <w:sz w:val="20"/>
          <w:szCs w:val="20"/>
          <w:color w:val="auto"/>
        </w:rPr>
      </w:pPr>
      <w:r>
        <w:rPr>
          <w:rFonts w:ascii="Times New Roman" w:cs="Times New Roman" w:eastAsia="Times New Roman" w:hAnsi="Times New Roman"/>
          <w:sz w:val="14"/>
          <w:szCs w:val="14"/>
          <w:color w:val="auto"/>
        </w:rPr>
        <w:t>notes affected by such modification or amendment, provided that no such modification or amendment may, without the consent of the holder of each outstanding security affected by such modification or amendment:</w:t>
      </w:r>
    </w:p>
    <w:p>
      <w:pPr>
        <w:spacing w:after="0" w:line="64" w:lineRule="exact"/>
        <w:rPr>
          <w:sz w:val="20"/>
          <w:szCs w:val="20"/>
          <w:color w:val="auto"/>
        </w:rPr>
      </w:pPr>
    </w:p>
    <w:p>
      <w:pPr>
        <w:ind w:left="2200" w:hanging="317"/>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note;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any premium or interest on, any note;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of any note payable upon acceleration of the maturity thereof;</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of principal of, or any premium or interest on, any note;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any note;</w:t>
      </w:r>
    </w:p>
    <w:p>
      <w:pPr>
        <w:spacing w:after="0" w:line="94" w:lineRule="exact"/>
        <w:rPr>
          <w:rFonts w:ascii="Times New Roman" w:cs="Times New Roman" w:eastAsia="Times New Roman" w:hAnsi="Times New Roman"/>
          <w:sz w:val="14"/>
          <w:szCs w:val="14"/>
          <w:color w:val="auto"/>
        </w:rPr>
      </w:pPr>
    </w:p>
    <w:p>
      <w:pPr>
        <w:ind w:left="2200" w:right="839" w:hanging="317"/>
        <w:spacing w:after="0" w:line="265"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the consent of whose holders is required for modification or amendment of the indenture;</w:t>
      </w:r>
    </w:p>
    <w:p>
      <w:pPr>
        <w:spacing w:after="0" w:line="63" w:lineRule="exact"/>
        <w:rPr>
          <w:rFonts w:ascii="Times New Roman" w:cs="Times New Roman" w:eastAsia="Times New Roman" w:hAnsi="Times New Roman"/>
          <w:sz w:val="14"/>
          <w:szCs w:val="14"/>
          <w:color w:val="auto"/>
        </w:rPr>
      </w:pPr>
    </w:p>
    <w:p>
      <w:pPr>
        <w:ind w:left="2200" w:right="659" w:hanging="317"/>
        <w:spacing w:after="0" w:line="265"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necessary for waiver of compliance with certain provisions of the indenture or for waiver of certain defaults; or</w:t>
      </w:r>
    </w:p>
    <w:p>
      <w:pPr>
        <w:spacing w:after="0" w:line="63" w:lineRule="exact"/>
        <w:rPr>
          <w:rFonts w:ascii="Times New Roman" w:cs="Times New Roman" w:eastAsia="Times New Roman" w:hAnsi="Times New Roman"/>
          <w:sz w:val="14"/>
          <w:szCs w:val="14"/>
          <w:color w:val="auto"/>
        </w:rPr>
      </w:pPr>
    </w:p>
    <w:p>
      <w:pPr>
        <w:ind w:left="2200" w:right="479" w:hanging="317"/>
        <w:spacing w:after="0" w:line="265" w:lineRule="auto"/>
        <w:tabs>
          <w:tab w:leader="none" w:pos="2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such provisions with respect to modification and waiver except to increase percentages or to provide that certain other provisions of the indenture cannot be modified or waived without the consent of each holder affected thereby.</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Supplemental Indentures Not Requiring Consent of Holders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Without the consent of any holders of notes, we and the trustee may supplement the indenture, among other things, to:</w:t>
      </w:r>
    </w:p>
    <w:p>
      <w:pPr>
        <w:spacing w:after="0" w:line="95" w:lineRule="exact"/>
        <w:rPr>
          <w:sz w:val="20"/>
          <w:szCs w:val="20"/>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that another entity has succeeded us and assumed the covenants and obligations of us under the notes and the indenture;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for the benefit of the holders of notes, or to surrender any right or power conferred to us under the indenture;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events of default for the benefit of holders of notes;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any provision in the indenture to permit the issuance of notes in uncertificated form;</w:t>
      </w:r>
    </w:p>
    <w:p>
      <w:pPr>
        <w:spacing w:after="0" w:line="94" w:lineRule="exact"/>
        <w:rPr>
          <w:rFonts w:ascii="Times New Roman" w:cs="Times New Roman" w:eastAsia="Times New Roman" w:hAnsi="Times New Roman"/>
          <w:sz w:val="14"/>
          <w:szCs w:val="14"/>
          <w:color w:val="auto"/>
        </w:rPr>
      </w:pPr>
    </w:p>
    <w:p>
      <w:pPr>
        <w:ind w:left="2200" w:right="359" w:hanging="317"/>
        <w:spacing w:after="0" w:line="250"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or eliminate any provision of the indenture in respect of the notes; provided that such modification (A) will not apply to any debt security created prior to the execution of such supplemental indenture and entitled to the benefit of the existing provision, nor modify the rights of the holder of any notes with respect to the existing provision or (B) will only become effective when there is no such debt security outstanding;</w:t>
      </w:r>
    </w:p>
    <w:p>
      <w:pPr>
        <w:spacing w:after="0" w:line="75"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 property to the trustee as security for the notes;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and terms of any other series of debt securities as permitted by the indenture;</w:t>
      </w:r>
    </w:p>
    <w:p>
      <w:pPr>
        <w:spacing w:after="0" w:line="94" w:lineRule="exact"/>
        <w:rPr>
          <w:rFonts w:ascii="Times New Roman" w:cs="Times New Roman" w:eastAsia="Times New Roman" w:hAnsi="Times New Roman"/>
          <w:sz w:val="14"/>
          <w:szCs w:val="14"/>
          <w:color w:val="auto"/>
        </w:rPr>
      </w:pPr>
    </w:p>
    <w:p>
      <w:pPr>
        <w:ind w:left="2200" w:right="759" w:hanging="317"/>
        <w:spacing w:after="0" w:line="265"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any change of the trustee with respect to the notes, or provide for the administration of the trusts under the indenture by an additional trustee;</w:t>
      </w:r>
    </w:p>
    <w:p>
      <w:pPr>
        <w:spacing w:after="0" w:line="63" w:lineRule="exact"/>
        <w:rPr>
          <w:rFonts w:ascii="Times New Roman" w:cs="Times New Roman" w:eastAsia="Times New Roman" w:hAnsi="Times New Roman"/>
          <w:sz w:val="14"/>
          <w:szCs w:val="14"/>
          <w:color w:val="auto"/>
        </w:rPr>
      </w:pPr>
    </w:p>
    <w:p>
      <w:pPr>
        <w:ind w:left="2200" w:right="439" w:hanging="317"/>
        <w:spacing w:after="0" w:line="254"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correct or supplement any provision in the indenture that may be defective or inconsistent with any other provision in the indenture or make any other provisions with respect to matters or questions arising under the indenture; provided that the interests of the holders of the notes are not adversely affected; or</w:t>
      </w:r>
    </w:p>
    <w:p>
      <w:pPr>
        <w:spacing w:after="0" w:line="71" w:lineRule="exact"/>
        <w:rPr>
          <w:rFonts w:ascii="Times New Roman" w:cs="Times New Roman" w:eastAsia="Times New Roman" w:hAnsi="Times New Roman"/>
          <w:sz w:val="14"/>
          <w:szCs w:val="14"/>
          <w:color w:val="auto"/>
        </w:rPr>
      </w:pPr>
    </w:p>
    <w:p>
      <w:pPr>
        <w:ind w:left="2200" w:right="659" w:hanging="317"/>
        <w:spacing w:after="0" w:line="265" w:lineRule="auto"/>
        <w:tabs>
          <w:tab w:leader="none" w:pos="22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text of the indenture or such notes to any provision of this “Description of Notes” to the extent that such provision in this “Description of Notes” was intended to be a verbatim recitation of the indenture or such notes.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notes may waive our compliance with certain restrictive provisions of the indenture as they relate to the notes. The holders of a majority in principal amount of the outstanding notes may waive any past default under the indenture as such default relates to the notes, except a default in the payment of principal, premium or interest on the notes and certain covenants and provisions of the indenture which cannot be amended without the consent of the holder of each outstanding note affected.</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Global Clearance and Settlement</w:t>
      </w:r>
    </w:p>
    <w:p>
      <w:pPr>
        <w:spacing w:after="0" w:line="88"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The notes will be issued in the form of one or more global notes in fully registered form, without coupons, and will be deposited with, or on behalf of, a common depositary, and registered in the name of the nominee of the common depositary, for, and in respect of interests held through, Euroclear and Clearstream. Except as described herein, certificates will not be issued in exchange for beneficial interests in the global notes.</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Except as set forth below, the global notes may be transferred, in whole and not in part, only to Euroclear or Clearstream or their respective nominees.</w:t>
      </w:r>
    </w:p>
    <w:p>
      <w:pPr>
        <w:spacing w:after="0" w:line="189" w:lineRule="exact"/>
        <w:rPr>
          <w:sz w:val="20"/>
          <w:szCs w:val="20"/>
          <w:color w:val="auto"/>
        </w:rPr>
      </w:pPr>
    </w:p>
    <w:p>
      <w:pPr>
        <w:ind w:left="1480" w:right="719"/>
        <w:spacing w:after="0" w:line="306" w:lineRule="auto"/>
        <w:rPr>
          <w:sz w:val="20"/>
          <w:szCs w:val="20"/>
          <w:color w:val="auto"/>
        </w:rPr>
      </w:pPr>
      <w:r>
        <w:rPr>
          <w:rFonts w:ascii="Times New Roman" w:cs="Times New Roman" w:eastAsia="Times New Roman" w:hAnsi="Times New Roman"/>
          <w:sz w:val="12"/>
          <w:szCs w:val="12"/>
          <w:color w:val="auto"/>
        </w:rPr>
        <w:t>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minimum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1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Dover has been advised by Clearstream and Euroclear, respectively, as follows: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88" w:lineRule="exact"/>
        <w:rPr>
          <w:sz w:val="20"/>
          <w:szCs w:val="20"/>
          <w:color w:val="auto"/>
        </w:rPr>
      </w:pPr>
    </w:p>
    <w:p>
      <w:pPr>
        <w:ind w:left="1480" w:right="419"/>
        <w:spacing w:after="0" w:line="291" w:lineRule="auto"/>
        <w:rPr>
          <w:sz w:val="20"/>
          <w:szCs w:val="20"/>
          <w:color w:val="auto"/>
        </w:rPr>
      </w:pPr>
      <w:r>
        <w:rPr>
          <w:rFonts w:ascii="Times New Roman" w:cs="Times New Roman" w:eastAsia="Times New Roman" w:hAnsi="Times New Roman"/>
          <w:sz w:val="12"/>
          <w:szCs w:val="12"/>
          <w:color w:val="auto"/>
        </w:rPr>
        <w:t>Clearstream has advised that it is incorporated under the laws of Luxembourg and licensed as a bank and professional depositary. Clearstream holds securities for its participating organizations and facilitates the clearance and settlement of securities transactions among its participants through electronic book-entry changes in accounts of its participants, thereby eliminating physical global certificates entirely and replacing them with electronic records.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(as defined below) to facilitate the settlement of trades between the nominees of Clearstream and Euroclear. As a registered bank in Luxembourg, Clearstream is subject to regulation by the Luxembourg Commission for the Supervision of the Financial Sector (</w:t>
      </w:r>
      <w:r>
        <w:rPr>
          <w:rFonts w:ascii="Times New Roman" w:cs="Times New Roman" w:eastAsia="Times New Roman" w:hAnsi="Times New Roman"/>
          <w:sz w:val="12"/>
          <w:szCs w:val="12"/>
          <w:i w:val="1"/>
          <w:iCs w:val="1"/>
          <w:color w:val="auto"/>
        </w:rPr>
        <w:t>Commission de Surveillance du Secteur Financier</w:t>
      </w:r>
      <w:r>
        <w:rPr>
          <w:rFonts w:ascii="Times New Roman" w:cs="Times New Roman" w:eastAsia="Times New Roman" w:hAnsi="Times New Roman"/>
          <w:sz w:val="12"/>
          <w:szCs w:val="12"/>
          <w:color w:val="auto"/>
        </w:rPr>
        <w:t>). Clearstream customers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289" w:lineRule="exact"/>
        <w:rPr>
          <w:sz w:val="20"/>
          <w:szCs w:val="20"/>
          <w:color w:val="auto"/>
        </w:rPr>
      </w:pPr>
    </w:p>
    <w:p>
      <w:pPr>
        <w:ind w:left="1480" w:right="619"/>
        <w:spacing w:after="0" w:line="265"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Clearstream will be credited to cash accounts of Clearstream participants in accordance with its rules and procedures.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88" w:lineRule="exact"/>
        <w:rPr>
          <w:sz w:val="20"/>
          <w:szCs w:val="20"/>
          <w:color w:val="auto"/>
        </w:rPr>
      </w:pPr>
    </w:p>
    <w:p>
      <w:pPr>
        <w:ind w:left="1480" w:right="399"/>
        <w:spacing w:after="0" w:line="265" w:lineRule="auto"/>
        <w:rPr>
          <w:sz w:val="20"/>
          <w:szCs w:val="20"/>
          <w:color w:val="auto"/>
        </w:rPr>
      </w:pPr>
      <w:r>
        <w:rPr>
          <w:rFonts w:ascii="Times New Roman" w:cs="Times New Roman" w:eastAsia="Times New Roman" w:hAnsi="Times New Roman"/>
          <w:sz w:val="14"/>
          <w:szCs w:val="14"/>
          <w:color w:val="auto"/>
        </w:rPr>
        <w:t>Euroclear has advised that it was created in 1968 to hold securities for its participants and to clear and settle transactions between Euroclear participants through simultaneous electronic book-entry delivery against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payment, thereby eliminating the need for physical movement of certificates and any risk from lack of simultaneous transfers of securities and cash.</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Euroclear provides various other services, including securities lending and borrowing, and interfaces with domestic markets in several countries.</w:t>
      </w:r>
    </w:p>
    <w:p>
      <w:pPr>
        <w:spacing w:after="0" w:line="152" w:lineRule="exact"/>
        <w:rPr>
          <w:sz w:val="20"/>
          <w:szCs w:val="20"/>
          <w:color w:val="auto"/>
        </w:rPr>
      </w:pPr>
    </w:p>
    <w:p>
      <w:pPr>
        <w:ind w:left="1480" w:right="419"/>
        <w:spacing w:after="0" w:line="307" w:lineRule="auto"/>
        <w:rPr>
          <w:sz w:val="20"/>
          <w:szCs w:val="20"/>
          <w:color w:val="auto"/>
        </w:rPr>
      </w:pPr>
      <w:r>
        <w:rPr>
          <w:rFonts w:ascii="Times New Roman" w:cs="Times New Roman" w:eastAsia="Times New Roman" w:hAnsi="Times New Roman"/>
          <w:sz w:val="12"/>
          <w:szCs w:val="12"/>
          <w:color w:val="auto"/>
        </w:rPr>
        <w:t>Euroclear is operated by Euroclear Bank SA/NV (the “</w:t>
      </w:r>
      <w:r>
        <w:rPr>
          <w:rFonts w:ascii="Times New Roman" w:cs="Times New Roman" w:eastAsia="Times New Roman" w:hAnsi="Times New Roman"/>
          <w:sz w:val="12"/>
          <w:szCs w:val="12"/>
          <w:i w:val="1"/>
          <w:iCs w:val="1"/>
          <w:color w:val="auto"/>
        </w:rPr>
        <w:t>Euroclear Operator</w:t>
      </w:r>
      <w:r>
        <w:rPr>
          <w:rFonts w:ascii="Times New Roman" w:cs="Times New Roman" w:eastAsia="Times New Roman" w:hAnsi="Times New Roman"/>
          <w:sz w:val="12"/>
          <w:szCs w:val="12"/>
          <w:color w:val="auto"/>
        </w:rPr>
        <w:t>”).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14"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Euroclear, and applicable Belgian law (collectively, the “</w:t>
      </w:r>
      <w:r>
        <w:rPr>
          <w:rFonts w:ascii="Times New Roman" w:cs="Times New Roman" w:eastAsia="Times New Roman" w:hAnsi="Times New Roman"/>
          <w:sz w:val="14"/>
          <w:szCs w:val="14"/>
          <w:i w:val="1"/>
          <w:iCs w:val="1"/>
          <w:color w:val="auto"/>
        </w:rPr>
        <w:t>Terms and Conditions</w:t>
      </w:r>
      <w:r>
        <w:rPr>
          <w:rFonts w:ascii="Times New Roman" w:cs="Times New Roman" w:eastAsia="Times New Roman" w:hAnsi="Times New Roman"/>
          <w:sz w:val="14"/>
          <w:szCs w:val="14"/>
          <w:color w:val="auto"/>
        </w:rPr>
        <w:t>”).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w:t>
      </w:r>
    </w:p>
    <w:p>
      <w:pPr>
        <w:spacing w:after="0" w:line="147" w:lineRule="exact"/>
        <w:rPr>
          <w:sz w:val="20"/>
          <w:szCs w:val="20"/>
          <w:color w:val="auto"/>
        </w:rPr>
      </w:pPr>
    </w:p>
    <w:p>
      <w:pPr>
        <w:ind w:left="1480" w:right="479"/>
        <w:spacing w:after="0" w:line="265" w:lineRule="auto"/>
        <w:rPr>
          <w:sz w:val="20"/>
          <w:szCs w:val="20"/>
          <w:color w:val="auto"/>
        </w:rPr>
      </w:pPr>
      <w:r>
        <w:rPr>
          <w:rFonts w:ascii="Times New Roman" w:cs="Times New Roman" w:eastAsia="Times New Roman" w:hAnsi="Times New Roman"/>
          <w:sz w:val="14"/>
          <w:szCs w:val="14"/>
          <w:color w:val="auto"/>
        </w:rPr>
        <w:t>Distributions with respect to the notes held beneficially through Euroclear will be credited to the cash accounts of Euroclear participants in accordance with the Terms and Conditions.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 Arrangements</w:t>
      </w:r>
    </w:p>
    <w:p>
      <w:pPr>
        <w:spacing w:after="0" w:line="88" w:lineRule="exact"/>
        <w:rPr>
          <w:sz w:val="20"/>
          <w:szCs w:val="20"/>
          <w:color w:val="auto"/>
        </w:rPr>
      </w:pPr>
    </w:p>
    <w:p>
      <w:pPr>
        <w:ind w:left="1480" w:right="419"/>
        <w:spacing w:after="0" w:line="295" w:lineRule="auto"/>
        <w:rPr>
          <w:sz w:val="20"/>
          <w:szCs w:val="20"/>
          <w:color w:val="auto"/>
        </w:rPr>
      </w:pPr>
      <w:r>
        <w:rPr>
          <w:rFonts w:ascii="Times New Roman" w:cs="Times New Roman" w:eastAsia="Times New Roman" w:hAnsi="Times New Roman"/>
          <w:sz w:val="12"/>
          <w:szCs w:val="12"/>
          <w:color w:val="auto"/>
        </w:rPr>
        <w:t>So long as Euroclear or Clearstream or their nominee or their common depositary or its nominee is the registered holder of the global notes, Euroclear, Clearstream, the common depositary, or such nominee, as the case may be, will be considered the sole owner or holder of the notes represented by such global notes for all purposes under the indenture and the notes. Payments of principal, interest and additional amounts, if any, in respect of the global notes will be made to Euroclear, Clearstream, such nominee or such common depositary, as the case may be, as registered holder thereof. None of Dover, the trustee, any underwriter and any affiliate of any of the above or any person by whom any of the above is controlled (as such term is defined in the Securities Act) will have any responsibility or liability for any records relating to or payments made on account of beneficial ownership interests in the global notes or for maintaining, supervising or reviewing any records relating to such beneficial ownership interests.</w:t>
      </w:r>
    </w:p>
    <w:p>
      <w:pPr>
        <w:spacing w:after="0" w:line="121"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Distributions of principal, premium, if any, and interest with respect to the global notes will be credited in euro to the extent received by Euroclear or Clearstream from the paying agent to the cash accounts of Euroclear or Clearstream customers in accordance with the relevant system’s rules and procedures.</w:t>
      </w:r>
    </w:p>
    <w:p>
      <w:pPr>
        <w:spacing w:after="0" w:line="143"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Because Euroclear and Clearstream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Initial Settlement</w:t>
      </w:r>
    </w:p>
    <w:p>
      <w:pPr>
        <w:spacing w:after="0" w:line="88" w:lineRule="exact"/>
        <w:rPr>
          <w:sz w:val="20"/>
          <w:szCs w:val="20"/>
          <w:color w:val="auto"/>
        </w:rPr>
      </w:pPr>
    </w:p>
    <w:p>
      <w:pPr>
        <w:ind w:left="1480" w:right="359"/>
        <w:spacing w:after="0" w:line="316" w:lineRule="auto"/>
        <w:rPr>
          <w:sz w:val="20"/>
          <w:szCs w:val="20"/>
          <w:color w:val="auto"/>
        </w:rPr>
      </w:pPr>
      <w:r>
        <w:rPr>
          <w:rFonts w:ascii="Times New Roman" w:cs="Times New Roman" w:eastAsia="Times New Roman" w:hAnsi="Times New Roman"/>
          <w:sz w:val="12"/>
          <w:szCs w:val="12"/>
          <w:color w:val="auto"/>
        </w:rPr>
        <w:t>Dover understands that investors that hold their notes through Clearstream or Euroclear accounts will follow the settlement procedures that are applicable to conventional eurobonds in registered form. Subject to applicable procedures of Clearstream and Euroclear, notes will be credited to the securities custody accounts of Clearstream and Euroclear participants on the business day following the settlement date, for value on the settlement date.</w:t>
      </w:r>
    </w:p>
    <w:p>
      <w:pPr>
        <w:spacing w:after="0" w:line="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Secondary Market Trading</w:t>
      </w:r>
    </w:p>
    <w:p>
      <w:pPr>
        <w:spacing w:after="0" w:line="88" w:lineRule="exact"/>
        <w:rPr>
          <w:sz w:val="20"/>
          <w:szCs w:val="20"/>
          <w:color w:val="auto"/>
        </w:rPr>
      </w:pPr>
    </w:p>
    <w:p>
      <w:pPr>
        <w:ind w:left="1480" w:right="599"/>
        <w:spacing w:after="0" w:line="265" w:lineRule="auto"/>
        <w:rPr>
          <w:sz w:val="20"/>
          <w:szCs w:val="20"/>
          <w:color w:val="auto"/>
        </w:rPr>
      </w:pPr>
      <w:r>
        <w:rPr>
          <w:rFonts w:ascii="Times New Roman" w:cs="Times New Roman" w:eastAsia="Times New Roman" w:hAnsi="Times New Roman"/>
          <w:sz w:val="14"/>
          <w:szCs w:val="14"/>
          <w:color w:val="auto"/>
        </w:rPr>
        <w:t>Because the purchaser determines the place of delivery, it is important to establish at the time of trading of any notes where both the purchaser’s and seller’s accounts are located to ensure that settlement can be made on the desired value date.</w:t>
      </w:r>
    </w:p>
    <w:p>
      <w:pPr>
        <w:spacing w:after="0" w:line="135" w:lineRule="exact"/>
        <w:rPr>
          <w:sz w:val="20"/>
          <w:szCs w:val="20"/>
          <w:color w:val="auto"/>
        </w:rPr>
      </w:pPr>
    </w:p>
    <w:p>
      <w:pPr>
        <w:jc w:val="both"/>
        <w:ind w:left="1480" w:right="759"/>
        <w:spacing w:after="0" w:line="254" w:lineRule="auto"/>
        <w:rPr>
          <w:sz w:val="20"/>
          <w:szCs w:val="20"/>
          <w:color w:val="auto"/>
        </w:rPr>
      </w:pPr>
      <w:r>
        <w:rPr>
          <w:rFonts w:ascii="Times New Roman" w:cs="Times New Roman" w:eastAsia="Times New Roman" w:hAnsi="Times New Roman"/>
          <w:sz w:val="14"/>
          <w:szCs w:val="14"/>
          <w:color w:val="auto"/>
        </w:rPr>
        <w:t>Dover understands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global registered form.</w:t>
      </w:r>
    </w:p>
    <w:p>
      <w:pPr>
        <w:spacing w:after="0" w:line="143"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3"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In addition, because of time 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7"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47"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Exchange of Global Notes for Certificated Notes</w:t>
      </w:r>
    </w:p>
    <w:p>
      <w:pPr>
        <w:spacing w:after="0" w:line="88" w:lineRule="exact"/>
        <w:rPr>
          <w:sz w:val="20"/>
          <w:szCs w:val="20"/>
          <w:color w:val="auto"/>
        </w:rPr>
      </w:pPr>
    </w:p>
    <w:p>
      <w:pPr>
        <w:ind w:left="1480" w:right="879"/>
        <w:spacing w:after="0" w:line="265" w:lineRule="auto"/>
        <w:rPr>
          <w:sz w:val="20"/>
          <w:szCs w:val="20"/>
          <w:color w:val="auto"/>
        </w:rPr>
      </w:pPr>
      <w:r>
        <w:rPr>
          <w:rFonts w:ascii="Times New Roman" w:cs="Times New Roman" w:eastAsia="Times New Roman" w:hAnsi="Times New Roman"/>
          <w:sz w:val="14"/>
          <w:szCs w:val="14"/>
          <w:color w:val="auto"/>
        </w:rPr>
        <w:t>Subject to certain conditions, the notes represented by the global notes are exchangeable for certificated notes in definitive form of like tenor in minimum denominations of €100,000 principal amount and integral multiples of €1,000 in excess thereof if:</w:t>
      </w:r>
    </w:p>
    <w:p>
      <w:pPr>
        <w:spacing w:after="0" w:line="64" w:lineRule="exact"/>
        <w:rPr>
          <w:sz w:val="20"/>
          <w:szCs w:val="20"/>
          <w:color w:val="auto"/>
        </w:rPr>
      </w:pPr>
    </w:p>
    <w:p>
      <w:pPr>
        <w:ind w:left="1800" w:right="499" w:hanging="326"/>
        <w:spacing w:after="0" w:line="265" w:lineRule="auto"/>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depositary notifies Dover that it is unwilling, unable or no longer qualified to continue as depositary for the global notes and Dover fails to appoint a successor depositary within 90 calendar days;</w:t>
      </w:r>
    </w:p>
    <w:p>
      <w:pPr>
        <w:spacing w:after="0" w:line="63" w:lineRule="exact"/>
        <w:rPr>
          <w:rFonts w:ascii="Times New Roman" w:cs="Times New Roman" w:eastAsia="Times New Roman" w:hAnsi="Times New Roman"/>
          <w:sz w:val="14"/>
          <w:szCs w:val="14"/>
          <w:color w:val="auto"/>
        </w:rPr>
      </w:pPr>
    </w:p>
    <w:p>
      <w:pPr>
        <w:ind w:left="1800" w:hanging="326"/>
        <w:spacing w:after="0"/>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 at its option, notifies the trustee in writing that it elects to cause the issuance of certificated notes; or</w:t>
      </w:r>
    </w:p>
    <w:p>
      <w:pPr>
        <w:spacing w:after="0" w:line="94" w:lineRule="exact"/>
        <w:rPr>
          <w:rFonts w:ascii="Times New Roman" w:cs="Times New Roman" w:eastAsia="Times New Roman" w:hAnsi="Times New Roman"/>
          <w:sz w:val="14"/>
          <w:szCs w:val="14"/>
          <w:color w:val="auto"/>
        </w:rPr>
      </w:pPr>
    </w:p>
    <w:p>
      <w:pPr>
        <w:ind w:left="1800" w:hanging="326"/>
        <w:spacing w:after="0"/>
        <w:tabs>
          <w:tab w:leader="none" w:pos="1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and is continuing an event of default with respect to the notes.</w:t>
      </w:r>
    </w:p>
    <w:p>
      <w:pPr>
        <w:spacing w:after="0" w:line="166"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In all cases, certificated notes delivered in exchange for any global note or beneficial interest therein will be registered in the names, and issued in any approved denominations, requested by or on behalf of the common depositary (in accordance with its customary procedures).</w:t>
      </w:r>
    </w:p>
    <w:p>
      <w:pPr>
        <w:spacing w:after="0" w:line="135"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 xml:space="preserve">Payments (including principal, premium and interest) with respect to notes in certificated form may be made at the office or agency maintained for such purpose in London (initially the corporate trust office of the paying agent) or, at Dover’s option, by check mailed to the holders thereof at the respective addresses set forth in the register of holders of the notes (maintained by the registrar);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all payments (including principal, premium and interest) on notes in certificated form, for which the holders thereof have given wire transfer</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88" w:lineRule="exact"/>
        <w:rPr>
          <w:sz w:val="20"/>
          <w:szCs w:val="20"/>
          <w:color w:val="auto"/>
        </w:rPr>
      </w:pPr>
    </w:p>
    <w:p>
      <w:pPr>
        <w:ind w:left="1480" w:right="399"/>
        <w:spacing w:after="0" w:line="265" w:lineRule="auto"/>
        <w:rPr>
          <w:sz w:val="20"/>
          <w:szCs w:val="20"/>
          <w:color w:val="auto"/>
        </w:rPr>
      </w:pPr>
      <w:r>
        <w:rPr>
          <w:rFonts w:ascii="Times New Roman" w:cs="Times New Roman" w:eastAsia="Times New Roman" w:hAnsi="Times New Roman"/>
          <w:sz w:val="14"/>
          <w:szCs w:val="14"/>
          <w:color w:val="auto"/>
        </w:rPr>
        <w:t>The Bank of New York Mellon, a New York banking corporation, is the trustee under the indenture. We may maintain deposit accounts or conduct other banking transactions with the trustee in the ordinary course of business.</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indenture and the notes will be governed by, and construed and enforced in accordance with, the laws of the State of New York.</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CONSIDERATIONS</w:t>
      </w:r>
    </w:p>
    <w:p>
      <w:pPr>
        <w:spacing w:after="0" w:line="170" w:lineRule="exact"/>
        <w:rPr>
          <w:sz w:val="20"/>
          <w:szCs w:val="20"/>
          <w:color w:val="auto"/>
        </w:rPr>
      </w:pPr>
    </w:p>
    <w:p>
      <w:pPr>
        <w:ind w:left="1480" w:right="439"/>
        <w:spacing w:after="0" w:line="265" w:lineRule="auto"/>
        <w:rPr>
          <w:sz w:val="20"/>
          <w:szCs w:val="20"/>
          <w:color w:val="auto"/>
        </w:rPr>
      </w:pPr>
      <w:r>
        <w:rPr>
          <w:rFonts w:ascii="Times New Roman" w:cs="Times New Roman" w:eastAsia="Times New Roman" w:hAnsi="Times New Roman"/>
          <w:sz w:val="14"/>
          <w:szCs w:val="14"/>
          <w:color w:val="auto"/>
        </w:rPr>
        <w:t>The following summary describes generally the material United States federal income tax considerations with respect to the acquisition, ownership and disposition of a note.</w:t>
      </w:r>
    </w:p>
    <w:p>
      <w:pPr>
        <w:spacing w:after="0" w:line="135"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Unless otherwise indicated, this summary addresses only notes purchased at original issue for their original offering price and held by beneficial owners as capital assets (generally, property held for investment), and does not address all of the United States federal income tax considerations that may be relevant to you in light of your particular circumstances or if you are subject to special treatment under United States federal income tax laws (for example, if you are an insurance company, tax-exempt organization or governmental organization, bank or other financial institution, broker or dealer in securities or currencies, trader in securities that elects to use the mark-to-market method of accounting for your securities holdings, regulated investment company, real estate investment trust, “S” corporation, partnership or other pass-through entity (or person holding notes through such entities), person subject to any alternative minimum tax, United States expatriate, United States person with a functional currency other than the U.S. dollar, person that holds notes as part of a straddle, hedge, conversion, constructive sale, or other integrated financial transaction, holder of the 2026 notes or any existing notes that are tendered and accepted for purchase in the tender offers, controlled foreign corporation, passive foreign investment company, or corporation that accumulates earnings to avoid United States federal income tax).</w:t>
      </w:r>
    </w:p>
    <w:p>
      <w:pPr>
        <w:spacing w:after="0" w:line="149"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United States federal income tax purposes) holds notes, the tax treatment of a partner generally will depend upon the status of the partner and the activities of the partnership. A partner of a partnership holding our notes should consult its own tax advisor regarding the tax consequences of the acquisition, ownership and disposition of our notes, as this summary does not address special tax considerations that may be relevant to such a partner.</w:t>
      </w:r>
    </w:p>
    <w:p>
      <w:pPr>
        <w:spacing w:after="0" w:line="147" w:lineRule="exact"/>
        <w:rPr>
          <w:sz w:val="20"/>
          <w:szCs w:val="20"/>
          <w:color w:val="auto"/>
        </w:rPr>
      </w:pPr>
    </w:p>
    <w:p>
      <w:pPr>
        <w:jc w:val="both"/>
        <w:ind w:left="1480" w:right="359"/>
        <w:spacing w:after="0" w:line="250" w:lineRule="auto"/>
        <w:rPr>
          <w:sz w:val="20"/>
          <w:szCs w:val="20"/>
          <w:color w:val="auto"/>
        </w:rPr>
      </w:pPr>
      <w:r>
        <w:rPr>
          <w:rFonts w:ascii="Times New Roman" w:cs="Times New Roman" w:eastAsia="Times New Roman" w:hAnsi="Times New Roman"/>
          <w:sz w:val="14"/>
          <w:szCs w:val="14"/>
          <w:color w:val="auto"/>
        </w:rPr>
        <w:t>This summary is based on current provisions of the Code, Treasury Regulations, judicial opinions, published positions of the Internal Revenue Service (the “IRS”), and all other applicable authorities, all of which are subject to change, possibly with retroactive effect. This summary is not intended as tax advice. This summary does not discuss any aspect of state, local or non-United States taxation, or any United States federal tax considerations other than income taxation (such as the Medicare surtax on net investment income or estate or gift taxes).</w:t>
      </w:r>
    </w:p>
    <w:p>
      <w:pPr>
        <w:spacing w:after="0" w:line="147" w:lineRule="exact"/>
        <w:rPr>
          <w:sz w:val="20"/>
          <w:szCs w:val="20"/>
          <w:color w:val="auto"/>
        </w:rPr>
      </w:pPr>
    </w:p>
    <w:p>
      <w:pPr>
        <w:ind w:left="1480" w:right="359"/>
        <w:spacing w:after="0" w:line="291" w:lineRule="auto"/>
        <w:rPr>
          <w:sz w:val="20"/>
          <w:szCs w:val="20"/>
          <w:color w:val="auto"/>
        </w:rPr>
      </w:pPr>
      <w:r>
        <w:rPr>
          <w:rFonts w:ascii="Times New Roman" w:cs="Times New Roman" w:eastAsia="Times New Roman" w:hAnsi="Times New Roman"/>
          <w:sz w:val="12"/>
          <w:szCs w:val="12"/>
          <w:color w:val="auto"/>
        </w:rPr>
        <w:t>We may be required to make payments of additional amounts to you under certain circumstances, including those described under “Description of Notes —Payment of Additional Amounts.” Our obligation to pay such excess amounts may implicate the provisions of the United States Treasury Regulations relating to “contingent payment debt instruments.” Under these regulations, however, a contingency will not cause a debt instrument to be treated as a contingent payment debt instrument if, as of the issue date, such contingency is “remote” or is considered to be “incidental.” We believe that the possibility of any such payment is remote and/or incidental and therefore intend to take the position that such possibility does not result in the notes being treated as “contingent payment debt instruments” under the applicable United States Treasury Regulations. This position is binding on you unless you disclose your contrary position in the manner required by applicable United States Treasury Regulations. This determination, however, is not binding on the IRS and it is possible that the IRS may take a different position, in which case you might, among other things, be required to accrue interest income at a higher rate than the stated interest rate and to treat as ordinary interest income any gain realized on a taxable disposition of the notes. The remainder of this discussion assumes that the notes will not be considered contingent payment debt instruments. You should consult your tax advisors regarding the possible application of the contingent payment debt instrument rules to the notes and the consequences thereof.</w:t>
      </w:r>
    </w:p>
    <w:p>
      <w:pPr>
        <w:spacing w:after="0" w:line="285" w:lineRule="exact"/>
        <w:rPr>
          <w:sz w:val="20"/>
          <w:szCs w:val="20"/>
          <w:color w:val="auto"/>
        </w:rPr>
      </w:pPr>
    </w:p>
    <w:p>
      <w:pPr>
        <w:ind w:left="1480" w:right="519"/>
        <w:spacing w:after="0" w:line="271" w:lineRule="auto"/>
        <w:rPr>
          <w:sz w:val="20"/>
          <w:szCs w:val="20"/>
          <w:color w:val="auto"/>
        </w:rPr>
      </w:pPr>
      <w:r>
        <w:rPr>
          <w:rFonts w:ascii="Times New Roman" w:cs="Times New Roman" w:eastAsia="Times New Roman" w:hAnsi="Times New Roman"/>
          <w:sz w:val="14"/>
          <w:szCs w:val="14"/>
          <w:b w:val="1"/>
          <w:bCs w:val="1"/>
          <w:color w:val="auto"/>
        </w:rPr>
        <w:t>We urge prospective investors in the notes to consult their tax advisors regarding the United States federal, state, local and non-United States income and other tax considerations of acquiring, holding and disposing of the notes.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7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88" w:lineRule="exact"/>
        <w:rPr>
          <w:sz w:val="20"/>
          <w:szCs w:val="20"/>
          <w:color w:val="auto"/>
        </w:rPr>
      </w:pPr>
    </w:p>
    <w:p>
      <w:pPr>
        <w:ind w:left="1480" w:right="459"/>
        <w:spacing w:after="0" w:line="265" w:lineRule="auto"/>
        <w:rPr>
          <w:sz w:val="20"/>
          <w:szCs w:val="20"/>
          <w:color w:val="auto"/>
        </w:rPr>
      </w:pPr>
      <w:r>
        <w:rPr>
          <w:rFonts w:ascii="Times New Roman" w:cs="Times New Roman" w:eastAsia="Times New Roman" w:hAnsi="Times New Roman"/>
          <w:sz w:val="14"/>
          <w:szCs w:val="14"/>
          <w:color w:val="auto"/>
        </w:rPr>
        <w:t>This part of the discussion applies to you if you are a “U.S. Holder.” For this purpose, a “U.S. Holder” is a beneficial owner of a note that is for United States federal income tax purposes:</w:t>
      </w:r>
    </w:p>
    <w:p>
      <w:pPr>
        <w:spacing w:after="0" w:line="64" w:lineRule="exact"/>
        <w:rPr>
          <w:sz w:val="20"/>
          <w:szCs w:val="20"/>
          <w:color w:val="auto"/>
        </w:rPr>
      </w:pPr>
    </w:p>
    <w:p>
      <w:pPr>
        <w:ind w:left="2200" w:hanging="317"/>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4" w:lineRule="exact"/>
        <w:rPr>
          <w:rFonts w:ascii="Times New Roman" w:cs="Times New Roman" w:eastAsia="Times New Roman" w:hAnsi="Times New Roman"/>
          <w:sz w:val="14"/>
          <w:szCs w:val="14"/>
          <w:color w:val="auto"/>
        </w:rPr>
      </w:pPr>
    </w:p>
    <w:p>
      <w:pPr>
        <w:ind w:left="2200" w:right="719" w:hanging="317"/>
        <w:spacing w:after="0" w:line="265" w:lineRule="auto"/>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in, or under the laws of, the United States or any political subdivision of the United States;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4"/>
          <w:szCs w:val="14"/>
          <w:color w:val="auto"/>
        </w:rPr>
      </w:pPr>
    </w:p>
    <w:p>
      <w:pPr>
        <w:ind w:left="2200" w:right="399" w:hanging="317"/>
        <w:spacing w:after="0" w:line="254" w:lineRule="auto"/>
        <w:tabs>
          <w:tab w:leader="none" w:pos="22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(1) if a court within the United States is able to exercise primary supervision over the administration of the trust and one or more United States persons have the authority to control all substantial decisions of the trust; or (2) that existed on August 20, 1996, and elected to continue its treatment as a domestic trust.</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88" w:lineRule="exact"/>
        <w:rPr>
          <w:sz w:val="20"/>
          <w:szCs w:val="20"/>
          <w:color w:val="auto"/>
        </w:rPr>
      </w:pPr>
    </w:p>
    <w:p>
      <w:pPr>
        <w:ind w:left="1480" w:right="359"/>
        <w:spacing w:after="0" w:line="265" w:lineRule="auto"/>
        <w:rPr>
          <w:sz w:val="20"/>
          <w:szCs w:val="20"/>
          <w:color w:val="auto"/>
        </w:rPr>
      </w:pPr>
      <w:r>
        <w:rPr>
          <w:rFonts w:ascii="Times New Roman" w:cs="Times New Roman" w:eastAsia="Times New Roman" w:hAnsi="Times New Roman"/>
          <w:sz w:val="14"/>
          <w:szCs w:val="14"/>
          <w:color w:val="auto"/>
        </w:rPr>
        <w:t>Stated interest on a note will generally be taxable to you as ordinary interest income at the time it accrues or is received, in accordance with your method of accounting for United States federal income tax purposes as described below.</w:t>
      </w:r>
    </w:p>
    <w:p>
      <w:pPr>
        <w:spacing w:after="0" w:line="135" w:lineRule="exact"/>
        <w:rPr>
          <w:sz w:val="20"/>
          <w:szCs w:val="20"/>
          <w:color w:val="auto"/>
        </w:rPr>
      </w:pPr>
    </w:p>
    <w:p>
      <w:pPr>
        <w:ind w:left="1480" w:right="439"/>
        <w:spacing w:after="0" w:line="306" w:lineRule="auto"/>
        <w:rPr>
          <w:sz w:val="20"/>
          <w:szCs w:val="20"/>
          <w:color w:val="auto"/>
        </w:rPr>
      </w:pPr>
      <w:r>
        <w:rPr>
          <w:rFonts w:ascii="Times New Roman" w:cs="Times New Roman" w:eastAsia="Times New Roman" w:hAnsi="Times New Roman"/>
          <w:sz w:val="12"/>
          <w:szCs w:val="12"/>
          <w:color w:val="auto"/>
        </w:rPr>
        <w:t>If you use the cash method of accounting for United States federal income tax purposes and receive a payment of interest on the note in euros, the amount of interest income you recognize will be the U.S. dollar value of the euros you receive on each interest payment date, based on the spot rate in effect on the date of receipt, regardless of whether the payment is converted into U.S. dollars. You will not recognize foreign currency gain or loss with respect to the receipt of such payments, but you may recognize exchange gain or loss attributable to the actual disposition of the euros received.</w:t>
      </w:r>
    </w:p>
    <w:p>
      <w:pPr>
        <w:spacing w:after="0" w:line="114"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If you use the accrual method of accounting for United States federal income tax purposes, the amount of income you recognize will be determined using the average U.S. dollar—euro exchange rate in effect during the relevant accrual period. When an accrual period includes but does not end on the last day of your taxable year, the relevant U.S. dollar—euro exchange rate with respect to each partial accrual period will be the average U.S. dollar— euro exchange rate for such partial accrual period. Alternatively, instead of the average U.S. dollar—euro exchange rate during the accrual period, you may elect to use the U.S. dollar—euro exchange rate on the last day of the relevant accrual period (or the last day of your taxable year, if the accrual period includes but does not end on the last day of your taxable year), or the payment date, if such date is within five business days of the last day of the accrual period. If you make this election, it will apply to all debt instruments you hold on or after the beginning of the year in which the election is made and it cannot be revoked without the consent of the IRS.</w:t>
      </w:r>
    </w:p>
    <w:p>
      <w:pPr>
        <w:spacing w:after="0" w:line="152" w:lineRule="exact"/>
        <w:rPr>
          <w:sz w:val="20"/>
          <w:szCs w:val="20"/>
          <w:color w:val="auto"/>
        </w:rPr>
      </w:pPr>
    </w:p>
    <w:p>
      <w:pPr>
        <w:ind w:left="1480" w:right="419"/>
        <w:spacing w:after="0" w:line="249" w:lineRule="auto"/>
        <w:rPr>
          <w:sz w:val="20"/>
          <w:szCs w:val="20"/>
          <w:color w:val="auto"/>
        </w:rPr>
      </w:pPr>
      <w:r>
        <w:rPr>
          <w:rFonts w:ascii="Times New Roman" w:cs="Times New Roman" w:eastAsia="Times New Roman" w:hAnsi="Times New Roman"/>
          <w:sz w:val="14"/>
          <w:szCs w:val="14"/>
          <w:color w:val="auto"/>
        </w:rPr>
        <w:t>If you use the accrual method of accounting for United States federal income tax purposes, when you actually receive a payment of interest on a note (including, upon the disposition of a note, the receipt of proceeds which include amounts attributable to accrued interest), you will recognize foreign currency gain or loss with respect to any differences in the U.S. dollar—euro exchange rate used to accrue such interest and the U.S. dollar—euro exchange rate on the payment date, regardless of whether the payment is in fact converted to U.S. dollars. Any foreign currency gain or loss recognized will be treated as ordinary income or loss and generally will not be treated as an adjustment to interest income or expense.</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Redemption or Disposition of a Note</w:t>
      </w:r>
    </w:p>
    <w:p>
      <w:pPr>
        <w:spacing w:after="0" w:line="88"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Subject to the foreign currency rules described below, upon the sale, exchange, redemption or other taxable disposition of a note, you will recognize taxable gain or loss equal to the difference between (i) the amount you realize on the sale, exchange, redemption or other taxable disposition (other than amounts, if any, attributable to</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7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45" w:lineRule="auto"/>
        <w:rPr>
          <w:sz w:val="20"/>
          <w:szCs w:val="20"/>
          <w:color w:val="auto"/>
        </w:rPr>
      </w:pPr>
      <w:r>
        <w:rPr>
          <w:rFonts w:ascii="Times New Roman" w:cs="Times New Roman" w:eastAsia="Times New Roman" w:hAnsi="Times New Roman"/>
          <w:sz w:val="14"/>
          <w:szCs w:val="14"/>
          <w:color w:val="auto"/>
        </w:rPr>
        <w:t>accrued but unpaid stated interest, which will be taxable as ordinary interest income to the extent not previously included in income, regardless of whether you otherwise recognize an overall loss as a result of the sale, exchange, redemption or other taxable disposition) and (ii) your adjusted tax basis in the note. The amount realized by you upon the sale, exchange, redemption or other taxable disposition of a note in exchange for euros will be the U.S. dollar value of the euros received (with the exception of amounts attributable to accrued but unpaid stated interest, which will be taxable as ordinary interest income to the extent not previously included in income), determined on the date of the sale, exchange, redemption or other taxable disposition or, if the notes are traded on an established securities market, on the settlement date in the case of a note sold by a cash method taxpayer or an accrual method taxpayer who elects such treatment. No assurance can be given regarding whether the notes will be traded on an established securities market. Such an election by an accrual method taxpayer will apply to all purchases and sales of debt instruments that are traded on an established securities market and cannot be revoked without the consent of the IRS. If the notes are not traded on an established securities market (or, if the notes are so traded, but you are an accrual method taxpayer that has not made the settlement date election), you will recognize foreign currency gain or loss (taxable as ordinary income or loss) to the extent that the U.S. dollar value of the euros received determined on the settlement date differs from the U.S. dollar value of the amount realized. Your adjusted tax basis in a note generally will be the U.S. dollar value of the euros you paid to acquire the note determined on the date of purchase (or, if the notes are traded on an established securities market, on the settlement date if you are a cash method taxpayer or you are an electing accrual method taxpayer).</w:t>
      </w:r>
    </w:p>
    <w:p>
      <w:pPr>
        <w:spacing w:after="0" w:line="152"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gain or loss you recognize on the sale, exchange, redemption or other taxable disposition of a note generally will be capital gain or loss except to the extent it is attributable to movement in currency exchange rates between the time you purchased the note and the time of its disposition (the consequences of which are described below). Any capital gain or loss will be long-term capital gain or loss if, at the time of the sale, exchange, redemption or other taxable disposition, you have held the note for more than one year. Otherwise, such gain or loss will be short-term capital gain or loss. Under current United States federal income tax law, net long-term capital gains recognized by certain non-corporate U.S. Holders, including individuals, generally are eligible for taxation at preferential rates. The deductibility of capital losses is subject to limitations.</w:t>
      </w:r>
    </w:p>
    <w:p>
      <w:pPr>
        <w:spacing w:after="0" w:line="147" w:lineRule="exact"/>
        <w:rPr>
          <w:sz w:val="20"/>
          <w:szCs w:val="20"/>
          <w:color w:val="auto"/>
        </w:rPr>
      </w:pPr>
    </w:p>
    <w:p>
      <w:pPr>
        <w:ind w:left="1480" w:right="359"/>
        <w:spacing w:after="0" w:line="295" w:lineRule="auto"/>
        <w:rPr>
          <w:sz w:val="20"/>
          <w:szCs w:val="20"/>
          <w:color w:val="auto"/>
        </w:rPr>
      </w:pPr>
      <w:r>
        <w:rPr>
          <w:rFonts w:ascii="Times New Roman" w:cs="Times New Roman" w:eastAsia="Times New Roman" w:hAnsi="Times New Roman"/>
          <w:sz w:val="12"/>
          <w:szCs w:val="12"/>
          <w:color w:val="auto"/>
        </w:rPr>
        <w:t>Foreign currency gain or loss attributable to exchange rate fluctuations will equal the difference between (i) the U.S. dollar value of your purchase price in euros of the note, determined using the spot price on the date the note is disposed of (or, if the notes are traded on an established securities market and you are a cash method taxpayer or an electing accrual method taxpayer, the settlement date of such disposition), and (ii) the U.S. dollar value of your purchase price in euros of the note, determined using the spot price on the date you purchased the note (or, if the notes are traded on an established securities market and you are a cash method taxpayer or an electing accrual method taxpayer, the settlement date of such purchase). Any such foreign currency gain or loss (including, for this purpose, any foreign currency gain or loss with respect to accrued interest) will be treated as ordinary income or loss and is limited to the amount of overall gain or loss realized on the sale, exchange, redemption or other taxable disposition of your note.</w:t>
      </w:r>
    </w:p>
    <w:p>
      <w:pPr>
        <w:spacing w:after="0" w:line="121" w:lineRule="exact"/>
        <w:rPr>
          <w:sz w:val="20"/>
          <w:szCs w:val="20"/>
          <w:color w:val="auto"/>
        </w:rPr>
      </w:pPr>
    </w:p>
    <w:p>
      <w:pPr>
        <w:ind w:left="1480" w:right="439"/>
        <w:spacing w:after="0" w:line="254" w:lineRule="auto"/>
        <w:rPr>
          <w:sz w:val="20"/>
          <w:szCs w:val="20"/>
          <w:color w:val="auto"/>
        </w:rPr>
      </w:pPr>
      <w:r>
        <w:rPr>
          <w:rFonts w:ascii="Times New Roman" w:cs="Times New Roman" w:eastAsia="Times New Roman" w:hAnsi="Times New Roman"/>
          <w:sz w:val="14"/>
          <w:szCs w:val="14"/>
          <w:color w:val="auto"/>
        </w:rPr>
        <w:t>In certain circumstances, United States Treasury Regulations require foreign exchange losses in excess of a threshold amount to be reported to the IRS. U.S. Holders should consult their tax advisors to determine the tax return obligations, if any, with respect to an investment in the notes, including any requirement to file IRS Form 8886.</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Sale or Disposition of Euros</w:t>
      </w:r>
    </w:p>
    <w:p>
      <w:pPr>
        <w:spacing w:after="0" w:line="88"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If you sell or otherwise dispose of euros in exchange for U.S. dollars, you will have taxable foreign currency gain or loss equal to the difference between the amount of U.S. dollars received and your U.S. dollar tax basis in the euros. Your tax basis in the euros received as interest on a note or on the sale, exchange, redemption or other taxable disposition of a note will generally be the U.S. dollar value of such euros when the euros are received. Any gain or loss on the sale or other disposition of euros (including the use of euros to purchase a note) will be ordinary income or loss.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88" w:lineRule="exact"/>
        <w:rPr>
          <w:sz w:val="20"/>
          <w:szCs w:val="20"/>
          <w:color w:val="auto"/>
        </w:rPr>
      </w:pPr>
    </w:p>
    <w:p>
      <w:pPr>
        <w:ind w:left="1480" w:right="359"/>
        <w:spacing w:after="0" w:line="247" w:lineRule="auto"/>
        <w:rPr>
          <w:sz w:val="20"/>
          <w:szCs w:val="20"/>
          <w:color w:val="auto"/>
        </w:rPr>
      </w:pPr>
      <w:r>
        <w:rPr>
          <w:rFonts w:ascii="Times New Roman" w:cs="Times New Roman" w:eastAsia="Times New Roman" w:hAnsi="Times New Roman"/>
          <w:sz w:val="14"/>
          <w:szCs w:val="14"/>
          <w:color w:val="auto"/>
        </w:rPr>
        <w:t>Unless you are an exempt recipient (e.g., a corporation or certain tax-exempt organizations), backup withholding tax (currently at a rate of 24%) and certain information reporting requirements may apply to payments we make to you of principal and interest on, and proceeds of the sale or exchange before maturity of, a note. Backup withholding and information reporting will not apply to payments that we make on the notes to exempt recipients that establish their status as such, regardless of whether such entities are the beneficial owners of such notes or hold such notes as a custodian, nominee or agent of the beneficial owner. However, with respect to payments made to a custodian, nominee or agent of the beneficial owner, backup withholding and information reporting may apply to payments made by such custodian, nominee or other agent to you unless you are an exempt recipient and establish your status as such or, in the case of backup withholding, you satisfy the requirements described below.</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If you are not an exempt recipient (for example, if you are an individual), backup withholding will not be applicable to payments made to you if you</w:t>
      </w:r>
    </w:p>
    <w:p>
      <w:pPr>
        <w:spacing w:after="0" w:line="14" w:lineRule="exact"/>
        <w:rPr>
          <w:sz w:val="20"/>
          <w:szCs w:val="20"/>
          <w:color w:val="auto"/>
        </w:rPr>
      </w:pPr>
    </w:p>
    <w:p>
      <w:pPr>
        <w:jc w:val="both"/>
        <w:ind w:left="1480" w:right="419" w:hanging="6"/>
        <w:spacing w:after="0" w:line="306" w:lineRule="auto"/>
        <w:tabs>
          <w:tab w:leader="none" w:pos="1643"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supplied an accurate Taxpayer Identification Number (usually on an IRS Form W-9), (ii) have not been notified by the IRS that you have failed to properly report payments of interest and dividends and (iii) in certain circumstances, have certified under penalties of perjury that you are not subject to backup withholding and have supplied an accurate Taxpayer Identification Number. However, information reporting will be required in such a case.</w:t>
      </w:r>
    </w:p>
    <w:p>
      <w:pPr>
        <w:spacing w:after="0" w:line="115"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from a payment under the backup withholding rules will be allowed as a credit against your United States federal income tax liability and may entitle you to a refund, provided that any required information is furnished to the IRS in a timely manner.</w:t>
      </w:r>
    </w:p>
    <w:p>
      <w:pPr>
        <w:spacing w:after="0" w:line="143"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U.S. Holders should consult their tax advisors regarding their qualification for an exemption from backup withholding (and the procedures for obtaining such an exemption) and about any reporting or filing obligations that apply as a result of the acquisition, holding or disposition of the notes. Failure to comply with certain reporting obligations could result in the imposition of substantial penalties.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88"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The following discussion applies to you if you are a “non-U.S. Holder.” A “non-U.S. Holder” is a beneficial owner of a note (other than an entity or arrangement treated as a partnership for United States federal income tax purposes) that is neither a U.S. Holder nor a former citizen or resident of the United States. If you are a former citizen or resident of the United States, you should consult your tax advisor regarding the United States federal income tax consequences of the acquisition, ownership and disposition of a note.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88" w:lineRule="exact"/>
        <w:rPr>
          <w:sz w:val="20"/>
          <w:szCs w:val="20"/>
          <w:color w:val="auto"/>
        </w:rPr>
      </w:pPr>
    </w:p>
    <w:p>
      <w:pPr>
        <w:ind w:left="1480" w:right="519"/>
        <w:spacing w:after="0" w:line="265" w:lineRule="auto"/>
        <w:rPr>
          <w:sz w:val="20"/>
          <w:szCs w:val="20"/>
          <w:color w:val="auto"/>
        </w:rPr>
      </w:pPr>
      <w:r>
        <w:rPr>
          <w:rFonts w:ascii="Times New Roman" w:cs="Times New Roman" w:eastAsia="Times New Roman" w:hAnsi="Times New Roman"/>
          <w:sz w:val="14"/>
          <w:szCs w:val="14"/>
          <w:color w:val="auto"/>
        </w:rPr>
        <w:t>Payments of interest that we make to you will be subject to United States withholding tax at a rate of 30% of the gross amount, unless you are eligible for one of the exceptions described below.</w:t>
      </w:r>
    </w:p>
    <w:p>
      <w:pPr>
        <w:spacing w:after="0" w:line="135" w:lineRule="exact"/>
        <w:rPr>
          <w:sz w:val="20"/>
          <w:szCs w:val="20"/>
          <w:color w:val="auto"/>
        </w:rPr>
      </w:pPr>
    </w:p>
    <w:p>
      <w:pPr>
        <w:ind w:left="1480" w:right="439"/>
        <w:spacing w:after="0" w:line="265" w:lineRule="auto"/>
        <w:rPr>
          <w:sz w:val="20"/>
          <w:szCs w:val="20"/>
          <w:color w:val="auto"/>
        </w:rPr>
      </w:pPr>
      <w:r>
        <w:rPr>
          <w:rFonts w:ascii="Times New Roman" w:cs="Times New Roman" w:eastAsia="Times New Roman" w:hAnsi="Times New Roman"/>
          <w:sz w:val="14"/>
          <w:szCs w:val="14"/>
          <w:color w:val="auto"/>
        </w:rPr>
        <w:t>Subject to the discussion of backup withholding and FATCA below, no withholding of United States federal income tax will be required with respect to payments we make to you of interest provided that:</w:t>
      </w:r>
    </w:p>
    <w:p>
      <w:pPr>
        <w:spacing w:after="0" w:line="64" w:lineRule="exact"/>
        <w:rPr>
          <w:sz w:val="20"/>
          <w:szCs w:val="20"/>
          <w:color w:val="auto"/>
        </w:rPr>
      </w:pPr>
    </w:p>
    <w:p>
      <w:pPr>
        <w:ind w:left="2200" w:right="719" w:hanging="317"/>
        <w:spacing w:after="0" w:line="265"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actually or constructively own 10% or more of the total combined voting power of all classes of our stock entitled to vote within the meaning of Section 871(h)(3) of the Code;</w:t>
      </w:r>
    </w:p>
    <w:p>
      <w:pPr>
        <w:spacing w:after="0" w:line="63" w:lineRule="exact"/>
        <w:rPr>
          <w:rFonts w:ascii="Times New Roman" w:cs="Times New Roman" w:eastAsia="Times New Roman" w:hAnsi="Times New Roman"/>
          <w:sz w:val="14"/>
          <w:szCs w:val="14"/>
          <w:color w:val="auto"/>
        </w:rPr>
      </w:pPr>
    </w:p>
    <w:p>
      <w:pPr>
        <w:ind w:left="2200" w:right="339" w:hanging="317"/>
        <w:spacing w:after="0" w:line="254" w:lineRule="auto"/>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neither (1) a controlled foreign corporation (within the meaning of the Code) that is related to us through actual or constructive stock ownership, nor (2) a bank (within the meaning of the Code) receiving interest on a loan entered into in the ordinary course of its trade or business; and</w:t>
      </w:r>
    </w:p>
    <w:p>
      <w:pPr>
        <w:spacing w:after="0" w:line="71"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provided the required certifications as set forth in Section 871(h) and Section 881(c) of the Code.</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19"/>
        <w:spacing w:after="0" w:line="265" w:lineRule="auto"/>
        <w:rPr>
          <w:sz w:val="20"/>
          <w:szCs w:val="20"/>
          <w:color w:val="auto"/>
        </w:rPr>
      </w:pPr>
      <w:r>
        <w:rPr>
          <w:rFonts w:ascii="Times New Roman" w:cs="Times New Roman" w:eastAsia="Times New Roman" w:hAnsi="Times New Roman"/>
          <w:sz w:val="14"/>
          <w:szCs w:val="14"/>
          <w:color w:val="auto"/>
        </w:rPr>
        <w:t>To satisfy these certification requirements, you generally will be required to provide in the year in which a payment of interest occurs, or in one of the three preceding years, a statement that:</w:t>
      </w:r>
    </w:p>
    <w:p>
      <w:pPr>
        <w:spacing w:after="0" w:line="64" w:lineRule="exact"/>
        <w:rPr>
          <w:sz w:val="20"/>
          <w:szCs w:val="20"/>
          <w:color w:val="auto"/>
        </w:rPr>
      </w:pPr>
    </w:p>
    <w:p>
      <w:pPr>
        <w:ind w:left="2200" w:hanging="317"/>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signed by you under penalties of perjury;</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certifies that you are the beneficial owner of the notes and are not a United States person;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your name and address.</w:t>
      </w:r>
    </w:p>
    <w:p>
      <w:pPr>
        <w:spacing w:after="0" w:line="166" w:lineRule="exact"/>
        <w:rPr>
          <w:sz w:val="20"/>
          <w:szCs w:val="20"/>
          <w:color w:val="auto"/>
        </w:rPr>
      </w:pPr>
    </w:p>
    <w:p>
      <w:pPr>
        <w:ind w:left="1480" w:right="539"/>
        <w:spacing w:after="0" w:line="254" w:lineRule="auto"/>
        <w:rPr>
          <w:sz w:val="20"/>
          <w:szCs w:val="20"/>
          <w:color w:val="auto"/>
        </w:rPr>
      </w:pPr>
      <w:r>
        <w:rPr>
          <w:rFonts w:ascii="Times New Roman" w:cs="Times New Roman" w:eastAsia="Times New Roman" w:hAnsi="Times New Roman"/>
          <w:sz w:val="14"/>
          <w:szCs w:val="14"/>
          <w:color w:val="auto"/>
        </w:rPr>
        <w:t>This statement generally may be made on an IRS Form W-8BEN or IRS Form W-8BEN-E and you must inform the recipient of any change in the information on the statement within 30 days of such change. Special certification rules apply to non-U.S. Holders that are pass-through entities rather than corporations or individuals.</w:t>
      </w:r>
    </w:p>
    <w:p>
      <w:pPr>
        <w:spacing w:after="0" w:line="143"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If you are engaged in a United States trade or business and interest received by you on a note is effectively connected with your conduct of such trade or business (and, if required by an applicable income tax treaty, is attributable to a United States permanent establishment you maintain), you will be exempt from the withholding of United States federal income tax described above, so long as you have provided an IRS Form W-8ECI or substantially similar substitute form stating that interest on the note is effectively connected with your conduct of a trade or business in the United States. In such a case, you will be subject to tax on interest you receive on a net income basis in the same manner as if you were a U.S. Holder. If you are a corporation, you may also be subject to a branch profits tax at a rate of 30% (or such lower rate as may be specified by an applicable United States income tax treaty) on your earnings and profits for the tax year, subject to adjustments, that are effectively connected with your conduct of a trade or business in the United States.</w:t>
      </w:r>
    </w:p>
    <w:p>
      <w:pPr>
        <w:spacing w:after="0" w:line="152"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In addition, you may qualify for an exemption from, or a reduced rate of, United States federal withholding tax under a United States income tax treaty. In general, this exemption or reduced rate of tax applies only if you provide a properly completed IRS Form W-8BEN or IRS Form W-8BEN-E, or a substantially similar substitute form, claiming benefits under the applicable United States income tax treaty.</w:t>
      </w:r>
    </w:p>
    <w:p>
      <w:pPr>
        <w:spacing w:after="0" w:line="143"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The certifications described above must be provided to the applicable withholding agent prior to the payment of interest and may be required to be updated periodically. You may obtain a refund of any excess amounts withheld by timely filing an appropriate claim for refund with the IRS. You should consult your tax advisor regarding your entitlement to benefits under any applicable income tax treaty.</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Redemption or Disposition of Notes</w:t>
      </w:r>
    </w:p>
    <w:p>
      <w:pPr>
        <w:spacing w:after="0" w:line="88" w:lineRule="exact"/>
        <w:rPr>
          <w:sz w:val="20"/>
          <w:szCs w:val="20"/>
          <w:color w:val="auto"/>
        </w:rPr>
      </w:pPr>
    </w:p>
    <w:p>
      <w:pPr>
        <w:ind w:left="1480" w:right="479"/>
        <w:spacing w:after="0" w:line="254" w:lineRule="auto"/>
        <w:rPr>
          <w:sz w:val="20"/>
          <w:szCs w:val="20"/>
          <w:color w:val="auto"/>
        </w:rPr>
      </w:pPr>
      <w:r>
        <w:rPr>
          <w:rFonts w:ascii="Times New Roman" w:cs="Times New Roman" w:eastAsia="Times New Roman" w:hAnsi="Times New Roman"/>
          <w:sz w:val="14"/>
          <w:szCs w:val="14"/>
          <w:color w:val="auto"/>
        </w:rPr>
        <w:t>Subject to the discussion of backup withholding and FATCA below, you generally will not be subject to United States federal income tax on any gain realized upon your sale, exchange, redemption or other taxable disposition of notes (excluding any amount allocable to the accrued and unpaid interest which generally will be treated as interest subject to the rules discussed above in “—</w:t>
      </w:r>
      <w:r>
        <w:rPr>
          <w:rFonts w:ascii="Times New Roman" w:cs="Times New Roman" w:eastAsia="Times New Roman" w:hAnsi="Times New Roman"/>
          <w:sz w:val="14"/>
          <w:szCs w:val="14"/>
          <w:i w:val="1"/>
          <w:iCs w:val="1"/>
          <w:color w:val="auto"/>
        </w:rPr>
        <w:t>Payments of Interest</w:t>
      </w:r>
      <w:r>
        <w:rPr>
          <w:rFonts w:ascii="Times New Roman" w:cs="Times New Roman" w:eastAsia="Times New Roman" w:hAnsi="Times New Roman"/>
          <w:sz w:val="14"/>
          <w:szCs w:val="14"/>
          <w:color w:val="auto"/>
        </w:rPr>
        <w:t>”) unless:</w:t>
      </w:r>
    </w:p>
    <w:p>
      <w:pPr>
        <w:spacing w:after="0" w:line="71" w:lineRule="exact"/>
        <w:rPr>
          <w:sz w:val="20"/>
          <w:szCs w:val="20"/>
          <w:color w:val="auto"/>
        </w:rPr>
      </w:pPr>
    </w:p>
    <w:p>
      <w:pPr>
        <w:ind w:left="2200" w:right="339" w:hanging="317"/>
        <w:spacing w:after="0" w:line="265"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your conduct of a trade or business within the United States (and, if required by an applicable income tax treaty, is attributable to a United States permanent establishment you maintain); or</w:t>
      </w:r>
    </w:p>
    <w:p>
      <w:pPr>
        <w:spacing w:after="0" w:line="63" w:lineRule="exact"/>
        <w:rPr>
          <w:rFonts w:ascii="Times New Roman" w:cs="Times New Roman" w:eastAsia="Times New Roman" w:hAnsi="Times New Roman"/>
          <w:sz w:val="14"/>
          <w:szCs w:val="14"/>
          <w:color w:val="auto"/>
        </w:rPr>
      </w:pPr>
    </w:p>
    <w:p>
      <w:pPr>
        <w:ind w:left="2200" w:right="759" w:hanging="317"/>
        <w:spacing w:after="0" w:line="265" w:lineRule="auto"/>
        <w:tabs>
          <w:tab w:leader="none" w:pos="2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who is present in the United States for 183 days or more in the taxable year of disposition (and you meet other conditions), and you are not eligible for relief under an applicable income tax treaty.</w:t>
      </w:r>
    </w:p>
    <w:p>
      <w:pPr>
        <w:spacing w:after="0" w:line="135"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If you are described in the first bullet point above, gain that is effectively connected with your conduct of a trade or business within the United States generally will be subject to United States federal income tax, net of certain deductions, at the same rates applicable to United States persons. If you are a corporation, you may also be subject to a branch profits tax at a rate of 30% (or such lower rate as may be specified by an applicable United States income tax treaty) on your earnings and profits for the tax year, subject to adjustments, that are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559"/>
        <w:spacing w:after="0" w:line="254" w:lineRule="auto"/>
        <w:rPr>
          <w:sz w:val="20"/>
          <w:szCs w:val="20"/>
          <w:color w:val="auto"/>
        </w:rPr>
      </w:pPr>
      <w:r>
        <w:rPr>
          <w:rFonts w:ascii="Times New Roman" w:cs="Times New Roman" w:eastAsia="Times New Roman" w:hAnsi="Times New Roman"/>
          <w:sz w:val="14"/>
          <w:szCs w:val="14"/>
          <w:color w:val="auto"/>
        </w:rPr>
        <w:t>effectively connected with your conduct of a trade or business in the United States. If the gain from the sale or disposition of your notes is effectively connected with your conduct of a trade or business in the United States but under an applicable income tax treaty is not attributable to a permanent establishment you maintain in the United States, your gain may be exempt from United States tax under the treaty.</w:t>
      </w:r>
    </w:p>
    <w:p>
      <w:pPr>
        <w:spacing w:after="0" w:line="143"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If you are described in the second bullet point above, you generally will be subject to United States tax at a rate of 30% (or such lower rate as may be specified by an applicable United States income tax treaty) on the amount by which your United States source gains, if any, from the sale or exchange of capital assets exceed your United States source losses, if any, from the sale or exchange of capital assets recognized in the same taxable year by you, provided you timely file a United States federal income tax return with respect to such losses.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88" w:lineRule="exact"/>
        <w:rPr>
          <w:sz w:val="20"/>
          <w:szCs w:val="20"/>
          <w:color w:val="auto"/>
        </w:rPr>
      </w:pPr>
    </w:p>
    <w:p>
      <w:pPr>
        <w:jc w:val="both"/>
        <w:ind w:left="1480" w:right="419"/>
        <w:spacing w:after="0" w:line="306" w:lineRule="auto"/>
        <w:rPr>
          <w:sz w:val="20"/>
          <w:szCs w:val="20"/>
          <w:color w:val="auto"/>
        </w:rPr>
      </w:pPr>
      <w:r>
        <w:rPr>
          <w:rFonts w:ascii="Times New Roman" w:cs="Times New Roman" w:eastAsia="Times New Roman" w:hAnsi="Times New Roman"/>
          <w:sz w:val="12"/>
          <w:szCs w:val="12"/>
          <w:color w:val="auto"/>
        </w:rPr>
        <w:t>Information returns are required to be filed with the IRS in connection with payments of interest on the notes to non-U.S. Holders detailing the amount of interest paid, regardless of whether any tax was actually withheld and regardless of whether withholding was reduced or eliminated by an applicable United States income tax treaty. This information may also be made available to the tax authorities in the country in which a non-U.S. Holder resides or is established pursuant to the provisions of an applicable United States income tax treaty or agreement with those tax authorities.</w:t>
      </w:r>
    </w:p>
    <w:p>
      <w:pPr>
        <w:spacing w:after="0" w:line="114" w:lineRule="exact"/>
        <w:rPr>
          <w:sz w:val="20"/>
          <w:szCs w:val="20"/>
          <w:color w:val="auto"/>
        </w:rPr>
      </w:pPr>
    </w:p>
    <w:p>
      <w:pPr>
        <w:ind w:left="1480" w:right="499"/>
        <w:spacing w:after="0" w:line="248" w:lineRule="auto"/>
        <w:rPr>
          <w:sz w:val="20"/>
          <w:szCs w:val="20"/>
          <w:color w:val="auto"/>
        </w:rPr>
      </w:pPr>
      <w:r>
        <w:rPr>
          <w:rFonts w:ascii="Times New Roman" w:cs="Times New Roman" w:eastAsia="Times New Roman" w:hAnsi="Times New Roman"/>
          <w:sz w:val="14"/>
          <w:szCs w:val="14"/>
          <w:color w:val="auto"/>
        </w:rPr>
        <w:t>Unless you comply with certification procedures to establish that you are not a United States person or otherwise establish an exemption, information returns may also be filed with the IRS in connection with the proceeds from a sale or other disposition (including a redemption) of a note. You may be subject to backup withholding (currently at a rate of 24%) on payments on the notes or on the proceeds from a sale or other disposition (including a redemption) of the notes unless you comply with certification procedures to establish that you are not a United States person or otherwise establish an exemption. The certification procedures required to claim the exemption from withholding tax on interest described above under “—</w:t>
      </w:r>
      <w:r>
        <w:rPr>
          <w:rFonts w:ascii="Times New Roman" w:cs="Times New Roman" w:eastAsia="Times New Roman" w:hAnsi="Times New Roman"/>
          <w:sz w:val="14"/>
          <w:szCs w:val="14"/>
          <w:i w:val="1"/>
          <w:iCs w:val="1"/>
          <w:color w:val="auto"/>
        </w:rPr>
        <w:t>Payments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will satisfy the certification requirements necessary to avoid backup withholding as well.</w:t>
      </w:r>
    </w:p>
    <w:p>
      <w:pPr>
        <w:spacing w:after="0" w:line="147" w:lineRule="exact"/>
        <w:rPr>
          <w:sz w:val="20"/>
          <w:szCs w:val="20"/>
          <w:color w:val="auto"/>
        </w:rPr>
      </w:pPr>
    </w:p>
    <w:p>
      <w:pPr>
        <w:ind w:left="1480" w:right="639"/>
        <w:spacing w:after="0" w:line="349" w:lineRule="auto"/>
        <w:rPr>
          <w:sz w:val="20"/>
          <w:szCs w:val="20"/>
          <w:color w:val="auto"/>
        </w:rPr>
      </w:pPr>
      <w:r>
        <w:rPr>
          <w:rFonts w:ascii="Times New Roman" w:cs="Times New Roman" w:eastAsia="Times New Roman" w:hAnsi="Times New Roman"/>
          <w:sz w:val="12"/>
          <w:szCs w:val="12"/>
          <w:color w:val="auto"/>
        </w:rPr>
        <w:t>Backup withholding is not an additional tax. The amount of any backup withholding from a payment to you will be allowed as a credit against your United States federal income tax liability and may entitle you to a refund, provided that the required information is timely furnished to the IRS.</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Foreign Account Tax Compliance Act</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Under Sections 1471 through 1474 of the Code, any regulations or other guidance promulgated thereunder, an agreement described in Section 1471(b)</w:t>
      </w:r>
    </w:p>
    <w:p>
      <w:pPr>
        <w:spacing w:after="0" w:line="37" w:lineRule="exact"/>
        <w:rPr>
          <w:sz w:val="20"/>
          <w:szCs w:val="20"/>
          <w:color w:val="auto"/>
        </w:rPr>
      </w:pPr>
    </w:p>
    <w:p>
      <w:pPr>
        <w:ind w:left="1480" w:right="459" w:hanging="6"/>
        <w:spacing w:after="0" w:line="291" w:lineRule="auto"/>
        <w:tabs>
          <w:tab w:leader="none" w:pos="167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Code or any intergovernmental agreement implementing such provisions of the Code or an alternative approach thereto or any laws, regulations, agreements, undertakings or official interpretations implementing any of the foregoing (commonly referred to as the Foreign Account Tax Compliance Act or “FATCA”), a 30% United States federal withholding tax may apply to interest income paid on notes to (i) a “foreign financial institution” (as specifically defined in the Code), whether such foreign financial institution is the beneficial owner or an intermediary, unless such foreign financial institution agrees to verify, report and disclose its “United States account” holders (as specifically defined in the Code)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substantial U.S. owner, and certain other specified requirements are met.</w:t>
      </w:r>
    </w:p>
    <w:p>
      <w:pPr>
        <w:spacing w:after="0" w:line="289" w:lineRule="exact"/>
        <w:rPr>
          <w:sz w:val="20"/>
          <w:szCs w:val="20"/>
          <w:color w:val="auto"/>
        </w:rPr>
      </w:pPr>
    </w:p>
    <w:p>
      <w:pPr>
        <w:ind w:left="1480" w:right="459"/>
        <w:spacing w:after="0" w:line="316" w:lineRule="auto"/>
        <w:rPr>
          <w:sz w:val="20"/>
          <w:szCs w:val="20"/>
          <w:color w:val="auto"/>
        </w:rPr>
      </w:pPr>
      <w:r>
        <w:rPr>
          <w:rFonts w:ascii="Times New Roman" w:cs="Times New Roman" w:eastAsia="Times New Roman" w:hAnsi="Times New Roman"/>
          <w:sz w:val="12"/>
          <w:szCs w:val="12"/>
          <w:color w:val="auto"/>
        </w:rPr>
        <w:t>In certain cases, the relevant foreign financial institution or non-financial foreign entity may qualify for an exemption from, or be deemed to be in compliance with, these rules. In addition, an intergovernmental agreement between the United States and an applicable foreign country, or future Treasury Regulations or other guidance, may modify these requirements. If an interest payment is subject both to withholding under FATCA and to the</w:t>
      </w:r>
    </w:p>
    <w:p>
      <w:pPr>
        <w:spacing w:after="0" w:line="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withholding tax discussed above under “—Payments of Interest,” the withholding under FATCA may be credited against, and therefore reduce, such other withholding tax. Under proposed United States Treasury Regulations, upon which taxpayers may rely, gross proceeds from the sale, redemption or other disposition of notes will not be subject to FATCA withholding.</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Holders should consult their own tax advisors regarding these rules and whether they may be relevant to their ownership and disposition of notes.</w:t>
      </w:r>
    </w:p>
    <w:p>
      <w:pPr>
        <w:spacing w:after="0" w:line="11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ERISA CONSIDERATIONS</w:t>
      </w:r>
    </w:p>
    <w:p>
      <w:pPr>
        <w:spacing w:after="0" w:line="168" w:lineRule="exact"/>
        <w:rPr>
          <w:sz w:val="20"/>
          <w:szCs w:val="20"/>
          <w:color w:val="auto"/>
        </w:rPr>
      </w:pPr>
    </w:p>
    <w:p>
      <w:pPr>
        <w:ind w:left="1480" w:right="359"/>
        <w:spacing w:after="0" w:line="290" w:lineRule="auto"/>
        <w:rPr>
          <w:sz w:val="20"/>
          <w:szCs w:val="20"/>
          <w:color w:val="auto"/>
        </w:rPr>
      </w:pPr>
      <w:r>
        <w:rPr>
          <w:rFonts w:ascii="Times New Roman" w:cs="Times New Roman" w:eastAsia="Times New Roman" w:hAnsi="Times New Roman"/>
          <w:sz w:val="12"/>
          <w:szCs w:val="12"/>
          <w:i w:val="1"/>
          <w:iCs w:val="1"/>
          <w:color w:val="auto"/>
        </w:rPr>
        <w:t>The following is a summary of certain considerations associated with the purchase and holding of the notes by (i) “employee benefit plans” within the meaning of Section 3(3) of the Employee Retirement Income Security Act of 1974, as amended (“ERISA”), that are subject to Title I of ERISA, (ii)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w:t>
      </w:r>
    </w:p>
    <w:p>
      <w:pPr>
        <w:spacing w:after="0" w:line="1" w:lineRule="exact"/>
        <w:rPr>
          <w:sz w:val="20"/>
          <w:szCs w:val="20"/>
          <w:color w:val="auto"/>
        </w:rPr>
      </w:pPr>
    </w:p>
    <w:p>
      <w:pPr>
        <w:ind w:left="1480" w:right="499" w:hanging="6"/>
        <w:spacing w:after="0" w:line="247" w:lineRule="auto"/>
        <w:tabs>
          <w:tab w:leader="none" w:pos="1718"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entities whose underlying assets are considered to include plan assets of any of the foregoing described in clauses (i) or (ii) pursuant to ERISA or other applicable law (each of the foregoing described in clauses (i), (ii) and (iii) referred to herein as a “Plan”).</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General Fiduciary Matters</w:t>
      </w:r>
    </w:p>
    <w:p>
      <w:pPr>
        <w:spacing w:after="0" w:line="88"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any discretionary authority or control over the administration of a Covered Plan or over the management or disposition of a Covered Plan’s assets, or who renders investment advice for a fee or other compensation to such a Covered Plan, is generally considered to be a fiduciary of the Covered Plan.</w:t>
      </w:r>
    </w:p>
    <w:p>
      <w:pPr>
        <w:spacing w:after="0" w:line="146" w:lineRule="exact"/>
        <w:rPr>
          <w:sz w:val="20"/>
          <w:szCs w:val="20"/>
          <w:color w:val="auto"/>
        </w:rPr>
      </w:pPr>
    </w:p>
    <w:p>
      <w:pPr>
        <w:ind w:left="1480" w:right="339"/>
        <w:spacing w:after="0" w:line="295" w:lineRule="auto"/>
        <w:rPr>
          <w:sz w:val="20"/>
          <w:szCs w:val="20"/>
          <w:color w:val="auto"/>
        </w:rPr>
      </w:pPr>
      <w:r>
        <w:rPr>
          <w:rFonts w:ascii="Times New Roman" w:cs="Times New Roman" w:eastAsia="Times New Roman" w:hAnsi="Times New Roman"/>
          <w:sz w:val="12"/>
          <w:szCs w:val="12"/>
          <w:color w:val="auto"/>
        </w:rPr>
        <w:t>Any Plan fiduciary that proposes to cause a Plan to purchase or hold the notes should consult with its legal advisors regarding the potential applicability of the fiduciary responsibility and prohibited transaction provisions of Title I of ERISA, Section 4975 of the Code or applicable Similar Laws to such an investment, and to confirm that such purchase and holding will not constitute or result in a non-exempt prohibited transaction or any other violation of an applicable requirement of ERISA, Section 4975 of the Code or applicable Similar Law. In considering an investment in the notes with a portion of the assets of any Plan, a fiduciary should determine whether the investment is in accordance with the documents and instruments governing the Plan and the applicable provisions of ERISA, the Code or Similar Laws relating to a fiduciary’s duties to the Plan including, without limitation, the prudence, diversification, delegation of control and prohibited transaction provisions of ERISA, the Code and any other applicable Similar Laws.</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Prohibited Transaction Issues</w:t>
      </w:r>
    </w:p>
    <w:p>
      <w:pPr>
        <w:spacing w:after="0" w:line="88" w:lineRule="exact"/>
        <w:rPr>
          <w:sz w:val="20"/>
          <w:szCs w:val="20"/>
          <w:color w:val="auto"/>
        </w:rPr>
      </w:pPr>
    </w:p>
    <w:p>
      <w:pPr>
        <w:ind w:left="1480" w:right="379"/>
        <w:spacing w:after="0" w:line="293" w:lineRule="auto"/>
        <w:rPr>
          <w:sz w:val="20"/>
          <w:szCs w:val="20"/>
          <w:color w:val="auto"/>
        </w:rPr>
      </w:pPr>
      <w:r>
        <w:rPr>
          <w:rFonts w:ascii="Times New Roman" w:cs="Times New Roman" w:eastAsia="Times New Roman" w:hAnsi="Times New Roman"/>
          <w:sz w:val="12"/>
          <w:szCs w:val="12"/>
          <w:color w:val="auto"/>
        </w:rPr>
        <w:t>Section 406 of ERISA and Section 4975 of the Code prohibit Covered Plans from engaging in specified transactions involving Covered Plan assets with persons or entities who are “parties in interest,” within the meaning of ERISA, or “disqualified persons,” within the meaning of Section 4975 of the Code, unless an exemption is available. Those sections further prohibit a fiduciary from engaging in transactions in which a conflict of interest is deemed present. A party in interest or disqualified person (including a fiduciary) who engaged in a non-exempt prohibited transaction may be subject to excise taxes and other penalties and liabilities under ERISA and/or the Code. In addition, the fiduciary of a Covered Plan that engaged in such a non-exempt prohibited transaction may be subject to penalties and liabilities under ERISA and/or the Code. The acquisition and/or holding of the notes by a Covered Plan with respect to which we, an underwriter or any of our or their respective affiliates may be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288"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In this regard, the U.S. Department of Labor has issued prohibited transaction class exemptions, or “PTCEs,” that may provide exemptive relief for direct or indirect prohibited transactions resulting from the sale, purchase or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insurance company general accounts and PTCE 96-23 respecting transactions determined by in-house asset managers, although there can be no</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assurance that all of the conditions of any such exemptions will be satisfied. In addition to the foregoing, Section 408(b)(17) of ERISA and</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Section 4975(d)(20) of the Code provide exemptions for certain transactions between a Covered Plan and a person that is a party in interest and/or a</w:t>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disqualified person (other than a fiduciary or an affiliate that, directly or indirectly, has or exercises any discretionary authority or control or renders any</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investment advice with respect to the Covered Plan assets involved in the transaction) solely by reason of providing services to the Covered Plan or by</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relationship to a service provider, provided that the Covered Plan has paid no more and received no less than adequate consideration in connection with</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transaction. These exemptions do not, however, provide relief from the self-dealing prohibited transactions under ERISA and the Code. It should</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also be noted that even if the conditions specified in one or more of these exemptions are met, the scope of relief provided by these exemptions may not</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necessarily cover all acts involving the notes that might be construed as prohibited transactions.</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Other Plans</w:t>
      </w:r>
    </w:p>
    <w:p>
      <w:pPr>
        <w:spacing w:after="0" w:line="88"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Plans, including governmental plans (as defined in Section 3(32) of ERISA) and, if no election has been made under Section 410(d) of the Code, church plans (as defined in Section 3(33) of ERISA), and non-U.S. Plans (as defined in Section 4(b)(4) of ERISA), while generally not subject to the fiduciary responsibility provisions of Title I of ERISA or to the prohibited transaction provisions of Title I of ERISA or Section 4975 of the Code, may be subject to Similar Laws that include similar requirements. However, investment by such plans may be subject to the similar provisions of applicable Similar Laws. Fiduciaries of any such Plans should consult with their legal advisors regarding the potential consequences of an investment in the notes under any applicable Similar Laws before purchasing any notes.</w:t>
      </w:r>
    </w:p>
    <w:p>
      <w:pPr>
        <w:spacing w:after="0" w:line="147"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Because of the foregoing, the notes should not be purchased or held by any person investing “plan assets” of any Plan, unless such purchase and holding will not constitute or result in a non-exempt prohibited transaction under ERISA and/or the Code or a similar violation under any applicable Similar Laws.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Representation</w:t>
      </w:r>
    </w:p>
    <w:p>
      <w:pPr>
        <w:spacing w:after="0" w:line="88" w:lineRule="exact"/>
        <w:rPr>
          <w:sz w:val="20"/>
          <w:szCs w:val="20"/>
          <w:color w:val="auto"/>
        </w:rPr>
      </w:pPr>
    </w:p>
    <w:p>
      <w:pPr>
        <w:jc w:val="both"/>
        <w:ind w:left="1480" w:right="379"/>
        <w:spacing w:after="0" w:line="249" w:lineRule="auto"/>
        <w:rPr>
          <w:sz w:val="20"/>
          <w:szCs w:val="20"/>
          <w:color w:val="auto"/>
        </w:rPr>
      </w:pPr>
      <w:r>
        <w:rPr>
          <w:rFonts w:ascii="Times New Roman" w:cs="Times New Roman" w:eastAsia="Times New Roman" w:hAnsi="Times New Roman"/>
          <w:sz w:val="14"/>
          <w:szCs w:val="14"/>
          <w:color w:val="auto"/>
        </w:rPr>
        <w:t>Accordingly, by acceptance of and/or holding a note or any interest in a note, each purchaser and subsequent transferee of a note will be deemed to have represented and warranted that either (a) such purchaser or subsequent transferee is not acquiring or holding the notes for or on behalf of, and no portion of the assets used by such purchaser or transferee to acquire or hold the notes or any interest therein constitutes assets of, any Plan or (b) the acquisition, holding and subsequent disposition of the notes by such purchaser or transferee will not constitute or result in a non-exempt prohibited transaction under Section 406 of ERISA or Section 4975 of the Code or similar violation under any applicable Similar Laws.</w:t>
      </w:r>
    </w:p>
    <w:p>
      <w:pPr>
        <w:spacing w:after="0" w:line="146"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color w:val="auto"/>
        </w:rPr>
        <w:t>The foregoing discussion is general in nature and is not intended to be all-inclusive nor should it be construed as legal advice. Due to the complexity of these rules and the penalties that may be imposed upon persons involved in non-exempt prohibited transactions, it is particularly important that fiduciaries or other persons considering purchasing or holding the notes (including any beneficial interest therein) on behalf of, or with the assets of, any Plan, consult with their advisors regarding the potential applicability of ERISA, Section 4975 of the Code and any Similar Laws to such investment and whether an exemption would be applicable to the purchase and/or holding of the notes.</w:t>
      </w:r>
    </w:p>
    <w:p>
      <w:pPr>
        <w:spacing w:after="0" w:line="146" w:lineRule="exact"/>
        <w:rPr>
          <w:sz w:val="20"/>
          <w:szCs w:val="20"/>
          <w:color w:val="auto"/>
        </w:rPr>
      </w:pPr>
    </w:p>
    <w:p>
      <w:pPr>
        <w:jc w:val="both"/>
        <w:ind w:left="1480" w:right="519"/>
        <w:spacing w:after="0" w:line="349" w:lineRule="auto"/>
        <w:rPr>
          <w:sz w:val="20"/>
          <w:szCs w:val="20"/>
          <w:color w:val="auto"/>
        </w:rPr>
      </w:pPr>
      <w:r>
        <w:rPr>
          <w:rFonts w:ascii="Times New Roman" w:cs="Times New Roman" w:eastAsia="Times New Roman" w:hAnsi="Times New Roman"/>
          <w:sz w:val="12"/>
          <w:szCs w:val="12"/>
          <w:color w:val="auto"/>
        </w:rPr>
        <w:t>Nothing herein shall be construed as a representation or recommendation that such an investment meets all relevant legal requirements with respect to investments by Plans generally or any particular Plan or that such an investment is appropriate or advisable for Plans generally or any particular Plan.</w:t>
      </w:r>
    </w:p>
    <w:p>
      <w:pPr>
        <w:spacing w:after="0" w:line="89" w:lineRule="exact"/>
        <w:rPr>
          <w:sz w:val="20"/>
          <w:szCs w:val="20"/>
          <w:color w:val="auto"/>
        </w:rPr>
      </w:pPr>
    </w:p>
    <w:p>
      <w:pPr>
        <w:ind w:left="1480" w:right="859"/>
        <w:spacing w:after="0" w:line="265" w:lineRule="auto"/>
        <w:rPr>
          <w:sz w:val="20"/>
          <w:szCs w:val="20"/>
          <w:color w:val="auto"/>
        </w:rPr>
      </w:pPr>
      <w:r>
        <w:rPr>
          <w:rFonts w:ascii="Times New Roman" w:cs="Times New Roman" w:eastAsia="Times New Roman" w:hAnsi="Times New Roman"/>
          <w:sz w:val="14"/>
          <w:szCs w:val="14"/>
          <w:color w:val="auto"/>
        </w:rPr>
        <w:t>Each purchaser and holder of the notes has the exclusive responsibility for ensuring that its purchase and holding of the notes complies with the fiduciary responsibility rules of Title I of ERISA and does not violate the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7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79"/>
        <w:spacing w:after="0" w:line="250" w:lineRule="auto"/>
        <w:rPr>
          <w:sz w:val="20"/>
          <w:szCs w:val="20"/>
          <w:color w:val="auto"/>
        </w:rPr>
      </w:pPr>
      <w:r>
        <w:rPr>
          <w:rFonts w:ascii="Times New Roman" w:cs="Times New Roman" w:eastAsia="Times New Roman" w:hAnsi="Times New Roman"/>
          <w:sz w:val="14"/>
          <w:szCs w:val="14"/>
          <w:color w:val="auto"/>
        </w:rPr>
        <w:t>prohibited transaction rules of ERISA or Section 4975 of the Code or any applicable Similar Laws. Neither this discussion nor anything provided in this prospectus supplement is or is intended to be investment advice directed at any potential Plan purchasers or at Plan purchasers generally and such purchasers of any notes (or beneficial interests therein) should consult and rely on their own advisors as to whether an investment in the notes is suitable for the Plan.</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0" w:lineRule="exact"/>
        <w:rPr>
          <w:sz w:val="20"/>
          <w:szCs w:val="20"/>
          <w:color w:val="auto"/>
        </w:rPr>
      </w:pPr>
    </w:p>
    <w:p>
      <w:pPr>
        <w:ind w:left="1480" w:right="599"/>
        <w:spacing w:after="0" w:line="306" w:lineRule="auto"/>
        <w:rPr>
          <w:sz w:val="20"/>
          <w:szCs w:val="20"/>
          <w:color w:val="auto"/>
        </w:rPr>
      </w:pPr>
      <w:r>
        <w:rPr>
          <w:rFonts w:ascii="Times New Roman" w:cs="Times New Roman" w:eastAsia="Times New Roman" w:hAnsi="Times New Roman"/>
          <w:sz w:val="12"/>
          <w:szCs w:val="12"/>
          <w:color w:val="auto"/>
        </w:rPr>
        <w:t>Deutsche Bank AG, London Branch, HSBC Bank plc, J.P. Morgan Securities plc, Merrill Lynch International, Citigroup Global Markets Limited, Goldman Sachs &amp; Co. LLC and ING Bank N.V., Belgian Branch are acting as joint book-running managers of the offering. Subject to the terms and conditions stated in the underwriting agreement dated the date of this prospectus supplement, each underwriter named below has severally and not jointly agreed to purchase, and we have agreed to sell to that underwriter, the principal amount of notes set forth opposite the underwriter’s name.</w:t>
      </w:r>
    </w:p>
    <w:p>
      <w:pPr>
        <w:spacing w:after="0" w:line="114" w:lineRule="exact"/>
        <w:rPr>
          <w:sz w:val="20"/>
          <w:szCs w:val="20"/>
          <w:color w:val="auto"/>
        </w:rPr>
      </w:pPr>
    </w:p>
    <w:tbl>
      <w:tblPr>
        <w:tblLayout w:type="fixed"/>
        <w:tblInd w:w="282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2"/>
        </w:trPr>
        <w:tc>
          <w:tcPr>
            <w:tcW w:w="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Underwriter</w:t>
            </w:r>
          </w:p>
        </w:tc>
        <w:tc>
          <w:tcPr>
            <w:tcW w:w="416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5"/>
              </w:rPr>
              <w:t>amount of</w:t>
            </w:r>
          </w:p>
        </w:tc>
        <w:tc>
          <w:tcPr>
            <w:tcW w:w="0" w:type="dxa"/>
            <w:vAlign w:val="bottom"/>
          </w:tcPr>
          <w:p>
            <w:pPr>
              <w:spacing w:after="0"/>
              <w:rPr>
                <w:sz w:val="1"/>
                <w:szCs w:val="1"/>
                <w:color w:val="auto"/>
              </w:rPr>
            </w:pPr>
          </w:p>
        </w:tc>
      </w:tr>
      <w:tr>
        <w:trPr>
          <w:trHeight w:val="141"/>
        </w:trPr>
        <w:tc>
          <w:tcPr>
            <w:tcW w:w="5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notes</w:t>
            </w:r>
          </w:p>
        </w:tc>
        <w:tc>
          <w:tcPr>
            <w:tcW w:w="0" w:type="dxa"/>
            <w:vAlign w:val="bottom"/>
          </w:tcPr>
          <w:p>
            <w:pPr>
              <w:spacing w:after="0"/>
              <w:rPr>
                <w:sz w:val="1"/>
                <w:szCs w:val="1"/>
                <w:color w:val="auto"/>
              </w:rPr>
            </w:pPr>
          </w:p>
        </w:tc>
      </w:tr>
      <w:tr>
        <w:trPr>
          <w:trHeight w:val="144"/>
        </w:trPr>
        <w:tc>
          <w:tcPr>
            <w:tcW w:w="474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Deutsche Bank AG, London Branch</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168,000,000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HSBC Bank plc</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plc</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Merrill Lynch International</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48,000,000</w:t>
            </w:r>
          </w:p>
        </w:tc>
        <w:tc>
          <w:tcPr>
            <w:tcW w:w="0" w:type="dxa"/>
            <w:vAlign w:val="bottom"/>
          </w:tcPr>
          <w:p>
            <w:pPr>
              <w:spacing w:after="0"/>
              <w:rPr>
                <w:sz w:val="1"/>
                <w:szCs w:val="1"/>
                <w:color w:val="auto"/>
              </w:rPr>
            </w:pPr>
          </w:p>
        </w:tc>
      </w:tr>
      <w:tr>
        <w:trPr>
          <w:trHeight w:val="16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Limited</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48,000,000</w:t>
            </w:r>
          </w:p>
        </w:tc>
        <w:tc>
          <w:tcPr>
            <w:tcW w:w="0" w:type="dxa"/>
            <w:vAlign w:val="bottom"/>
          </w:tcPr>
          <w:p>
            <w:pPr>
              <w:spacing w:after="0"/>
              <w:rPr>
                <w:sz w:val="1"/>
                <w:szCs w:val="1"/>
                <w:color w:val="auto"/>
              </w:rPr>
            </w:pPr>
          </w:p>
        </w:tc>
      </w:tr>
      <w:tr>
        <w:trPr>
          <w:trHeight w:val="16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48,000,000</w:t>
            </w:r>
          </w:p>
        </w:tc>
        <w:tc>
          <w:tcPr>
            <w:tcW w:w="0" w:type="dxa"/>
            <w:vAlign w:val="bottom"/>
          </w:tcPr>
          <w:p>
            <w:pPr>
              <w:spacing w:after="0"/>
              <w:rPr>
                <w:sz w:val="1"/>
                <w:szCs w:val="1"/>
                <w:color w:val="auto"/>
              </w:rPr>
            </w:pPr>
          </w:p>
        </w:tc>
      </w:tr>
      <w:tr>
        <w:trPr>
          <w:trHeight w:val="16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ING Bank N.V., Belgian Branch</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48,000,000</w:t>
            </w:r>
          </w:p>
        </w:tc>
        <w:tc>
          <w:tcPr>
            <w:tcW w:w="0" w:type="dxa"/>
            <w:vAlign w:val="bottom"/>
          </w:tcPr>
          <w:p>
            <w:pPr>
              <w:spacing w:after="0"/>
              <w:rPr>
                <w:sz w:val="1"/>
                <w:szCs w:val="1"/>
                <w:color w:val="auto"/>
              </w:rPr>
            </w:pPr>
          </w:p>
        </w:tc>
      </w:tr>
      <w:tr>
        <w:trPr>
          <w:trHeight w:val="16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BNP PARIBAS</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28,000,000</w:t>
            </w:r>
          </w:p>
        </w:tc>
        <w:tc>
          <w:tcPr>
            <w:tcW w:w="0" w:type="dxa"/>
            <w:vAlign w:val="bottom"/>
          </w:tcPr>
          <w:p>
            <w:pPr>
              <w:spacing w:after="0"/>
              <w:rPr>
                <w:sz w:val="1"/>
                <w:szCs w:val="1"/>
                <w:color w:val="auto"/>
              </w:rPr>
            </w:pPr>
          </w:p>
        </w:tc>
      </w:tr>
      <w:tr>
        <w:trPr>
          <w:trHeight w:val="16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Scotiabank (Ireland) Designated Activity Company</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28,000,000</w:t>
            </w:r>
          </w:p>
        </w:tc>
        <w:tc>
          <w:tcPr>
            <w:tcW w:w="0" w:type="dxa"/>
            <w:vAlign w:val="bottom"/>
          </w:tcPr>
          <w:p>
            <w:pPr>
              <w:spacing w:after="0"/>
              <w:rPr>
                <w:sz w:val="1"/>
                <w:szCs w:val="1"/>
                <w:color w:val="auto"/>
              </w:rPr>
            </w:pPr>
          </w:p>
        </w:tc>
      </w:tr>
      <w:tr>
        <w:trPr>
          <w:trHeight w:val="164"/>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20,000,000</w:t>
            </w:r>
          </w:p>
        </w:tc>
        <w:tc>
          <w:tcPr>
            <w:tcW w:w="0" w:type="dxa"/>
            <w:vAlign w:val="bottom"/>
          </w:tcPr>
          <w:p>
            <w:pPr>
              <w:spacing w:after="0"/>
              <w:rPr>
                <w:sz w:val="1"/>
                <w:szCs w:val="1"/>
                <w:color w:val="auto"/>
              </w:rPr>
            </w:pPr>
          </w:p>
        </w:tc>
      </w:tr>
      <w:tr>
        <w:trPr>
          <w:trHeight w:val="164"/>
        </w:trPr>
        <w:tc>
          <w:tcPr>
            <w:tcW w:w="4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80" w:right="539"/>
        <w:spacing w:after="0" w:line="249"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The underwriters propose to offer the notes directly to the public at the public offering price set forth on the cover page of this prospectus supplement.</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After the initial offering of the notes to the public, the underwriters may change the public offering price and other selling terms.</w:t>
      </w:r>
    </w:p>
    <w:p>
      <w:pPr>
        <w:spacing w:after="0" w:line="154" w:lineRule="exact"/>
        <w:rPr>
          <w:sz w:val="20"/>
          <w:szCs w:val="20"/>
          <w:color w:val="auto"/>
        </w:rPr>
      </w:pPr>
    </w:p>
    <w:p>
      <w:pPr>
        <w:ind w:left="1480" w:right="359"/>
        <w:spacing w:after="0" w:line="265" w:lineRule="auto"/>
        <w:rPr>
          <w:sz w:val="20"/>
          <w:szCs w:val="20"/>
          <w:color w:val="auto"/>
        </w:rPr>
      </w:pPr>
      <w:r>
        <w:rPr>
          <w:rFonts w:ascii="Times New Roman" w:cs="Times New Roman" w:eastAsia="Times New Roman" w:hAnsi="Times New Roman"/>
          <w:sz w:val="14"/>
          <w:szCs w:val="14"/>
          <w:color w:val="auto"/>
        </w:rPr>
        <w:t>The following table shows the underwriting discount that we are to pay to the underwriters in connection with this offering (expressed as a percentage of the principal amount of the notes).</w:t>
      </w:r>
    </w:p>
    <w:p>
      <w:pPr>
        <w:spacing w:after="0" w:line="135" w:lineRule="exact"/>
        <w:rPr>
          <w:sz w:val="20"/>
          <w:szCs w:val="20"/>
          <w:color w:val="auto"/>
        </w:rPr>
      </w:pPr>
    </w:p>
    <w:tbl>
      <w:tblPr>
        <w:tblLayout w:type="fixed"/>
        <w:tblInd w:w="2820" w:type="dxa"/>
        <w:tblCellMar>
          <w:top w:w="0" w:type="dxa"/>
          <w:left w:w="0" w:type="dxa"/>
          <w:bottom w:w="0" w:type="dxa"/>
          <w:right w:w="0" w:type="dxa"/>
        </w:tblCellMar>
      </w:tblPr>
      <w:tr>
        <w:trPr>
          <w:trHeight w:val="126"/>
        </w:trPr>
        <w:tc>
          <w:tcPr>
            <w:tcW w:w="492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Paid by</w:t>
            </w:r>
          </w:p>
        </w:tc>
        <w:tc>
          <w:tcPr>
            <w:tcW w:w="0" w:type="dxa"/>
            <w:vAlign w:val="bottom"/>
          </w:tcPr>
          <w:p>
            <w:pPr>
              <w:spacing w:after="0"/>
              <w:rPr>
                <w:sz w:val="1"/>
                <w:szCs w:val="1"/>
                <w:color w:val="auto"/>
              </w:rPr>
            </w:pPr>
          </w:p>
        </w:tc>
      </w:tr>
      <w:tr>
        <w:trPr>
          <w:trHeight w:val="112"/>
        </w:trPr>
        <w:tc>
          <w:tcPr>
            <w:tcW w:w="4920" w:type="dxa"/>
            <w:vAlign w:val="bottom"/>
          </w:tcPr>
          <w:p>
            <w:pPr>
              <w:spacing w:after="0"/>
              <w:rPr>
                <w:sz w:val="9"/>
                <w:szCs w:val="9"/>
                <w:color w:val="auto"/>
              </w:rPr>
            </w:pPr>
          </w:p>
        </w:tc>
        <w:tc>
          <w:tcPr>
            <w:tcW w:w="74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7"/>
              </w:rPr>
              <w:t>Dover</w:t>
            </w:r>
          </w:p>
        </w:tc>
        <w:tc>
          <w:tcPr>
            <w:tcW w:w="0" w:type="dxa"/>
            <w:vAlign w:val="bottom"/>
          </w:tcPr>
          <w:p>
            <w:pPr>
              <w:spacing w:after="0"/>
              <w:rPr>
                <w:sz w:val="1"/>
                <w:szCs w:val="1"/>
                <w:color w:val="auto"/>
              </w:rPr>
            </w:pPr>
          </w:p>
        </w:tc>
      </w:tr>
      <w:tr>
        <w:trPr>
          <w:trHeight w:val="132"/>
        </w:trPr>
        <w:tc>
          <w:tcPr>
            <w:tcW w:w="492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Corporation</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920" w:type="dxa"/>
            <w:vAlign w:val="bottom"/>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0.400%</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estimate that our total expenses for this offering, other than the underwriting discount, will be approximately €1.9 million ($2.2 million).</w:t>
      </w:r>
    </w:p>
    <w:p>
      <w:pPr>
        <w:spacing w:after="0" w:line="166" w:lineRule="exact"/>
        <w:rPr>
          <w:sz w:val="20"/>
          <w:szCs w:val="20"/>
          <w:color w:val="auto"/>
        </w:rPr>
      </w:pPr>
    </w:p>
    <w:p>
      <w:pPr>
        <w:ind w:left="1480" w:right="859"/>
        <w:spacing w:after="0" w:line="265"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 or to contribute to payments the underwriters may be required to make because of any of those liabilities.</w:t>
      </w:r>
    </w:p>
    <w:p>
      <w:pPr>
        <w:spacing w:after="0" w:line="135" w:lineRule="exact"/>
        <w:rPr>
          <w:sz w:val="20"/>
          <w:szCs w:val="20"/>
          <w:color w:val="auto"/>
        </w:rPr>
      </w:pPr>
    </w:p>
    <w:p>
      <w:pPr>
        <w:ind w:left="1480" w:right="459"/>
        <w:spacing w:after="0" w:line="265" w:lineRule="auto"/>
        <w:rPr>
          <w:sz w:val="20"/>
          <w:szCs w:val="20"/>
          <w:color w:val="auto"/>
        </w:rPr>
      </w:pPr>
      <w:r>
        <w:rPr>
          <w:rFonts w:ascii="Times New Roman" w:cs="Times New Roman" w:eastAsia="Times New Roman" w:hAnsi="Times New Roman"/>
          <w:sz w:val="14"/>
          <w:szCs w:val="14"/>
          <w:color w:val="auto"/>
        </w:rPr>
        <w:t>To the extent any underwriter that is not a U.S. registered broker-dealer intends to effect sales of notes in the United States, it will do so through one or more U.S. registered broker-dealers in accordance with the applicable U.S. securities laws and regulations.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New Issue of Notes</w:t>
      </w:r>
    </w:p>
    <w:p>
      <w:pPr>
        <w:spacing w:after="0" w:line="88"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intend to apply to list the notes on the NYSE. The listing application will be subject to approval by the NYSE. We expect listing of the notes on the NYSE to occur within 30 days after the original issue date. If such a listing is obtained, we have no obligation to maintain such listing, and we may delist the notes at any time. We have been advised by certain of the underwriters that they intend to make a market in the notes but the underwriters are not obligated to do so and may discontinue market-making with respect to the notes at any time without notice. We cannot assure you that a liquid trading market for the notes will develop, that you will be able to sell your notes at a particular time or that the price you receive when you sell will be favorable.</w:t>
      </w:r>
    </w:p>
    <w:p>
      <w:pPr>
        <w:spacing w:after="0" w:line="147" w:lineRule="exact"/>
        <w:rPr>
          <w:sz w:val="20"/>
          <w:szCs w:val="20"/>
          <w:color w:val="auto"/>
        </w:rPr>
      </w:pPr>
    </w:p>
    <w:p>
      <w:pPr>
        <w:ind w:left="1480" w:right="359"/>
        <w:spacing w:after="0" w:line="249" w:lineRule="auto"/>
        <w:rPr>
          <w:sz w:val="20"/>
          <w:szCs w:val="20"/>
          <w:color w:val="auto"/>
        </w:rPr>
      </w:pPr>
      <w:r>
        <w:rPr>
          <w:rFonts w:ascii="Times New Roman" w:cs="Times New Roman" w:eastAsia="Times New Roman" w:hAnsi="Times New Roman"/>
          <w:sz w:val="14"/>
          <w:szCs w:val="14"/>
          <w:color w:val="auto"/>
        </w:rPr>
        <w:t>We expect to deliver the notes against payment for the notes on or about the date specified in the last paragraph of the cover page of this prospectus supplement, which will be the fifth London business day following the date of the pricing of the notes (“T+5”). Under Rule 15c6-1 of the Exchange Act, trades in the secondary market generally are required to settle in one business day, unless the parties to a trade expressly agree otherwise. Accordingly, purchasers who wish to trade notes before the date that is one business day prior to the settlement date will be required, by virtue of the fact that the notes initially will settle in T+5, to specify alternative settlement arrangements to prevent a failed settlement.</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Sales Outside the United States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notes may be offered and sold in the United States and certain jurisdictions outside the United States in which such offer and sale is permitted.</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88"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 xml:space="preserve">The notes may be sold only to purchasers purchasing, or deemed to be purchasing, as principals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as applicable,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notes must be made in accordance with an exemption from, or in a transaction not subject to, the prospectus requirements of applicable securities laws.</w:t>
      </w:r>
    </w:p>
    <w:p>
      <w:pPr>
        <w:spacing w:after="0" w:line="147" w:lineRule="exact"/>
        <w:rPr>
          <w:sz w:val="20"/>
          <w:szCs w:val="20"/>
          <w:color w:val="auto"/>
        </w:rPr>
      </w:pPr>
    </w:p>
    <w:p>
      <w:pPr>
        <w:ind w:left="1480" w:right="459"/>
        <w:spacing w:after="0" w:line="249"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in addition to any other rights they may have at law, rights of rescission or to damages, or both, when a prospectus that is delivered to purchasers contains a misrepresentation. These rights and remedies must be exercised within prescribed time limits and are subject to the defenses contained in applicable securities legislation. Prospective purchasers should refer to the applicable provisions of the securities legislation of their respective province or territory for the particulars of these rights or consult with a legal adviser.</w:t>
      </w:r>
    </w:p>
    <w:p>
      <w:pPr>
        <w:spacing w:after="0" w:line="146" w:lineRule="exact"/>
        <w:rPr>
          <w:sz w:val="20"/>
          <w:szCs w:val="20"/>
          <w:color w:val="auto"/>
        </w:rPr>
      </w:pPr>
    </w:p>
    <w:p>
      <w:pPr>
        <w:ind w:left="1480" w:right="739"/>
        <w:spacing w:after="0" w:line="265"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88" w:lineRule="exact"/>
        <w:rPr>
          <w:sz w:val="20"/>
          <w:szCs w:val="20"/>
          <w:color w:val="auto"/>
        </w:rPr>
      </w:pPr>
    </w:p>
    <w:p>
      <w:pPr>
        <w:ind w:left="1480" w:right="399"/>
        <w:spacing w:after="0" w:line="248"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the notes have not been offered, sold or otherwise made available to and should not be offered, sold or otherwise made available to any retail investor in the EEA. For these purposes, a retail investor means a person who is one (or more) of: (i) a retail client as defined in point (11) of Article 4(1) of MiFID II; or (ii) a customer within the meaning of the Insurance Distribution Directive, where that customer would not qualify as a professional client as defined in point (10) of Article 4(1) of MiFID II. Consequently, no key information document required by the PRIIPs Regulation for offering or selling the notes or otherwise making them available to retail investors in the EEA has been prepared</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719"/>
        <w:spacing w:after="0" w:line="265" w:lineRule="auto"/>
        <w:rPr>
          <w:sz w:val="20"/>
          <w:szCs w:val="20"/>
          <w:color w:val="auto"/>
        </w:rPr>
      </w:pPr>
      <w:r>
        <w:rPr>
          <w:rFonts w:ascii="Times New Roman" w:cs="Times New Roman" w:eastAsia="Times New Roman" w:hAnsi="Times New Roman"/>
          <w:sz w:val="14"/>
          <w:szCs w:val="14"/>
          <w:color w:val="auto"/>
        </w:rPr>
        <w:t>and therefore offering or selling the notes or otherwise making them available to any retail investor in the EEA may be unlawful under the PRIIPs Regulation.</w:t>
      </w:r>
    </w:p>
    <w:p>
      <w:pPr>
        <w:spacing w:after="0" w:line="135"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Neither we nor the joint book-running managers have authorized, nor do we or they authorize, the making of any offer of notes in circumstances in which an obligation arises for us or the joint book-running managers to publish a prospectus for such offer.</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88" w:lineRule="exact"/>
        <w:rPr>
          <w:sz w:val="20"/>
          <w:szCs w:val="20"/>
          <w:color w:val="auto"/>
        </w:rPr>
      </w:pPr>
    </w:p>
    <w:p>
      <w:pPr>
        <w:ind w:left="1480" w:right="339"/>
        <w:spacing w:after="0" w:line="248" w:lineRule="auto"/>
        <w:rPr>
          <w:sz w:val="20"/>
          <w:szCs w:val="20"/>
          <w:color w:val="auto"/>
        </w:rPr>
      </w:pPr>
      <w:r>
        <w:rPr>
          <w:rFonts w:ascii="Times New Roman" w:cs="Times New Roman" w:eastAsia="Times New Roman" w:hAnsi="Times New Roman"/>
          <w:sz w:val="14"/>
          <w:szCs w:val="14"/>
          <w:color w:val="auto"/>
        </w:rPr>
        <w:t>The notes have not been offered, sold, distributed or otherwise made available to and should not be offered, sold, distributed or otherwise made available to any retail investor in the UK. For these purposes, a retail investor means a person who is not a professional client, as defined in point (8) of Article 2(1) of Regulation (EU) No 600/2014 as it forms part of domestic law by virtue of the EUWA. Consequently, no disclosure document required by the FCA Product Disclosure Sourcebook (“</w:t>
      </w:r>
      <w:r>
        <w:rPr>
          <w:rFonts w:ascii="Times New Roman" w:cs="Times New Roman" w:eastAsia="Times New Roman" w:hAnsi="Times New Roman"/>
          <w:sz w:val="14"/>
          <w:szCs w:val="14"/>
          <w:b w:val="1"/>
          <w:bCs w:val="1"/>
          <w:color w:val="auto"/>
        </w:rPr>
        <w:t>DISC</w:t>
      </w:r>
      <w:r>
        <w:rPr>
          <w:rFonts w:ascii="Times New Roman" w:cs="Times New Roman" w:eastAsia="Times New Roman" w:hAnsi="Times New Roman"/>
          <w:sz w:val="14"/>
          <w:szCs w:val="14"/>
          <w:color w:val="auto"/>
        </w:rPr>
        <w:t>”)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Consumer Composite Investments (Designated Activities) Regulations 2024.</w:t>
      </w:r>
    </w:p>
    <w:p>
      <w:pPr>
        <w:spacing w:after="0" w:line="147" w:lineRule="exact"/>
        <w:rPr>
          <w:sz w:val="20"/>
          <w:szCs w:val="20"/>
          <w:color w:val="auto"/>
        </w:rPr>
      </w:pPr>
    </w:p>
    <w:p>
      <w:pPr>
        <w:ind w:left="1480" w:right="459"/>
        <w:spacing w:after="0" w:line="306" w:lineRule="auto"/>
        <w:rPr>
          <w:sz w:val="20"/>
          <w:szCs w:val="20"/>
          <w:color w:val="auto"/>
        </w:rPr>
      </w:pPr>
      <w:r>
        <w:rPr>
          <w:rFonts w:ascii="Times New Roman" w:cs="Times New Roman" w:eastAsia="Times New Roman" w:hAnsi="Times New Roman"/>
          <w:sz w:val="12"/>
          <w:szCs w:val="12"/>
          <w:color w:val="auto"/>
        </w:rPr>
        <w:t>This prospectus supplement and the accompanying prospectus have been prepared on the basis that any offer of notes in the UK will be made pursuant to an exception from the prohibition on offers of notes to the public under the POATRs. Neither this prospectus supplement nor the accompanying prospectus is a prospectus for the purposes of the POATRs. Neither we nor the joint book-running managers have authorized, nor do we or they authorize, the making of any offer of notes other than pursuant to an exception from the prohibition on offers of notes to the public under the POATRs.</w:t>
      </w:r>
    </w:p>
    <w:p>
      <w:pPr>
        <w:spacing w:after="0" w:line="1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In addition, in the United Kingdom, the notes may only be offered by a person that:</w:t>
      </w:r>
    </w:p>
    <w:p>
      <w:pPr>
        <w:spacing w:after="0" w:line="95" w:lineRule="exact"/>
        <w:rPr>
          <w:sz w:val="20"/>
          <w:szCs w:val="20"/>
          <w:color w:val="auto"/>
        </w:rPr>
      </w:pPr>
    </w:p>
    <w:p>
      <w:pPr>
        <w:ind w:left="2200" w:right="639" w:hanging="317"/>
        <w:spacing w:after="0" w:line="250"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75" w:lineRule="exact"/>
        <w:rPr>
          <w:rFonts w:ascii="Times New Roman" w:cs="Times New Roman" w:eastAsia="Times New Roman" w:hAnsi="Times New Roman"/>
          <w:sz w:val="14"/>
          <w:szCs w:val="14"/>
          <w:color w:val="auto"/>
        </w:rPr>
      </w:pPr>
    </w:p>
    <w:p>
      <w:pPr>
        <w:ind w:left="2200" w:right="559" w:hanging="317"/>
        <w:spacing w:after="0" w:line="265" w:lineRule="auto"/>
        <w:tabs>
          <w:tab w:leader="none" w:pos="22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complied and will comply with all applicable provisions of the FSMA with respect to anything done by it in relation to the notes in, from or otherwise involving the United Kingdom.</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88" w:lineRule="exact"/>
        <w:rPr>
          <w:sz w:val="20"/>
          <w:szCs w:val="20"/>
          <w:color w:val="auto"/>
        </w:rPr>
      </w:pPr>
    </w:p>
    <w:p>
      <w:pPr>
        <w:jc w:val="both"/>
        <w:ind w:left="1480" w:right="519"/>
        <w:spacing w:after="0" w:line="349" w:lineRule="auto"/>
        <w:rPr>
          <w:sz w:val="20"/>
          <w:szCs w:val="20"/>
          <w:color w:val="auto"/>
        </w:rPr>
      </w:pPr>
      <w:r>
        <w:rPr>
          <w:rFonts w:ascii="Times New Roman" w:cs="Times New Roman" w:eastAsia="Times New Roman" w:hAnsi="Times New Roman"/>
          <w:sz w:val="12"/>
          <w:szCs w:val="12"/>
          <w:color w:val="auto"/>
        </w:rPr>
        <w:t>The notes may not be publicly offered, directly or indirectly, in Switzerland within the meaning of the Swiss Financial Services Act (“FinSA”) and no application has been or will be made to admit the securities to trading on any trading venue (Exchange of multilateral trading facility) in Switzerland.</w:t>
      </w:r>
    </w:p>
    <w:p>
      <w:pPr>
        <w:spacing w:after="0" w:line="89"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notes constitutes a prospectus as such term is understood pursuant to articles 35 et seqq. and article 69 of the FinSA, and neither this document nor any other offering or marketing material relating to the notes may be publicly distributed or otherwise made publicly available in Switzerland.</w:t>
      </w:r>
    </w:p>
    <w:p>
      <w:pPr>
        <w:spacing w:after="0" w:line="143" w:lineRule="exact"/>
        <w:rPr>
          <w:sz w:val="20"/>
          <w:szCs w:val="20"/>
          <w:color w:val="auto"/>
        </w:rPr>
      </w:pPr>
    </w:p>
    <w:p>
      <w:pPr>
        <w:ind w:left="1480" w:right="399"/>
        <w:spacing w:after="0" w:line="254" w:lineRule="auto"/>
        <w:rPr>
          <w:sz w:val="20"/>
          <w:szCs w:val="20"/>
          <w:color w:val="auto"/>
        </w:rPr>
      </w:pPr>
      <w:r>
        <w:rPr>
          <w:rFonts w:ascii="Times New Roman" w:cs="Times New Roman" w:eastAsia="Times New Roman" w:hAnsi="Times New Roman"/>
          <w:sz w:val="14"/>
          <w:szCs w:val="14"/>
          <w:color w:val="auto"/>
        </w:rPr>
        <w:t>Neither this prospectus supplement nor any other offering or marketing material relating to the offering, nor the Company nor the notes has been or will be filed with or approved by any Swiss regulatory authority. In particular, this prospectus supplement will not be filed with, and the offer of Securities will not be supervised by,</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80" w:right="659"/>
        <w:spacing w:after="0" w:line="254" w:lineRule="auto"/>
        <w:rPr>
          <w:sz w:val="20"/>
          <w:szCs w:val="20"/>
          <w:color w:val="auto"/>
        </w:rPr>
      </w:pPr>
      <w:r>
        <w:rPr>
          <w:rFonts w:ascii="Times New Roman" w:cs="Times New Roman" w:eastAsia="Times New Roman" w:hAnsi="Times New Roman"/>
          <w:sz w:val="14"/>
          <w:szCs w:val="14"/>
          <w:color w:val="auto"/>
        </w:rPr>
        <w:t>the Swiss Financial Market Supervisory Authority FINMA. Neither the securities nor the offering have been, nor will they be, authorized under the Swiss Federal Act on Collective Investment Schemes (“CISA”). Accordingly, the investor protection afforded to acquirers of interests in collective investment schemes under the CISA does not extend to acquirers of Securities.</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88"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WARNING: The contents of this document have not been reviewed or approved by any regulatory authority in Hong Kong. You are advised to exercise caution in relation to the offer of the notes. If you are in any doubt about any of the contents of this document, you should obtain independent professional advice.</w:t>
      </w:r>
    </w:p>
    <w:p>
      <w:pPr>
        <w:spacing w:after="0" w:line="143" w:lineRule="exact"/>
        <w:rPr>
          <w:sz w:val="20"/>
          <w:szCs w:val="20"/>
          <w:color w:val="auto"/>
        </w:rPr>
      </w:pPr>
    </w:p>
    <w:p>
      <w:pPr>
        <w:ind w:left="1480" w:right="359"/>
        <w:spacing w:after="0" w:line="293" w:lineRule="auto"/>
        <w:rPr>
          <w:sz w:val="20"/>
          <w:szCs w:val="20"/>
          <w:color w:val="auto"/>
        </w:rPr>
      </w:pPr>
      <w:r>
        <w:rPr>
          <w:rFonts w:ascii="Times New Roman" w:cs="Times New Roman" w:eastAsia="Times New Roman" w:hAnsi="Times New Roman"/>
          <w:sz w:val="12"/>
          <w:szCs w:val="12"/>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thereunder; or (b) in other circumstances which do not result in the document being a “prospectus” as defined in the Companies (Winding Up and Miscellaneous Provisions) Ordinance (Cap. 32) of the Laws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0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88"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Act of Japan (Act No. 25 of 1948, as amended). Accordingly, none of the notes nor any interest therein may be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all other applicable laws and regulations of Japan in effect at the relevant time.</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88" w:lineRule="exact"/>
        <w:rPr>
          <w:sz w:val="20"/>
          <w:szCs w:val="20"/>
          <w:color w:val="auto"/>
        </w:rPr>
      </w:pPr>
    </w:p>
    <w:p>
      <w:pPr>
        <w:ind w:left="1480" w:right="399"/>
        <w:spacing w:after="0" w:line="295" w:lineRule="auto"/>
        <w:rPr>
          <w:sz w:val="20"/>
          <w:szCs w:val="20"/>
          <w:color w:val="auto"/>
        </w:rPr>
      </w:pPr>
      <w:r>
        <w:rPr>
          <w:rFonts w:ascii="Times New Roman" w:cs="Times New Roman" w:eastAsia="Times New Roman" w:hAnsi="Times New Roman"/>
          <w:sz w:val="12"/>
          <w:szCs w:val="12"/>
          <w:color w:val="auto"/>
        </w:rPr>
        <w:t>This prospectus supplement has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such notes, whether directly or indirectly, to persons in Singapore other than (i) to an institutional investor under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88"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notes have not been and will not be registered or filed with, or approved by, the Financial Supervisory Commission of Taiwan and will not be offered, sold or delivered at any time, directly or indirectly, in the Republic of China or to, or for the account or benefit of, any resident of the Republic of China. No person or entity in the Republic of China has been authorized to offer, sell, give advice regarding or otherwise intermediate the offering and sale of the notes.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88" w:lineRule="exact"/>
        <w:rPr>
          <w:sz w:val="20"/>
          <w:szCs w:val="20"/>
          <w:color w:val="auto"/>
        </w:rPr>
      </w:pPr>
    </w:p>
    <w:p>
      <w:pPr>
        <w:ind w:left="1480" w:right="579"/>
        <w:spacing w:after="0" w:line="265" w:lineRule="auto"/>
        <w:rPr>
          <w:sz w:val="20"/>
          <w:szCs w:val="20"/>
          <w:color w:val="auto"/>
        </w:rPr>
      </w:pPr>
      <w:r>
        <w:rPr>
          <w:rFonts w:ascii="Times New Roman" w:cs="Times New Roman" w:eastAsia="Times New Roman" w:hAnsi="Times New Roman"/>
          <w:sz w:val="14"/>
          <w:szCs w:val="14"/>
          <w:color w:val="auto"/>
        </w:rPr>
        <w:t>No prospectus or other disclosure document (as defined in the Corporations Act 2001 (Cth) (“Corporations Act”) in relation to the notes has been, or will be, lodged with the Australian Securities and Investments Commission (“ASIC”). Each underwriter:</w:t>
      </w:r>
    </w:p>
    <w:p>
      <w:pPr>
        <w:spacing w:after="0" w:line="64" w:lineRule="exact"/>
        <w:rPr>
          <w:sz w:val="20"/>
          <w:szCs w:val="20"/>
          <w:color w:val="auto"/>
        </w:rPr>
      </w:pPr>
    </w:p>
    <w:p>
      <w:pPr>
        <w:ind w:left="2200" w:right="759" w:hanging="399"/>
        <w:spacing w:after="0" w:line="265"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distributed or published, and will not distribute or publish, any prospectus, offering circular or any other offering material or advertisement relating to the notes in Australia; and</w:t>
      </w:r>
    </w:p>
    <w:p>
      <w:pPr>
        <w:spacing w:after="0" w:line="63" w:lineRule="exact"/>
        <w:rPr>
          <w:rFonts w:ascii="Times New Roman" w:cs="Times New Roman" w:eastAsia="Times New Roman" w:hAnsi="Times New Roman"/>
          <w:sz w:val="14"/>
          <w:szCs w:val="14"/>
          <w:color w:val="auto"/>
        </w:rPr>
      </w:pPr>
    </w:p>
    <w:p>
      <w:pPr>
        <w:ind w:left="2200" w:right="399" w:hanging="399"/>
        <w:spacing w:after="0" w:line="265" w:lineRule="auto"/>
        <w:tabs>
          <w:tab w:leader="none" w:pos="22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(directly or indirectly) made or invited, and will not make or invite, an offer of the notes for issue or sale in Australia (including an offer or invitation which is received by a person in Australia),</w:t>
      </w:r>
    </w:p>
    <w:p>
      <w:pPr>
        <w:spacing w:after="0" w:line="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unless:</w:t>
      </w:r>
    </w:p>
    <w:p>
      <w:pPr>
        <w:spacing w:after="0" w:line="95" w:lineRule="exact"/>
        <w:rPr>
          <w:sz w:val="20"/>
          <w:szCs w:val="20"/>
          <w:color w:val="auto"/>
        </w:rPr>
      </w:pPr>
    </w:p>
    <w:p>
      <w:pPr>
        <w:ind w:left="2200" w:right="459" w:hanging="399"/>
        <w:spacing w:after="0" w:line="250"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consideration payable by each offeree or invitee in Australia (including any person who receives an offer or invitation or offering materials in Australia) is at least A$500,000 (or its equivalent in other currencies, in either case, disregarding moneys lent by the offeror or its associates), or the offer or invitation otherwise does not require disclosure to investors in accordance with Part 6D.2 or Chapter 7 of the Corporations Act;</w:t>
      </w:r>
    </w:p>
    <w:p>
      <w:pPr>
        <w:spacing w:after="0" w:line="75" w:lineRule="exact"/>
        <w:rPr>
          <w:rFonts w:ascii="Times New Roman" w:cs="Times New Roman" w:eastAsia="Times New Roman" w:hAnsi="Times New Roman"/>
          <w:sz w:val="14"/>
          <w:szCs w:val="14"/>
          <w:color w:val="auto"/>
        </w:rPr>
      </w:pPr>
    </w:p>
    <w:p>
      <w:pPr>
        <w:ind w:left="2200" w:hanging="399"/>
        <w:spacing w:after="0"/>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or invitation is not made to a person who is a “retail client” within the meaning of section 761G of the Corporations Act;</w:t>
      </w:r>
    </w:p>
    <w:p>
      <w:pPr>
        <w:spacing w:after="0" w:line="94" w:lineRule="exact"/>
        <w:rPr>
          <w:rFonts w:ascii="Times New Roman" w:cs="Times New Roman" w:eastAsia="Times New Roman" w:hAnsi="Times New Roman"/>
          <w:sz w:val="14"/>
          <w:szCs w:val="14"/>
          <w:color w:val="auto"/>
        </w:rPr>
      </w:pPr>
    </w:p>
    <w:p>
      <w:pPr>
        <w:ind w:left="2200" w:right="979" w:hanging="399"/>
        <w:spacing w:after="0" w:line="265"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action complies with all applicable laws, regulations and directives in Australia (including without limitation, the licensing requirements set out in Chapter 7 of the Corporations Act); and</w:t>
      </w:r>
    </w:p>
    <w:p>
      <w:pPr>
        <w:spacing w:after="0" w:line="63" w:lineRule="exact"/>
        <w:rPr>
          <w:rFonts w:ascii="Times New Roman" w:cs="Times New Roman" w:eastAsia="Times New Roman" w:hAnsi="Times New Roman"/>
          <w:sz w:val="14"/>
          <w:szCs w:val="14"/>
          <w:color w:val="auto"/>
        </w:rPr>
      </w:pPr>
    </w:p>
    <w:p>
      <w:pPr>
        <w:ind w:left="2200" w:right="379" w:hanging="399"/>
        <w:spacing w:after="0" w:line="265" w:lineRule="auto"/>
        <w:tabs>
          <w:tab w:leader="none" w:pos="2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action does not require any document to be lodged with ASIC or the Australian Securities Exchange operated by ASX Limited (ABN 98 008 624 691).</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 (“DIFC”)</w:t>
      </w:r>
    </w:p>
    <w:p>
      <w:pPr>
        <w:spacing w:after="0" w:line="88" w:lineRule="exact"/>
        <w:rPr>
          <w:sz w:val="20"/>
          <w:szCs w:val="20"/>
          <w:color w:val="auto"/>
        </w:rPr>
      </w:pPr>
    </w:p>
    <w:p>
      <w:pPr>
        <w:ind w:left="1480" w:right="419"/>
        <w:spacing w:after="0" w:line="265" w:lineRule="auto"/>
        <w:rPr>
          <w:sz w:val="20"/>
          <w:szCs w:val="20"/>
          <w:color w:val="auto"/>
        </w:rPr>
      </w:pPr>
      <w:r>
        <w:rPr>
          <w:rFonts w:ascii="Times New Roman" w:cs="Times New Roman" w:eastAsia="Times New Roman" w:hAnsi="Times New Roman"/>
          <w:sz w:val="14"/>
          <w:szCs w:val="14"/>
          <w:color w:val="auto"/>
        </w:rPr>
        <w:t>Each underwriter has not offered and will not offer the notes to any person in the Dubai International Financial Centre (the “DIFC”) unless such offer is an “Exempt Offer” in accordance with the Markets Rules (MKT), inter alia:</w:t>
      </w:r>
    </w:p>
    <w:p>
      <w:pPr>
        <w:spacing w:after="0" w:line="64" w:lineRule="exact"/>
        <w:rPr>
          <w:sz w:val="20"/>
          <w:szCs w:val="20"/>
          <w:color w:val="auto"/>
        </w:rPr>
      </w:pPr>
    </w:p>
    <w:p>
      <w:pPr>
        <w:ind w:left="2200" w:hanging="399"/>
        <w:spacing w:after="0"/>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made to or directed at only professional clients other than natural persons;</w:t>
      </w:r>
    </w:p>
    <w:p>
      <w:pPr>
        <w:spacing w:after="0" w:line="94" w:lineRule="exact"/>
        <w:rPr>
          <w:rFonts w:ascii="Times New Roman" w:cs="Times New Roman" w:eastAsia="Times New Roman" w:hAnsi="Times New Roman"/>
          <w:sz w:val="14"/>
          <w:szCs w:val="14"/>
          <w:color w:val="auto"/>
        </w:rPr>
      </w:pPr>
    </w:p>
    <w:p>
      <w:pPr>
        <w:ind w:left="2200" w:right="379" w:hanging="399"/>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in or from the DIFC which is directed at fewer than 50 persons in any 12-month period, excluding professional clients who are not natural persons;</w:t>
      </w:r>
    </w:p>
    <w:p>
      <w:pPr>
        <w:spacing w:after="0" w:line="63" w:lineRule="exact"/>
        <w:rPr>
          <w:rFonts w:ascii="Times New Roman" w:cs="Times New Roman" w:eastAsia="Times New Roman" w:hAnsi="Times New Roman"/>
          <w:sz w:val="14"/>
          <w:szCs w:val="14"/>
          <w:color w:val="auto"/>
        </w:rPr>
      </w:pPr>
    </w:p>
    <w:p>
      <w:pPr>
        <w:ind w:left="2200" w:right="719" w:hanging="399"/>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where the total consideration to be paid by a person to acquire the notes is at least U.S.$100,000, or an equivalent amount in another currency;</w:t>
      </w:r>
    </w:p>
    <w:p>
      <w:pPr>
        <w:spacing w:after="0" w:line="63" w:lineRule="exact"/>
        <w:rPr>
          <w:rFonts w:ascii="Times New Roman" w:cs="Times New Roman" w:eastAsia="Times New Roman" w:hAnsi="Times New Roman"/>
          <w:sz w:val="14"/>
          <w:szCs w:val="14"/>
          <w:color w:val="auto"/>
        </w:rPr>
      </w:pPr>
    </w:p>
    <w:p>
      <w:pPr>
        <w:ind w:left="2200" w:hanging="399"/>
        <w:spacing w:after="0"/>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where the notes are denominated in amounts of at least U.S.$100,000, or an equivalent amount in another currency; or</w:t>
      </w:r>
    </w:p>
    <w:p>
      <w:pPr>
        <w:spacing w:after="0" w:line="94" w:lineRule="exact"/>
        <w:rPr>
          <w:rFonts w:ascii="Times New Roman" w:cs="Times New Roman" w:eastAsia="Times New Roman" w:hAnsi="Times New Roman"/>
          <w:sz w:val="14"/>
          <w:szCs w:val="14"/>
          <w:color w:val="auto"/>
        </w:rPr>
      </w:pPr>
    </w:p>
    <w:p>
      <w:pPr>
        <w:ind w:left="2200" w:right="819" w:hanging="399"/>
        <w:spacing w:after="0" w:line="265" w:lineRule="auto"/>
        <w:tabs>
          <w:tab w:leader="none" w:pos="2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offer where the total aggregate consideration for the notes offered is less than U.S.$100,000, or an equivalent amount in another currency, calculated over a period of 12 months.</w:t>
      </w:r>
    </w:p>
    <w:p>
      <w:pPr>
        <w:spacing w:after="0" w:line="213" w:lineRule="exact"/>
        <w:rPr>
          <w:sz w:val="20"/>
          <w:szCs w:val="20"/>
          <w:color w:val="auto"/>
        </w:rPr>
      </w:pPr>
    </w:p>
    <w:p>
      <w:pPr>
        <w:ind w:left="1480" w:right="7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 (excluding the Dubai International Financial Centre and the Abu-Dhabi Global Market)</w:t>
      </w:r>
    </w:p>
    <w:p>
      <w:pPr>
        <w:spacing w:after="0" w:line="49" w:lineRule="exact"/>
        <w:rPr>
          <w:sz w:val="20"/>
          <w:szCs w:val="20"/>
          <w:color w:val="auto"/>
        </w:rPr>
      </w:pPr>
    </w:p>
    <w:p>
      <w:pPr>
        <w:ind w:left="1480" w:right="559"/>
        <w:spacing w:after="0" w:line="265" w:lineRule="auto"/>
        <w:rPr>
          <w:sz w:val="20"/>
          <w:szCs w:val="20"/>
          <w:color w:val="auto"/>
        </w:rPr>
      </w:pPr>
      <w:r>
        <w:rPr>
          <w:rFonts w:ascii="Times New Roman" w:cs="Times New Roman" w:eastAsia="Times New Roman" w:hAnsi="Times New Roman"/>
          <w:sz w:val="14"/>
          <w:szCs w:val="14"/>
          <w:color w:val="auto"/>
        </w:rPr>
        <w:t>Each underwriter will only offer the notes to Qualified Investors as defined in ESCA regulation no.17/2014 in relation to the issuance of notes and as such that the notes are exempt from the application of the said regulation.</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Price Stabilization</w:t>
      </w:r>
    </w:p>
    <w:p>
      <w:pPr>
        <w:spacing w:after="0" w:line="88" w:lineRule="exact"/>
        <w:rPr>
          <w:sz w:val="20"/>
          <w:szCs w:val="20"/>
          <w:color w:val="auto"/>
        </w:rPr>
      </w:pPr>
    </w:p>
    <w:p>
      <w:pPr>
        <w:ind w:left="1480" w:right="399"/>
        <w:spacing w:after="0" w:line="265" w:lineRule="auto"/>
        <w:rPr>
          <w:sz w:val="20"/>
          <w:szCs w:val="20"/>
          <w:color w:val="auto"/>
        </w:rPr>
      </w:pPr>
      <w:r>
        <w:rPr>
          <w:rFonts w:ascii="Times New Roman" w:cs="Times New Roman" w:eastAsia="Times New Roman" w:hAnsi="Times New Roman"/>
          <w:sz w:val="14"/>
          <w:szCs w:val="14"/>
          <w:color w:val="auto"/>
        </w:rPr>
        <w:t>In connection with the issue of the notes, HSBC Bank plc (in this capacity, the “Stabilizing Manager”) (or any person acting on behalf of the Stabilizing Manager) may over-allot notes or effect transactions with a view to</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supporting the market price of the notes at a level higher than that which might otherwise prevail. However, stabilization may not necessarily occur. Any stabilization action may begin on or after the date on which adequate public disclosure of the final terms of the offer of the notes is made, and, if begun, may cease at any time. Any loss or profit sustained as a consequence of any such over-allotment or stabilization shall be for the account of the Stabilizing Manager.</w:t>
      </w:r>
    </w:p>
    <w:p>
      <w:pPr>
        <w:spacing w:after="0" w:line="147" w:lineRule="exact"/>
        <w:rPr>
          <w:sz w:val="20"/>
          <w:szCs w:val="20"/>
          <w:color w:val="auto"/>
        </w:rPr>
      </w:pPr>
    </w:p>
    <w:p>
      <w:pPr>
        <w:ind w:left="1480" w:right="539"/>
        <w:spacing w:after="0" w:line="250" w:lineRule="auto"/>
        <w:rPr>
          <w:sz w:val="20"/>
          <w:szCs w:val="20"/>
          <w:color w:val="auto"/>
        </w:rPr>
      </w:pPr>
      <w:r>
        <w:rPr>
          <w:rFonts w:ascii="Times New Roman" w:cs="Times New Roman" w:eastAsia="Times New Roman" w:hAnsi="Times New Roman"/>
          <w:sz w:val="14"/>
          <w:szCs w:val="14"/>
          <w:color w:val="auto"/>
        </w:rPr>
        <w:t>Any stabilization action may have the effect of preventing or retarding a decline in the market price of the notes. They may also cause the price of the notes to be higher than the price that would otherwise exist in the open market in the absence of stabilization actions. The Stabilizing Manager may conduct these transactions in the over-the-counter market or otherwise. If the Stabilizing Manager commences any stabilization action, it may discontinue them at any time.</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88" w:lineRule="exact"/>
        <w:rPr>
          <w:sz w:val="20"/>
          <w:szCs w:val="20"/>
          <w:color w:val="auto"/>
        </w:rPr>
      </w:pPr>
    </w:p>
    <w:p>
      <w:pPr>
        <w:ind w:left="1480" w:right="439"/>
        <w:spacing w:after="0" w:line="246" w:lineRule="auto"/>
        <w:rPr>
          <w:sz w:val="20"/>
          <w:szCs w:val="20"/>
          <w:color w:val="auto"/>
        </w:rPr>
      </w:pPr>
      <w:r>
        <w:rPr>
          <w:rFonts w:ascii="Times New Roman" w:cs="Times New Roman" w:eastAsia="Times New Roman" w:hAnsi="Times New Roman"/>
          <w:sz w:val="14"/>
          <w:szCs w:val="14"/>
          <w:color w:val="auto"/>
        </w:rPr>
        <w:t>Certain of the underwriters and/or their affiliates have performed commercial banking, investment banking and advisory services for us from time to time for which they have received customary fees and reimbursement of expenses. The underwriters and/or their affiliates may, from time to time, engage in transactions with and perform services for us in the ordinary course of their business for which they may receive customary fees and reimbursement of expenses. Affiliates of certain of the underwriters are agents and/or lenders under our revolving credit facility. Deutsche Bank Securities Inc., HSBC Securities (USA) Inc. and J.P. Morgan Securities LLC, affiliates of the underwriters, are acting as dealer managers for the tender offers, for which they will receive customary fees and reimbursement of certain expenses. In addition, certain of the underwriters and/or their affiliates may hold positions in the 2026 notes and/or the existing notes and therefore may receive a portion of the net proceeds from this offering. See “Use of Proceeds” and “Summary—Recent Developments—Tender Offers.”</w:t>
      </w:r>
    </w:p>
    <w:p>
      <w:pPr>
        <w:spacing w:after="0" w:line="152" w:lineRule="exact"/>
        <w:rPr>
          <w:sz w:val="20"/>
          <w:szCs w:val="20"/>
          <w:color w:val="auto"/>
        </w:rPr>
      </w:pPr>
    </w:p>
    <w:p>
      <w:pPr>
        <w:ind w:left="1480" w:right="419"/>
        <w:spacing w:after="0" w:line="296" w:lineRule="auto"/>
        <w:rPr>
          <w:sz w:val="20"/>
          <w:szCs w:val="20"/>
          <w:color w:val="auto"/>
        </w:rPr>
      </w:pPr>
      <w:r>
        <w:rPr>
          <w:rFonts w:ascii="Times New Roman" w:cs="Times New Roman" w:eastAsia="Times New Roman" w:hAnsi="Times New Roman"/>
          <w:sz w:val="12"/>
          <w:szCs w:val="12"/>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Certain of the underwriters or their affiliates have a lending relationship with us, and may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w:t>
      </w:r>
    </w:p>
    <w:p>
      <w:pPr>
        <w:spacing w:after="0" w:line="287" w:lineRule="exact"/>
        <w:rPr>
          <w:sz w:val="20"/>
          <w:szCs w:val="20"/>
          <w:color w:val="auto"/>
        </w:rPr>
      </w:pPr>
    </w:p>
    <w:p>
      <w:pPr>
        <w:ind w:left="1480" w:right="819"/>
        <w:spacing w:after="0" w:line="254" w:lineRule="auto"/>
        <w:rPr>
          <w:sz w:val="20"/>
          <w:szCs w:val="20"/>
          <w:color w:val="auto"/>
        </w:rPr>
      </w:pPr>
      <w:r>
        <w:rPr>
          <w:rFonts w:ascii="Times New Roman" w:cs="Times New Roman" w:eastAsia="Times New Roman" w:hAnsi="Times New Roman"/>
          <w:sz w:val="14"/>
          <w:szCs w:val="14"/>
          <w:color w:val="auto"/>
        </w:rPr>
        <w:t>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jc w:val="both"/>
        <w:ind w:left="1480" w:right="399"/>
        <w:spacing w:after="0" w:line="254" w:lineRule="auto"/>
        <w:rPr>
          <w:sz w:val="20"/>
          <w:szCs w:val="20"/>
          <w:color w:val="auto"/>
        </w:rPr>
      </w:pPr>
      <w:r>
        <w:rPr>
          <w:rFonts w:ascii="Times New Roman" w:cs="Times New Roman" w:eastAsia="Times New Roman" w:hAnsi="Times New Roman"/>
          <w:sz w:val="14"/>
          <w:szCs w:val="14"/>
          <w:color w:val="auto"/>
        </w:rPr>
        <w:t>Ivonne M. Cabrera, our Senior Vice President, General Counsel and Secretary, will pass upon the validity of the notes for us. Certain other legal matters will be passed upon for us by Baker &amp; McKenzie LLP. Simpson Thacher &amp; Bartlett LLP, New York, New York will pass upon certain legal matters for the underwriters.</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The consolidated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12065</wp:posOffset>
            </wp:positionV>
            <wp:extent cx="1181100" cy="396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181100"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187325</wp:posOffset>
            </wp:positionV>
            <wp:extent cx="111633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We may offer and sell from time to time our debt securities in one or more offerings. This prospectus provides you a general description of the debt securities we may offer. We will describe the specific terms of the debt securities that we offer, and the specific manner in which they may be offered, in one or more prospectus supplements at the time of each offering.</w:t>
      </w:r>
    </w:p>
    <w:p>
      <w:pPr>
        <w:spacing w:after="0" w:line="143"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We may sell the debt securities on a continuous or delayed basis directly to investors or through underwriters, dealers or agents, or through a combination of these methods. If any offering involves underwriters, dealers or agents, we will describe our arrangements with them in the prospectus supplement that relates to that offering.</w:t>
      </w:r>
    </w:p>
    <w:p>
      <w:pPr>
        <w:spacing w:after="0" w:line="143" w:lineRule="exact"/>
        <w:rPr>
          <w:sz w:val="20"/>
          <w:szCs w:val="20"/>
          <w:color w:val="auto"/>
        </w:rPr>
      </w:pPr>
    </w:p>
    <w:p>
      <w:pPr>
        <w:ind w:left="1480" w:right="339"/>
        <w:spacing w:after="0" w:line="316" w:lineRule="auto"/>
        <w:rPr>
          <w:sz w:val="20"/>
          <w:szCs w:val="20"/>
          <w:color w:val="auto"/>
        </w:rPr>
      </w:pPr>
      <w:r>
        <w:rPr>
          <w:rFonts w:ascii="Times New Roman" w:cs="Times New Roman" w:eastAsia="Times New Roman" w:hAnsi="Times New Roman"/>
          <w:sz w:val="12"/>
          <w:szCs w:val="12"/>
          <w:color w:val="auto"/>
        </w:rPr>
        <w:t>This prospectus may not be used to offer and sell the debt securities unless accompanied by a prospectus supplement. A prospectus supplement may add, update or change information contained in this prospectus. Before you invest in any debt securities, you should read this prospectus and the applicable prospectus supplement or supplements, as well as the documents incorporated and deemed to be incorporated by reference in this prospectus.</w:t>
      </w:r>
    </w:p>
    <w:p>
      <w:pPr>
        <w:spacing w:after="0" w:line="109" w:lineRule="exact"/>
        <w:rPr>
          <w:sz w:val="20"/>
          <w:szCs w:val="20"/>
          <w:color w:val="auto"/>
        </w:rPr>
      </w:pPr>
    </w:p>
    <w:p>
      <w:pPr>
        <w:ind w:left="1480" w:right="499"/>
        <w:spacing w:after="0" w:line="249"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“DOV”. Our 1.250% Notes due 2026, 0.750% Notes due 2027, and 3.500% Notes due 2033 are listed on the New York Stock Exchange under the symbols “DOV 26,” “DOV 27,” and “DOV 33,” respectively. As of the date of this prospectus, none of the debt securities that we may offer for sale by this prospectus are listed on any national securities exchange or automated quotation system. The applicable prospectus supplement will contain information, where applicable, as to the listing of any other securities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165735</wp:posOffset>
            </wp:positionV>
            <wp:extent cx="111633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398" w:lineRule="exact"/>
        <w:rPr>
          <w:sz w:val="20"/>
          <w:szCs w:val="20"/>
          <w:color w:val="auto"/>
        </w:rPr>
      </w:pPr>
    </w:p>
    <w:p>
      <w:pPr>
        <w:ind w:left="1480" w:right="799"/>
        <w:spacing w:after="0" w:line="27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Investing in our debt securities involves risk.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on page 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180975</wp:posOffset>
            </wp:positionV>
            <wp:extent cx="111633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The date of this prospectus is February 24, 2026.</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480" w:type="dxa"/>
        <w:tblCellMar>
          <w:top w:w="0" w:type="dxa"/>
          <w:left w:w="0" w:type="dxa"/>
          <w:bottom w:w="0" w:type="dxa"/>
          <w:right w:w="0" w:type="dxa"/>
        </w:tblCellMar>
      </w:tblPr>
      <w:tr>
        <w:trPr>
          <w:trHeight w:val="179"/>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5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97"/>
        </w:trPr>
        <w:tc>
          <w:tcPr>
            <w:tcW w:w="1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5"/>
              </w:rPr>
              <w:t>About This Prospectus</w:t>
            </w:r>
          </w:p>
        </w:tc>
        <w:tc>
          <w:tcPr>
            <w:tcW w:w="1560" w:type="dxa"/>
            <w:vAlign w:val="bottom"/>
            <w:gridSpan w:val="5"/>
            <w:vMerge w:val="restart"/>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18"/>
        </w:trPr>
        <w:tc>
          <w:tcPr>
            <w:tcW w:w="1240" w:type="dxa"/>
            <w:vAlign w:val="bottom"/>
            <w:tcBorders>
              <w:bottom w:val="single" w:sz="8" w:color="0000EE"/>
            </w:tcBorders>
            <w:gridSpan w:val="7"/>
            <w:vMerge w:val="continue"/>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ii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800" w:type="dxa"/>
            <w:vAlign w:val="bottom"/>
            <w:gridSpan w:val="12"/>
          </w:tcPr>
          <w:p>
            <w:pPr>
              <w:spacing w:after="0" w:line="154" w:lineRule="exact"/>
              <w:rPr>
                <w:sz w:val="20"/>
                <w:szCs w:val="20"/>
                <w:color w:val="auto"/>
              </w:rPr>
            </w:pPr>
            <w:r>
              <w:rPr>
                <w:rFonts w:ascii="Times New Roman" w:cs="Times New Roman" w:eastAsia="Times New Roman" w:hAnsi="Times New Roman"/>
                <w:sz w:val="14"/>
                <w:szCs w:val="14"/>
                <w:color w:val="0000EE"/>
              </w:rPr>
              <w:t>Dover Corporation</w:t>
            </w:r>
          </w:p>
        </w:tc>
        <w:tc>
          <w:tcPr>
            <w:tcW w:w="5520" w:type="dxa"/>
            <w:vAlign w:val="bottom"/>
            <w:gridSpan w:val="3"/>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680" w:type="dxa"/>
            <w:vAlign w:val="bottom"/>
            <w:tcBorders>
              <w:top w:val="single" w:sz="8" w:color="0000EE"/>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3"/>
              </w:rPr>
              <w:t>Risk Factors</w:t>
            </w:r>
          </w:p>
        </w:tc>
        <w:tc>
          <w:tcPr>
            <w:tcW w:w="340" w:type="dxa"/>
            <w:vAlign w:val="bottom"/>
            <w:tcBorders>
              <w:top w:val="single" w:sz="8" w:color="0000EE"/>
            </w:tcBorders>
            <w:gridSpan w:val="3"/>
          </w:tcPr>
          <w:p>
            <w:pPr>
              <w:spacing w:after="0"/>
              <w:rPr>
                <w:sz w:val="12"/>
                <w:szCs w:val="12"/>
                <w:color w:val="auto"/>
              </w:rPr>
            </w:pPr>
          </w:p>
        </w:tc>
        <w:tc>
          <w:tcPr>
            <w:tcW w:w="1780" w:type="dxa"/>
            <w:vAlign w:val="bottom"/>
            <w:gridSpan w:val="7"/>
          </w:tcPr>
          <w:p>
            <w:pPr>
              <w:spacing w:after="0"/>
              <w:rPr>
                <w:sz w:val="12"/>
                <w:szCs w:val="12"/>
                <w:color w:val="auto"/>
              </w:rPr>
            </w:pP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28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1500" w:type="dxa"/>
            <w:vAlign w:val="bottom"/>
            <w:tcBorders>
              <w:top w:val="single" w:sz="8" w:color="0000EE"/>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660" w:type="dxa"/>
            <w:vAlign w:val="bottom"/>
            <w:tcBorders>
              <w:top w:val="single" w:sz="8" w:color="0000EE"/>
            </w:tcBorders>
            <w:gridSpan w:val="3"/>
          </w:tcPr>
          <w:p>
            <w:pPr>
              <w:spacing w:after="0"/>
              <w:rPr>
                <w:sz w:val="12"/>
                <w:szCs w:val="12"/>
                <w:color w:val="auto"/>
              </w:rPr>
            </w:pPr>
          </w:p>
        </w:tc>
        <w:tc>
          <w:tcPr>
            <w:tcW w:w="640" w:type="dxa"/>
            <w:vAlign w:val="bottom"/>
          </w:tcPr>
          <w:p>
            <w:pPr>
              <w:spacing w:after="0"/>
              <w:rPr>
                <w:sz w:val="12"/>
                <w:szCs w:val="12"/>
                <w:color w:val="auto"/>
              </w:rPr>
            </w:pP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160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6"/>
              </w:rPr>
              <w:t>Forward-Looking Statements</w:t>
            </w:r>
          </w:p>
        </w:tc>
        <w:tc>
          <w:tcPr>
            <w:tcW w:w="1200" w:type="dxa"/>
            <w:vAlign w:val="bottom"/>
            <w:gridSpan w:val="3"/>
          </w:tcPr>
          <w:p>
            <w:pPr>
              <w:spacing w:after="0"/>
              <w:rPr>
                <w:sz w:val="12"/>
                <w:szCs w:val="12"/>
                <w:color w:val="auto"/>
              </w:rPr>
            </w:pP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4"/>
        </w:trPr>
        <w:tc>
          <w:tcPr>
            <w:tcW w:w="88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4"/>
              </w:rPr>
              <w:t>Use of Proceeds</w:t>
            </w:r>
          </w:p>
        </w:tc>
        <w:tc>
          <w:tcPr>
            <w:tcW w:w="1920" w:type="dxa"/>
            <w:vAlign w:val="bottom"/>
            <w:gridSpan w:val="8"/>
          </w:tcPr>
          <w:p>
            <w:pPr>
              <w:spacing w:after="0"/>
              <w:rPr>
                <w:sz w:val="12"/>
                <w:szCs w:val="12"/>
                <w:color w:val="auto"/>
              </w:rPr>
            </w:pP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4"/>
        </w:trPr>
        <w:tc>
          <w:tcPr>
            <w:tcW w:w="28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52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4"/>
        </w:trPr>
        <w:tc>
          <w:tcPr>
            <w:tcW w:w="1080" w:type="dxa"/>
            <w:vAlign w:val="bottom"/>
            <w:tcBorders>
              <w:top w:val="single" w:sz="8" w:color="0000EE"/>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560" w:type="dxa"/>
            <w:vAlign w:val="bottom"/>
            <w:tcBorders>
              <w:top w:val="single" w:sz="8" w:color="0000EE"/>
            </w:tcBorders>
            <w:gridSpan w:val="4"/>
          </w:tcPr>
          <w:p>
            <w:pPr>
              <w:spacing w:after="0"/>
              <w:rPr>
                <w:sz w:val="12"/>
                <w:szCs w:val="12"/>
                <w:color w:val="auto"/>
              </w:rPr>
            </w:pPr>
          </w:p>
        </w:tc>
        <w:tc>
          <w:tcPr>
            <w:tcW w:w="1160" w:type="dxa"/>
            <w:vAlign w:val="bottom"/>
            <w:gridSpan w:val="2"/>
          </w:tcPr>
          <w:p>
            <w:pPr>
              <w:spacing w:after="0"/>
              <w:rPr>
                <w:sz w:val="12"/>
                <w:szCs w:val="12"/>
                <w:color w:val="auto"/>
              </w:rPr>
            </w:pPr>
          </w:p>
        </w:tc>
        <w:tc>
          <w:tcPr>
            <w:tcW w:w="5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2040" w:type="dxa"/>
            <w:vAlign w:val="bottom"/>
            <w:gridSpan w:val="9"/>
          </w:tcPr>
          <w:p>
            <w:pPr>
              <w:spacing w:after="0"/>
              <w:rPr>
                <w:sz w:val="12"/>
                <w:szCs w:val="12"/>
                <w:color w:val="auto"/>
              </w:rPr>
            </w:pPr>
          </w:p>
        </w:tc>
        <w:tc>
          <w:tcPr>
            <w:tcW w:w="5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12"/>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5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480" w:right="379"/>
        <w:spacing w:after="0" w:line="295"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or incorporated by reference in this prospectus and in any accompanying prospectus supplement or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or inconsistent information, you should not rely on it. We are not making, nor will we make, an offer to sell securities in any jurisdiction where the offer or sale is not permitted. This document may only be used where it is legal to sell these securities. You should only assume that the information in this prospectus or any prospectus supplement or supplements is accurate as of the date on the front of the respective document. Our business, properties, financial condition, results of operations and prospects may have changed since that date. We are not making an offer of these debt securities in any state where the offer is not permitted.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may, at any time and from time to time, sell debt securities under this prospectus in one or more offerings in an unlimited amount. As allowed by the SEC rules, this prospectus does not contain all of the information included in the registration statement. For further information, we refer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see that agreement or document for a complete description of these matters.</w:t>
      </w:r>
    </w:p>
    <w:p>
      <w:pPr>
        <w:spacing w:after="0" w:line="149" w:lineRule="exact"/>
        <w:rPr>
          <w:sz w:val="20"/>
          <w:szCs w:val="20"/>
          <w:color w:val="auto"/>
        </w:rPr>
      </w:pPr>
    </w:p>
    <w:p>
      <w:pPr>
        <w:ind w:left="1480" w:right="359"/>
        <w:spacing w:after="0" w:line="250"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debt securities that we may offer. Each time we use this prospectus to offer debt securities, we will provide you with a prospectus supplement or supplements that will describe the specific terms of the securities being offered. The prospectus supplement may also add, update or change information contained in this prospectus. If there is any inconsistency between the information in this prospectus and the prospectus supplement, you should rely on the information in the prospectus supplement.</w:t>
      </w:r>
    </w:p>
    <w:p>
      <w:pPr>
        <w:spacing w:after="0" w:line="147" w:lineRule="exact"/>
        <w:rPr>
          <w:sz w:val="20"/>
          <w:szCs w:val="20"/>
          <w:color w:val="auto"/>
        </w:rPr>
      </w:pPr>
    </w:p>
    <w:p>
      <w:pPr>
        <w:ind w:left="1480" w:right="559"/>
        <w:spacing w:after="0" w:line="250" w:lineRule="auto"/>
        <w:rPr>
          <w:sz w:val="20"/>
          <w:szCs w:val="20"/>
          <w:color w:val="auto"/>
        </w:rPr>
      </w:pPr>
      <w:r>
        <w:rPr>
          <w:rFonts w:ascii="Times New Roman" w:cs="Times New Roman" w:eastAsia="Times New Roman" w:hAnsi="Times New Roman"/>
          <w:sz w:val="14"/>
          <w:szCs w:val="14"/>
          <w:color w:val="auto"/>
        </w:rPr>
        <w:t>To understand the terms of our debt securities, you should carefully read this document and the applicable prospectus supplement or supplements. Together they provide the specific terms of the debt securities we are offering. You should also read the documents we have referred you to under “Where You Can Find More Information” for information on our company and our business, properties, financial condition, results of operations and prospects.</w:t>
      </w:r>
    </w:p>
    <w:p>
      <w:pPr>
        <w:spacing w:after="0" w:line="14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References in this prospectus to “Dover,” the “Company,” “we,” “us” and “our” refer to Dover Corporation and its subsidiaries.</w:t>
      </w:r>
    </w:p>
    <w:p>
      <w:pPr>
        <w:spacing w:after="0" w:line="1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DOVER CORPORATION</w:t>
      </w:r>
    </w:p>
    <w:p>
      <w:pPr>
        <w:spacing w:after="0" w:line="170" w:lineRule="exact"/>
        <w:rPr>
          <w:sz w:val="20"/>
          <w:szCs w:val="20"/>
          <w:color w:val="auto"/>
        </w:rPr>
      </w:pPr>
    </w:p>
    <w:p>
      <w:pPr>
        <w:jc w:val="both"/>
        <w:ind w:left="1480" w:right="539"/>
        <w:spacing w:after="0" w:line="254" w:lineRule="auto"/>
        <w:rPr>
          <w:sz w:val="20"/>
          <w:szCs w:val="20"/>
          <w:color w:val="auto"/>
        </w:rPr>
      </w:pPr>
      <w:r>
        <w:rPr>
          <w:rFonts w:ascii="Times New Roman" w:cs="Times New Roman" w:eastAsia="Times New Roman" w:hAnsi="Times New Roman"/>
          <w:sz w:val="14"/>
          <w:szCs w:val="14"/>
          <w:color w:val="auto"/>
        </w:rPr>
        <w:t>We are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We were incorporated in 1947 in the State of Delaware and became a publicly traded company in 1955.</w:t>
      </w:r>
    </w:p>
    <w:p>
      <w:pPr>
        <w:spacing w:after="0" w:line="166" w:lineRule="exact"/>
        <w:rPr>
          <w:sz w:val="20"/>
          <w:szCs w:val="20"/>
          <w:color w:val="auto"/>
        </w:rPr>
      </w:pPr>
    </w:p>
    <w:p>
      <w:pPr>
        <w:ind w:left="1480" w:right="3019"/>
        <w:spacing w:after="0" w:line="265" w:lineRule="auto"/>
        <w:rPr>
          <w:sz w:val="20"/>
          <w:szCs w:val="20"/>
          <w:color w:val="auto"/>
        </w:rPr>
      </w:pPr>
      <w:r>
        <w:rPr>
          <w:rFonts w:ascii="Times New Roman" w:cs="Times New Roman" w:eastAsia="Times New Roman" w:hAnsi="Times New Roman"/>
          <w:sz w:val="14"/>
          <w:szCs w:val="14"/>
          <w:color w:val="auto"/>
        </w:rPr>
        <w:t>Our corporate headquarters are located at Dover Corporation, 3005 Highland Parkway, Downers Grove, IL 60515, and our telephone number is (630) 541-1540.</w:t>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Our website is www.dovercorporation.com. The information contained in, or that can be accessed through, our website is not a part of this prospectus.</w:t>
      </w:r>
    </w:p>
    <w:p>
      <w:pPr>
        <w:spacing w:after="0" w:line="3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Our business is subject to risks and uncertainties. You should carefully consider and evaluate all of the information included and incorporated by reference in this prospectus, including the risk factors incorporated by reference from our most recent Annual Report on Form 10-K and other SEC filings. It is possible that our business, properties, financial condition, results of operations or prospects could be materially adversely affected by any of these risks and uncertainties.</w:t>
      </w:r>
    </w:p>
    <w:p>
      <w:pPr>
        <w:spacing w:after="0" w:line="3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439"/>
        <w:spacing w:after="0" w:line="24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website at www.dovercorporation.com. Information contained on, or accessible through, our website is not incorporated by reference into and does not constitute part of this prospectus, the registration statement of which it forms a part, any prospectus supplement, or any other documents we file with or furnish to the SEC.</w:t>
      </w:r>
    </w:p>
    <w:p>
      <w:pPr>
        <w:spacing w:after="0" w:line="3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0" w:lineRule="exact"/>
        <w:rPr>
          <w:sz w:val="20"/>
          <w:szCs w:val="20"/>
          <w:color w:val="auto"/>
        </w:rPr>
      </w:pPr>
    </w:p>
    <w:p>
      <w:pPr>
        <w:ind w:left="1480" w:right="339"/>
        <w:spacing w:after="0" w:line="250"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information which we file with the SEC. This means that we can disclose important information to you by referring you to those documents. The information incorporated by reference is an important part of this prospectus, and information that we file later with the SEC will automatically update and supersede any inconsistent information in this prospectus and in our other filings with the SEC.</w:t>
      </w:r>
    </w:p>
    <w:p>
      <w:pPr>
        <w:spacing w:after="0" w:line="147" w:lineRule="exact"/>
        <w:rPr>
          <w:sz w:val="20"/>
          <w:szCs w:val="20"/>
          <w:color w:val="auto"/>
        </w:rPr>
      </w:pPr>
    </w:p>
    <w:p>
      <w:pPr>
        <w:ind w:left="1480" w:right="519"/>
        <w:spacing w:after="0" w:line="265" w:lineRule="auto"/>
        <w:rPr>
          <w:sz w:val="20"/>
          <w:szCs w:val="20"/>
          <w:color w:val="auto"/>
        </w:rPr>
      </w:pPr>
      <w:r>
        <w:rPr>
          <w:rFonts w:ascii="Times New Roman" w:cs="Times New Roman" w:eastAsia="Times New Roman" w:hAnsi="Times New Roman"/>
          <w:sz w:val="14"/>
          <w:szCs w:val="14"/>
          <w:color w:val="auto"/>
        </w:rPr>
        <w:t>We incorporate by reference the following documents that we previously filed with the SEC (SEC File No. 001-04018) (other than any information in such documents that is deemed not to be filed):</w:t>
      </w:r>
    </w:p>
    <w:p>
      <w:pPr>
        <w:spacing w:after="0" w:line="64" w:lineRule="exact"/>
        <w:rPr>
          <w:sz w:val="20"/>
          <w:szCs w:val="20"/>
          <w:color w:val="auto"/>
        </w:rPr>
      </w:pPr>
    </w:p>
    <w:p>
      <w:pPr>
        <w:ind w:left="2200" w:hanging="317"/>
        <w:spacing w:after="0"/>
        <w:tabs>
          <w:tab w:leader="none" w:pos="2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13, 2026; and</w:t>
      </w:r>
    </w:p>
    <w:p>
      <w:pPr>
        <w:spacing w:after="0" w:line="94" w:lineRule="exact"/>
        <w:rPr>
          <w:rFonts w:ascii="Times New Roman" w:cs="Times New Roman" w:eastAsia="Times New Roman" w:hAnsi="Times New Roman"/>
          <w:sz w:val="14"/>
          <w:szCs w:val="14"/>
          <w:color w:val="auto"/>
        </w:rPr>
      </w:pPr>
    </w:p>
    <w:p>
      <w:pPr>
        <w:ind w:left="2200" w:right="559" w:hanging="317"/>
        <w:spacing w:after="0" w:line="265" w:lineRule="auto"/>
        <w:tabs>
          <w:tab w:leader="none" w:pos="2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information specifically incorporated by reference in our Annual Report on </w:t>
      </w:r>
      <w:hyperlink r:id="rId8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from our definitive proxy statement on Schedule 14A filed with the SEC on March 20, 2025.</w:t>
      </w:r>
    </w:p>
    <w:p>
      <w:pPr>
        <w:spacing w:after="0" w:line="84" w:lineRule="exact"/>
        <w:rPr>
          <w:rFonts w:ascii="Times New Roman" w:cs="Times New Roman" w:eastAsia="Times New Roman" w:hAnsi="Times New Roman"/>
          <w:sz w:val="14"/>
          <w:szCs w:val="14"/>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19"/>
        <w:spacing w:after="0" w:line="249" w:lineRule="auto"/>
        <w:rPr>
          <w:sz w:val="20"/>
          <w:szCs w:val="20"/>
          <w:color w:val="auto"/>
        </w:rPr>
      </w:pPr>
      <w:r>
        <w:rPr>
          <w:rFonts w:ascii="Times New Roman" w:cs="Times New Roman" w:eastAsia="Times New Roman" w:hAnsi="Times New Roman"/>
          <w:sz w:val="14"/>
          <w:szCs w:val="14"/>
          <w:color w:val="auto"/>
        </w:rPr>
        <w:t>We also incorporate by reference any future filings we make with the SEC pursuant to Sections 13(a), 13(c), 14 or 15(d) of the Securities Exchange Act of 1934, as amended (the “Exchange Act”), on or after the date of the filing of the registration statement and prior to the termination of the offering; provided, however, that we are not incorporating by reference any information furnished under Item 2.02 or Item 7.01 of any Current Report on Form 8-K, unless, and to the extent, specified in any such Current Report on Form 8-K. Our future filings with the SEC will automatically update and supersede any inconsistent information in this prospectus.</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You may obtain a free copy of these filings from us by telephoning or writing to us at our principal executive offices: Dover Corporation, 3005 Highland</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Parkway, Downers Grove, IL 60515, Attention: Corporate Secretary, Telephone: (630) 541-1540.</w:t>
      </w:r>
    </w:p>
    <w:p>
      <w:pPr>
        <w:spacing w:after="0" w:line="1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0"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Statements included or incorporated by reference in this prospectus supplement or the accompanying prospectus may constitute “forward-looking statements” within the meaning of the Securities Act of 1933, as amended (the “Securities Act”), the Exchange Act and the Private Securities Litigation Reform Act of 1995. Some of the forward-looking statements may be indicated by words such as “may,” “anticipate,” “expect,” “believe,” “intend,” “continue,” “guidance,” “estimates,” “suggest,” “will,” “plan,” “should,” “would,” “could,” “forecast” and other words and terms that use the future tense or have a similar meaning but the absence of such words or phrases does not mean that particular statements are not forward-looking. Forward-looking statements are based on current expectations and are subject to numerous important risks, uncertainties, assumptions and other factors, some of which are beyond Dover’s control.</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current expectations, include, among other things, the factors discussed under “Risk</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Factors” herein, under “Risk Factors” in our filings with the SEC incorporated by reference and the factors listed below:</w:t>
      </w:r>
    </w:p>
    <w:p>
      <w:pPr>
        <w:spacing w:after="0" w:line="83" w:lineRule="exact"/>
        <w:rPr>
          <w:sz w:val="20"/>
          <w:szCs w:val="20"/>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conditions in the particular markets in which Dover operates;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chain constraints and labor shortages that could result in production stoppages, inflation in material input costs and freight logistics;</w:t>
      </w:r>
    </w:p>
    <w:p>
      <w:pPr>
        <w:spacing w:after="0" w:line="117" w:lineRule="exact"/>
        <w:rPr>
          <w:rFonts w:ascii="Times New Roman" w:cs="Times New Roman" w:eastAsia="Times New Roman" w:hAnsi="Times New Roman"/>
          <w:sz w:val="12"/>
          <w:szCs w:val="12"/>
          <w:color w:val="auto"/>
        </w:rPr>
      </w:pPr>
    </w:p>
    <w:p>
      <w:pPr>
        <w:ind w:left="2200" w:right="579" w:hanging="317"/>
        <w:spacing w:after="0" w:line="265" w:lineRule="auto"/>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natural or human induced disasters, acts of war, terrorism, international conflicts, and public health crises or other future pandemics on the global economy and on our customers, suppliers, employees, business and cash flows;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demand and capital spending;</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and pricing pressures;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Dover’s ability to develop and launch new products in a cost-effective manner;</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the effect of tax laws and developments with respect to trade policy and tariffs;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Dover’s ability to identify and complete acquisitions and integrate and realize synergies from newly acquired businesses;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valuation levels;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interest rate and currency exchange rate fluctuations;</w:t>
      </w:r>
    </w:p>
    <w:p>
      <w:pPr>
        <w:spacing w:after="0" w:line="94" w:lineRule="exact"/>
        <w:rPr>
          <w:rFonts w:ascii="Times New Roman" w:cs="Times New Roman" w:eastAsia="Times New Roman" w:hAnsi="Times New Roman"/>
          <w:sz w:val="14"/>
          <w:szCs w:val="14"/>
          <w:color w:val="auto"/>
        </w:rPr>
      </w:pPr>
    </w:p>
    <w:p>
      <w:pPr>
        <w:ind w:left="2200" w:right="619" w:hanging="317"/>
        <w:spacing w:after="0" w:line="265" w:lineRule="auto"/>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allocation plans and changes in those plans, including with respect to dividends, share repurchases, investments in research and development, capital expenditures and acquisitions;</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Dover’s ability to effectively deploy capital resulting from dispositions;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Dover’s ability to derive expected benefits from restructuring, productivity initiatives and other cost reduction actions;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legal compliance risks and litigation, including with respect to product quality and safety, cybersecurity and privacy;</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Dover’s ability to capture and protect and enforce intellectual property rights;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factors that are described in our periodic reports filed with or furnished with the SEC, including our 2025 Annual Report.</w:t>
      </w:r>
    </w:p>
    <w:p>
      <w:pPr>
        <w:spacing w:after="0" w:line="166" w:lineRule="exact"/>
        <w:rPr>
          <w:sz w:val="20"/>
          <w:szCs w:val="20"/>
          <w:color w:val="auto"/>
        </w:rPr>
      </w:pPr>
    </w:p>
    <w:p>
      <w:pPr>
        <w:ind w:left="1480" w:right="599"/>
        <w:spacing w:after="0" w:line="265" w:lineRule="auto"/>
        <w:rPr>
          <w:sz w:val="20"/>
          <w:szCs w:val="20"/>
          <w:color w:val="auto"/>
        </w:rPr>
      </w:pPr>
      <w:r>
        <w:rPr>
          <w:rFonts w:ascii="Times New Roman" w:cs="Times New Roman" w:eastAsia="Times New Roman" w:hAnsi="Times New Roman"/>
          <w:sz w:val="14"/>
          <w:szCs w:val="14"/>
          <w:color w:val="auto"/>
        </w:rPr>
        <w:t>We do not undertake to update any forward-looking statement that we may make from time to time, except as required by law. Given these risks and uncertainties, readers are cautioned not to place undue reliance on such forward-looking statements.</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399"/>
        <w:spacing w:after="0" w:line="250"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any future acquisitions and the repurchase, redemption or retirement of securities, including shares of our common stock. The net proceeds may be temporarily invested or applied to repay short-term or revolving debt prior to use.</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0" w:lineRule="exact"/>
        <w:rPr>
          <w:sz w:val="20"/>
          <w:szCs w:val="20"/>
          <w:color w:val="auto"/>
        </w:rPr>
      </w:pPr>
    </w:p>
    <w:p>
      <w:pPr>
        <w:ind w:left="1480" w:right="419"/>
        <w:spacing w:after="0" w:line="248" w:lineRule="auto"/>
        <w:rPr>
          <w:sz w:val="20"/>
          <w:szCs w:val="20"/>
          <w:color w:val="auto"/>
        </w:rPr>
      </w:pPr>
      <w:r>
        <w:rPr>
          <w:rFonts w:ascii="Times New Roman" w:cs="Times New Roman" w:eastAsia="Times New Roman" w:hAnsi="Times New Roman"/>
          <w:sz w:val="14"/>
          <w:szCs w:val="14"/>
          <w:color w:val="auto"/>
        </w:rPr>
        <w:t>The following is a general description of the debt securities that we may offer from time to time. We will issue the debt securities under an indenture dated as of February 8, 2001, as amended, between us and The Bank of New York Mellon, as trustee. A copy of the indenture is filed as or incorporated by reference as an exhibit to the registration statement of which this prospectus is a part. We may issue debt securities from time to time in one or more series. We will describe in a prospectus supplement the particular terms of each series, or of debt securities forming a part of a series, which are offered by that prospectus supplement. If any information in the prospectus supplement differs from the general terms described below, you should rely on the information in the prospectus supplement with respect to the particular debt securities being offered.</w:t>
      </w:r>
    </w:p>
    <w:p>
      <w:pPr>
        <w:spacing w:after="0" w:line="147"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following description of the debt securities summarizes certain of the material provisions of the indenture and the debt securities. This summary is not intended to be a full restatement of all the terms of the debt securities. We urge you to read the indenture and, with respect to any particular debt securities, the indenture supplement related to such debt securities which will be described in the applicable prospectus supplement or supplements, because they, and not this description, will define your rights as a holder of the debt securities.</w:t>
      </w:r>
    </w:p>
    <w:p>
      <w:pPr>
        <w:spacing w:after="0" w:line="147" w:lineRule="exact"/>
        <w:rPr>
          <w:sz w:val="20"/>
          <w:szCs w:val="20"/>
          <w:color w:val="auto"/>
        </w:rPr>
      </w:pPr>
    </w:p>
    <w:p>
      <w:pPr>
        <w:ind w:left="1480" w:right="539"/>
        <w:spacing w:after="0" w:line="265" w:lineRule="auto"/>
        <w:rPr>
          <w:sz w:val="20"/>
          <w:szCs w:val="20"/>
          <w:color w:val="auto"/>
        </w:rPr>
      </w:pPr>
      <w:r>
        <w:rPr>
          <w:rFonts w:ascii="Times New Roman" w:cs="Times New Roman" w:eastAsia="Times New Roman" w:hAnsi="Times New Roman"/>
          <w:sz w:val="14"/>
          <w:szCs w:val="14"/>
          <w:color w:val="auto"/>
        </w:rPr>
        <w:t>The numerical references in parentheses below are to sections of the indenture. Unless otherwise indicated, terms used in the following summary that are defined in the indenture have the meanings used in the indenture.</w:t>
      </w:r>
    </w:p>
    <w:p>
      <w:pPr>
        <w:spacing w:after="0" w:line="135"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We conduct substantially all our business through subsidiaries. Although the debt securities are our senior obligations, they are effectively subordinated to all existing and future liabilities of our subsidiaries. The indenture does not restrict the ability of our subsidiaries to incur indebtedness. Because we are a holding company, our ability to service our indebtedness is dependent on dividends and other payments made to us on our investments in our subsidiaries.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579"/>
        <w:spacing w:after="0" w:line="254" w:lineRule="auto"/>
        <w:rPr>
          <w:sz w:val="20"/>
          <w:szCs w:val="20"/>
          <w:color w:val="auto"/>
        </w:rPr>
      </w:pPr>
      <w:r>
        <w:rPr>
          <w:rFonts w:ascii="Times New Roman" w:cs="Times New Roman" w:eastAsia="Times New Roman" w:hAnsi="Times New Roman"/>
          <w:sz w:val="14"/>
          <w:szCs w:val="14"/>
          <w:color w:val="auto"/>
        </w:rPr>
        <w:t>The indenture provides that we may issue debt securities in separate series from time to time without limitation as to aggregate principal amount. We may specify a maximum aggregate principal amount for the debt securities of any series. (Section 301) The debt securities will be our unsecured obligations and will rank on parity with all of our other unsecured and unsubordinated indebtedness.</w:t>
      </w:r>
    </w:p>
    <w:p>
      <w:pPr>
        <w:spacing w:after="0" w:line="143" w:lineRule="exact"/>
        <w:rPr>
          <w:sz w:val="20"/>
          <w:szCs w:val="20"/>
          <w:color w:val="auto"/>
        </w:rPr>
      </w:pPr>
    </w:p>
    <w:p>
      <w:pPr>
        <w:ind w:left="1480" w:right="399"/>
        <w:spacing w:after="0" w:line="265" w:lineRule="auto"/>
        <w:rPr>
          <w:sz w:val="20"/>
          <w:szCs w:val="20"/>
          <w:color w:val="auto"/>
        </w:rPr>
      </w:pPr>
      <w:r>
        <w:rPr>
          <w:rFonts w:ascii="Times New Roman" w:cs="Times New Roman" w:eastAsia="Times New Roman" w:hAnsi="Times New Roman"/>
          <w:sz w:val="14"/>
          <w:szCs w:val="14"/>
          <w:color w:val="auto"/>
        </w:rPr>
        <w:t>We will set forth in the applicable prospectus supplement or supplements the price or prices at which the debt securities we will offer will be issued. We will also describe the following terms of such debt securities:</w:t>
      </w:r>
    </w:p>
    <w:p>
      <w:pPr>
        <w:spacing w:after="0" w:line="64" w:lineRule="exact"/>
        <w:rPr>
          <w:sz w:val="20"/>
          <w:szCs w:val="20"/>
          <w:color w:val="auto"/>
        </w:rPr>
      </w:pPr>
    </w:p>
    <w:p>
      <w:pPr>
        <w:ind w:left="2200" w:hanging="317"/>
        <w:spacing w:after="0"/>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or the series of which they are a part;</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any of the debt securities will be payable;</w:t>
      </w:r>
    </w:p>
    <w:p>
      <w:pPr>
        <w:spacing w:after="0" w:line="94" w:lineRule="exact"/>
        <w:rPr>
          <w:rFonts w:ascii="Times New Roman" w:cs="Times New Roman" w:eastAsia="Times New Roman" w:hAnsi="Times New Roman"/>
          <w:sz w:val="14"/>
          <w:szCs w:val="14"/>
          <w:color w:val="auto"/>
        </w:rPr>
      </w:pPr>
    </w:p>
    <w:p>
      <w:pPr>
        <w:ind w:left="2200" w:right="399" w:hanging="317"/>
        <w:spacing w:after="0" w:line="265" w:lineRule="auto"/>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any of the debt securities of the series will be payable, if other than the person in whose name that debt security is registered at the close of business on the regular record date for such interest;</w:t>
      </w:r>
    </w:p>
    <w:p>
      <w:pPr>
        <w:spacing w:after="0" w:line="63" w:lineRule="exact"/>
        <w:rPr>
          <w:rFonts w:ascii="Times New Roman" w:cs="Times New Roman" w:eastAsia="Times New Roman" w:hAnsi="Times New Roman"/>
          <w:sz w:val="14"/>
          <w:szCs w:val="14"/>
          <w:color w:val="auto"/>
        </w:rPr>
      </w:pPr>
    </w:p>
    <w:p>
      <w:pPr>
        <w:jc w:val="both"/>
        <w:ind w:left="2200" w:right="739" w:hanging="317"/>
        <w:spacing w:after="0" w:line="254" w:lineRule="auto"/>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any of the debt securities will bear interest, if any, the date or dates from which any interest will accrue, the interest payment dates on which any interest will be payable and the regular record date for any such interest payable on any interest payment date;</w:t>
      </w:r>
    </w:p>
    <w:p>
      <w:pPr>
        <w:spacing w:after="0" w:line="71"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any premium and interest on any of the debt securities will be payable;</w:t>
      </w:r>
    </w:p>
    <w:p>
      <w:pPr>
        <w:spacing w:after="0" w:line="94" w:lineRule="exact"/>
        <w:rPr>
          <w:rFonts w:ascii="Times New Roman" w:cs="Times New Roman" w:eastAsia="Times New Roman" w:hAnsi="Times New Roman"/>
          <w:sz w:val="14"/>
          <w:szCs w:val="14"/>
          <w:color w:val="auto"/>
        </w:rPr>
      </w:pPr>
    </w:p>
    <w:p>
      <w:pPr>
        <w:ind w:left="2200" w:right="639" w:hanging="317"/>
        <w:spacing w:after="0" w:line="265" w:lineRule="auto"/>
        <w:tabs>
          <w:tab w:leader="none" w:pos="2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on which we may redeem any of the debt securities in whole or in part, at our option;</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200" w:right="399" w:hanging="317"/>
        <w:spacing w:after="0" w:line="254"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or purchase any of the debt securities pursuant to any sinking fund or analogous provision or at the option of the holder thereof, and the period or periods within which, the price or prices at which and the terms and conditions on which we will redeem or purchase any of the debt securities in whole or in part, pursuant to any such obligation;</w:t>
      </w:r>
    </w:p>
    <w:p>
      <w:pPr>
        <w:spacing w:after="0" w:line="71" w:lineRule="exact"/>
        <w:rPr>
          <w:rFonts w:ascii="Times New Roman" w:cs="Times New Roman" w:eastAsia="Times New Roman" w:hAnsi="Times New Roman"/>
          <w:sz w:val="14"/>
          <w:szCs w:val="14"/>
          <w:color w:val="auto"/>
        </w:rPr>
      </w:pPr>
    </w:p>
    <w:p>
      <w:pPr>
        <w:ind w:left="2200" w:right="479" w:hanging="317"/>
        <w:spacing w:after="0" w:line="265"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any of the debt securities will be issuable, if other than denominations of $1,000 and any integral multiple of $1,000;</w:t>
      </w:r>
    </w:p>
    <w:p>
      <w:pPr>
        <w:spacing w:after="0" w:line="63" w:lineRule="exact"/>
        <w:rPr>
          <w:rFonts w:ascii="Times New Roman" w:cs="Times New Roman" w:eastAsia="Times New Roman" w:hAnsi="Times New Roman"/>
          <w:sz w:val="14"/>
          <w:szCs w:val="14"/>
          <w:color w:val="auto"/>
        </w:rPr>
      </w:pPr>
    </w:p>
    <w:p>
      <w:pPr>
        <w:ind w:left="2200" w:right="519" w:hanging="317"/>
        <w:spacing w:after="0" w:line="250"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of America, (a) the currency, currencies or currency units in which the principal of or any premium or interest on any of the debt securities will be payable, and (b) the manner in which the equivalent of the principal amount thereof in the currency of the United States of America will be determined for any purpose, including for the purpose of determining the principal amount deemed to be outstanding at any time;</w:t>
      </w:r>
    </w:p>
    <w:p>
      <w:pPr>
        <w:spacing w:after="0" w:line="75" w:lineRule="exact"/>
        <w:rPr>
          <w:rFonts w:ascii="Times New Roman" w:cs="Times New Roman" w:eastAsia="Times New Roman" w:hAnsi="Times New Roman"/>
          <w:sz w:val="14"/>
          <w:szCs w:val="14"/>
          <w:color w:val="auto"/>
        </w:rPr>
      </w:pPr>
    </w:p>
    <w:p>
      <w:pPr>
        <w:ind w:left="2200" w:right="479" w:hanging="317"/>
        <w:spacing w:after="0" w:line="265"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entire principal amount of the debt securities, the portion of the principal amount of any of the debt securities which will be payable upon declaration of acceleration of the maturity thereof;</w:t>
      </w:r>
    </w:p>
    <w:p>
      <w:pPr>
        <w:spacing w:after="0" w:line="63" w:lineRule="exact"/>
        <w:rPr>
          <w:rFonts w:ascii="Times New Roman" w:cs="Times New Roman" w:eastAsia="Times New Roman" w:hAnsi="Times New Roman"/>
          <w:sz w:val="14"/>
          <w:szCs w:val="14"/>
          <w:color w:val="auto"/>
        </w:rPr>
      </w:pPr>
    </w:p>
    <w:p>
      <w:pPr>
        <w:ind w:left="2200" w:right="379" w:hanging="317"/>
        <w:spacing w:after="0" w:line="250"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stated maturity of any of the debt securities will not be determinable as of any one or more dates prior to the stated maturity, the amount which will be deemed to be the principal amount as of any such date for any purpose, including the principal amount thereof which will be due and payable upon any maturity other than the stated maturity or which will be deemed to be outstanding as of any such date, or, in any such case, the manner in which the deemed principal amount is to be determined;</w:t>
      </w:r>
    </w:p>
    <w:p>
      <w:pPr>
        <w:spacing w:after="0" w:line="75" w:lineRule="exact"/>
        <w:rPr>
          <w:rFonts w:ascii="Times New Roman" w:cs="Times New Roman" w:eastAsia="Times New Roman" w:hAnsi="Times New Roman"/>
          <w:sz w:val="14"/>
          <w:szCs w:val="14"/>
          <w:color w:val="auto"/>
        </w:rPr>
      </w:pPr>
    </w:p>
    <w:p>
      <w:pPr>
        <w:ind w:left="2200" w:right="539" w:hanging="317"/>
        <w:spacing w:after="0" w:line="349" w:lineRule="auto"/>
        <w:tabs>
          <w:tab w:leader="none" w:pos="22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that the debt securities, in whole or any specified part, are defeasible pursuant to certain provisions of the indenture and, if other than by a board resolution, the manner in which any election by the Company to defease such securities shall be evidenced;</w:t>
      </w:r>
    </w:p>
    <w:p>
      <w:pPr>
        <w:spacing w:after="0" w:line="17" w:lineRule="exact"/>
        <w:rPr>
          <w:rFonts w:ascii="Times New Roman" w:cs="Times New Roman" w:eastAsia="Times New Roman" w:hAnsi="Times New Roman"/>
          <w:sz w:val="12"/>
          <w:szCs w:val="12"/>
          <w:color w:val="auto"/>
        </w:rPr>
      </w:pPr>
    </w:p>
    <w:p>
      <w:pPr>
        <w:ind w:left="2200" w:right="379" w:hanging="317"/>
        <w:spacing w:after="0" w:line="254"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will be issuable in whole or in part in the form of one or more global securities and, if so, the respective depositaries for the global securities and the form of any legend or legends any such global security will bear in addition to or in lieu of the legend referred to in the indenture;</w:t>
      </w:r>
    </w:p>
    <w:p>
      <w:pPr>
        <w:spacing w:after="0" w:line="71" w:lineRule="exact"/>
        <w:rPr>
          <w:rFonts w:ascii="Times New Roman" w:cs="Times New Roman" w:eastAsia="Times New Roman" w:hAnsi="Times New Roman"/>
          <w:sz w:val="14"/>
          <w:szCs w:val="14"/>
          <w:color w:val="auto"/>
        </w:rPr>
      </w:pPr>
    </w:p>
    <w:p>
      <w:pPr>
        <w:jc w:val="both"/>
        <w:ind w:left="2200" w:right="359" w:hanging="317"/>
        <w:spacing w:after="0" w:line="254"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different from those described in the indenture, any circumstances under which any global security may be exchanged in whole or in part for debt securities registered, and any transfer of a global security in whole or in part may be registered, in the names of persons other than the depositary for such global security or its nominee;</w:t>
      </w:r>
    </w:p>
    <w:p>
      <w:pPr>
        <w:spacing w:after="0" w:line="71" w:lineRule="exact"/>
        <w:rPr>
          <w:rFonts w:ascii="Times New Roman" w:cs="Times New Roman" w:eastAsia="Times New Roman" w:hAnsi="Times New Roman"/>
          <w:sz w:val="14"/>
          <w:szCs w:val="14"/>
          <w:color w:val="auto"/>
        </w:rPr>
      </w:pPr>
    </w:p>
    <w:p>
      <w:pPr>
        <w:ind w:left="2200" w:right="539" w:hanging="317"/>
        <w:spacing w:after="0" w:line="265" w:lineRule="auto"/>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applicable to any of the debt securities and any change in the right of the trustee or the holders to declare the principal amount of any of the debt securities due and payable;</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indenture applicable to any of the debt securities; and</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not inconsistent with the provisions of the indenture. (Section 301)</w:t>
      </w:r>
    </w:p>
    <w:p>
      <w:pPr>
        <w:spacing w:after="0" w:line="166" w:lineRule="exact"/>
        <w:rPr>
          <w:sz w:val="20"/>
          <w:szCs w:val="20"/>
          <w:color w:val="auto"/>
        </w:rPr>
      </w:pPr>
    </w:p>
    <w:p>
      <w:pPr>
        <w:ind w:left="1480" w:right="479"/>
        <w:spacing w:after="0" w:line="249" w:lineRule="auto"/>
        <w:rPr>
          <w:sz w:val="20"/>
          <w:szCs w:val="20"/>
          <w:color w:val="auto"/>
        </w:rPr>
      </w:pPr>
      <w:r>
        <w:rPr>
          <w:rFonts w:ascii="Times New Roman" w:cs="Times New Roman" w:eastAsia="Times New Roman" w:hAnsi="Times New Roman"/>
          <w:sz w:val="14"/>
          <w:szCs w:val="14"/>
          <w:color w:val="auto"/>
        </w:rPr>
        <w:t>We may sell debt securities, including original issue discount securities, at a substantial discount below their principal amount. We may describe in the applicable prospectus supplement or supplements certain special United States federal income tax considerations, if any, applicable to debt securities sold at an original issue discount. In addition, we may describe in the applicable prospectus supplement or supplements certain special United States federal income tax or other considerations, if any, applicable to any debt securities which are denominated in a currency or currency unit other than United States dollars.</w:t>
      </w:r>
    </w:p>
    <w:p>
      <w:pPr>
        <w:spacing w:after="0" w:line="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8" w:lineRule="exact"/>
        <w:rPr>
          <w:sz w:val="20"/>
          <w:szCs w:val="20"/>
          <w:color w:val="auto"/>
        </w:rPr>
      </w:pPr>
    </w:p>
    <w:p>
      <w:pPr>
        <w:ind w:left="1480" w:right="919"/>
        <w:spacing w:after="0" w:line="265"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otherwise specified in the applicable prospectus supplement or supplements, only in denominations of $1,000 and integral multiples thereof. (Section 302)</w:t>
      </w:r>
    </w:p>
    <w:p>
      <w:pPr>
        <w:spacing w:after="0" w:line="135" w:lineRule="exact"/>
        <w:rPr>
          <w:sz w:val="20"/>
          <w:szCs w:val="20"/>
          <w:color w:val="auto"/>
        </w:rPr>
      </w:pPr>
    </w:p>
    <w:p>
      <w:pPr>
        <w:jc w:val="both"/>
        <w:ind w:left="1480" w:right="479"/>
        <w:spacing w:after="0" w:line="254"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43" w:lineRule="exact"/>
        <w:rPr>
          <w:sz w:val="20"/>
          <w:szCs w:val="20"/>
          <w:color w:val="auto"/>
        </w:rPr>
      </w:pPr>
    </w:p>
    <w:p>
      <w:pPr>
        <w:ind w:left="1480" w:right="339"/>
        <w:spacing w:after="0" w:line="246"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holders may present debt securities for exchange as provided above or for registration of transfer, duly endorsed or with the form of transfer endorsed thereon duly executed, at the office of the security registrar or at the office of any transfer agent we designate for such purpose. Holders will not incur any service charge for any registration of transfer or exchange of debt securities. We may require, however, payment of a sum sufficient to cover any tax or other governmental charge payable in connection with such registration. Such transfer or exchange will occur at such time as the security registrar or such transfer agent, as the case may be, is satisfied with the documents of title and identity of the person making the request. We have appointed the trustee as security registrar. We will name in the applicable prospectus supplement or supplements any transfer agent, in addition to the security registrar, we initially designate for any debt securities.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If the debt securities of any series, or of any series and specified terms, are to be redeemed in part, we will not be required to:</w:t>
      </w:r>
    </w:p>
    <w:p>
      <w:pPr>
        <w:spacing w:after="0" w:line="95" w:lineRule="exact"/>
        <w:rPr>
          <w:sz w:val="20"/>
          <w:szCs w:val="20"/>
          <w:color w:val="auto"/>
        </w:rPr>
      </w:pPr>
    </w:p>
    <w:p>
      <w:pPr>
        <w:ind w:left="2200" w:right="499" w:hanging="317"/>
        <w:spacing w:after="0" w:line="254" w:lineRule="auto"/>
        <w:tabs>
          <w:tab w:leader="none" w:pos="2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security of that series, or of that series and specified terms, as the case may be, during a period beginning at the opening of business 15 days before the day of mailing of a notice of redemption of any such security that may be selected for redemption and ending at the close of business on the day of such mailing; or</w:t>
      </w:r>
    </w:p>
    <w:p>
      <w:pPr>
        <w:spacing w:after="0" w:line="71" w:lineRule="exact"/>
        <w:rPr>
          <w:rFonts w:ascii="Times New Roman" w:cs="Times New Roman" w:eastAsia="Times New Roman" w:hAnsi="Times New Roman"/>
          <w:sz w:val="14"/>
          <w:szCs w:val="14"/>
          <w:color w:val="auto"/>
        </w:rPr>
      </w:pPr>
    </w:p>
    <w:p>
      <w:pPr>
        <w:ind w:left="2200" w:right="379" w:hanging="317"/>
        <w:spacing w:after="0" w:line="265" w:lineRule="auto"/>
        <w:tabs>
          <w:tab w:leader="none" w:pos="2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security so selected for redemption, in whole or in part, except the unredeemed portion of any such security being redeemed in part. (Section 305)</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8" w:lineRule="exact"/>
        <w:rPr>
          <w:sz w:val="20"/>
          <w:szCs w:val="20"/>
          <w:color w:val="auto"/>
        </w:rPr>
      </w:pPr>
    </w:p>
    <w:p>
      <w:pPr>
        <w:ind w:left="1480" w:right="339"/>
        <w:spacing w:after="0" w:line="249" w:lineRule="auto"/>
        <w:rPr>
          <w:sz w:val="20"/>
          <w:szCs w:val="20"/>
          <w:color w:val="auto"/>
        </w:rPr>
      </w:pPr>
      <w:r>
        <w:rPr>
          <w:rFonts w:ascii="Times New Roman" w:cs="Times New Roman" w:eastAsia="Times New Roman" w:hAnsi="Times New Roman"/>
          <w:sz w:val="14"/>
          <w:szCs w:val="14"/>
          <w:color w:val="auto"/>
        </w:rPr>
        <w:t>Some or all of the debt securities of any series may be represented, in whole or in part, by one or more global securities which will have an aggregate principal amount equal to that of the debt securities represented thereby. Each global security (a) will be registered in the name of a depositary or a nominee of such depositary identified in the applicable prospectus supplement or supplements, (b) will be deposited with such depositary or nominee or a custodian, and (c) will bear a legend regarding the restrictions on exchanges and registration of transfer of such security referred to below and any such other matters as may be provided for pursuant to the indenture.</w:t>
      </w:r>
    </w:p>
    <w:p>
      <w:pPr>
        <w:spacing w:after="0" w:line="146" w:lineRule="exact"/>
        <w:rPr>
          <w:sz w:val="20"/>
          <w:szCs w:val="20"/>
          <w:color w:val="auto"/>
        </w:rPr>
      </w:pPr>
    </w:p>
    <w:p>
      <w:pPr>
        <w:ind w:left="1480" w:right="539"/>
        <w:spacing w:after="0" w:line="254" w:lineRule="auto"/>
        <w:rPr>
          <w:sz w:val="20"/>
          <w:szCs w:val="20"/>
          <w:color w:val="auto"/>
        </w:rPr>
      </w:pPr>
      <w:r>
        <w:rPr>
          <w:rFonts w:ascii="Times New Roman" w:cs="Times New Roman" w:eastAsia="Times New Roman" w:hAnsi="Times New Roman"/>
          <w:sz w:val="14"/>
          <w:szCs w:val="14"/>
          <w:color w:val="auto"/>
        </w:rPr>
        <w:t>Notwithstanding any provision of the indenture or any security described here,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71" w:lineRule="exact"/>
        <w:rPr>
          <w:sz w:val="20"/>
          <w:szCs w:val="20"/>
          <w:color w:val="auto"/>
        </w:rPr>
      </w:pPr>
    </w:p>
    <w:p>
      <w:pPr>
        <w:ind w:left="2200" w:right="339" w:hanging="317"/>
        <w:spacing w:after="0" w:line="265" w:lineRule="auto"/>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notified us that it is unwilling or unable to continue as depositary for such global security or has ceased to be qualified to act as a depositary as required by the indenture;</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and is continuing an event of default with respect to the debt securities represented by such global security; or</w:t>
      </w:r>
    </w:p>
    <w:p>
      <w:pPr>
        <w:spacing w:after="0" w:line="1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2200" w:right="539" w:hanging="317"/>
        <w:spacing w:after="0" w:line="265" w:lineRule="auto"/>
        <w:tabs>
          <w:tab w:leader="none" w:pos="2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exist such circumstances, if any, in addition to or in lieu of those described above as may be described in the applicable prospectus supplement.</w:t>
      </w:r>
    </w:p>
    <w:p>
      <w:pPr>
        <w:spacing w:after="0" w:line="135" w:lineRule="exact"/>
        <w:rPr>
          <w:sz w:val="20"/>
          <w:szCs w:val="20"/>
          <w:color w:val="auto"/>
        </w:rPr>
      </w:pPr>
    </w:p>
    <w:p>
      <w:pPr>
        <w:ind w:left="1480" w:right="379"/>
        <w:spacing w:after="0" w:line="265" w:lineRule="auto"/>
        <w:rPr>
          <w:sz w:val="20"/>
          <w:szCs w:val="20"/>
          <w:color w:val="auto"/>
        </w:rPr>
      </w:pPr>
      <w:r>
        <w:rPr>
          <w:rFonts w:ascii="Times New Roman" w:cs="Times New Roman" w:eastAsia="Times New Roman" w:hAnsi="Times New Roman"/>
          <w:sz w:val="14"/>
          <w:szCs w:val="14"/>
          <w:color w:val="auto"/>
        </w:rPr>
        <w:t>All securities issued in exchange for a global security or any portion thereof will be registered in such names as the depositary may direct. (Sections 204 and 305)</w:t>
      </w:r>
    </w:p>
    <w:p>
      <w:pPr>
        <w:spacing w:after="0" w:line="135" w:lineRule="exact"/>
        <w:rPr>
          <w:sz w:val="20"/>
          <w:szCs w:val="20"/>
          <w:color w:val="auto"/>
        </w:rPr>
      </w:pPr>
    </w:p>
    <w:p>
      <w:pPr>
        <w:jc w:val="both"/>
        <w:ind w:left="1480" w:right="459"/>
        <w:spacing w:after="0" w:line="254" w:lineRule="auto"/>
        <w:rPr>
          <w:sz w:val="20"/>
          <w:szCs w:val="20"/>
          <w:color w:val="auto"/>
        </w:rPr>
      </w:pPr>
      <w:r>
        <w:rPr>
          <w:rFonts w:ascii="Times New Roman" w:cs="Times New Roman" w:eastAsia="Times New Roman" w:hAnsi="Times New Roman"/>
          <w:sz w:val="14"/>
          <w:szCs w:val="14"/>
          <w:color w:val="auto"/>
        </w:rPr>
        <w:t>As long as the depositary, or its nominee, is the registered holder of a global security, we will consider the depositary or such nominee, as the case may be, to be the sole owner and holder of such global security and the debt securities represented thereby for all purposes under the debt securities and the indenture. Except in the limited circumstances referred to above, owners of beneficial interests in a global security will not:</w:t>
      </w:r>
    </w:p>
    <w:p>
      <w:pPr>
        <w:spacing w:after="0" w:line="71" w:lineRule="exact"/>
        <w:rPr>
          <w:sz w:val="20"/>
          <w:szCs w:val="20"/>
          <w:color w:val="auto"/>
        </w:rPr>
      </w:pPr>
    </w:p>
    <w:p>
      <w:pPr>
        <w:ind w:left="2200" w:hanging="317"/>
        <w:spacing w:after="0"/>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entitled to have such global security or any debt securities represented thereby registered in their names;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or be entitled to receive physical delivery of certificated debt securities in exchange therefor; or</w:t>
      </w:r>
    </w:p>
    <w:p>
      <w:pPr>
        <w:spacing w:after="0" w:line="94" w:lineRule="exact"/>
        <w:rPr>
          <w:rFonts w:ascii="Times New Roman" w:cs="Times New Roman" w:eastAsia="Times New Roman" w:hAnsi="Times New Roman"/>
          <w:sz w:val="14"/>
          <w:szCs w:val="14"/>
          <w:color w:val="auto"/>
        </w:rPr>
      </w:pPr>
    </w:p>
    <w:p>
      <w:pPr>
        <w:ind w:left="2200" w:right="419" w:hanging="317"/>
        <w:spacing w:after="0" w:line="265" w:lineRule="auto"/>
        <w:tabs>
          <w:tab w:leader="none" w:pos="2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considered to be the owners or holders of such global security or any debt securities represented thereby for any purpose under the debt securities or the indenture.</w:t>
      </w:r>
    </w:p>
    <w:p>
      <w:pPr>
        <w:spacing w:after="0" w:line="135" w:lineRule="exact"/>
        <w:rPr>
          <w:sz w:val="20"/>
          <w:szCs w:val="20"/>
          <w:color w:val="auto"/>
        </w:rPr>
      </w:pPr>
    </w:p>
    <w:p>
      <w:pPr>
        <w:jc w:val="both"/>
        <w:ind w:left="1480" w:right="419"/>
        <w:spacing w:after="0" w:line="254" w:lineRule="auto"/>
        <w:rPr>
          <w:sz w:val="20"/>
          <w:szCs w:val="20"/>
          <w:color w:val="auto"/>
        </w:rPr>
      </w:pPr>
      <w:r>
        <w:rPr>
          <w:rFonts w:ascii="Times New Roman" w:cs="Times New Roman" w:eastAsia="Times New Roman" w:hAnsi="Times New Roman"/>
          <w:sz w:val="14"/>
          <w:szCs w:val="14"/>
          <w:color w:val="auto"/>
        </w:rPr>
        <w:t>We will make all payments of principal of and any premium and interest on a global security to the depositary or its nominee, as the case may be, as the holder of such security. The laws of some jurisdictions require that certain purchasers of securities take physical delivery of such securities in definitive form. These laws may impair the ability to transfer beneficial interests in a global security.</w:t>
      </w:r>
    </w:p>
    <w:p>
      <w:pPr>
        <w:spacing w:after="0" w:line="143" w:lineRule="exact"/>
        <w:rPr>
          <w:sz w:val="20"/>
          <w:szCs w:val="20"/>
          <w:color w:val="auto"/>
        </w:rPr>
      </w:pPr>
    </w:p>
    <w:p>
      <w:pPr>
        <w:ind w:left="1480" w:right="419"/>
        <w:spacing w:after="0" w:line="246" w:lineRule="auto"/>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institutions that have accounts with the depositary or its nominee, and to persons that may hold beneficial interests through these institutions. These institutions are called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(a) the depositary, with respect to participants’ interests, or (b) any such participant, with respect to interests of persons held by such participant on their behalf. Payments, transfers, exchanges and others matters relating to beneficial interests in a global security may be subject to various policies and procedures adopted by the depositary from time to time. We, the trustee and any of our agents will not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8" w:lineRule="exact"/>
        <w:rPr>
          <w:sz w:val="20"/>
          <w:szCs w:val="20"/>
          <w:color w:val="auto"/>
        </w:rPr>
      </w:pPr>
    </w:p>
    <w:p>
      <w:pPr>
        <w:ind w:left="1480" w:right="479"/>
        <w:spacing w:after="0" w:line="254"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payment of interest on a security on any interest payment date will be made to the person in whose name such security, or one or more predecessor securities, is registered at the close of business on the regular record date for such interest. (Section 307)</w:t>
      </w:r>
    </w:p>
    <w:p>
      <w:pPr>
        <w:spacing w:after="0" w:line="143" w:lineRule="exact"/>
        <w:rPr>
          <w:sz w:val="20"/>
          <w:szCs w:val="20"/>
          <w:color w:val="auto"/>
        </w:rPr>
      </w:pPr>
    </w:p>
    <w:p>
      <w:pPr>
        <w:ind w:left="1480" w:right="379"/>
        <w:spacing w:after="0" w:line="248"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may be made by check mailed to the address of the person entitled to such payment as such address appears in the security register. Unless otherwise indicated in the applicable prospectus supplement or supplements the corporate trust office of the trustee in The City of New York will be designated as our sole paying agent for payments with respect to debt securities of each series. Any other paying agents we initially designate for the debt securities of a particular series will be named in the applicable prospectus supplement or supplements. We</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59"/>
        <w:spacing w:after="0" w:line="254" w:lineRule="auto"/>
        <w:rPr>
          <w:sz w:val="20"/>
          <w:szCs w:val="20"/>
          <w:color w:val="auto"/>
        </w:rPr>
      </w:pPr>
      <w:r>
        <w:rPr>
          <w:rFonts w:ascii="Times New Roman" w:cs="Times New Roman" w:eastAsia="Times New Roman" w:hAnsi="Times New Roman"/>
          <w:sz w:val="14"/>
          <w:szCs w:val="14"/>
          <w:color w:val="auto"/>
        </w:rPr>
        <w:t>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43" w:lineRule="exact"/>
        <w:rPr>
          <w:sz w:val="20"/>
          <w:szCs w:val="20"/>
          <w:color w:val="auto"/>
        </w:rPr>
      </w:pPr>
    </w:p>
    <w:p>
      <w:pPr>
        <w:jc w:val="both"/>
        <w:ind w:left="1480" w:right="459"/>
        <w:spacing w:after="0" w:line="254" w:lineRule="auto"/>
        <w:rPr>
          <w:sz w:val="20"/>
          <w:szCs w:val="20"/>
          <w:color w:val="auto"/>
        </w:rPr>
      </w:pPr>
      <w:r>
        <w:rPr>
          <w:rFonts w:ascii="Times New Roman" w:cs="Times New Roman" w:eastAsia="Times New Roman" w:hAnsi="Times New Roman"/>
          <w:sz w:val="14"/>
          <w:szCs w:val="14"/>
          <w:color w:val="auto"/>
        </w:rPr>
        <w:t>All moneys we pay to a paying agent for the payment of the principal of or any premium or interest on any security which remain unclaimed at the end of two years after such principal, premium or interest has become due and payable will be repaid to us, and the holder of such security after such time may look only to us for payment of the principal of or any premium or interest on the security. (Section 1003)</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indenture contains the following covenants:</w:t>
      </w:r>
    </w:p>
    <w:p>
      <w:pPr>
        <w:spacing w:after="0" w:line="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Secured Debt</w:t>
      </w:r>
    </w:p>
    <w:p>
      <w:pPr>
        <w:spacing w:after="0" w:line="88" w:lineRule="exact"/>
        <w:rPr>
          <w:sz w:val="20"/>
          <w:szCs w:val="20"/>
          <w:color w:val="auto"/>
        </w:rPr>
      </w:pPr>
    </w:p>
    <w:p>
      <w:pPr>
        <w:ind w:left="1480" w:right="419"/>
        <w:spacing w:after="0" w:line="294" w:lineRule="auto"/>
        <w:rPr>
          <w:sz w:val="20"/>
          <w:szCs w:val="20"/>
          <w:color w:val="auto"/>
        </w:rPr>
      </w:pPr>
      <w:r>
        <w:rPr>
          <w:rFonts w:ascii="Times New Roman" w:cs="Times New Roman" w:eastAsia="Times New Roman" w:hAnsi="Times New Roman"/>
          <w:sz w:val="12"/>
          <w:szCs w:val="12"/>
          <w:color w:val="auto"/>
        </w:rPr>
        <w:t>We may not, and may not permit any restricted subsidiary to, incur or guarantee any evidence of indebtedness for money borrowed secured by a lien on any (a) principal property or any part thereof, (b) capital stock of a restricted subsidiary we or any restricted subsidiary now own or hereafter acquire or</w:t>
      </w:r>
    </w:p>
    <w:p>
      <w:pPr>
        <w:spacing w:after="0" w:line="1" w:lineRule="exact"/>
        <w:rPr>
          <w:sz w:val="20"/>
          <w:szCs w:val="20"/>
          <w:color w:val="auto"/>
        </w:rPr>
      </w:pPr>
    </w:p>
    <w:p>
      <w:pPr>
        <w:ind w:left="1660" w:hanging="186"/>
        <w:spacing w:after="0"/>
        <w:tabs>
          <w:tab w:leader="none" w:pos="16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of a restricted subsidiary owed to us or any of our restricted subsidiaries, except if:</w:t>
      </w:r>
    </w:p>
    <w:p>
      <w:pPr>
        <w:spacing w:after="0" w:line="82"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effectively provide that the debt securities are secured equally and ratably with, or, at our option, prior to, such secured debt; and</w:t>
      </w:r>
    </w:p>
    <w:p>
      <w:pPr>
        <w:spacing w:after="0" w:line="94" w:lineRule="exact"/>
        <w:rPr>
          <w:rFonts w:ascii="Times New Roman" w:cs="Times New Roman" w:eastAsia="Times New Roman" w:hAnsi="Times New Roman"/>
          <w:sz w:val="14"/>
          <w:szCs w:val="14"/>
          <w:color w:val="auto"/>
        </w:rPr>
      </w:pPr>
    </w:p>
    <w:p>
      <w:pPr>
        <w:ind w:left="2200" w:right="439" w:hanging="317"/>
        <w:spacing w:after="0" w:line="254" w:lineRule="auto"/>
        <w:tabs>
          <w:tab w:leader="none" w:pos="22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debt required to be so secured, unless the aggregate amount of all such secured debt, plus all our and our restricted subsidiaries’ attributable debt with respect to sale and leaseback transactions involving principal properties (with the exception of such transactions which are excluded under the indenture), would not exceed 10% of our consolidated net tangible assets.</w:t>
      </w:r>
    </w:p>
    <w:p>
      <w:pPr>
        <w:spacing w:after="0" w:line="1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 foregoing restriction will not apply to, and we will exclude from debt in any computation under such restriction, the following items:</w:t>
      </w:r>
    </w:p>
    <w:p>
      <w:pPr>
        <w:spacing w:after="0" w:line="95" w:lineRule="exact"/>
        <w:rPr>
          <w:sz w:val="20"/>
          <w:szCs w:val="20"/>
          <w:color w:val="auto"/>
        </w:rPr>
      </w:pPr>
    </w:p>
    <w:p>
      <w:pPr>
        <w:ind w:left="2200" w:hanging="317"/>
        <w:spacing w:after="0"/>
        <w:tabs>
          <w:tab w:leader="none" w:pos="2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secured by a lien in our favor or in favor of a restricted subsidiary;</w:t>
      </w:r>
    </w:p>
    <w:p>
      <w:pPr>
        <w:spacing w:after="0" w:line="94" w:lineRule="exact"/>
        <w:rPr>
          <w:rFonts w:ascii="Times New Roman" w:cs="Times New Roman" w:eastAsia="Times New Roman" w:hAnsi="Times New Roman"/>
          <w:sz w:val="14"/>
          <w:szCs w:val="14"/>
          <w:color w:val="auto"/>
        </w:rPr>
      </w:pPr>
    </w:p>
    <w:p>
      <w:pPr>
        <w:ind w:left="2200" w:right="759" w:hanging="317"/>
        <w:spacing w:after="0" w:line="265" w:lineRule="auto"/>
        <w:tabs>
          <w:tab w:leader="none" w:pos="2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secured by a lien in favor of governmental bodies to secure progress or advance payments or payments pursuant to contracts or statute;</w:t>
      </w:r>
    </w:p>
    <w:p>
      <w:pPr>
        <w:spacing w:after="0" w:line="63" w:lineRule="exact"/>
        <w:rPr>
          <w:rFonts w:ascii="Times New Roman" w:cs="Times New Roman" w:eastAsia="Times New Roman" w:hAnsi="Times New Roman"/>
          <w:sz w:val="14"/>
          <w:szCs w:val="14"/>
          <w:color w:val="auto"/>
        </w:rPr>
      </w:pPr>
    </w:p>
    <w:p>
      <w:pPr>
        <w:ind w:left="2200" w:right="539" w:hanging="317"/>
        <w:spacing w:after="0" w:line="265" w:lineRule="auto"/>
        <w:tabs>
          <w:tab w:leader="none" w:pos="2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secured by a lien on property, capital stock or debt existing at the time of acquisition thereof, including acquisition through merger, consolidation or otherwise;</w:t>
      </w:r>
    </w:p>
    <w:p>
      <w:pPr>
        <w:spacing w:after="0" w:line="63" w:lineRule="exact"/>
        <w:rPr>
          <w:rFonts w:ascii="Times New Roman" w:cs="Times New Roman" w:eastAsia="Times New Roman" w:hAnsi="Times New Roman"/>
          <w:sz w:val="14"/>
          <w:szCs w:val="14"/>
          <w:color w:val="auto"/>
        </w:rPr>
      </w:pPr>
    </w:p>
    <w:p>
      <w:pPr>
        <w:ind w:left="2200" w:right="519" w:hanging="317"/>
        <w:spacing w:after="0" w:line="316" w:lineRule="auto"/>
        <w:tabs>
          <w:tab w:leader="none" w:pos="22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incurred or guaranteed to finance the acquisition of property, capital stock or debt, or to finance construction on, or improvement or expansion of, property, which debt is incurred within 180 days of such acquisition or completion of construction, improvement or expansion, and is secured solely by a lien on the property, capital stock or debt acquired, constructed, improved or expanded;</w:t>
      </w:r>
    </w:p>
    <w:p>
      <w:pPr>
        <w:spacing w:after="0" w:line="37" w:lineRule="exact"/>
        <w:rPr>
          <w:rFonts w:ascii="Times New Roman" w:cs="Times New Roman" w:eastAsia="Times New Roman" w:hAnsi="Times New Roman"/>
          <w:sz w:val="12"/>
          <w:szCs w:val="12"/>
          <w:color w:val="auto"/>
        </w:rPr>
      </w:pPr>
    </w:p>
    <w:p>
      <w:pPr>
        <w:ind w:left="2200" w:right="599" w:hanging="317"/>
        <w:spacing w:after="0" w:line="265" w:lineRule="auto"/>
        <w:tabs>
          <w:tab w:leader="none" w:pos="2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consisting of industrial revenue or pollution control bonds or similar financing secured solely by a lien on the property the subject thereof; or</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replacement of any debt referred to in the third and fourth clauses above. (Section 1008).</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88" w:lineRule="exact"/>
        <w:rPr>
          <w:sz w:val="20"/>
          <w:szCs w:val="20"/>
          <w:color w:val="auto"/>
        </w:rPr>
      </w:pPr>
    </w:p>
    <w:p>
      <w:pPr>
        <w:jc w:val="both"/>
        <w:ind w:left="1480" w:right="399"/>
        <w:spacing w:after="0" w:line="254" w:lineRule="auto"/>
        <w:rPr>
          <w:sz w:val="20"/>
          <w:szCs w:val="20"/>
          <w:color w:val="auto"/>
        </w:rPr>
      </w:pPr>
      <w:r>
        <w:rPr>
          <w:rFonts w:ascii="Times New Roman" w:cs="Times New Roman" w:eastAsia="Times New Roman" w:hAnsi="Times New Roman"/>
          <w:sz w:val="14"/>
          <w:szCs w:val="14"/>
          <w:color w:val="auto"/>
        </w:rPr>
        <w:t>Neither we nor any restricted subsidiary may enter into any sale and leaseback transaction involving any principal property or any part thereof after the date of the indenture unless the aggregate amount of all our attributable debt and that of our restricted subsidiaries with respect to such transactions plus all secured debt to which the restrictions described above apply would not exceed 10% of our consolidated net tangible assets.</w:t>
      </w:r>
    </w:p>
    <w:p>
      <w:pPr>
        <w:spacing w:after="0" w:line="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79"/>
        <w:spacing w:after="0" w:line="265" w:lineRule="auto"/>
        <w:rPr>
          <w:sz w:val="20"/>
          <w:szCs w:val="20"/>
          <w:color w:val="auto"/>
        </w:rPr>
      </w:pPr>
      <w:r>
        <w:rPr>
          <w:rFonts w:ascii="Times New Roman" w:cs="Times New Roman" w:eastAsia="Times New Roman" w:hAnsi="Times New Roman"/>
          <w:sz w:val="14"/>
          <w:szCs w:val="14"/>
          <w:color w:val="auto"/>
        </w:rPr>
        <w:t>The foregoing restriction will not apply to any sale and leaseback transaction, and we will exclude any sale and leaseback transaction from attributable debt in any computation under such restriction, if:</w:t>
      </w:r>
    </w:p>
    <w:p>
      <w:pPr>
        <w:spacing w:after="0" w:line="64" w:lineRule="exact"/>
        <w:rPr>
          <w:sz w:val="20"/>
          <w:szCs w:val="20"/>
          <w:color w:val="auto"/>
        </w:rPr>
      </w:pPr>
    </w:p>
    <w:p>
      <w:pPr>
        <w:ind w:left="2200" w:hanging="317"/>
        <w:spacing w:after="0"/>
        <w:tabs>
          <w:tab w:leader="none" w:pos="2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is for a period of three years or less, including renewal rights;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secures or relates to industrial revenue or pollution control bonds or similar financing;</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between us and a restricted subsidiary or between restricted subsidiaries; or</w:t>
      </w:r>
    </w:p>
    <w:p>
      <w:pPr>
        <w:spacing w:after="0" w:line="94" w:lineRule="exact"/>
        <w:rPr>
          <w:rFonts w:ascii="Times New Roman" w:cs="Times New Roman" w:eastAsia="Times New Roman" w:hAnsi="Times New Roman"/>
          <w:sz w:val="14"/>
          <w:szCs w:val="14"/>
          <w:color w:val="auto"/>
        </w:rPr>
      </w:pPr>
    </w:p>
    <w:p>
      <w:pPr>
        <w:ind w:left="2200" w:right="379" w:hanging="317"/>
        <w:spacing w:after="0" w:line="249" w:lineRule="auto"/>
        <w:tabs>
          <w:tab w:leader="none" w:pos="2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such restricted subsidiary, within 180 days after the sale is completed, applies an amount equal to the greater of (A) the net proceeds of the sale of the principal property leased or (B) the fair market value of the principal property leased either to (1) the retirement of debt securities, other of our funded debt ranking on a parity with the debt securities, or funded debt of a restricted subsidiary or (2) the purchase of other property which will constitute a principal property having a value at least equal to the value of the principal property leased. (Section 1009)</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Mergers, Consolidations and Certain Sales of Assets</w:t>
      </w:r>
    </w:p>
    <w:p>
      <w:pPr>
        <w:spacing w:after="0" w:line="88" w:lineRule="exact"/>
        <w:rPr>
          <w:sz w:val="20"/>
          <w:szCs w:val="20"/>
          <w:color w:val="auto"/>
        </w:rPr>
      </w:pPr>
    </w:p>
    <w:p>
      <w:pPr>
        <w:ind w:left="1480" w:right="359"/>
        <w:spacing w:after="0" w:line="290" w:lineRule="auto"/>
        <w:rPr>
          <w:sz w:val="20"/>
          <w:szCs w:val="20"/>
          <w:color w:val="auto"/>
        </w:rPr>
      </w:pPr>
      <w:r>
        <w:rPr>
          <w:rFonts w:ascii="Times New Roman" w:cs="Times New Roman" w:eastAsia="Times New Roman" w:hAnsi="Times New Roman"/>
          <w:sz w:val="12"/>
          <w:szCs w:val="12"/>
          <w:color w:val="auto"/>
        </w:rPr>
        <w:t>We will not, in a single transaction or a series of related transactions, consolidate with or merge with or into any other person or sell, assign, convey, transfer or lease or otherwise dispose of all or substantially all of our properties and assets to any person or group of affiliated persons or permit any of our restricted subsidiaries to enter into any such transaction or transactions if such transaction or transactions, in the aggregate, would result in a sale, assignment, transfer, lease or disposal of all or substantially all of our and our restricted subsidiaries’ properties and assets on a consolidated basis to any other person or group of affiliated persons, unless the following conditions, among others, are met. In a transaction in which we do not survive or in which we sell, lease or otherwise dispose of all or substantially all of our assets, our successor entity must be organized under the laws of the United States of America or any State thereof or the District of Columbia and must expressly assume, by a supplemental indenture executed and delivered to the trustee in form satisfactory to the trustee, all of our obligations under the indenture. Immediately before and after giving effect to such transaction and treating any debt which becomes our or our restricted subsidiary’s obligation as a result of such transaction as if incurred at the time of the transaction, no event of default or event that with the passing of time or the giving of notice, or both, would constitute an event of default can have occurred and be continuing. If, as a result of any such transaction, our property or assets or that of any restricted subsidiary would become subject to a lien prohibited by the provisions of the indenture, we or our successor entity must have secured the debt securities as required by the indenture.</w:t>
      </w:r>
    </w:p>
    <w:p>
      <w:pPr>
        <w:spacing w:after="0" w:line="3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Each of the following will constitute an event of default under the indenture with respect to debt securities of any series:</w:t>
      </w:r>
    </w:p>
    <w:p>
      <w:pPr>
        <w:spacing w:after="0" w:line="95" w:lineRule="exact"/>
        <w:rPr>
          <w:sz w:val="20"/>
          <w:szCs w:val="20"/>
          <w:color w:val="auto"/>
        </w:rPr>
      </w:pPr>
    </w:p>
    <w:p>
      <w:pPr>
        <w:ind w:left="2200" w:hanging="317"/>
        <w:spacing w:after="0"/>
        <w:tabs>
          <w:tab w:leader="none" w:pos="2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any security of that series when due;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interest on any debt securities of that series when due, continued for 30 days;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deposit any sinking fund payment, when due, in respect of any security of that series;</w:t>
      </w:r>
    </w:p>
    <w:p>
      <w:pPr>
        <w:spacing w:after="0" w:line="94" w:lineRule="exact"/>
        <w:rPr>
          <w:rFonts w:ascii="Times New Roman" w:cs="Times New Roman" w:eastAsia="Times New Roman" w:hAnsi="Times New Roman"/>
          <w:sz w:val="14"/>
          <w:szCs w:val="14"/>
          <w:color w:val="auto"/>
        </w:rPr>
      </w:pPr>
    </w:p>
    <w:p>
      <w:pPr>
        <w:ind w:left="2200" w:right="559" w:hanging="317"/>
        <w:spacing w:after="0" w:line="254" w:lineRule="auto"/>
        <w:tabs>
          <w:tab w:leader="none" w:pos="2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of our covenants in the indenture, other than a covenant included in the indenture solely for the benefit of a series other than that series, continued for 60 days after written notice has been given by the trustee, or the holders of at least 10% in principal amount of the outstanding debt securities of that series, as provided in the indenture; and</w:t>
      </w:r>
    </w:p>
    <w:p>
      <w:pPr>
        <w:spacing w:after="0" w:line="71"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 involving us or any restricted subsidiary. (Section 501)</w:t>
      </w:r>
    </w:p>
    <w:p>
      <w:pPr>
        <w:spacing w:after="0" w:line="166" w:lineRule="exact"/>
        <w:rPr>
          <w:sz w:val="20"/>
          <w:szCs w:val="20"/>
          <w:color w:val="auto"/>
        </w:rPr>
      </w:pPr>
    </w:p>
    <w:p>
      <w:pPr>
        <w:ind w:left="1480" w:right="559"/>
        <w:spacing w:after="0" w:line="265" w:lineRule="auto"/>
        <w:rPr>
          <w:sz w:val="20"/>
          <w:szCs w:val="20"/>
          <w:color w:val="auto"/>
        </w:rPr>
      </w:pPr>
      <w:r>
        <w:rPr>
          <w:rFonts w:ascii="Times New Roman" w:cs="Times New Roman" w:eastAsia="Times New Roman" w:hAnsi="Times New Roman"/>
          <w:sz w:val="14"/>
          <w:szCs w:val="14"/>
          <w:color w:val="auto"/>
        </w:rPr>
        <w:t>If an event of default, other than the last event of default described in the paragraph above, with respect to the debt securities of any series at the time outstanding occurs and is continuing, either the trustee or the holders of at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399"/>
        <w:spacing w:after="0" w:line="246" w:lineRule="auto"/>
        <w:rPr>
          <w:sz w:val="20"/>
          <w:szCs w:val="20"/>
          <w:color w:val="auto"/>
        </w:rPr>
      </w:pPr>
      <w:r>
        <w:rPr>
          <w:rFonts w:ascii="Times New Roman" w:cs="Times New Roman" w:eastAsia="Times New Roman" w:hAnsi="Times New Roman"/>
          <w:sz w:val="14"/>
          <w:szCs w:val="14"/>
          <w:color w:val="auto"/>
        </w:rPr>
        <w:t>least 25% in aggregate principal amount of the outstanding debt securities of that series by notice as provided in the indenture may declare the principal amount of the debt securities of that series, or, in the case of any security that is an original issue discount security or the principal amount of which is not then determinable, such portion of the principal amount of such security, or such other amount in lieu of such principal amount, as may be specified in the terms of such security, to be due and payable immediately. If the last event of default described in the paragraph above with respect to the debt securities of any series at the time outstanding occurs, the principal amount of all the debt securities of that series, or, in the case of any such original issue discount security or other security, such specified amount, will automatically, and without any action by the trustee or any holder, become immediately due and payable. After any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indenture. (Section 502)</w:t>
      </w:r>
    </w:p>
    <w:p>
      <w:pPr>
        <w:spacing w:after="0" w:line="149" w:lineRule="exact"/>
        <w:rPr>
          <w:sz w:val="20"/>
          <w:szCs w:val="20"/>
          <w:color w:val="auto"/>
        </w:rPr>
      </w:pPr>
    </w:p>
    <w:p>
      <w:pPr>
        <w:ind w:left="1480" w:right="439"/>
        <w:spacing w:after="0" w:line="248" w:lineRule="auto"/>
        <w:rPr>
          <w:sz w:val="20"/>
          <w:szCs w:val="20"/>
          <w:color w:val="auto"/>
        </w:rPr>
      </w:pPr>
      <w:r>
        <w:rPr>
          <w:rFonts w:ascii="Times New Roman" w:cs="Times New Roman" w:eastAsia="Times New Roman" w:hAnsi="Times New Roman"/>
          <w:sz w:val="14"/>
          <w:szCs w:val="14"/>
          <w:color w:val="auto"/>
        </w:rPr>
        <w:t>Subject to the provisions of the indenture relating to the duties of the trustee in case an event of default occurs and is continuing, the trustee will be under no obligation to exercise any of its rights or powers under the indenture at the request or direction of any of the holders, unless such holders have offered to the trustee reasonable indemnity. (Section 603) Subject to such provisions for the indemnification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47" w:lineRule="exact"/>
        <w:rPr>
          <w:sz w:val="20"/>
          <w:szCs w:val="20"/>
          <w:color w:val="auto"/>
        </w:rPr>
      </w:pPr>
    </w:p>
    <w:p>
      <w:pPr>
        <w:ind w:left="1480" w:right="419"/>
        <w:spacing w:after="0" w:line="265" w:lineRule="auto"/>
        <w:rPr>
          <w:sz w:val="20"/>
          <w:szCs w:val="20"/>
          <w:color w:val="auto"/>
        </w:rPr>
      </w:pPr>
      <w:r>
        <w:rPr>
          <w:rFonts w:ascii="Times New Roman" w:cs="Times New Roman" w:eastAsia="Times New Roman" w:hAnsi="Times New Roman"/>
          <w:sz w:val="14"/>
          <w:szCs w:val="14"/>
          <w:color w:val="auto"/>
        </w:rPr>
        <w:t>No holder of a security of any series will have any right to institute any proceeding with respect to the indenture, or for the appointment of a receiver or a trustee, or for any other remedy thereunder, unless:</w:t>
      </w:r>
    </w:p>
    <w:p>
      <w:pPr>
        <w:spacing w:after="0" w:line="64" w:lineRule="exact"/>
        <w:rPr>
          <w:sz w:val="20"/>
          <w:szCs w:val="20"/>
          <w:color w:val="auto"/>
        </w:rPr>
      </w:pPr>
    </w:p>
    <w:p>
      <w:pPr>
        <w:ind w:left="2200" w:right="639" w:hanging="317"/>
        <w:spacing w:after="0" w:line="265" w:lineRule="auto"/>
        <w:tabs>
          <w:tab w:leader="none" w:pos="2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to the trustee written notice of a continuing event of default with respect to the debt securities of that series;</w:t>
      </w:r>
    </w:p>
    <w:p>
      <w:pPr>
        <w:spacing w:after="0" w:line="63" w:lineRule="exact"/>
        <w:rPr>
          <w:rFonts w:ascii="Times New Roman" w:cs="Times New Roman" w:eastAsia="Times New Roman" w:hAnsi="Times New Roman"/>
          <w:sz w:val="14"/>
          <w:szCs w:val="14"/>
          <w:color w:val="auto"/>
        </w:rPr>
      </w:pPr>
    </w:p>
    <w:p>
      <w:pPr>
        <w:ind w:left="2200" w:right="539" w:hanging="317"/>
        <w:spacing w:after="0" w:line="265" w:lineRule="auto"/>
        <w:tabs>
          <w:tab w:leader="none" w:pos="2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 and such holder or holders have offered reasonable indemnity, to the trustee to institute such proceeding as trustee; and</w:t>
      </w:r>
    </w:p>
    <w:p>
      <w:pPr>
        <w:spacing w:after="0" w:line="63" w:lineRule="exact"/>
        <w:rPr>
          <w:rFonts w:ascii="Times New Roman" w:cs="Times New Roman" w:eastAsia="Times New Roman" w:hAnsi="Times New Roman"/>
          <w:sz w:val="14"/>
          <w:szCs w:val="14"/>
          <w:color w:val="auto"/>
        </w:rPr>
      </w:pPr>
    </w:p>
    <w:p>
      <w:pPr>
        <w:ind w:left="2200" w:right="419" w:hanging="317"/>
        <w:spacing w:after="0" w:line="254" w:lineRule="auto"/>
        <w:tabs>
          <w:tab w:leader="none" w:pos="2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 (Section 507)</w:t>
      </w:r>
    </w:p>
    <w:p>
      <w:pPr>
        <w:spacing w:after="0" w:line="143" w:lineRule="exact"/>
        <w:rPr>
          <w:sz w:val="20"/>
          <w:szCs w:val="20"/>
          <w:color w:val="auto"/>
        </w:rPr>
      </w:pPr>
    </w:p>
    <w:p>
      <w:pPr>
        <w:ind w:left="1480" w:right="359"/>
        <w:spacing w:after="0" w:line="265" w:lineRule="auto"/>
        <w:rPr>
          <w:sz w:val="20"/>
          <w:szCs w:val="20"/>
          <w:color w:val="auto"/>
        </w:rPr>
      </w:pPr>
      <w:r>
        <w:rPr>
          <w:rFonts w:ascii="Times New Roman" w:cs="Times New Roman" w:eastAsia="Times New Roman" w:hAnsi="Times New Roman"/>
          <w:sz w:val="14"/>
          <w:szCs w:val="14"/>
          <w:color w:val="auto"/>
        </w:rPr>
        <w:t>However, such limitations do not apply to a suit instituted by a holder of a security for the enforcement of payment of the principal of or any premium or interest on such security on or after the applicable due date specified in such security. (Section 508)</w:t>
      </w:r>
    </w:p>
    <w:p>
      <w:pPr>
        <w:spacing w:after="0" w:line="135" w:lineRule="exact"/>
        <w:rPr>
          <w:sz w:val="20"/>
          <w:szCs w:val="20"/>
          <w:color w:val="auto"/>
        </w:rPr>
      </w:pPr>
    </w:p>
    <w:p>
      <w:pPr>
        <w:ind w:left="1480" w:right="399"/>
        <w:spacing w:after="0" w:line="349" w:lineRule="auto"/>
        <w:rPr>
          <w:sz w:val="20"/>
          <w:szCs w:val="20"/>
          <w:color w:val="auto"/>
        </w:rPr>
      </w:pPr>
      <w:r>
        <w:rPr>
          <w:rFonts w:ascii="Times New Roman" w:cs="Times New Roman" w:eastAsia="Times New Roman" w:hAnsi="Times New Roman"/>
          <w:sz w:val="12"/>
          <w:szCs w:val="12"/>
          <w:color w:val="auto"/>
        </w:rPr>
        <w:t>We will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Supplemental Indentures Requiring Consent of Holders</w:t>
      </w:r>
    </w:p>
    <w:p>
      <w:pPr>
        <w:spacing w:after="0" w:line="88" w:lineRule="exact"/>
        <w:rPr>
          <w:sz w:val="20"/>
          <w:szCs w:val="20"/>
          <w:color w:val="auto"/>
        </w:rPr>
      </w:pPr>
    </w:p>
    <w:p>
      <w:pPr>
        <w:ind w:left="1480" w:right="499"/>
        <w:spacing w:after="0" w:line="254" w:lineRule="auto"/>
        <w:rPr>
          <w:sz w:val="20"/>
          <w:szCs w:val="20"/>
          <w:color w:val="auto"/>
        </w:rPr>
      </w:pPr>
      <w:r>
        <w:rPr>
          <w:rFonts w:ascii="Times New Roman" w:cs="Times New Roman" w:eastAsia="Times New Roman" w:hAnsi="Times New Roman"/>
          <w:sz w:val="14"/>
          <w:szCs w:val="14"/>
          <w:color w:val="auto"/>
        </w:rPr>
        <w:t>We (with the authorization of our board of directors) and the trustee may make modifications and amendments to the indenture with the consent of the holders of a majority in aggregate principal amount of the outstanding debt securities of each series affected by such modification or amendment, provided that no such modification or</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amendment may, without the consent of the holder of each outstanding security affected by such modification or amendment:</w:t>
      </w:r>
    </w:p>
    <w:p>
      <w:pPr>
        <w:spacing w:after="0" w:line="95" w:lineRule="exact"/>
        <w:rPr>
          <w:sz w:val="20"/>
          <w:szCs w:val="20"/>
          <w:color w:val="auto"/>
        </w:rPr>
      </w:pPr>
    </w:p>
    <w:p>
      <w:pPr>
        <w:ind w:left="2200" w:hanging="317"/>
        <w:spacing w:after="0"/>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security;</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any premium or interest on, any security;</w:t>
      </w:r>
    </w:p>
    <w:p>
      <w:pPr>
        <w:spacing w:after="0" w:line="94" w:lineRule="exact"/>
        <w:rPr>
          <w:rFonts w:ascii="Times New Roman" w:cs="Times New Roman" w:eastAsia="Times New Roman" w:hAnsi="Times New Roman"/>
          <w:sz w:val="14"/>
          <w:szCs w:val="14"/>
          <w:color w:val="auto"/>
        </w:rPr>
      </w:pPr>
    </w:p>
    <w:p>
      <w:pPr>
        <w:ind w:left="2200" w:right="779" w:hanging="317"/>
        <w:spacing w:after="0" w:line="265" w:lineRule="auto"/>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of an original issue discount security or any other security payable upon acceleration of the maturity thereof;</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of principal of, or any premium or interest on, any security;</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any security;</w:t>
      </w:r>
    </w:p>
    <w:p>
      <w:pPr>
        <w:spacing w:after="0" w:line="94" w:lineRule="exact"/>
        <w:rPr>
          <w:rFonts w:ascii="Times New Roman" w:cs="Times New Roman" w:eastAsia="Times New Roman" w:hAnsi="Times New Roman"/>
          <w:sz w:val="14"/>
          <w:szCs w:val="14"/>
          <w:color w:val="auto"/>
        </w:rPr>
      </w:pPr>
    </w:p>
    <w:p>
      <w:pPr>
        <w:ind w:left="2200" w:right="839" w:hanging="317"/>
        <w:spacing w:after="0" w:line="265" w:lineRule="auto"/>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the consent of whose holders is required for modification or amendment of the indenture;</w:t>
      </w:r>
    </w:p>
    <w:p>
      <w:pPr>
        <w:spacing w:after="0" w:line="63" w:lineRule="exact"/>
        <w:rPr>
          <w:rFonts w:ascii="Times New Roman" w:cs="Times New Roman" w:eastAsia="Times New Roman" w:hAnsi="Times New Roman"/>
          <w:sz w:val="14"/>
          <w:szCs w:val="14"/>
          <w:color w:val="auto"/>
        </w:rPr>
      </w:pPr>
    </w:p>
    <w:p>
      <w:pPr>
        <w:ind w:left="2200" w:right="659" w:hanging="317"/>
        <w:spacing w:after="0" w:line="265" w:lineRule="auto"/>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of any series necessary for waiver of compliance with certain provisions of the indenture or for waiver of certain defaults; or</w:t>
      </w:r>
    </w:p>
    <w:p>
      <w:pPr>
        <w:spacing w:after="0" w:line="63" w:lineRule="exact"/>
        <w:rPr>
          <w:rFonts w:ascii="Times New Roman" w:cs="Times New Roman" w:eastAsia="Times New Roman" w:hAnsi="Times New Roman"/>
          <w:sz w:val="14"/>
          <w:szCs w:val="14"/>
          <w:color w:val="auto"/>
        </w:rPr>
      </w:pPr>
    </w:p>
    <w:p>
      <w:pPr>
        <w:ind w:left="2200" w:right="479" w:hanging="317"/>
        <w:spacing w:after="0" w:line="265" w:lineRule="auto"/>
        <w:tabs>
          <w:tab w:leader="none" w:pos="2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such provisions with respect to modification and waiver except to increase percentages or to provide that certain other provisions of the indenture cannot be modified or waived without the consent of each holder affected thereby. (Section 902)</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Supplemental Indentures Not Requiring Consent of Holders</w:t>
      </w:r>
    </w:p>
    <w:p>
      <w:pPr>
        <w:spacing w:after="0" w:line="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Without the consent of any holders of debt securities, we and the trustee may supplement the indenture, among other things, to:</w:t>
      </w:r>
    </w:p>
    <w:p>
      <w:pPr>
        <w:spacing w:after="0" w:line="95" w:lineRule="exact"/>
        <w:rPr>
          <w:sz w:val="20"/>
          <w:szCs w:val="20"/>
          <w:color w:val="auto"/>
        </w:rPr>
      </w:pPr>
    </w:p>
    <w:p>
      <w:pPr>
        <w:ind w:left="2200" w:hanging="317"/>
        <w:spacing w:after="0"/>
        <w:tabs>
          <w:tab w:leader="none" w:pos="220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another entity has succeeded us and assumed the covenants and obligations of us under the debt securities and the indenture;</w:t>
      </w:r>
    </w:p>
    <w:p>
      <w:pPr>
        <w:spacing w:after="0" w:line="117" w:lineRule="exact"/>
        <w:rPr>
          <w:rFonts w:ascii="Times New Roman" w:cs="Times New Roman" w:eastAsia="Times New Roman" w:hAnsi="Times New Roman"/>
          <w:sz w:val="12"/>
          <w:szCs w:val="12"/>
          <w:color w:val="auto"/>
        </w:rPr>
      </w:pPr>
    </w:p>
    <w:p>
      <w:pPr>
        <w:ind w:left="2200" w:hanging="317"/>
        <w:spacing w:after="0"/>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covenants for the benefit of the holders of debt securities, or to surrender any right or power conferred to us under the indenture;</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events of default for the benefit of holders of debt securities;</w:t>
      </w:r>
    </w:p>
    <w:p>
      <w:pPr>
        <w:spacing w:after="0" w:line="94" w:lineRule="exact"/>
        <w:rPr>
          <w:rFonts w:ascii="Times New Roman" w:cs="Times New Roman" w:eastAsia="Times New Roman" w:hAnsi="Times New Roman"/>
          <w:sz w:val="14"/>
          <w:szCs w:val="14"/>
          <w:color w:val="auto"/>
        </w:rPr>
      </w:pPr>
    </w:p>
    <w:p>
      <w:pPr>
        <w:ind w:left="2200" w:right="719" w:hanging="317"/>
        <w:spacing w:after="0" w:line="265" w:lineRule="auto"/>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any provision in the indenture to the extent necessary for the debt securities to be issued in bearer form, and with or without interest coupons, or to permit the issuance of debt securities in uncertificated form;</w:t>
      </w:r>
    </w:p>
    <w:p>
      <w:pPr>
        <w:spacing w:after="0" w:line="61" w:lineRule="exact"/>
        <w:rPr>
          <w:rFonts w:ascii="Times New Roman" w:cs="Times New Roman" w:eastAsia="Times New Roman" w:hAnsi="Times New Roman"/>
          <w:sz w:val="14"/>
          <w:szCs w:val="14"/>
          <w:color w:val="auto"/>
        </w:rPr>
      </w:pPr>
    </w:p>
    <w:p>
      <w:pPr>
        <w:ind w:left="2200" w:right="479" w:hanging="317"/>
        <w:spacing w:after="0" w:line="251" w:lineRule="auto"/>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modify or eliminate any provision of the indenture in respect of the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modification (A) will not apply to any debt security created prior to the execution of such supplemental indenture and entitled to the benefit of the existing provision, nor modify the rights of the holder of any debt securities with respect to the existing provision or (B) will only become effective with there is no such debt security outstanding.</w:t>
      </w:r>
    </w:p>
    <w:p>
      <w:pPr>
        <w:spacing w:after="0" w:line="7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 property to the trustee as security for the debt securities;</w:t>
      </w:r>
    </w:p>
    <w:p>
      <w:pPr>
        <w:spacing w:after="0" w:line="94"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and terms of any series of debt securities as permitted by in the indenture;</w:t>
      </w:r>
    </w:p>
    <w:p>
      <w:pPr>
        <w:spacing w:after="0" w:line="94" w:lineRule="exact"/>
        <w:rPr>
          <w:rFonts w:ascii="Times New Roman" w:cs="Times New Roman" w:eastAsia="Times New Roman" w:hAnsi="Times New Roman"/>
          <w:sz w:val="14"/>
          <w:szCs w:val="14"/>
          <w:color w:val="auto"/>
        </w:rPr>
      </w:pPr>
    </w:p>
    <w:p>
      <w:pPr>
        <w:ind w:left="2200" w:right="619" w:hanging="317"/>
        <w:spacing w:after="0" w:line="265" w:lineRule="auto"/>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any change of the trustee with respect to any series of debt securities, or provide for the administration of the trusts under the indenture by an additional trustee; or</w:t>
      </w:r>
    </w:p>
    <w:p>
      <w:pPr>
        <w:spacing w:after="0" w:line="63" w:lineRule="exact"/>
        <w:rPr>
          <w:rFonts w:ascii="Times New Roman" w:cs="Times New Roman" w:eastAsia="Times New Roman" w:hAnsi="Times New Roman"/>
          <w:sz w:val="14"/>
          <w:szCs w:val="14"/>
          <w:color w:val="auto"/>
        </w:rPr>
      </w:pPr>
    </w:p>
    <w:p>
      <w:pPr>
        <w:ind w:left="2200" w:right="439" w:hanging="317"/>
        <w:spacing w:after="0" w:line="254" w:lineRule="auto"/>
        <w:tabs>
          <w:tab w:leader="none" w:pos="2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cure any ambiguity, correct or supplement any provision in the indenture that may be defective or inconsistent with any other provision in the indenture or make any other provisions with respect to matters or questions arising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interests of the holders of the debt securities are not adversely affected. (Section 901)</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2" w:lineRule="exact"/>
        <w:rPr>
          <w:sz w:val="20"/>
          <w:szCs w:val="20"/>
          <w:color w:val="auto"/>
        </w:rPr>
      </w:pPr>
    </w:p>
    <w:p>
      <w:pPr>
        <w:ind w:left="1480" w:right="419"/>
        <w:spacing w:after="0" w:line="250"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any series may waive our compliance with certain restrictive provisions of the indenture. (Section 1010)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security of such series affected. (Section 513)</w:t>
      </w:r>
    </w:p>
    <w:p>
      <w:pPr>
        <w:spacing w:after="0" w:line="147"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64" w:lineRule="exact"/>
        <w:rPr>
          <w:sz w:val="20"/>
          <w:szCs w:val="20"/>
          <w:color w:val="auto"/>
        </w:rPr>
      </w:pPr>
    </w:p>
    <w:p>
      <w:pPr>
        <w:ind w:left="2200" w:right="379" w:hanging="317"/>
        <w:spacing w:after="0" w:line="265" w:lineRule="auto"/>
        <w:tabs>
          <w:tab w:leader="none" w:pos="2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 original issue discount security that will be deemed to be outstanding will be the amount of the principal thereof that would be due and payable as of such date upon acceleration of the maturity thereof to such date;</w:t>
      </w:r>
    </w:p>
    <w:p>
      <w:pPr>
        <w:spacing w:after="0" w:line="63" w:lineRule="exact"/>
        <w:rPr>
          <w:rFonts w:ascii="Times New Roman" w:cs="Times New Roman" w:eastAsia="Times New Roman" w:hAnsi="Times New Roman"/>
          <w:sz w:val="14"/>
          <w:szCs w:val="14"/>
          <w:color w:val="auto"/>
        </w:rPr>
      </w:pPr>
    </w:p>
    <w:p>
      <w:pPr>
        <w:ind w:left="2200" w:right="399" w:hanging="317"/>
        <w:spacing w:after="0" w:line="254" w:lineRule="auto"/>
        <w:tabs>
          <w:tab w:leader="none" w:pos="2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of such date, the principal amount payable at the stated maturity of a security is not determinable, for example, because it is based on an index, the principal amount of such security deemed to be outstanding as of such date will be an amount determined in the manner prescribed for such security; and</w:t>
      </w:r>
    </w:p>
    <w:p>
      <w:pPr>
        <w:spacing w:after="0" w:line="71" w:lineRule="exact"/>
        <w:rPr>
          <w:rFonts w:ascii="Times New Roman" w:cs="Times New Roman" w:eastAsia="Times New Roman" w:hAnsi="Times New Roman"/>
          <w:sz w:val="14"/>
          <w:szCs w:val="14"/>
          <w:color w:val="auto"/>
        </w:rPr>
      </w:pPr>
    </w:p>
    <w:p>
      <w:pPr>
        <w:ind w:left="2200" w:right="459" w:hanging="317"/>
        <w:spacing w:after="0" w:line="300" w:lineRule="auto"/>
        <w:tabs>
          <w:tab w:leader="none" w:pos="220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amount of a security denominated in one or more foreign currencies or currency units that will be deemed to be outstanding will be the U.S. dollar equivalent, determined as of such date in the manner prescribed for such security, of the principal amount of such security, or, in the case of a security described in either of the first two clauses above, of the amount described in that clause. Certain debt securities, including those for whose payment or redemption money has been deposited or set aside in trust for the holders and those that have been fully defeased pursuant to Section 1302 of the indenture, will not be deemed to be outstanding. (Section 101)</w:t>
      </w:r>
    </w:p>
    <w:p>
      <w:pPr>
        <w:spacing w:after="0" w:line="119" w:lineRule="exact"/>
        <w:rPr>
          <w:sz w:val="20"/>
          <w:szCs w:val="20"/>
          <w:color w:val="auto"/>
        </w:rPr>
      </w:pPr>
    </w:p>
    <w:p>
      <w:pPr>
        <w:ind w:left="1480" w:right="359"/>
        <w:spacing w:after="0" w:line="295" w:lineRule="auto"/>
        <w:rPr>
          <w:sz w:val="20"/>
          <w:szCs w:val="20"/>
          <w:color w:val="auto"/>
        </w:rPr>
      </w:pPr>
      <w:r>
        <w:rPr>
          <w:rFonts w:ascii="Times New Roman" w:cs="Times New Roman" w:eastAsia="Times New Roman" w:hAnsi="Times New Roman"/>
          <w:sz w:val="12"/>
          <w:szCs w:val="12"/>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Holders of the requisite principal amount of such debt securities within a specified period following the record date must take such action for it to be effective. For any particular record date, this period will be 180 days or such period as we may specify, or as the trustee may specify, if it set the record date, and may be shortened or lengthened, but not beyond 180 days, from time to time. (Section 104)</w:t>
      </w: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88" w:lineRule="exact"/>
        <w:rPr>
          <w:sz w:val="20"/>
          <w:szCs w:val="20"/>
          <w:color w:val="auto"/>
        </w:rPr>
      </w:pPr>
    </w:p>
    <w:p>
      <w:pPr>
        <w:ind w:left="1480" w:right="459"/>
        <w:spacing w:after="0" w:line="250" w:lineRule="auto"/>
        <w:rPr>
          <w:sz w:val="20"/>
          <w:szCs w:val="20"/>
          <w:color w:val="auto"/>
        </w:rPr>
      </w:pPr>
      <w:r>
        <w:rPr>
          <w:rFonts w:ascii="Times New Roman" w:cs="Times New Roman" w:eastAsia="Times New Roman" w:hAnsi="Times New Roman"/>
          <w:sz w:val="14"/>
          <w:szCs w:val="14"/>
          <w:color w:val="auto"/>
        </w:rPr>
        <w:t>The specific terms of any redemption of a series of debt securities will be contained in the prospectus supplement or supplements for that series. Generally, we must send notice of redemption to the holders at least 30 days but not more than 60 days prior to the redemption date. (Section 1104) On or before any redemption date, we will deposit an amount of money with the trustee or with a paying agent sufficient to pay the redemption price. (Section 1105)</w:t>
      </w:r>
    </w:p>
    <w:p>
      <w:pPr>
        <w:spacing w:after="0" w:line="147" w:lineRule="exact"/>
        <w:rPr>
          <w:sz w:val="20"/>
          <w:szCs w:val="20"/>
          <w:color w:val="auto"/>
        </w:rPr>
      </w:pPr>
    </w:p>
    <w:p>
      <w:pPr>
        <w:jc w:val="both"/>
        <w:ind w:left="1480" w:right="379"/>
        <w:spacing w:after="0" w:line="316" w:lineRule="auto"/>
        <w:rPr>
          <w:sz w:val="20"/>
          <w:szCs w:val="20"/>
          <w:color w:val="auto"/>
        </w:rPr>
      </w:pPr>
      <w:r>
        <w:rPr>
          <w:rFonts w:ascii="Times New Roman" w:cs="Times New Roman" w:eastAsia="Times New Roman" w:hAnsi="Times New Roman"/>
          <w:sz w:val="12"/>
          <w:szCs w:val="12"/>
          <w:color w:val="auto"/>
        </w:rPr>
        <w:t>If less than all the debt securities are being redeemed, the trustee shall select the debt securities to be redeemed using a method it considers fair. (Section 1103) After the redemption date, such securities shall cease to bear interest, and holders of debt securities which were redeemed will have no rights with respect to the debt securities except the right to receive the redemption price and any unpaid interest to the redemption date. (Section 1106)</w:t>
      </w:r>
    </w:p>
    <w:p>
      <w:pPr>
        <w:spacing w:after="0" w:line="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88" w:lineRule="exact"/>
        <w:rPr>
          <w:sz w:val="20"/>
          <w:szCs w:val="20"/>
          <w:color w:val="auto"/>
        </w:rPr>
      </w:pPr>
    </w:p>
    <w:p>
      <w:pPr>
        <w:ind w:left="1480" w:right="379"/>
        <w:spacing w:after="0" w:line="254" w:lineRule="auto"/>
        <w:rPr>
          <w:sz w:val="20"/>
          <w:szCs w:val="20"/>
          <w:color w:val="auto"/>
        </w:rPr>
      </w:pPr>
      <w:r>
        <w:rPr>
          <w:rFonts w:ascii="Times New Roman" w:cs="Times New Roman" w:eastAsia="Times New Roman" w:hAnsi="Times New Roman"/>
          <w:sz w:val="14"/>
          <w:szCs w:val="14"/>
          <w:color w:val="auto"/>
        </w:rPr>
        <w:t>If and to the extent indicated in the applicable prospectus supplement or supplements, we may elect, at our option at any time, to have certain provisions of the indenture relating to defeasance and discharge of indebtedness or defeasance of certain restrictive covenants in the indenture, applied to the debt securities of any series, or to any specified part of a series. (Section 1301)</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Defeasance and Discharge</w:t>
      </w:r>
    </w:p>
    <w:p>
      <w:pPr>
        <w:spacing w:after="0" w:line="88" w:lineRule="exact"/>
        <w:rPr>
          <w:sz w:val="20"/>
          <w:szCs w:val="20"/>
          <w:color w:val="auto"/>
        </w:rPr>
      </w:pPr>
    </w:p>
    <w:p>
      <w:pPr>
        <w:ind w:left="1480" w:right="499"/>
        <w:spacing w:after="0" w:line="247" w:lineRule="auto"/>
        <w:rPr>
          <w:sz w:val="20"/>
          <w:szCs w:val="20"/>
          <w:color w:val="auto"/>
        </w:rPr>
      </w:pPr>
      <w:r>
        <w:rPr>
          <w:rFonts w:ascii="Times New Roman" w:cs="Times New Roman" w:eastAsia="Times New Roman" w:hAnsi="Times New Roman"/>
          <w:sz w:val="14"/>
          <w:szCs w:val="14"/>
          <w:color w:val="auto"/>
        </w:rPr>
        <w:t>The indenture provides that, upon our exercise of our option, if any, to have Section 1302 of the indenture applied to any debt securities, we will be discharged from all our obligations with respect to such debt securities, 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77" w:lineRule="exact"/>
        <w:rPr>
          <w:sz w:val="20"/>
          <w:szCs w:val="20"/>
          <w:color w:val="auto"/>
        </w:rPr>
      </w:pPr>
    </w:p>
    <w:p>
      <w:pPr>
        <w:ind w:left="2200" w:right="459" w:hanging="317"/>
        <w:spacing w:after="0" w:line="265" w:lineRule="auto"/>
        <w:tabs>
          <w:tab w:leader="none" w:pos="2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opinion of counsel to the effect that we have received from, or there has been published by, the United States Internal Revenue Service a ruling; or</w:t>
      </w:r>
    </w:p>
    <w:p>
      <w:pPr>
        <w:spacing w:after="0" w:line="63" w:lineRule="exact"/>
        <w:rPr>
          <w:rFonts w:ascii="Times New Roman" w:cs="Times New Roman" w:eastAsia="Times New Roman" w:hAnsi="Times New Roman"/>
          <w:sz w:val="14"/>
          <w:szCs w:val="14"/>
          <w:color w:val="auto"/>
        </w:rPr>
      </w:pPr>
    </w:p>
    <w:p>
      <w:pPr>
        <w:ind w:left="2200" w:hanging="317"/>
        <w:spacing w:after="0"/>
        <w:tabs>
          <w:tab w:leader="none" w:pos="2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change in tax law;</w:t>
      </w:r>
    </w:p>
    <w:p>
      <w:pPr>
        <w:spacing w:after="0" w:line="166" w:lineRule="exact"/>
        <w:rPr>
          <w:sz w:val="20"/>
          <w:szCs w:val="20"/>
          <w:color w:val="auto"/>
        </w:rPr>
      </w:pPr>
    </w:p>
    <w:p>
      <w:pPr>
        <w:jc w:val="both"/>
        <w:ind w:left="1480" w:right="419"/>
        <w:spacing w:after="0" w:line="254" w:lineRule="auto"/>
        <w:rPr>
          <w:sz w:val="20"/>
          <w:szCs w:val="20"/>
          <w:color w:val="auto"/>
        </w:rPr>
      </w:pPr>
      <w:r>
        <w:rPr>
          <w:rFonts w:ascii="Times New Roman" w:cs="Times New Roman" w:eastAsia="Times New Roman" w:hAnsi="Times New Roman"/>
          <w:sz w:val="14"/>
          <w:szCs w:val="14"/>
          <w:color w:val="auto"/>
        </w:rPr>
        <w:t>in either case to the effect that holders of such debt securities will not recognize gain or loss for United States federal income tax purposes as a result of such deposit, defeasance and discharge and will be subject to United States federal income tax on the same amount, in the same manner and at the same times as would have been the case if such deposit, defeasance and discharge were not to occur. (Sections 1302 and 1304)</w:t>
      </w:r>
    </w:p>
    <w:p>
      <w:pPr>
        <w:spacing w:after="0" w:line="2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Defeasance of Certain Covenants</w:t>
      </w:r>
    </w:p>
    <w:p>
      <w:pPr>
        <w:spacing w:after="0" w:line="88" w:lineRule="exact"/>
        <w:rPr>
          <w:sz w:val="20"/>
          <w:szCs w:val="20"/>
          <w:color w:val="auto"/>
        </w:rPr>
      </w:pPr>
    </w:p>
    <w:p>
      <w:pPr>
        <w:ind w:left="1480" w:right="379"/>
        <w:spacing w:after="0" w:line="289" w:lineRule="auto"/>
        <w:rPr>
          <w:sz w:val="20"/>
          <w:szCs w:val="20"/>
          <w:color w:val="auto"/>
        </w:rPr>
      </w:pPr>
      <w:r>
        <w:rPr>
          <w:rFonts w:ascii="Times New Roman" w:cs="Times New Roman" w:eastAsia="Times New Roman" w:hAnsi="Times New Roman"/>
          <w:sz w:val="12"/>
          <w:szCs w:val="12"/>
          <w:color w:val="auto"/>
        </w:rPr>
        <w:t>The indenture provides that, upon our exercise of our option, if any, to have Section 1303 of the indenture applied to any debt securities, we may omit to comply with certain restrictive covenants, including any that may be described in the applicable prospectus supplement or supplements, and the occurrence of certain events of default, including any that may be described in the applicable prospectus supplement or supplements, will be deemed not to be or result in an event of default, in each case with respect to such debt securities. We,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We will also be required, among other things, to deliver to the trustee an opinion of counsel to the effect that holders of such debt securities will not recognize gain or loss for United States federal income tax purposes as a result of such deposit and defeasance of certain obligations and will be subject to United States federal income tax on the same amount, in the same manner and at the same times as would have been the case if such deposit and defeasance were not to occur. In the event we exercised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1303 and 1304)</w:t>
      </w:r>
    </w:p>
    <w:p>
      <w:pPr>
        <w:spacing w:after="0" w:line="37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88" w:lineRule="exact"/>
        <w:rPr>
          <w:sz w:val="20"/>
          <w:szCs w:val="20"/>
          <w:color w:val="auto"/>
        </w:rPr>
      </w:pPr>
    </w:p>
    <w:p>
      <w:pPr>
        <w:ind w:left="1480" w:right="499"/>
        <w:spacing w:after="0" w:line="265" w:lineRule="auto"/>
        <w:rPr>
          <w:sz w:val="20"/>
          <w:szCs w:val="20"/>
          <w:color w:val="auto"/>
        </w:rPr>
      </w:pPr>
      <w:r>
        <w:rPr>
          <w:rFonts w:ascii="Times New Roman" w:cs="Times New Roman" w:eastAsia="Times New Roman" w:hAnsi="Times New Roman"/>
          <w:sz w:val="14"/>
          <w:szCs w:val="14"/>
          <w:color w:val="auto"/>
        </w:rPr>
        <w:t>We will provide notices to holders of debt securities by mail to the addresses of such holders as they may appear in the security register. (Sections 101 and 106)</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88" w:lineRule="exact"/>
        <w:rPr>
          <w:sz w:val="20"/>
          <w:szCs w:val="20"/>
          <w:color w:val="auto"/>
        </w:rPr>
      </w:pPr>
    </w:p>
    <w:p>
      <w:pPr>
        <w:ind w:left="1480" w:right="559"/>
        <w:spacing w:after="0" w:line="265" w:lineRule="auto"/>
        <w:rPr>
          <w:sz w:val="20"/>
          <w:szCs w:val="20"/>
          <w:color w:val="auto"/>
        </w:rPr>
      </w:pPr>
      <w:r>
        <w:rPr>
          <w:rFonts w:ascii="Times New Roman" w:cs="Times New Roman" w:eastAsia="Times New Roman" w:hAnsi="Times New Roman"/>
          <w:sz w:val="14"/>
          <w:szCs w:val="14"/>
          <w:color w:val="auto"/>
        </w:rPr>
        <w:t>We, the trustee and any of our agents or those of the trustee may treat the person in whose name a security is registered as the absolute owner of such security, whether or not such security may be overdue, for the purpose of making payment and for all other purposes. (Section 308)</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1480" w:right="559"/>
        <w:spacing w:after="0" w:line="265"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and enforced in accordance with, the law of the State of New York. (Section 112)</w:t>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88" w:lineRule="exact"/>
        <w:rPr>
          <w:sz w:val="20"/>
          <w:szCs w:val="20"/>
          <w:color w:val="auto"/>
        </w:rPr>
      </w:pPr>
    </w:p>
    <w:p>
      <w:pPr>
        <w:ind w:left="1480" w:right="459"/>
        <w:spacing w:after="0" w:line="265" w:lineRule="auto"/>
        <w:rPr>
          <w:sz w:val="20"/>
          <w:szCs w:val="20"/>
          <w:color w:val="auto"/>
        </w:rPr>
      </w:pPr>
      <w:r>
        <w:rPr>
          <w:rFonts w:ascii="Times New Roman" w:cs="Times New Roman" w:eastAsia="Times New Roman" w:hAnsi="Times New Roman"/>
          <w:sz w:val="14"/>
          <w:szCs w:val="14"/>
          <w:color w:val="auto"/>
        </w:rPr>
        <w:t>Set forth below is a summary of certain defined terms used in the indenture. Reference is made to the indenture for the full definition of all such terms, as well as any other term used herein for which no definition is provided. (Section 101)</w:t>
      </w:r>
    </w:p>
    <w:p>
      <w:pPr>
        <w:spacing w:after="0" w:line="133"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“Attributable Debt” </w:t>
      </w:r>
      <w:r>
        <w:rPr>
          <w:rFonts w:ascii="Times New Roman" w:cs="Times New Roman" w:eastAsia="Times New Roman" w:hAnsi="Times New Roman"/>
          <w:sz w:val="14"/>
          <w:szCs w:val="14"/>
          <w:color w:val="auto"/>
        </w:rPr>
        <w:t>means, with respect to a lease in a sale and leaseback transaction, the total net amount of rent required to be paid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remaining primary term of such lease, discounted at a rate per annum equal to 6.45% calculated in accordance with generally accepted accounting practices. The net amount of rent required to be paid under any such lease for any such period will be the aggregate amount of rent payable by the lessee with respect to such period after excluding amounts required to be paid on account of maintenance, repairs, insurance, taxes, assessments, utility, operating and labor costs and similar charges.</w:t>
      </w:r>
    </w:p>
    <w:p>
      <w:pPr>
        <w:spacing w:after="0" w:line="146" w:lineRule="exact"/>
        <w:rPr>
          <w:sz w:val="20"/>
          <w:szCs w:val="20"/>
          <w:color w:val="auto"/>
        </w:rPr>
      </w:pPr>
    </w:p>
    <w:p>
      <w:pPr>
        <w:ind w:left="1480" w:right="51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“Capital Stock” </w:t>
      </w:r>
      <w:r>
        <w:rPr>
          <w:rFonts w:ascii="Times New Roman" w:cs="Times New Roman" w:eastAsia="Times New Roman" w:hAnsi="Times New Roman"/>
          <w:sz w:val="14"/>
          <w:szCs w:val="14"/>
          <w:color w:val="auto"/>
        </w:rPr>
        <w:t>means, with respect to any person, any and all shares, interests, participations or other equivalents (however designated) of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or other equity participation, including partnership interests, whether general or limited, of such person.</w:t>
      </w:r>
    </w:p>
    <w:p>
      <w:pPr>
        <w:spacing w:after="0" w:line="131" w:lineRule="exact"/>
        <w:rPr>
          <w:sz w:val="20"/>
          <w:szCs w:val="20"/>
          <w:color w:val="auto"/>
        </w:rPr>
      </w:pPr>
    </w:p>
    <w:p>
      <w:pPr>
        <w:ind w:left="1480" w:right="559"/>
        <w:spacing w:after="0" w:line="352" w:lineRule="auto"/>
        <w:rPr>
          <w:sz w:val="20"/>
          <w:szCs w:val="20"/>
          <w:color w:val="auto"/>
        </w:rPr>
      </w:pPr>
      <w:r>
        <w:rPr>
          <w:rFonts w:ascii="Times New Roman" w:cs="Times New Roman" w:eastAsia="Times New Roman" w:hAnsi="Times New Roman"/>
          <w:sz w:val="12"/>
          <w:szCs w:val="12"/>
          <w:i w:val="1"/>
          <w:iCs w:val="1"/>
          <w:color w:val="auto"/>
        </w:rPr>
        <w:t xml:space="preserve">“Consolidated Net Tangible Assets” </w:t>
      </w:r>
      <w:r>
        <w:rPr>
          <w:rFonts w:ascii="Times New Roman" w:cs="Times New Roman" w:eastAsia="Times New Roman" w:hAnsi="Times New Roman"/>
          <w:sz w:val="12"/>
          <w:szCs w:val="12"/>
          <w:color w:val="auto"/>
        </w:rPr>
        <w:t>means the aggregate amount of our assets and that of our subsidiaries after deducting (a) all liabilities other than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deferred income taxes, commercial paper, short-term bank debt, funded debt and shareholders’ equity, and (b) all goodwill and other intangibles.</w:t>
      </w:r>
    </w:p>
    <w:p>
      <w:pPr>
        <w:spacing w:after="0" w:line="86" w:lineRule="exact"/>
        <w:rPr>
          <w:sz w:val="20"/>
          <w:szCs w:val="20"/>
          <w:color w:val="auto"/>
        </w:rPr>
      </w:pPr>
    </w:p>
    <w:p>
      <w:pPr>
        <w:ind w:left="1480" w:right="479"/>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“Funded Debt” </w:t>
      </w:r>
      <w:r>
        <w:rPr>
          <w:rFonts w:ascii="Times New Roman" w:cs="Times New Roman" w:eastAsia="Times New Roman" w:hAnsi="Times New Roman"/>
          <w:sz w:val="14"/>
          <w:szCs w:val="14"/>
          <w:color w:val="auto"/>
        </w:rPr>
        <w:t>means (a) all debt having a maturity of more than 12 months from the date as of which the determination is made or having a maturity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12 months or less but by its terms being renewable or extendible beyond 12 months from such date at the option of the borrower and (b) rental obligations payable more than 12 months from such date under leases which are capitalized in accordance with generally accepted accounting principles, such rental obligations to be included as funded debt at the amount so capitalized at the date of such computation and to be included for the purposes of the definition of consolidated net tangible assets both as an asset and as funded debt at the amount so capitalized.</w:t>
      </w:r>
    </w:p>
    <w:p>
      <w:pPr>
        <w:spacing w:after="0" w:line="146" w:lineRule="exact"/>
        <w:rPr>
          <w:sz w:val="20"/>
          <w:szCs w:val="20"/>
          <w:color w:val="auto"/>
        </w:rPr>
      </w:pPr>
    </w:p>
    <w:p>
      <w:pPr>
        <w:ind w:left="1480" w:right="379"/>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“Lien” </w:t>
      </w:r>
      <w:r>
        <w:rPr>
          <w:rFonts w:ascii="Times New Roman" w:cs="Times New Roman" w:eastAsia="Times New Roman" w:hAnsi="Times New Roman"/>
          <w:sz w:val="14"/>
          <w:szCs w:val="14"/>
          <w:color w:val="auto"/>
        </w:rPr>
        <w:t>means, with respect to any property or assets, any mortgage or deed of trust, pledge, hypothecation, assignment, deposit arrangement, security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lien, charge, easement, other than any easement not materially impairing usefulness or marketability, encumbrance, preference, priority or other security agreement, or any equivalent of any of the foregoing under the laws of any applicable jurisdiction, on or with respect to such property or assets, including, without limitation, any conditional sale or other title retention agreement having substantially the same economic effect as any of the foregoing.</w:t>
      </w:r>
    </w:p>
    <w:p>
      <w:pPr>
        <w:spacing w:after="0" w:line="146" w:lineRule="exact"/>
        <w:rPr>
          <w:sz w:val="20"/>
          <w:szCs w:val="20"/>
          <w:color w:val="auto"/>
        </w:rPr>
      </w:pPr>
    </w:p>
    <w:p>
      <w:pPr>
        <w:ind w:left="1480" w:right="5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“Principal Property” </w:t>
      </w:r>
      <w:r>
        <w:rPr>
          <w:rFonts w:ascii="Times New Roman" w:cs="Times New Roman" w:eastAsia="Times New Roman" w:hAnsi="Times New Roman"/>
          <w:sz w:val="14"/>
          <w:szCs w:val="14"/>
          <w:color w:val="auto"/>
        </w:rPr>
        <w:t>means any facility we or any restricted subsidiary owns the gross book value of which, including related land, improvements,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machinery and equipment so owned, without deduction of any depreciation reserves, on the date as of which the determination is being made exceeds 1% of consolidated net tangible assets.</w:t>
      </w:r>
    </w:p>
    <w:p>
      <w:pPr>
        <w:spacing w:after="0" w:line="1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i w:val="1"/>
          <w:iCs w:val="1"/>
          <w:color w:val="auto"/>
        </w:rPr>
        <w:t xml:space="preserve">“Restricted Subsidiary” </w:t>
      </w:r>
      <w:r>
        <w:rPr>
          <w:rFonts w:ascii="Times New Roman" w:cs="Times New Roman" w:eastAsia="Times New Roman" w:hAnsi="Times New Roman"/>
          <w:sz w:val="14"/>
          <w:szCs w:val="14"/>
          <w:color w:val="auto"/>
        </w:rPr>
        <w:t>means any subsidiary which owns a principal property.</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0" w:lineRule="exact"/>
        <w:rPr>
          <w:sz w:val="20"/>
          <w:szCs w:val="20"/>
          <w:color w:val="auto"/>
        </w:rPr>
      </w:pPr>
    </w:p>
    <w:p>
      <w:pPr>
        <w:jc w:val="both"/>
        <w:ind w:left="1480" w:right="53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“Sale and Leaseback Transaction” </w:t>
      </w:r>
      <w:r>
        <w:rPr>
          <w:rFonts w:ascii="Times New Roman" w:cs="Times New Roman" w:eastAsia="Times New Roman" w:hAnsi="Times New Roman"/>
          <w:sz w:val="14"/>
          <w:szCs w:val="14"/>
          <w:color w:val="auto"/>
        </w:rPr>
        <w:t>means an arrangement with any lender or investor or to which such lender or investor is a party providing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leasing by such person of any property or asset of such person which has been or is being sold or transferred by such person more than 180 days after the acquisition thereof or the completion of construction or commencement of operation thereof to such lender or investor or to any person to whom funds have been or are to be advanced by such lender or investor on the security of such property or asset.</w:t>
      </w:r>
    </w:p>
    <w:p>
      <w:pPr>
        <w:spacing w:after="0" w:line="146" w:lineRule="exact"/>
        <w:rPr>
          <w:sz w:val="20"/>
          <w:szCs w:val="20"/>
          <w:color w:val="auto"/>
        </w:rPr>
      </w:pPr>
    </w:p>
    <w:p>
      <w:pPr>
        <w:jc w:val="both"/>
        <w:ind w:left="1480" w:right="539"/>
        <w:spacing w:after="0" w:line="265" w:lineRule="auto"/>
        <w:rPr>
          <w:sz w:val="20"/>
          <w:szCs w:val="20"/>
          <w:color w:val="auto"/>
        </w:rPr>
      </w:pPr>
      <w:r>
        <w:rPr>
          <w:rFonts w:ascii="Times New Roman" w:cs="Times New Roman" w:eastAsia="Times New Roman" w:hAnsi="Times New Roman"/>
          <w:sz w:val="14"/>
          <w:szCs w:val="14"/>
          <w:color w:val="auto"/>
        </w:rPr>
        <w:t>The stated maturity of such arrangement will be the date of the last payment of rent or any other amount due under such arrangement prior to the first date on which such arrangement may be terminated by the lessee without payment of a penalty.</w:t>
      </w:r>
    </w:p>
    <w:p>
      <w:pPr>
        <w:spacing w:after="0" w:line="133" w:lineRule="exact"/>
        <w:rPr>
          <w:sz w:val="20"/>
          <w:szCs w:val="20"/>
          <w:color w:val="auto"/>
        </w:rPr>
      </w:pPr>
    </w:p>
    <w:p>
      <w:pPr>
        <w:ind w:left="1480" w:right="49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“Subsidiary” </w:t>
      </w:r>
      <w:r>
        <w:rPr>
          <w:rFonts w:ascii="Times New Roman" w:cs="Times New Roman" w:eastAsia="Times New Roman" w:hAnsi="Times New Roman"/>
          <w:sz w:val="14"/>
          <w:szCs w:val="14"/>
          <w:color w:val="auto"/>
        </w:rPr>
        <w:t>means (a) a corporation more than 50% of the voting stock of which we and/or one or more subsidiaries owns or (b) any other person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a corporation) of which we and/or one or more subsidiaries has at least a majority ownership and power to direct the policies, management and affairs.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jc w:val="both"/>
        <w:ind w:left="1480" w:right="479"/>
        <w:spacing w:after="0" w:line="254" w:lineRule="auto"/>
        <w:rPr>
          <w:sz w:val="20"/>
          <w:szCs w:val="20"/>
          <w:color w:val="auto"/>
        </w:rPr>
      </w:pPr>
      <w:r>
        <w:rPr>
          <w:rFonts w:ascii="Times New Roman" w:cs="Times New Roman" w:eastAsia="Times New Roman" w:hAnsi="Times New Roman"/>
          <w:sz w:val="14"/>
          <w:szCs w:val="14"/>
          <w:color w:val="auto"/>
        </w:rPr>
        <w:t>We may offer and sell the debt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579"/>
        <w:spacing w:after="0" w:line="254" w:lineRule="auto"/>
        <w:rPr>
          <w:sz w:val="20"/>
          <w:szCs w:val="20"/>
          <w:color w:val="auto"/>
        </w:rPr>
      </w:pPr>
      <w:r>
        <w:rPr>
          <w:rFonts w:ascii="Times New Roman" w:cs="Times New Roman" w:eastAsia="Times New Roman" w:hAnsi="Times New Roman"/>
          <w:sz w:val="14"/>
          <w:szCs w:val="14"/>
          <w:color w:val="auto"/>
        </w:rPr>
        <w:t>The validity of the debt securities offered by this prospectus and any prospectus supplement or supplements will be passed upon for us by Ivonne M. Cabrera, Esq., our Senior Vice President, General Counsel and Secretary. Ms. Cabrera owns, or has the right to acquire, a number of shares of our common stock which represents less than 0.1% of the total outstanding common stock</w:t>
      </w:r>
    </w:p>
    <w:p>
      <w:pPr>
        <w:spacing w:after="0" w:line="30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519"/>
        <w:spacing w:after="0" w:line="250"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180975</wp:posOffset>
            </wp:positionV>
            <wp:extent cx="529653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5296535" cy="1270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219710</wp:posOffset>
            </wp:positionV>
            <wp:extent cx="529653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52965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136525</wp:posOffset>
            </wp:positionV>
            <wp:extent cx="1181100" cy="402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1811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5"/>
          <w:szCs w:val="25"/>
          <w:b w:val="1"/>
          <w:bCs w:val="1"/>
          <w:color w:val="auto"/>
        </w:rPr>
        <w:t>Dover Corporation</w:t>
      </w:r>
    </w:p>
    <w:p>
      <w:pPr>
        <w:spacing w:after="0" w:line="16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4.350%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549275</wp:posOffset>
            </wp:positionV>
            <wp:extent cx="11163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184150</wp:posOffset>
            </wp:positionV>
            <wp:extent cx="11163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Deutsche Bank</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HSBC</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ING</w:t>
      </w:r>
    </w:p>
    <w:p>
      <w:pPr>
        <w:spacing w:after="0" w:line="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BNP PARIBAS</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Scotiabank</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Academy Securities</w:t>
      </w:r>
    </w:p>
    <w:p>
      <w:pPr>
        <w:spacing w:after="0" w:line="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558165</wp:posOffset>
            </wp:positionV>
            <wp:extent cx="11163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11163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259080</wp:posOffset>
            </wp:positionV>
            <wp:extent cx="529653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296535" cy="635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310515</wp:posOffset>
            </wp:positionV>
            <wp:extent cx="529653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296535" cy="12700"/>
                    </a:xfrm>
                    <a:prstGeom prst="rect">
                      <a:avLst/>
                    </a:prstGeom>
                    <a:noFill/>
                  </pic:spPr>
                </pic:pic>
              </a:graphicData>
            </a:graphic>
          </wp:anchor>
        </w:drawing>
      </w:r>
    </w:p>
    <w:p>
      <w:pPr>
        <w:sectPr>
          <w:pgSz w:w="11900" w:h="16838" w:orient="portrait"/>
          <w:cols w:equalWidth="0" w:num="1">
            <w:col w:w="10159"/>
          </w:cols>
          <w:pgMar w:left="300" w:top="378" w:right="1440" w:bottom="1440" w:gutter="0" w:footer="0" w:header="0"/>
        </w:sectPr>
      </w:pPr>
    </w:p>
    <w:bookmarkStart w:id="71" w:name="page72"/>
    <w:bookmarkEnd w:id="71"/>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DOVER Corp</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58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ind w:left="38"/>
              <w:spacing w:after="0"/>
              <w:rPr>
                <w:sz w:val="20"/>
                <w:szCs w:val="20"/>
                <w:color w:val="auto"/>
              </w:rPr>
            </w:pPr>
            <w:r>
              <w:rPr>
                <w:rFonts w:ascii="Arial" w:cs="Arial" w:eastAsia="Arial" w:hAnsi="Arial"/>
                <w:sz w:val="16"/>
                <w:szCs w:val="16"/>
                <w:b w:val="1"/>
                <w:bCs w:val="1"/>
                <w:color w:val="auto"/>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ind w:left="18"/>
              <w:spacing w:after="0"/>
              <w:rPr>
                <w:sz w:val="20"/>
                <w:szCs w:val="20"/>
                <w:color w:val="auto"/>
              </w:rPr>
            </w:pPr>
            <w:r>
              <w:rPr>
                <w:rFonts w:ascii="Arial" w:cs="Arial" w:eastAsia="Arial" w:hAnsi="Arial"/>
                <w:sz w:val="16"/>
                <w:szCs w:val="16"/>
                <w:b w:val="1"/>
                <w:bCs w:val="1"/>
                <w:color w:val="auto"/>
              </w:rPr>
              <w:t>Class 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94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gridSpan w:val="6"/>
          </w:tcPr>
          <w:p>
            <w:pPr>
              <w:jc w:val="center"/>
              <w:ind w:right="41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shd w:val="clear" w:color="auto" w:fill="E7E7E2"/>
          </w:tcPr>
          <w:p>
            <w:pPr>
              <w:spacing w:after="0"/>
              <w:rPr>
                <w:sz w:val="20"/>
                <w:szCs w:val="20"/>
                <w:color w:val="auto"/>
              </w:rPr>
            </w:pPr>
            <w:r>
              <w:rPr>
                <w:rFonts w:ascii="Arial" w:cs="Arial" w:eastAsia="Arial" w:hAnsi="Arial"/>
                <w:sz w:val="16"/>
                <w:szCs w:val="16"/>
                <w:color w:val="auto"/>
              </w:rPr>
              <w:t>_____4.350%</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 due</w:t>
            </w: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800,000,000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0.000087</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$ 77,903.28</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895,440,000.00</w:t>
            </w: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line="143" w:lineRule="exact"/>
              <w:rPr>
                <w:sz w:val="20"/>
                <w:szCs w:val="20"/>
                <w:color w:val="auto"/>
              </w:rPr>
            </w:pPr>
            <w:r>
              <w:rPr>
                <w:rFonts w:ascii="Arial" w:cs="Arial" w:eastAsia="Arial" w:hAnsi="Arial"/>
                <w:sz w:val="16"/>
                <w:szCs w:val="16"/>
                <w:color w:val="auto"/>
              </w:rPr>
              <w:t>2030</w:t>
            </w: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center"/>
              <w:ind w:right="4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$ 77,903.28</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895,440,000.00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$ 77,903.28</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260" w:hanging="168"/>
        <w:spacing w:after="0" w:line="231" w:lineRule="auto"/>
        <w:tabs>
          <w:tab w:leader="none" w:pos="200" w:val="left"/>
        </w:tabs>
        <w:numPr>
          <w:ilvl w:val="0"/>
          <w:numId w:val="52"/>
        </w:numPr>
        <w:rPr>
          <w:rFonts w:ascii="Arial" w:cs="Arial" w:eastAsia="Arial" w:hAnsi="Arial"/>
          <w:sz w:val="20"/>
          <w:szCs w:val="20"/>
          <w:color w:val="auto"/>
          <w:vertAlign w:val="superscript"/>
        </w:rPr>
      </w:pPr>
      <w:r>
        <w:rPr>
          <w:rFonts w:ascii="Arial" w:cs="Arial" w:eastAsia="Arial" w:hAnsi="Arial"/>
          <w:sz w:val="16"/>
          <w:szCs w:val="16"/>
          <w:color w:val="auto"/>
        </w:rPr>
        <w:t>The filing fee is calculated in accordance with Rule 457(r) under the Securities Act of 1933, as amended, based on a Euro-to-U.S. dollar exchange rate of EUR1 to 1.1193 as of October 23, 2026, as published by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1520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gridSpan w:val="5"/>
            <w:vMerge w:val="continue"/>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Narrative Disclosure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maximum aggregate offering price of the securities to which the prospectus relates is $895,440,000.00. The prospectus is a final prospectus for the</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Roman"/>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1)"/>
      <w:numFmt w:val="decimal"/>
      <w:start w:val="1"/>
    </w:lvl>
    <w:lvl w:ilvl="1">
      <w:lvlJc w:val="left"/>
      <w:lvlText w:val="(%2)"/>
      <w:numFmt w:val="lowerLetter"/>
      <w:start w:val="1"/>
    </w:lvl>
  </w:abstractNum>
  <w:abstractNum w:abstractNumId="13">
    <w:nsid w:val="4516DDE9"/>
    <w:multiLevelType w:val="hybridMultilevel"/>
    <w:lvl w:ilvl="0">
      <w:lvlJc w:val="left"/>
      <w:lvlText w:val="(%1)"/>
      <w:numFmt w:val="decimal"/>
      <w:start w:val="9"/>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62"/>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lowerRoman"/>
      <w:start w:val="2"/>
    </w:lvl>
  </w:abstractNum>
  <w:abstractNum w:abstractNumId="19">
    <w:nsid w:val="5072367"/>
    <w:multiLevelType w:val="hybridMultilevel"/>
    <w:lvl w:ilvl="0">
      <w:lvlJc w:val="left"/>
      <w:lvlText w:val="(%1)"/>
      <w:numFmt w:val="lowerRoman"/>
      <w:start w:val="3"/>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Roman"/>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Roman"/>
      <w:start w:val="3"/>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lowerLetter"/>
      <w:start w:val="3"/>
    </w:lvl>
    <w:lvl w:ilvl="1">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jpe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jpe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8" Type="http://schemas.openxmlformats.org/officeDocument/2006/relationships/hyperlink" Target="http://www.sec.gov/ix?doc=/Archives/edgar/data/29905/000002990526000009/dov-20251231.htm" TargetMode="External"/><Relationship Id="rId19" Type="http://schemas.openxmlformats.org/officeDocument/2006/relationships/hyperlink" Target="http://www.sec.gov/ix?doc=/Archives/edgar/data/29905/000119312526120708/d935769ddef14a.htm" TargetMode="External"/><Relationship Id="rId20" Type="http://schemas.openxmlformats.org/officeDocument/2006/relationships/hyperlink" Target="http://www.sec.gov/ix?doc=/Archives/edgar/data/29905/000002990526000015/dov-20260331.htm" TargetMode="External"/><Relationship Id="rId21" Type="http://schemas.openxmlformats.org/officeDocument/2006/relationships/hyperlink" Target="http://www.sec.gov/ix?doc=/Archives/edgar/data/29905/000002990526000027/dov-20260630.htm" TargetMode="External"/><Relationship Id="rId22" Type="http://schemas.openxmlformats.org/officeDocument/2006/relationships/hyperlink" Target="http://www.sec.gov/Archives/edgar/data/29905/000002990526000033/dov-20260930.htm" TargetMode="External"/><Relationship Id="rId23" Type="http://schemas.openxmlformats.org/officeDocument/2006/relationships/hyperlink" Target="http://www.sec.gov/ix?doc=/Archives/edgar/data/29905/000119312526147940/d111508d8k.htm" TargetMode="External"/><Relationship Id="rId24" Type="http://schemas.openxmlformats.org/officeDocument/2006/relationships/hyperlink" Target="http://www.sec.gov/ix?doc=/Archives/edgar/data/29905/000119312526219689/d150207d8k.htm" TargetMode="External"/><Relationship Id="rId80" Type="http://schemas.openxmlformats.org/officeDocument/2006/relationships/hyperlink" Target="http://www.sec.gov/ix?doc=/Archives/edgar/data/29905/000002990525000006/dov-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2026-10-28T13:41:55Z</dcterms:created>
  <dcterms:modified xsi:type="dcterms:W3CDTF">2026-10-28T13:41:55Z</dcterms:modified>
</cp:coreProperties>
</file>