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ANNUAL REPORT PURSUANT TO SECTION 13 OR 15(d)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fiscal year ended December 31, 2025</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1-4018</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Dover Corporation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110" w:right="339" w:bottom="0" w:gutter="0" w:footer="0" w:header="0"/>
        </w:sectPr>
      </w:pPr>
    </w:p>
    <w:p>
      <w:pPr>
        <w:spacing w:after="0" w:line="2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53-0257888</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13" w:lineRule="exact"/>
        <w:rPr>
          <w:sz w:val="24"/>
          <w:szCs w:val="24"/>
          <w:color w:val="auto"/>
        </w:rPr>
      </w:pPr>
    </w:p>
    <w:p>
      <w:pPr>
        <w:sectPr>
          <w:pgSz w:w="11900" w:h="16838" w:orient="portrait"/>
          <w:cols w:equalWidth="0" w:num="2">
            <w:col w:w="6440" w:space="720"/>
            <w:col w:w="4080"/>
          </w:cols>
          <w:pgMar w:left="320" w:top="1110"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2"/>
          <w:szCs w:val="22"/>
          <w:b w:val="1"/>
          <w:bCs w:val="1"/>
          <w:color w:val="auto"/>
        </w:rPr>
        <w:t>3005 Highland Parkway</w:t>
      </w:r>
    </w:p>
    <w:p>
      <w:pPr>
        <w:spacing w:after="0" w:line="3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Downers Grove, Illinois 60515</w:t>
      </w:r>
    </w:p>
    <w:p>
      <w:pPr>
        <w:spacing w:after="0" w:line="1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00" w:type="dxa"/>
            <w:vAlign w:val="bottom"/>
            <w:gridSpan w:val="4"/>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w:t>
            </w:r>
            <w:r>
              <w:rPr>
                <w:rFonts w:ascii="Times New Roman" w:cs="Times New Roman" w:eastAsia="Times New Roman" w:hAnsi="Times New Roman"/>
                <w:sz w:val="18"/>
                <w:szCs w:val="18"/>
                <w:color w:val="auto"/>
                <w:w w:val="99"/>
              </w:rPr>
              <w:t>: (630) 541-1540</w:t>
            </w:r>
          </w:p>
        </w:tc>
        <w:tc>
          <w:tcPr>
            <w:tcW w:w="1400" w:type="dxa"/>
            <w:vAlign w:val="bottom"/>
          </w:tcPr>
          <w:p>
            <w:pPr>
              <w:spacing w:after="0"/>
              <w:rPr>
                <w:sz w:val="20"/>
                <w:szCs w:val="20"/>
                <w:color w:val="auto"/>
              </w:rPr>
            </w:pPr>
          </w:p>
        </w:tc>
      </w:tr>
      <w:tr>
        <w:trPr>
          <w:trHeight w:val="391"/>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0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40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r>
      <w:tr>
        <w:trPr>
          <w:trHeight w:val="245"/>
        </w:trPr>
        <w:tc>
          <w:tcPr>
            <w:tcW w:w="3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 par value $1</w:t>
            </w:r>
          </w:p>
        </w:tc>
        <w:tc>
          <w:tcPr>
            <w:tcW w:w="1300" w:type="dxa"/>
            <w:vAlign w:val="bottom"/>
          </w:tcPr>
          <w:p>
            <w:pPr>
              <w:spacing w:after="0"/>
              <w:rPr>
                <w:sz w:val="21"/>
                <w:szCs w:val="21"/>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7"/>
              </w:rPr>
              <w:t>DOV</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1.250% Notes due 2026</w:t>
            </w:r>
          </w:p>
        </w:tc>
        <w:tc>
          <w:tcPr>
            <w:tcW w:w="1300" w:type="dxa"/>
            <w:vAlign w:val="bottom"/>
          </w:tcPr>
          <w:p>
            <w:pPr>
              <w:spacing w:after="0"/>
              <w:rPr>
                <w:sz w:val="19"/>
                <w:szCs w:val="19"/>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DOV 26</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0.750% Notes due 2027</w:t>
            </w:r>
          </w:p>
        </w:tc>
        <w:tc>
          <w:tcPr>
            <w:tcW w:w="1300" w:type="dxa"/>
            <w:vAlign w:val="bottom"/>
          </w:tcPr>
          <w:p>
            <w:pPr>
              <w:spacing w:after="0"/>
              <w:rPr>
                <w:sz w:val="19"/>
                <w:szCs w:val="19"/>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DOV 27</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3.500% Notes due 2033</w:t>
            </w:r>
          </w:p>
        </w:tc>
        <w:tc>
          <w:tcPr>
            <w:tcW w:w="1300" w:type="dxa"/>
            <w:vAlign w:val="bottom"/>
          </w:tcPr>
          <w:p>
            <w:pPr>
              <w:spacing w:after="0"/>
              <w:rPr>
                <w:sz w:val="20"/>
                <w:szCs w:val="20"/>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DOV 33</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0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400" w:type="dxa"/>
            <w:vAlign w:val="bottom"/>
          </w:tcPr>
          <w:p>
            <w:pPr>
              <w:spacing w:after="0"/>
              <w:rPr>
                <w:sz w:val="24"/>
                <w:szCs w:val="24"/>
                <w:color w:val="auto"/>
              </w:rPr>
            </w:pP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68"/>
        </w:trPr>
        <w:tc>
          <w:tcPr>
            <w:tcW w:w="920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o</w:t>
            </w:r>
          </w:p>
        </w:tc>
      </w:tr>
      <w:tr>
        <w:trPr>
          <w:trHeight w:val="43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p>
        </w:tc>
        <w:tc>
          <w:tcPr>
            <w:tcW w:w="140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ind w:right="280" w:firstLine="4"/>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110" w:right="339" w:bottom="0" w:gutter="0" w:footer="0" w:header="0"/>
          <w:type w:val="continuous"/>
        </w:sectPr>
      </w:pPr>
    </w:p>
    <w:p>
      <w:pPr>
        <w:spacing w:after="0" w:line="43"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both"/>
        <w:ind w:hanging="1"/>
        <w:spacing w:after="0" w:line="329" w:lineRule="auto"/>
        <w:rPr>
          <w:sz w:val="20"/>
          <w:szCs w:val="20"/>
          <w:color w:val="auto"/>
        </w:rPr>
      </w:pPr>
      <w:r>
        <w:rPr>
          <w:rFonts w:ascii="Times New Roman" w:cs="Times New Roman" w:eastAsia="Times New Roman" w:hAnsi="Times New Roman"/>
          <w:sz w:val="17"/>
          <w:szCs w:val="17"/>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33" w:lineRule="exact"/>
        <w:rPr>
          <w:sz w:val="24"/>
          <w:szCs w:val="24"/>
          <w:color w:val="auto"/>
        </w:rPr>
      </w:pPr>
    </w:p>
    <w:p>
      <w:pPr>
        <w:sectPr>
          <w:pgSz w:w="11900" w:h="16838" w:orient="portrait"/>
          <w:cols w:equalWidth="0" w:num="6">
            <w:col w:w="1820" w:space="220"/>
            <w:col w:w="200" w:space="720"/>
            <w:col w:w="1740" w:space="720"/>
            <w:col w:w="2120" w:space="720"/>
            <w:col w:w="1960" w:space="680"/>
            <w:col w:w="340"/>
          </w:cols>
          <w:pgMar w:left="320" w:top="1110" w:right="339" w:bottom="0" w:gutter="0" w:footer="0" w:header="0"/>
          <w:type w:val="continuous"/>
        </w:sectPr>
      </w:pPr>
    </w:p>
    <w:p>
      <w:pPr>
        <w:spacing w:after="0" w:line="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w:t>
      </w:r>
    </w:p>
    <w:p>
      <w:pPr>
        <w:sectPr>
          <w:pgSz w:w="11900" w:h="16838" w:orient="portrait"/>
          <w:cols w:equalWidth="0" w:num="1">
            <w:col w:w="11240"/>
          </w:cols>
          <w:pgMar w:left="320" w:top="111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45" w:lineRule="exact"/>
        <w:rPr>
          <w:sz w:val="20"/>
          <w:szCs w:val="20"/>
          <w:color w:val="auto"/>
        </w:rPr>
      </w:pPr>
    </w:p>
    <w:p>
      <w:pPr>
        <w:spacing w:after="0" w:line="242" w:lineRule="exact"/>
        <w:tabs>
          <w:tab w:leader="none" w:pos="89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the close of business on June 30, 2025 was $25,034,983,332. The registrant's closing price as reported on the New York Stock Exchange-Composite Transactions for June 30, 2025 (the last trading day in June) was $183.23 per share. The number of outstanding shares of the registrant's common stock as of February 2, 2026 was 134,866,626.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Part III — Certain Portions of the Proxy Statement for Annual Meeting of Shareholders to be held on May 8, 2026 (the "2026 Proxy Statement").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Item 1A, "Risk Factors" in this Annual Report on Form 10-K.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2"/>
              </w:rPr>
              <w:t>1A.</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6"/>
              </w:rPr>
              <w:t>1B.</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6"/>
              </w:rPr>
              <w:t>1C.</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425"/>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2"/>
              </w:rPr>
              <w:t>7A.</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102</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2"/>
              </w:rPr>
              <w:t>9A.</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102</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6"/>
              </w:rPr>
              <w:t>9B.</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86"/>
              </w:rPr>
              <w:t>9C.</w:t>
            </w: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05"/>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104</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104</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105</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106</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4120" w:type="dxa"/>
            <w:vAlign w:val="bottom"/>
            <w:tcBorders>
              <w:right w:val="single" w:sz="8" w:color="0000FF"/>
            </w:tcBorders>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14</w:t>
            </w:r>
            <w:r>
              <w:rPr>
                <w:rFonts w:ascii="Times New Roman" w:cs="Times New Roman" w:eastAsia="Times New Roman" w:hAnsi="Times New Roman"/>
                <w:sz w:val="15"/>
                <w:szCs w:val="15"/>
                <w:u w:val="single" w:color="auto"/>
                <w:color w:val="000000"/>
                <w:w w:val="74"/>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106</w:t>
            </w:r>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05"/>
        </w:trPr>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7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107</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360" w:type="dxa"/>
            <w:vAlign w:val="bottom"/>
            <w:tcBorders>
              <w:right w:val="single" w:sz="8" w:color="0000FF"/>
            </w:tcBorders>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74"/>
              </w:rPr>
              <w:t>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110</w:t>
            </w:r>
          </w:p>
        </w:tc>
      </w:tr>
      <w:tr>
        <w:trPr>
          <w:trHeight w:val="20"/>
        </w:trPr>
        <w:tc>
          <w:tcPr>
            <w:tcW w:w="320" w:type="dxa"/>
            <w:vAlign w:val="bottom"/>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111</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approximately 24,000 people worldwide.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Dover's five segments are structured around businesses with similar business models, go-to-market strategies, product categories, and manufacturing practices. This structure increases management efficiency and better aligns Dover's operations with its strategic initiatives and capital allocation priorities, and provides greater transparency about performance to external stakeholders. Dover's five operating and reportable segments are as follows:</w:t>
      </w:r>
    </w:p>
    <w:p>
      <w:pPr>
        <w:spacing w:after="0" w:line="203"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precision soldering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8, 2024, the Company completed the sale of the Environmental Solutions Group ("ESG") business, an operating company within the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for total consideration, net of cash transferred, of $2.0 billion. As the disposal represented a strategic shift with a major effect on the Company's operations and financial results, the Company has classified ESG's results of operations prior to the sale as discontinued operations. The discussion throughout Item 1 of this Form 10-K, unless otherwise noted, relates solely to our continuing operations. For more details, see Note 4 — Discontinued and Disposed Operations in the consolidated financial statements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Philosophy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committed to delivering shareholder value creation through a combination of sustained profitable growth, operational excellence, superior free cash flow generation and productive capital re-deployment while adhering to a conservative financial policy. Dover seeks to be a leader in a diverse set of growing markets where customers are loyal to trusted partners and suppliers, and value product performance and differentiation driven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structure of five business segments allows for a differentiated acquisition focus consistent with our portfolio and capital allocation priorities. We believe our business segment structure, coupled with value-creating functional expertise at our lean corporate center, presents opportunities to identify and capture operating synergies, such as global sourcing and supply chain integration, centralized shared services, cross-pollination of manufacturing best practices, and further advances the development of our executive talent. Our executive management team sets strategic direction, initiatives and goals, develops effective incentive structures, provides oversight of strategy execution and achievement of these goals for our business segments, and with oversight from our Board of Directors, makes capital allocation decisions, including with respect to organic investment initiatives, major capital projects, acquisitions, divestitures, and the return of capital to our shareholders.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goal is to foster an operating culture with high ethical and performance standards that values accountability, rigor, trust, inclusion, respect and open communications, designed to allow individual growth and operational effectiveness. We are also increasing our focus on maintaining sustainable business practices that reduce environmental impact, and developing products that help our customers meet their sustainability goals.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Goals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driving superior shareholder returns through three key tenets of our corporate strategy.</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we are committed to achieving organic sales growth above that of gross domestic product (4% to 6% annually on average) over a long-term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cycle, absent prolonged adverse economic conditions, complemented by growth through strategic acquisitions.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we continue to focus on improving returns on capital, as well as earnings margin, by enhancing our operational capabilities and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across the organization in growth capacity expansion, digital capabilities, automation, operations management, information technology ("IT"), shared services (including Dover Business Services and our India Innovation Center), and talent. We also focus on continuous, effective cost management and productivity initiatives, such as supply chain optimization, automation and productivity capital expenditures, e-commerce and digital go-to-market, restructuring, product complexity reduction, improved footprint utilization, strategic pricing and portfolio management.</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we aim to enhance shareholder returns through the productive re-deployment of free cash flow. Dover prioritizes deploying free cash flow toward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high-return and high-confidence organic reinvestments aimed at growing, improving and strengthening our businesses, as well as through inorganic investments that synergistically improve the quality of our portfolio, which is enhanced by opportunistic divestitures allowing for concentration on growing our core platforms. Finally, we are committed to returning excess capital to shareholders through growing dividends and opportunistic share repurchases. Dover's value creation strategy is supported by a financial policy that includes a prudent approach to financial leverage, and a disciplined approach to capital allocation that allows for a balance between reinvestment and return of capital.</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achievement of these goals by (1) aligning management compensation with strategic and financial objectives, (2) actively managing our portfolio to increase enterprise scale, improving business mix over time to markets with secular growth characteristics, and pursuing acquisitions that fit the characteristics of an ideal Dover business and (3) investing in talent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Characteristics of a Dover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over 70 years, Dover has successfully and profitably operated a diversified portfolio of high-quality businesses serving a wide variety of industrial and business-to-business end markets with different business models. We believe this diversity is a strength of our portfolio, providing Dover with multiple avenues for organic and inorganic growth, lower cyclicality, and the ability to extract synergies of common ownership. While we expect our portfolio to remain diversified, we also strive to shape the portfolio over time to increase common attractive attributes across our businesses.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is adept at operating businesses within two core operating models:</w:t>
      </w:r>
    </w:p>
    <w:p>
      <w:pPr>
        <w:spacing w:after="0" w:line="248" w:lineRule="exact"/>
        <w:rPr>
          <w:sz w:val="20"/>
          <w:szCs w:val="20"/>
          <w:color w:val="auto"/>
        </w:rPr>
      </w:pPr>
    </w:p>
    <w:p>
      <w:pPr>
        <w:jc w:val="both"/>
        <w:ind w:left="660" w:hanging="328"/>
        <w:spacing w:after="0" w:line="256"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Component Businesses</w:t>
      </w:r>
      <w:r>
        <w:rPr>
          <w:rFonts w:ascii="Times New Roman" w:cs="Times New Roman" w:eastAsia="Times New Roman" w:hAnsi="Times New Roman"/>
          <w:sz w:val="18"/>
          <w:szCs w:val="18"/>
          <w:color w:val="auto"/>
        </w:rPr>
        <w:t>: Many of our businesses produce critical components that represent a small portion of a larger system by cost.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our industrial and biopharma pumps, biopharma connectors, engineered bearings and compression components, clean energy components, and heat exchangers are all part of larger systems built or employed by our customers. Such components typically serve demanding applications where value-in-use and costs and risks of switching far exceed the cost of the component itself.</w:t>
      </w:r>
    </w:p>
    <w:p>
      <w:pPr>
        <w:spacing w:after="0" w:line="3" w:lineRule="exact"/>
        <w:rPr>
          <w:rFonts w:ascii="Times New Roman" w:cs="Times New Roman" w:eastAsia="Times New Roman" w:hAnsi="Times New Roman"/>
          <w:sz w:val="18"/>
          <w:szCs w:val="18"/>
          <w:b w:val="1"/>
          <w:bCs w:val="1"/>
          <w:color w:val="auto"/>
        </w:rPr>
      </w:pP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Equipment with Aftermarket Opportunity</w:t>
      </w:r>
      <w:r>
        <w:rPr>
          <w:rFonts w:ascii="Times New Roman" w:cs="Times New Roman" w:eastAsia="Times New Roman" w:hAnsi="Times New Roman"/>
          <w:sz w:val="18"/>
          <w:szCs w:val="18"/>
          <w:color w:val="auto"/>
        </w:rPr>
        <w:t>: Many of our businesses produce complex and highly engineered equipment and systems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a significant and predictable volume of parts, consumables, software and services over their life cycle. For example, our marking and coding equipment, plastics and polymer processing equipment and aluminum can-making equipment all derive a significant share of revenue and profits from sale of consumables, parts and services into their large installed base. Recurring demand, which includes parts, consumables, services and software, represents approximately 40% of our total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 the following commonalities characterizing the majority of Dover businesses:</w:t>
      </w:r>
    </w:p>
    <w:p>
      <w:pPr>
        <w:spacing w:after="0" w:line="248" w:lineRule="exact"/>
        <w:rPr>
          <w:sz w:val="20"/>
          <w:szCs w:val="20"/>
          <w:color w:val="auto"/>
        </w:rPr>
      </w:pPr>
    </w:p>
    <w:p>
      <w:pPr>
        <w:jc w:val="both"/>
        <w:ind w:left="660" w:hanging="328"/>
        <w:spacing w:after="0" w:line="259"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Attractive Markets</w:t>
      </w:r>
      <w:r>
        <w:rPr>
          <w:rFonts w:ascii="Times New Roman" w:cs="Times New Roman" w:eastAsia="Times New Roman" w:hAnsi="Times New Roman"/>
          <w:sz w:val="18"/>
          <w:szCs w:val="18"/>
          <w:color w:val="auto"/>
        </w:rPr>
        <w:t>: Our businesses generally operate in strategically attractive niche industrial markets with proven and well-understood long-term growth trends, favorable customer and supplier landscapes, mature and incrementally improving technologies with opportunities for technological differentiation, and highly loyal customers, suppliers or channel partners.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Leading Positions</w:t>
      </w:r>
      <w:r>
        <w:rPr>
          <w:rFonts w:ascii="Times New Roman" w:cs="Times New Roman" w:eastAsia="Times New Roman" w:hAnsi="Times New Roman"/>
          <w:sz w:val="18"/>
          <w:szCs w:val="18"/>
          <w:color w:val="auto"/>
        </w:rPr>
        <w:t>: Our businesses are long-time leaders in their respective markets and have consistently enjoyed customer bases that choose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primarily based on their performance, track record, safety and compliance.</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Digital Opportunity</w:t>
      </w:r>
      <w:r>
        <w:rPr>
          <w:rFonts w:ascii="Times New Roman" w:cs="Times New Roman" w:eastAsia="Times New Roman" w:hAnsi="Times New Roman"/>
          <w:sz w:val="18"/>
          <w:szCs w:val="18"/>
          <w:color w:val="auto"/>
        </w:rPr>
        <w:t>: Our equipment and components are often complemented by value-added digital applications, including connected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sensors, digital controls and industry-specific software that create new sources of value for our customers.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Attractive Financial Profile</w:t>
      </w:r>
      <w:r>
        <w:rPr>
          <w:rFonts w:ascii="Times New Roman" w:cs="Times New Roman" w:eastAsia="Times New Roman" w:hAnsi="Times New Roman"/>
          <w:sz w:val="18"/>
          <w:szCs w:val="18"/>
          <w:color w:val="auto"/>
        </w:rPr>
        <w:t>: Our businesses exhibit attractive financial profiles, characterized by predictable, stable revenue, low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intensity, strong cash-flow and sustainable returns on invested capital well in excess of our cost of capital.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Dover seeks to create value for shareholders by combining the global scale and capabilities, as well as access to capital, of a diversified industrial enterprise with the agility and entrepreneurial dynamism of niche manufacturing businesses. We believe the centralized scale of the corporation provides a distinct competitive advantage to our individual operating businesses through (i) driving efficiency gains and economies of scale of shared global resources across the corporation, (ii) freeing management time and effort to focus on the most important aspects of their businesses, including servicing and addressing the critical needs of their customers, aligning their business to capitalize on key market trends and focusing on product excellence, and (iii) access to centralized talent and expertise that our individual operating businesses otherwise may not have on their own. To achieve our stated goals, we are focused on executing the following pillars of Dover's business strategy: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Capturing growth potential in our end-markets and adjacent market segments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Dover’s business segments are focused on building enduring competitive advantages and leadership positions in markets we believe are positioned for sustained future growth. We believe our businesses are among the top suppliers in most markets and niches we serve (as defined by customer applications, geographies or products), which positions us well to capture future growth. We capitalize on our engineering, intellectual property, technology and design expertise, and maintain an intense focus on meeting the needs of our customers and on adding significant, and often new, value to their operations through superior product performance, safety, reliability, and a commitment to aftermarket support. We cultivate and maintain 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entrepreneurial culture to enable business agility, and continuously innovate to address our customers' needs, to help them win in the markets they serve.</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particular, our businesses are well-positioned to capitalize on: growing industrial manufacturing and trade volumes; an increased global focus on digitization and automation in industrial processes; increasing requirements for sustainability, safety, energy efficiency and consumer product safety; and growth of the middle class and consumption in emerging economies.</w:t>
      </w:r>
    </w:p>
    <w:p>
      <w:pPr>
        <w:spacing w:after="0" w:line="1" w:lineRule="exact"/>
        <w:rPr>
          <w:sz w:val="20"/>
          <w:szCs w:val="20"/>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is capitalizing on global infrastructure investment, an increasing number of vehicles in operation, average car age and annual miles driven, increasing digitization and sensorization of modern vehicles, as well as growing defense spending related to signal intelligence and electronic warfare.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benefits from the worldwide growth in environmental safety and compliance regulations, new infrastructure build-out in emerging economies, transition to clean energy products such as liquefied natural gas and hydrogen, growth in demand for cryogenic gases and electric vehicle charging, consolidation in the convenience retail sector, increased digitization of convenience stores and fuel retailing, as well as secular growth in automated vehicle wash systems and solutions (over manual and do-it-yourself washing).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leverages its unique product offering containing equipment, consumables, software and services to address market needs and requirements, including increased regulation for supply chain transparency in fast moving consumer goods, adoption of more stringent food safety regulations in emerging economies, and growing demand for product traceability and brand protection.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is focused on capturing growth in its installed base, in biological drug production and the shift toward single-use manufacturing processes. The segment's offerings address the increased demand for liquid cooling requirements for certain electronics (including in data center infrastructure), and investment in midstream energy, power generation and grid infrastructure (including growing sophistication of fluid transfer and rotating machinery components, measurement, inspection, instrumentation, and digital controls). We also support virgin, recycled plastics, and polymers production and energy transition investments into wind power, hydrogen compression and carbon capture.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responding to our customers' demand for increased energy efficiency and sustainability in food retail merchandising solutions, including the growing adoption rates for centralized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refrigeration systems, as well as increasing demand for sustainable heating and cooling solutions, including in residential and commercial heat pumps and liquid cooling infrastructure for data centers, and in sustainability-driven growing global demand for aluminum beverage cans.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capture growth by making organic investments in capacity expansion, automation and productivity improvement, research and development, developing new products and technologies, improving digital capabilities and expanding our geographic coverage. We pursue a disciplined and strategic approach to acquisitions aiming to enhance the quality and attractiveness of our portfolio over time and position Dover for long-term growth. We evaluate acquisition opportunities across the portfolio where we see the greatest runway for value-creating inorganic capital deployment. We continually evaluate how our assets and capabilities can position us to grow in markets adjacent to our core businesses (for example, new applications, geographies, product segments or adjacent technologies) where we can be advantaged.</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product innovation, we aim to capture growth by developing digital technologies. Our Boston-based Dover Digital Labs serves as the company-wide hub for our digital initiative. We have an experienced team of software developers, data scientists, and product managers to enhance our digital capabilities that is driving value creation across our business through digital transformation in five areas: (i) enhancing the customer experience through more efficient and streamlined digital customer interfaces that make it easy to do business with Dover companies; (ii) developing and improving acquired and organically built connected and software-as-a-service ("SaaS") products that combine sensors, software, machine learning and artificial intelligence; (iii) driving increased efficiency, safety and quality in our manufacturing operations by employing cutting-edge automation through "connected factory" and "data quality" programs; (iv) identifying and addressing scale opportunities to deploy artificial intelligence to drive productivity across our business processes; and (v) ensuring security of digital products. Some of our software solutions in the areas of product traceability, anti-counterfeiting, retail fueling station monitoring, vehicle measurement systems, and visual commerce have been certified as compliant under AICPA System and Organization Controls 2 ("SOC 2") audits. We believe the Digital Labs’ contributions in these areas enable us to add significant value to our products and to capture commercial growth opportunities. By leveraging a central resource for Commercial Excellence, Industry 4.0, Industrial Internet of Things ("IIoT") and our software products, we are able to capture efficiencies in our digital transformation efforts, improve product security, and offer better efficiency in providing support and engineering for our software and connected products to keep our projects cost-competitive.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Improving profitability and return on invested capital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generating sustainable returns on invested capital well above the cost of capital across all of our businesses. We continually evaluate and pursue opportunities to improve efficiency, margin and return on capital, which we accomplish through continuous, effective management and productivity initiatives, automation and productivity capital expenditures, restructuring, product complexity reduction, improvement in our footprint utilization, strategic pricing, and ongoing portfolio management. Our businesses place a strong emphasis on continual product quality improvement and new product development to better serve customers and to facilitate expansion into new products and geographic markets.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steadily investing in the build-out of our center-led margin expansion initiatives, which are designed to scale our selling, general and administrative cost base and optimize our manufacturing and supply chain operations across the portfolio. Our center-led margin expansion initiatives are focused on four core enterprise capabilities: (1) leverage our Digital Labs team to enhance our internal and market-facing digital capabilities, (2) improve utilization and optimization of our manufacturing footprint through centralized resources and investment, (3) further centralize shared services under Dover Business Services, and (4) invest in our India Innovation Center shared services. The build-out of these functions is largely complete, delivering cost and process efficiencies to the Company and enabling scale benefits with future growth. These functions remain continuously focused on extracting productivity gains across the businesses and driving value creation.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Dover Digital</w:t>
      </w:r>
      <w:r>
        <w:rPr>
          <w:rFonts w:ascii="Times New Roman" w:cs="Times New Roman" w:eastAsia="Times New Roman" w:hAnsi="Times New Roman"/>
          <w:sz w:val="18"/>
          <w:szCs w:val="18"/>
          <w:color w:val="auto"/>
        </w:rPr>
        <w:t>. Our Dover Digital Labs consists of a team of software developers, AI engineers and scientists, automation engineers, product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engineers, and product managers who provide digital capabilities to enhance the customer experience, develop connected industrial products and artificial intelligence-based models. These capabilities are either embedded in monitoring-as-a-service or other service offerings provided to customers by our operating companies. Automation engineers drive automation and efficiency inside our factories through digital technologies and in our business processes. Product security engineers focus on improving the security posture of our operating companies' commercial offerings. Our Dover Digital Labs team has built common platforms for customer-facing applications to make it easier to discover, find, configure, buy and obtain products and services from Dover operating companies, thereby optimizing our sales and support staff resources, driving pricing discipline, enabling reduction of product complexity and improving management of working capital. Our digital team has also deployed shared IIoT capability such that many of Dover's products are remotely configurable and monitored, enabling our businesses to sell aftermarket parts and offer remote diagnostic services.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Dover Operational Excellence</w:t>
      </w:r>
      <w:r>
        <w:rPr>
          <w:rFonts w:ascii="Times New Roman" w:cs="Times New Roman" w:eastAsia="Times New Roman" w:hAnsi="Times New Roman"/>
          <w:sz w:val="18"/>
          <w:szCs w:val="18"/>
          <w:color w:val="auto"/>
        </w:rPr>
        <w:t>. Our corporate team is composed of functional experts in operational optimization, lean manufacturing, automation,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Health and Safety ("EHS") and complex project management. This team works closely with our businesses to drive excellence in our manufacturing and supply chain processes, standards and measurement tools to identify, prioritize and monitor execution of operational improvement initiatives. We continue to focus on initiatives to improve operational performance and the continuous improvement programs embedded in our businesses' day-to-day operations.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Dover Business Services</w:t>
      </w:r>
      <w:r>
        <w:rPr>
          <w:rFonts w:ascii="Times New Roman" w:cs="Times New Roman" w:eastAsia="Times New Roman" w:hAnsi="Times New Roman"/>
          <w:sz w:val="18"/>
          <w:szCs w:val="18"/>
          <w:color w:val="auto"/>
        </w:rPr>
        <w:t>. Dover Business Services has a team of approximately 650 professionals, providing important transactional and value-added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shared services to our businesses. Our shared service model allows us to leverage scale across Dover, increase process efficiencies through technology and specialization, and reduce risk through centralized controls. Our shared service centers create value by freeing resources within our businesses that would otherwise be dedicated to transactional services and allowing them to focus on customers, markets and product excellence. We expect to continue driving efficiencies at Dover Business Services through process standardization and automation.</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India Innovation Center</w:t>
      </w:r>
      <w:r>
        <w:rPr>
          <w:rFonts w:ascii="Times New Roman" w:cs="Times New Roman" w:eastAsia="Times New Roman" w:hAnsi="Times New Roman"/>
          <w:sz w:val="18"/>
          <w:szCs w:val="18"/>
          <w:color w:val="auto"/>
        </w:rPr>
        <w:t>. Our India Innovation Center has a team of approximately 750 engineers and IT professionals that our businesses rely 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for product engineering, digital solutions development, data and information management, research and development and intellectual property services. The scale of this team allows our businesses to access resources with capabilities and expertise across many disciplines that would be more costly to them as stand-alone companies, and allows for concurrent engineering on time sensitive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Disciplined capital allocation and continuous portfolio enhancement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the most efficient allocation of capital to maximize returns on investment. To do this, we utilize organic reinvestment to grow and strengthen our existing businesses. We plan to make average annual investments in capital spending of approximately 2% of revenue with a focus on internal projects designed to expand our market participation and manufacturing capacity, drive further adoption of e-commerce and digital capabilities, and improve productivity. In addition, we seek to deploy capital for acquisitions in attractive growth areas across our portfolio. Dover focuses primarily on bolt-on acquisitions, applying strict selection criteria of market attractiveness (including growth, market landscape, and performance-based competition), business fit (including sustained leading position, revenue visibility, and favorable customer value-add versus switching cost or risk) and financial return profile (including accretive growth and margins and double-digit return on invested capital). We opportunistically divest businesses where we see limited runway for future value creation relative to our aspirations, or where market and business fundamentals change and no longer suit our criteria of business attractiveness and portfolio fit. Finally, we have consistently returned cash to shareholders by paying dividends, which have increased annually over each of the last 70 years. We undertake opportunistic share repurchases as part of our capital allocation strategy. We employ a prudent financial policy to support our capital allocation strategy, which includes maintaining an investment grade credit rating.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acquisition strategy aims to enhance our existing portfolio through value creating acquisitions within our priority growth platforms, with a focus on increasing our exposure to high organic growth and margin accretive businesses with significant synergy potential. We seek to acquire complementary add-on businesses with a strong fit with our existing platforms, increasing their reach and customer access, broadening their product mix, providing exposure to attractive end market adjacencies, or enhancing technological capabilities and customer value-add. With all our acquisitions, we seek businesses that are leaders in their respective markets or niches, have a strong track record for innovation, offer differentiated solutions, and have attractive and sustainable returns with significant synergy potential. We aim to generate double-digit return on capital within three or four years after an acquisition is completed.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past three years (2023 through 2025), we have spent approximately $1.9 billion, net of cash acquired and including contingent consideration, to purchase fourteen businesses. For more details, see Note 3 — Acquisitions in the consolidated financial statements in Item 8 of this Form 10-K.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in large part on finding and acquiring successful businesses that expand the scope of our offerings and make us an even more important supplier to our customers. While we expect to generate organic sales growth above that of gross domestic product (4% to 6% annually on average) over a long-term business cycle, absent prolonged adverse economic conditions, our success in consistently growing the portfolio is also dependent on the ability to acquire and integrate businesses within our existing structure. To track post-merger integration and accountability, we utilize an internal scorecard and well-defined processes to help ensure expected synergies are realized and value is created.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have sold or divested some of our businesses based on changes in specific market outlook, structural changes in financial performance, value-creation potential, or for other strategic considerations, which include an effort to reduce our exposure to cyclical and capital intensive markets and, therefore, focus on our higher margin and higher growth spaces.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Going forward, we recognize that some businesses in Dover's portfolio may have a greater value-creation potential if owned by another parent with a larger presence and focus on a given niche. We pragmatically consider such opportunities as part of our ongoing portfolio management and review processes, and execute divestitures if the value created by the divestiture is determined to be at an appropriate premium to the value of such business to Dover and the divestitures allow Dover shareholders to participate in the future value-creation potential from a change in ownership, including through the redeployment of divestiture proceeds into attractive add-on businesses in higher priority end-markets or through opportunistic return of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$675.9 million. The sale did not meet the criteria to be classified as a discontinued operation, as it did not represent a strategic shift that would have a major effect on operations and financial results.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for total consideration, net of cash transferred, of $2.0 billion. As the disposal represented a strategic shift with a major effect on the Company's operations and financial results, the sale met the criteria to be classified as a discontinued operation. For more details, see Note 4 — Discontinued and Disposed Operations in the consolidated financial statements in Item 8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previously, Dover's five segments are structured around businesses with similar business models, go-to-market strategies and manufacturing practices and product categories which increases management efficiency and better aligns Dover's operations with its strategic initiatives and capital allocation priorities, and provides greater transparency about performance to external stakeholders. Dover's five operating and reportable segments are as follows: Engineered Products, Clean Energy &amp; Fueling, Imaging &amp; Identification, Pumps &amp; Process Solutions and Climate &amp; Sustainability Technologies. For financial information about our segments and geographic areas, see Note 19 — Segment Information in the consolidated financial statements in Item 8 of this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Products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that have broad customer applications across a number of markets, including: aftermarket vehicle service, aerospace and defense, industrial winch and hoist, precision soldering, and fluid dispensing. Our vehicle service business provides equipment, software solutions and services used primarily in vehicle repair and maintenance, including light and heavy-duty vehicle lifts, wheel service equipment, vehicle diagnostics and vehicle collision repair solutions. Our industrial winch and hoist business provides a range of winches, hoists, bearings, drives, and electric monitoring systems for infrastructure and other industrial markets. Our aerospace and defense business supplies radio frequency and microwave filters and switches, as well as signals intelligence and other integrated solutions, to enable secure communications in aerospace and defense applications. The segment also includes bench top soldering and fluid dispensing solutions in electronics and industrial product assembly markets.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segment's products are manufactured primarily in North America, Europe and Asia and are sold throughout the world directly and through a network of distributors.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Clean Energy &amp; Fueling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storage, transport, dispensing, and remote monitoring of clean and traditional fuels, cryogenic gases and other hazardous substances, as well as safe and efficient operation of convenience retail, retail fueling and vehicle wash establishments across the globe. Among solutions supplied by the segment are dispensing equipment and components for gasoline, compressed natural gas (CNG), liquefied natural gas (LNG) and hydrogen (H2) fueling sites, electric vehicle charging stations, payment systems, hardware and underground containment systems, vehicle wash systems, as well as asset tracking, monitoring and operational optimization software.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Clean Energy &amp; Fueling segment's products are manufactured primarily in North America, Europe, Asia, and South America and are sold throughout the world directly and through a network of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Imaging &amp; Identification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in our Imaging &amp; Identification segment are global suppliers of precision marking and coding, product traceability, brand protection, and digital textile printing equipment and solutions, as well as related consumables, software and services. Our marking and coding businesses primarily design and manufacture equipment and consumables used for printing variable information (such as bar codes, dates, and serial numbers) on fast-moving consumer goods, provide serialization solutions for pharmaceutical customers, and develop supply chain traceability solutions capitalizing on expanding food and product safety, supply chain traceability and brand protection requirements.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businesses serving the digital printing market develop, manufacture and sell equipment, software, consumables and service solutions used in textile, apparel, soft signage and specialty materials markets. Businesses within this segment leverage digital printing capabilities and operate business models that involve initial equipment and software sales followed by consumable, software, and service aftermarket revenue streams.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Imaging &amp; Identification segment's products are manufactured primarily in North America, Europe and Asia and are sold throughout the world directly and through a network of distributors.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Pumps &amp; Process Solutions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businesses in our Pumps &amp; Process Solutions segment manufacture specialty pumps and flow meters, single-use pumps, fluid transfer connectors, plastics and polymers processing equipment, measurement, inspection, and control technologies, highly-engineered precision components, and specialized instrumentation and digital controls for rotating and reciprocating machinery. The segment's products are used in a wide variety of markets, including biopharma, thermal management (including liquid cooling of server racks and chips in data centers), plastics and polymers processing, wire and cable manufacturing, chemicals production, food/sanitary, medical, transportation, petroleum refining, natural gas compression, power generation and general industrial applications. The products in this segment are generally used in demanding and specialized operating environments with high performance requirements. Businesses within this segment share the following commonalities: their products are predominantly components or parts of larger equipment and production systems with our products often specified by end customers or regulations, they participate in markets with a diverse and fragmented customer base and where there is a significant demand for aftermarket equipment and parts from a large installed base, and the route-to-market is a mix of distribution and direct sales.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Pumps &amp; Process Solutions segment's products are manufactured primarily in North America, Europe, and Asia and are sold throughout the world directly and through a network of distributors and original equipment manufacturers.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&amp; Sustainability Technologies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systems and solutions that serve the commercial refrigeration, heating and cooling, and aluminum can-making equipment end-markets. Our refrigeration business manufactures refrigeration systems (including environmentally friendly systems like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refrigeration display cases and commercial glass refrigerator and freezer doors for food retail and industrial applications. Our heat exchanger business manufactures energy-efficient brazed plate heat exchangers used for residential climate control applications, including heat pumps, as well as industrial heating and cooling applications, including an increasing opportunity in data center cooling applications. The other business in this segment designs and manufactures machinery and associated spare parts used for aluminum can-making, along with providing turnkey can line solutions. The majority of the products that are manufactured or serviced by the Climate &amp; Sustainability Technologies segment are used by the retail food industry, including supermarkets, "big-box" retail and convenience stores, the commercial/industrial refrigeration and HVAC industry, food production markets and beverage can-making industries.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Climate &amp; Sustainability Technologies segment's products are manufactured primarily in North America, Europe and Asia and are sold globally, directly and through a network of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wide variety of raw materials, primarily metals and semi-processed or finished components, which are generally available from a number of sources. As a result, the loss of any single supplier has not had, and is not likely to have, a material impact on operating profits at the consolidated level.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 fluctuations. We attempt to control such costs through index-based contracts with suppliers and customers and various other programs, such as our global supply chain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invest to develop innovative new products, as well as to upgrade and improve existing products, to satisfy customer needs, including demand for energy-efficient products designed to help customers meet sustainability goals, expand revenue opportunities geographically, maintain or extend competitive advantages, improve product reliability and reduce production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Imaging &amp; Identification segment expends significant effort in research and development because the rate of product development by their customers is often quite high. Our businesses that develop product identification, printing equipment and software solutions believe their customers expect a continuing rate of product innovation, performance improvement and reduction in total cost of ownership. The result has been downward pricing trends that can only be mitigated with the continuous introduction of innovative product solutions in a market where product life cycles generally average less than seven years.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Clean Energy &amp; Fueling segment invests in research and development to advance innovative traditional and alternative fuel dispensing equipment and components, payment platforms, fuel site asset management and connectivity solutions, IIoT-enabled cloud-based connected solutions for retail and commercial fleet fueling settings, components for high-criticality cryogenic gas storage and transportation applications, including hydrogen and liquefied natural gas. These technology investments align with our customers' needs and our commitment to delivering to our customers opportunities for operational cost reductions, increased sales, and an enhanced customer experience for their customers through a combination of intelligent fueling and retail solutions.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Pumps &amp; Process Solutions segment invests in research and development for new product introduction and custom solutions to drive volume and share in both existing markets and newer/faster growth markets – such as single-use biopharmaceutical manufacturing and liquid cooling of high performance electronics. These investments will allow us to take advantage of existing growth trends such as in cell and gene therapy applications, and data center cooling applications supporting investments in artificial intelligence.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businesses are also involved in important product improvement initiatives. These businesses concentrate on working closely with customers on specific applications, expanding product lines and market applications and continuously improving manufacturing processes. Some of these businesses experience a much more rapid rate of change requiring higher product development capability and new product introduction.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our businesses invest in research and development to pursue digital strategies based on customer needs and leverage the capabilities of Dover Digital Labs to deliver on those digital strategies. For example, Systech, part of the Imaging &amp; Identification segment, and a market leader in serialization, traceability, and brand-protection solutions, launched the artAI solution in collaboration with Dover Digital which provided AI expertise. artAI is a cloud-based, AI-powered authentication tool that detects counterfeiting and supply-chain diversion. Using machine vision and machine learning, artAI creates a digital blueprint of packaging artwork for precise product identification, and its forensic analytics assist manufacturers in identifying trends and strengthen product security and brand-protection programs.</w:t>
      </w:r>
    </w:p>
    <w:p>
      <w:pPr>
        <w:spacing w:after="0" w:line="174"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Another example is with Dover Food Retail, an operating company within our Climate &amp; Sustainability Technologies segment, a market leader in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refrigeration solutions. During the year, Dover Food Retail introduced a cloud-based software to digitize the full life cycle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refrigeration solutions from deployment to diagnostics, warranty management and maintenance, supported by production data, to shorten startup cycles, reduce errors such as incorrect high pressure control set points, and improve consistency during deployment.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Our employees are our most valuable asset and are critical to our ability to deliver on our strategic plans. Our success in delivering high quality and innovative products and solutions for our customers and driving operational excellence is only achievable through the talent, expertise, and dedication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team. We had approximately 24,000 employees worldwide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Attraction, Development, and Retention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that attracting, developing and retaining skilled talent and promoting a work environment that is professional and inclusive are essential to maintaining our leadership positions in the markets we serve. While our operating companies are the hubs of these activities — an effective model that puts ownership in the businesses and cultures that are the source of opportunities for employees — we are increasingly leveraging the corporate center to drive talent recruitment and development and consistent human capital management practices across our businesses. This center-led focus is enabling us to make development opportunities available across our enterprise which we believe promotes employee advancement, engagement and retention. We offer employees resources to continuously improve their skills and performance with the goal of further cultivating entrepreneurial talent with a range of perspectives, backgrounds, skills, and experiences inside our global businesses to fill key positions. We seek people who are proactive and dedicated, demonstrate an ownership mindset and share our commitment to the pursuit of operational excellence. We continue to make significant investments in talent development and recognize that the growth and development of our employees is essential for our continued success.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Environment and Inclusion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we are committed to maintaining a work environment that is professional, inclusive, and free from discrimination and harassment. That includes ensuring equal opportunity in our hiring practices and in our treatment of employees regardless of their race, color, religion, disability, national origin, gender, sexual orientation, gender identity and expression, marital status, family responsibility, age, or other characteristic protected by law. Our Code of Conduct lays out guidelines to maintain a fair and safe workplace.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build teams that fully leverage individuals’ capabilities and the breadth of skills, perspectives and experiences represented in our workforce. We believe this motivates our employees to be engaged and productive, enables us to attract new talent, helps us effectively serve our customers, and advances innovation from ideas contributed as a result of the variety of backgrounds, experiences, and perspectives of our employees. To that end, we partner with human resources and leadership teams across our portfolio of companies on talent outreach action plans to identify and recruit qualified candidates with a variety of backgrounds, skills, and experiences. We aim to cultivate an inclusive culture that enables employees to feel connected to our business objectives and valued for their contributions.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achieving our vision of a zero-harm workplace and continue to prioritize health and safety compliance, risk mitigation, and process improvement across the organization. Through the combined efforts of our operating companies, we have reduced our total recordable injury rate by more than 40%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Investments Related to Strategic Priorities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our strategic priorities, we have additionally invested in the following aspects of human capital resource management, among other areas:</w:t>
      </w:r>
    </w:p>
    <w:p>
      <w:pPr>
        <w:spacing w:after="0" w:line="252"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Digital Labs – We are continuing to leverage our Digital Labs team to improve our digital capabilities. Our team of software developers, data scientists, manufacturing engineers, and product managers drive digital transformation across our businesses by enhancing customer experience, developing connected industrial products, enabling digital manufacturing and securing our digital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management – Our operations teams, including our management team at the corporate center, focuses on improving operational efficiency, such as implementing production automation.</w:t>
      </w: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services – We are continuing to further centralize shared services under Dover Business Services and our India Innovation Center. Our shared services capabilities include a wide range of functional areas including transactional support, human resources, IT, finance and accounting, engineering and product development. These services enable increased productivity and growth as well as free up resources within our operating companies to focus on customers, markets and product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Intangible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own many patents, trademarks, licenses and other forms of intellectual property, which have been created, registered or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one of these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serve thousands of customers, none of which accounted for more than 10% of our consolidated revenue in 2025. Given our diversity of served markets, customer concentrations are not significant. Businesses supplying the defense, commercial refrigeration and can-making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 aforementioned seasonality patterns. Our food retail refrigeration business tends to face higher levels of demand in the second and third quarters as retailers avoid construction and remodeling activity during fall/winter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81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Key Competitors</w:t>
            </w:r>
          </w:p>
        </w:tc>
      </w:tr>
      <w:tr>
        <w:trPr>
          <w:trHeight w:val="25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Snap-On Inc. (Challenger Lifts, Car-O-Liner), The COATS Company, Arrowhead Winch, Teledyne, Nordson</w:t>
            </w:r>
          </w:p>
        </w:tc>
      </w:tr>
      <w:tr>
        <w:trPr>
          <w:trHeight w:val="234"/>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Corporation</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Vontier (Gilbarco Veeder-Root, DRB), Tatsuno, Franklin Electric, Verifone, Elaflex, PDI Technologies, Inc.,</w:t>
            </w:r>
          </w:p>
        </w:tc>
      </w:tr>
      <w:tr>
        <w:trPr>
          <w:trHeight w:val="216"/>
        </w:trPr>
        <w:tc>
          <w:tcPr>
            <w:tcW w:w="3060" w:type="dxa"/>
            <w:vAlign w:val="bottom"/>
          </w:tcPr>
          <w:p>
            <w:pPr>
              <w:spacing w:after="0"/>
              <w:rPr>
                <w:sz w:val="18"/>
                <w:szCs w:val="18"/>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Ingersoll Rand (Emco Wheaton), Dixon Valve &amp; Coupling Company, Crane Company (Cryoflo), Sonny's</w:t>
            </w:r>
          </w:p>
        </w:tc>
      </w:tr>
      <w:tr>
        <w:trPr>
          <w:trHeight w:val="234"/>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Enterprises LLC, National Carwash Solutions, Washtec AG</w:t>
            </w:r>
          </w:p>
        </w:tc>
      </w:tr>
      <w:tr>
        <w:trPr>
          <w:trHeight w:val="189"/>
        </w:trPr>
        <w:tc>
          <w:tcPr>
            <w:tcW w:w="3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Imaging &amp; Identification</w:t>
            </w:r>
          </w:p>
        </w:tc>
        <w:tc>
          <w:tcPr>
            <w:tcW w:w="81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Veralto  Corporation  (Videojet),  Brother  Industries,  Ltd.  (Domino  Printing),  Electronics  for  Imaging</w:t>
            </w:r>
          </w:p>
        </w:tc>
      </w:tr>
      <w:tr>
        <w:trPr>
          <w:trHeight w:val="234"/>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(Reggiani), Kornit Digital Ltd.</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IDEX Corporation, Ingersoll Rand, ITT, SPX Flow Inc. (Waukesha), Danaher Corporation (Pall), Avantor</w:t>
            </w:r>
          </w:p>
        </w:tc>
      </w:tr>
      <w:tr>
        <w:trPr>
          <w:trHeight w:val="216"/>
        </w:trPr>
        <w:tc>
          <w:tcPr>
            <w:tcW w:w="3060" w:type="dxa"/>
            <w:vAlign w:val="bottom"/>
          </w:tcPr>
          <w:p>
            <w:pPr>
              <w:spacing w:after="0"/>
              <w:rPr>
                <w:sz w:val="18"/>
                <w:szCs w:val="18"/>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(Masterflex), Spirax Sarco (Watson Marlow), Kingsbury, Ecolab, Hoerbiger Holdings AG, Miba AG,</w:t>
            </w:r>
          </w:p>
        </w:tc>
      </w:tr>
      <w:tr>
        <w:trPr>
          <w:trHeight w:val="234"/>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Nordson Corporation, Hillenbrand Inc. (Coperion)</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Panasonic (Hussman Corp.), Alfa Laval, Danfoss, Stolle Machinery, Crown Holdings</w:t>
            </w:r>
          </w:p>
        </w:tc>
      </w:tr>
      <w:tr>
        <w:trPr>
          <w:trHeight w:val="553"/>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818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our strategic focus on positioning our businesses for growth, we aim to grow our revenue in international markets, particularly in developing economies in Asia, the Middle East, Eastern Europe and South America.</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of our non-U.S. subsidiaries and affiliates are currently based in China, France, Germany, Italy, Sweden, Switzerland, the United Kingdom, and other locations including Australia, Brazil, Canada, India, Mexico, and the Netherlands.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shows annual revenue derived from customers outside the U.S. as a percentage of total annual revenue for each of the last three years, by segment and in total:</w:t>
      </w:r>
    </w:p>
    <w:p>
      <w:pPr>
        <w:jc w:val="center"/>
        <w:ind w:left="7160"/>
        <w:spacing w:after="0" w:line="232" w:lineRule="auto"/>
        <w:rPr>
          <w:sz w:val="20"/>
          <w:szCs w:val="20"/>
          <w:color w:val="auto"/>
        </w:rPr>
      </w:pPr>
      <w:r>
        <w:rPr>
          <w:rFonts w:ascii="Times New Roman" w:cs="Times New Roman" w:eastAsia="Times New Roman" w:hAnsi="Times New Roman"/>
          <w:sz w:val="18"/>
          <w:szCs w:val="18"/>
          <w:b w:val="1"/>
          <w:bCs w:val="1"/>
          <w:color w:val="auto"/>
        </w:rPr>
        <w:t>Percentage of Non-U.S. Revenue</w:t>
      </w:r>
    </w:p>
    <w:p>
      <w:pPr>
        <w:jc w:val="center"/>
        <w:ind w:left="7160"/>
        <w:spacing w:after="0"/>
        <w:rPr>
          <w:sz w:val="20"/>
          <w:szCs w:val="20"/>
          <w:color w:val="auto"/>
        </w:rPr>
      </w:pPr>
      <w:r>
        <w:rPr>
          <w:rFonts w:ascii="Times New Roman" w:cs="Times New Roman" w:eastAsia="Times New Roman" w:hAnsi="Times New Roman"/>
          <w:sz w:val="18"/>
          <w:szCs w:val="18"/>
          <w:b w:val="1"/>
          <w:bCs w:val="1"/>
          <w:color w:val="auto"/>
        </w:rPr>
        <w:t>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13335</wp:posOffset>
            </wp:positionV>
            <wp:extent cx="25800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8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percentage of revenue derived from customers outside of the United States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operations are subject to certain risks, such as price and exchange rate fluctuations and non-U.S. governmental restrictions, which are discussed further in Item 1A. "Risk Factors." For additional details regarding our non-U.S. revenue, impact of foreign currency exchange rates, and the geographic allocation of the assets, see Management's Discussion and Analysis of Financial Condition and Results of Operations and Note 19 — Segment Information to the consolidated financial statements in Items 7 and 8, respectively,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creating economic value for shareholders by developing products designed to help our customers meet their sustainability goals, run their operations more efficiently and satisfy evolving regulatory and environmental standards. We believe that sustainability-driven innovation in response to customer demand helps us contribute positively to enhanced resource efficiency and waste reduction while presenting a valuable growth opportunity. Aligned with this commitment, in 2021, we announced science-based targets to reduce our greenhouse gas emissions. These targets include an absolute reduction of scope 1 and scope 2 market-based greenhouse gas emissions of 30 percent by 2030, from a 2019 baseline year, and an absolute reduction of scope 3 greenhouse gas emissions of 15 percent by 2030, from a 2019 baseline year.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highlight key initiatives and performance metrics about our sustainability activities under the "Sustainability" tab on our website, www.dovercorporation.com.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 impacts associated with climate change regulation would be primarily indirect and would result in "pass-through" costs from energy suppliers, suppliers of raw materials and other services related to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contents of our website, including the "Sustainability" tab, are not intended to be incorporated by reference into this Form 10-K, and any reference to our website is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businesses, including our results of operations, liquidity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7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Recessions, adverse market conditions or downturns in the markets we serve could adversely affect our operations.</w:t>
      </w:r>
    </w:p>
    <w:p>
      <w:pPr>
        <w:spacing w:after="0" w:line="224" w:lineRule="exact"/>
        <w:rPr>
          <w:rFonts w:ascii="Arial" w:cs="Arial" w:eastAsia="Arial" w:hAnsi="Arial"/>
          <w:sz w:val="22"/>
          <w:szCs w:val="22"/>
          <w:color w:val="auto"/>
        </w:rPr>
      </w:pPr>
    </w:p>
    <w:p>
      <w:pPr>
        <w:jc w:val="both"/>
        <w:ind w:left="340"/>
        <w:spacing w:after="0" w:line="255" w:lineRule="auto"/>
        <w:rPr>
          <w:rFonts w:ascii="Arial" w:cs="Arial" w:eastAsia="Arial" w:hAnsi="Arial"/>
          <w:sz w:val="22"/>
          <w:szCs w:val="22"/>
          <w:color w:val="auto"/>
        </w:rPr>
      </w:pPr>
      <w:r>
        <w:rPr>
          <w:rFonts w:ascii="Times New Roman" w:cs="Times New Roman" w:eastAsia="Times New Roman" w:hAnsi="Times New Roman"/>
          <w:sz w:val="18"/>
          <w:szCs w:val="18"/>
          <w:color w:val="auto"/>
        </w:rPr>
        <w:t>In the past, our operations have been exposed to volatility due to changes in general economic conditions or consumer preferences, recessions or adverse conditions in the markets we serve. In the future, similar changes could adversely impact overall sales, operating results (including potential impairment charges for goodwill or other long-lived assets) and cash flows. Moreover, during economic downturns we may undertake more extensive restructuring actions, including workforce reductions, global facility consolidations, centralization of certain business support activities, and other cost reduction initiatives, and incur higher costs. As these plans and actions can be complex, the anticipated operational improvements, efficiencies and other benefits might be delayed or not realized. We are unable to determine the impact that recessions, adverse market conditions or downturns will have on our financial position, operating results and cash flows in future periods.</w:t>
      </w:r>
    </w:p>
    <w:p>
      <w:pPr>
        <w:spacing w:after="0" w:line="211"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Increases in labor costs, potential labor disputes and work stoppages or an inability to hire skilled personnel could adversely affect our business.</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a number of collective bargaining units in the U.S. and various collective labor arrangements outside the U.S. We are subject to potential work stoppages, union and works council campaigns and other labor disputes, any of which could adversely impact our productivity, reputation, results of operations, financial condition and cash flows.</w:t>
      </w:r>
    </w:p>
    <w:p>
      <w:pPr>
        <w:spacing w:after="0" w:line="202"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Furthermore, the competition for skilled personnel is often intense in the regions in which our manufacturing facilities are located. A sustained labor shortage or increased turnover rates within our employee base, increases in the salaries and wages paid by competing employers,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spacing w:after="0" w:line="210" w:lineRule="exact"/>
        <w:rPr>
          <w:rFonts w:ascii="Times New Roman" w:cs="Times New Roman" w:eastAsia="Times New Roman" w:hAnsi="Times New Roman"/>
          <w:sz w:val="18"/>
          <w:szCs w:val="18"/>
          <w:b w:val="1"/>
          <w:bCs w:val="1"/>
          <w:i w:val="1"/>
          <w:iCs w:val="1"/>
          <w:color w:val="auto"/>
        </w:rPr>
      </w:pPr>
    </w:p>
    <w:p>
      <w:pPr>
        <w:ind w:left="340" w:right="20" w:hanging="332"/>
        <w:spacing w:after="0" w:line="28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improper conduct by any of our employees, agents, or business partners.</w:t>
      </w:r>
    </w:p>
    <w:p>
      <w:pPr>
        <w:spacing w:after="0" w:line="185"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strive to maintain high standards, we cannot provide assurance that our internal controls and compliance systems will always protect us from acts committed by our employees, agents, or business partners that would violate the laws of the jurisdictions where we do business, including the laws governing payments to government officials, bribery, fraud, anti-kickback and false claims, competition, export and import compliance, environmental compliance, money laundering and data privacy, as well as the improper use of proprietary information or social media. Any such violations of law or improper actions could: subject us to civil or criminal investigations; lead to substantial civil or criminal, monetary and non-monetary penalties and related shareholder lawsuits; lead to increased costs of compliance; and damage our reputation,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are subject to risks relating to our existing international operations and expansion into new geographical markets.</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Approximately 46% of our revenues for both 2025 and 2024 were derived outside the United States and we expect international sales to continue to represent a significant portion of our revenues given our global growth strategy. As a result of our international operations and our global expansion strategy, we are subject to various risks, including:</w:t>
      </w:r>
    </w:p>
    <w:p>
      <w:pPr>
        <w:ind w:left="12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 political, social and economic instability and disruptions;</w:t>
      </w:r>
    </w:p>
    <w:p>
      <w:pPr>
        <w:spacing w:after="0" w:line="76" w:lineRule="exact"/>
        <w:rPr>
          <w:rFonts w:ascii="Times New Roman" w:cs="Times New Roman" w:eastAsia="Times New Roman" w:hAnsi="Times New Roman"/>
          <w:sz w:val="18"/>
          <w:szCs w:val="18"/>
          <w:b w:val="1"/>
          <w:bCs w:val="1"/>
          <w:i w:val="1"/>
          <w:iCs w:val="1"/>
          <w:color w:val="auto"/>
        </w:rPr>
      </w:pPr>
    </w:p>
    <w:p>
      <w:pPr>
        <w:ind w:left="1200" w:right="3240"/>
        <w:spacing w:after="0" w:line="32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 government import and export controls, economic sanctions, embargoes or trade restrictions; o the imposition of duties and tariffs and other trade barriers and retaliatory countermeasures; o limitations on ownership and dividend of earnings;</w:t>
      </w:r>
    </w:p>
    <w:p>
      <w:pPr>
        <w:spacing w:after="0" w:line="1" w:lineRule="exact"/>
        <w:rPr>
          <w:rFonts w:ascii="Times New Roman" w:cs="Times New Roman" w:eastAsia="Times New Roman" w:hAnsi="Times New Roman"/>
          <w:sz w:val="18"/>
          <w:szCs w:val="18"/>
          <w:b w:val="1"/>
          <w:bCs w:val="1"/>
          <w:i w:val="1"/>
          <w:iCs w:val="1"/>
          <w:color w:val="auto"/>
        </w:rPr>
      </w:pPr>
    </w:p>
    <w:p>
      <w:pPr>
        <w:ind w:left="12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 transportation delays and interruptions;</w:t>
      </w:r>
    </w:p>
    <w:p>
      <w:pPr>
        <w:spacing w:after="0" w:line="76" w:lineRule="exact"/>
        <w:rPr>
          <w:rFonts w:ascii="Times New Roman" w:cs="Times New Roman" w:eastAsia="Times New Roman" w:hAnsi="Times New Roman"/>
          <w:sz w:val="18"/>
          <w:szCs w:val="18"/>
          <w:b w:val="1"/>
          <w:bCs w:val="1"/>
          <w:i w:val="1"/>
          <w:iCs w:val="1"/>
          <w:color w:val="auto"/>
        </w:rPr>
      </w:pPr>
    </w:p>
    <w:p>
      <w:pPr>
        <w:ind w:left="1200" w:right="5100"/>
        <w:spacing w:after="0" w:line="34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o risk to theft of proprietary information and/or intellectual property; o labor unrest and current and changing regulatory environments;</w:t>
      </w:r>
    </w:p>
    <w:p>
      <w:pPr>
        <w:ind w:left="12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 widespread public health crises, such as a pandemic or epidemic;</w:t>
      </w:r>
    </w:p>
    <w:p>
      <w:pPr>
        <w:spacing w:after="0" w:line="76" w:lineRule="exact"/>
        <w:rPr>
          <w:rFonts w:ascii="Times New Roman" w:cs="Times New Roman" w:eastAsia="Times New Roman" w:hAnsi="Times New Roman"/>
          <w:sz w:val="18"/>
          <w:szCs w:val="18"/>
          <w:b w:val="1"/>
          <w:bCs w:val="1"/>
          <w:i w:val="1"/>
          <w:iCs w:val="1"/>
          <w:color w:val="auto"/>
        </w:rPr>
      </w:pPr>
    </w:p>
    <w:p>
      <w:pPr>
        <w:ind w:left="1200" w:right="1980"/>
        <w:spacing w:after="0" w:line="32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 increased compliance costs, including costs associated with disclosure requirements and related due diligence; o the impact of loss of a single-source manufacturing facility;</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 difficulties in staffing and managing multi-national operations;</w:t>
      </w:r>
    </w:p>
    <w:p>
      <w:pPr>
        <w:spacing w:after="0" w:line="7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 limitations on our ability to enforce legal rights and remedies;</w:t>
      </w:r>
    </w:p>
    <w:p>
      <w:pPr>
        <w:spacing w:after="0" w:line="7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 potentially adverse tax consequences; and</w:t>
      </w:r>
    </w:p>
    <w:p>
      <w:pPr>
        <w:spacing w:after="0" w:line="77" w:lineRule="exact"/>
        <w:rPr>
          <w:sz w:val="20"/>
          <w:szCs w:val="20"/>
          <w:color w:val="auto"/>
        </w:rPr>
      </w:pPr>
    </w:p>
    <w:p>
      <w:pPr>
        <w:ind w:left="1320" w:right="360" w:hanging="125"/>
        <w:spacing w:after="0" w:line="237" w:lineRule="auto"/>
        <w:rPr>
          <w:sz w:val="20"/>
          <w:szCs w:val="20"/>
          <w:color w:val="auto"/>
        </w:rPr>
      </w:pPr>
      <w:r>
        <w:rPr>
          <w:rFonts w:ascii="Times New Roman" w:cs="Times New Roman" w:eastAsia="Times New Roman" w:hAnsi="Times New Roman"/>
          <w:sz w:val="18"/>
          <w:szCs w:val="18"/>
          <w:color w:val="auto"/>
        </w:rPr>
        <w:t>o access to or control of networks and confidential information due to local government controls and vulnerability of local networks to cyber risks.</w:t>
      </w:r>
    </w:p>
    <w:p>
      <w:pPr>
        <w:spacing w:after="0" w:line="9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spacing w:after="0" w:line="199" w:lineRule="exact"/>
        <w:rPr>
          <w:sz w:val="20"/>
          <w:szCs w:val="20"/>
          <w:color w:val="auto"/>
        </w:rPr>
      </w:pPr>
    </w:p>
    <w:p>
      <w:pPr>
        <w:ind w:left="340" w:hanging="332"/>
        <w:spacing w:after="0" w:line="28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businesses or operations may be adversely affected by natural or human-induced disasters, acts of war, terrorism, international conflicts, and public health crises.</w:t>
      </w:r>
    </w:p>
    <w:p>
      <w:pPr>
        <w:spacing w:after="0" w:line="185"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or operations may be adversely affected by natural or human-induced disasters including, but not limited to, earthquakes; tsunamis; floods; hurricanes, cyclones or typhoons; fires; other extreme weather conditions; power or water shortages; telecommunications failures; materials scarcity; terrorist acts, civil unrest, conflicts or wars; and health epidemics or pandemics. The occurrence of any such event, and the measures taken in response thereto, may disrupt the global economy and adversely impact our operations, including demand for our products across multiple end-markets as well as our supply chain and operations. Existing insurance coverage may not provide protection for all of the costs that may arise from such events. Additionally, concerns over the economic impact of such events could cause increased volatility in financial and other capital markets, adversely impacting our stock price, our ability to access the capital markets, and our ability to fund liquidity needs.</w:t>
      </w:r>
    </w:p>
    <w:p>
      <w:pPr>
        <w:spacing w:after="0" w:line="21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any such unexpected event are difficult to predict but could have a material adverse effect on our businesses, financial condition, or operations.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operations, businesses, products and business strategy are subject to cybersecurity risks.</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Although we have processes and procedures in place designed to manage and mitigate cybersecurity risk, our business is still subject to certain risks. We depend on our own and third party information systems, including cloud-based systems and managed service providers, to store, process and protect our information and support our business activities. We also use third party systems to support employee data processing for our global workforce and to support customer business activities, such as transmitting payment information, providing mobile monitoring services, and capturing operational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data. Additionally, some of our products contain integrated hardware and software and offer the ability to connect to networks. While we have measures in place that are designed to protect our systems and provide oversight for third party system cybersecurity risks, these systems have been and are expected to continue to be the target of cyber attacks. Although we conduct security assessments and periodic re-assessments of third party partners and other service providers, these systems have in the past and may in the future experience vulnerabilities, including from third-party or open source software code that may be incorporated into our own or our vendors’ systems. Any prolonged system disruption in our systems or third-party services could negatively impact the coordination of our sales, planning, and manufacturing activities, which could harm our business.</w:t>
      </w:r>
    </w:p>
    <w:p>
      <w:pPr>
        <w:spacing w:after="0" w:line="214"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Our business has both an increasing reliance on systems and an increasing digital footprint as a result of changing technologies, connected devices and digital offerings, as well as expanded remote work policies.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ransomware, or other intrusions, misuse or malicious use of artificial intelligence,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legal claims or legal proceedings, including regulatory investigations, actions and fines; and damage to our reputation. We regularly assess our threat landscape and monitor our systems and other technical security controls, maintain information security policies and procedures, including a breach response plan, ensure maintenance of backup and protective systems, and have a team of security personnel managing our efforts and initiatives. However, there has been a rise in the number of cyberattacks targeting confidential business information generally and in the manufacturing industry specifically, as well as an increase in cyberattacks targeting managed service providers, by both state-sponsored and criminal organizations. Moreover, there has been a rise in the number of cyberattacks that depend on human error or manipulation, including phishing attacks or schemes that use social engineering to gain access to systems or perpetuate wire transfer or other frauds.</w:t>
      </w:r>
    </w:p>
    <w:p>
      <w:pPr>
        <w:spacing w:after="0" w:line="222"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These trends increase the likelihood of such events occurring as well as the costs associated with protecting against such events. It is possible for vulnerabilities in our systems to remain undetected for an extended period of time up to and including several years. We attempt to mitigate these risks by employing a number of measures, including employee training, systems monitoring and other technical security controls, vulnerability scanning, risk assessments, a breach response plan, maintenance of backup and protective systems, and security personnel. Notwithstanding those measures, our systems, networks, products and services remain potentially vulnerable to known or unknown cybersecurity attacks and other threats, any of which could have a material adverse effect on our consolidated results of operations, financial condition and cash flows. We continuously monitor and develop our systems to protect our technology infrastructure and data from misappropriation or corruption. However,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 increased online connectivity within our information systems and through more Internet-enabled and automated or AI-embedded products and offerings, we expect to expend additional resources to continue to build out our compliance programs, strengthen our information security, data protection and business continuity measures, and investigate and remediate vulnerabilities. For additional information on our cybersecurity risk management, strategy and governance, see 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right="20" w:hanging="332"/>
        <w:spacing w:after="0" w:line="286" w:lineRule="auto"/>
        <w:tabs>
          <w:tab w:leader="none" w:pos="33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Unforeseen developments in contingencies such as litigation and product recalls could adversely affect our consolidated results of operations, financial condition and cash flows.</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w:t>
      </w:r>
    </w:p>
    <w:p>
      <w:pPr>
        <w:spacing w:after="0" w:line="210"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spacing w:after="0" w:line="210"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revenue, operating profits and cash flows could be adversely affected if our businesses are unable to protect or obtain patent and other intellectual property rights.</w:t>
      </w:r>
    </w:p>
    <w:p>
      <w:pPr>
        <w:spacing w:after="0" w:line="185"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our businesses'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spacing w:after="0" w:line="21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256"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continue to evolve and may diverge. Moreover, there are increasing government efforts, domestically and internationally, pertaining to mandatory sustainability reporting. These evolving expectations and reporting requirements may require us to expend substantial resources, could result in reduced demand for certain of our products and services, and could adversely impact our reputation, business, financial condition and results of operations if we are unable to respond to them effectively.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52" w:lineRule="exact"/>
        <w:rPr>
          <w:sz w:val="20"/>
          <w:szCs w:val="20"/>
          <w:color w:val="auto"/>
        </w:rPr>
      </w:pPr>
    </w:p>
    <w:p>
      <w:pPr>
        <w:ind w:left="340" w:hanging="332"/>
        <w:spacing w:after="0" w:line="286" w:lineRule="auto"/>
        <w:tabs>
          <w:tab w:leader="none" w:pos="3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Increasing product, service and price competition by international and domestic competitors, including new entrants, and our inability to introduce new and competitive products could cause our businesses to generate lower revenue, operating profits and cash flows.</w:t>
      </w:r>
    </w:p>
    <w:p>
      <w:pPr>
        <w:spacing w:after="0" w:line="172" w:lineRule="exact"/>
        <w:rPr>
          <w:rFonts w:ascii="Times New Roman" w:cs="Times New Roman" w:eastAsia="Times New Roman" w:hAnsi="Times New Roman"/>
          <w:sz w:val="18"/>
          <w:szCs w:val="18"/>
          <w:b w:val="1"/>
          <w:bCs w:val="1"/>
          <w:i w:val="1"/>
          <w:iCs w:val="1"/>
          <w:color w:val="auto"/>
        </w:rPr>
      </w:pPr>
    </w:p>
    <w:p>
      <w:pPr>
        <w:jc w:val="both"/>
        <w:ind w:left="340"/>
        <w:spacing w:after="0" w:line="23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Emerging and evolving technologies such as artificial intelligence, our use of which we expect to increase over time, are rapidly developing, and our businesses may be adversely affected if we cannot successfully integrate these technologies into our business processes and product and service offerings in a timely and cost-effective manner. Further, if our businesses are unable to anticipate their competitors' developments or identify customer needs and preferences on a timely basis, successfully introduce new products, digital solutions and support services in response to such competitive factors, or adopt to market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changes relating to climate change related policies, they could lose customers to competitors. If our businesses do not compete effectively, we may experience lower revenue, operating profits and cash flows.</w:t>
      </w:r>
    </w:p>
    <w:p>
      <w:pPr>
        <w:spacing w:after="0" w:line="199" w:lineRule="exact"/>
        <w:rPr>
          <w:sz w:val="20"/>
          <w:szCs w:val="20"/>
          <w:color w:val="auto"/>
        </w:rPr>
      </w:pPr>
    </w:p>
    <w:p>
      <w:pPr>
        <w:ind w:left="340" w:hanging="332"/>
        <w:spacing w:after="0" w:line="28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results depend in part on the timely development and commercialization, and customer acceptance, of new and enhanced products, digital solutions and support services based on technological innovation.</w:t>
      </w:r>
    </w:p>
    <w:p>
      <w:pPr>
        <w:spacing w:after="0" w:line="185"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to provide adequate data security and privacy protections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w:t>
      </w:r>
    </w:p>
    <w:p>
      <w:pPr>
        <w:spacing w:after="0" w:line="211"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could lose customers or generate lower revenue, operating profits and cash flows if there are significant increases in the cost of our raw materials or components, or if suppliers are not able to meet our quality and delivery requirements.</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purchase raw materials, sub-assemblies and components for use in our manufacturing operations. Factors such as freight costs, transportation availability, inventory levels, the level of imports, the imposition of duties, tariffs and other trade barriers and general economic conditions may affect the price of these raw materials, sub-assemblies and components. Significant price increases for certain commodities, other raw materials or components could adversely affect operating profits of our businesses. While we generally attempt to mitigate the impact of increased raw material prices by hedging or passing along the increased costs to customers, there may be a time delay between the increased raw material prices and the ability to increase the prices of products, or we may be unable to increase the prices of products due to a competitor's pricing pressure or other factors.</w:t>
      </w:r>
    </w:p>
    <w:p>
      <w:pPr>
        <w:spacing w:after="0" w:line="214"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use a wide range of raw materials and components in our manufacturing operations that come from numerous suppliers. While we believe that sources of supply for raw materials and components are generally adequate, it is difficult to predict what effects of extended lead times or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The disruption of our global supply chain for any reason, including for issues such as public health crises, health epidemics or global pandemics, labor disputes, loss of single source or limited source supplier, inability to procure sufficient raw materials, quality control issues, ethical sourcing issues, discontinuity or disruption in our internal information and data systems or those of our suppliers, cybersecurity incidents including but not limited to ransomware attacks, misuse of artificial intelligence and machine learning technologies, a supplier's financial distress, natural disasters, looting, vandalism or acts of war or terrorism, trade sanctions, tariffs or other external factors over which we have no control, could interrupt product supply and, if not effectively managed and remedied, have a material adverse impact on our business operations,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jc w:val="both"/>
        <w:ind w:left="340" w:hanging="332"/>
        <w:spacing w:after="0" w:line="268"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spacing w:after="0" w:line="201"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sustainability regulations,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Any of these factors could adversely affect customer demand, our relationships with customers and suppliers, and our business and financial position.</w:t>
      </w:r>
    </w:p>
    <w:p>
      <w:pPr>
        <w:spacing w:after="0" w:line="21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businesses have sales or operations in countries, including Brazil,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spacing w:after="0" w:line="17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is impacted by the mix of earnings among countries with differing statutory tax rates, changes in the valuation allowance of deferred tax assets and changes in income tax laws. The amount of income taxes and other taxes paid can be adversely impacted by changes in statutory tax rates and laws and are subject to ongoing audits by governmental authorities. If these audits result in assessments different from amounts estimated, then our consolidated results of operations, financial position and cash flows may be adversely affected by unfavorable tax adjustments.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Strategic Risks</w:t>
      </w:r>
    </w:p>
    <w:p>
      <w:pPr>
        <w:spacing w:after="0" w:line="252" w:lineRule="exact"/>
        <w:rPr>
          <w:sz w:val="20"/>
          <w:szCs w:val="20"/>
          <w:color w:val="auto"/>
        </w:rPr>
      </w:pPr>
    </w:p>
    <w:p>
      <w:pPr>
        <w:ind w:left="340" w:hanging="332"/>
        <w:spacing w:after="0" w:line="286" w:lineRule="auto"/>
        <w:tabs>
          <w:tab w:leader="none" w:pos="33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exposure to exchange rate fluctuations on cross-border transactions and the translation of local currency results into U.S. dollars could negatively impact our results of operations.</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Swiss franc, and Canadian dollar, could cause fluctuations in the reported results of our businesses' operations that could negatively affect our results of operations. Additionally, the strengthening of certain currencies such as the euro and 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growth and results of operations may be adversely affected if we are unsuccessful in our capital allocation and acquisition program.</w:t>
      </w:r>
    </w:p>
    <w:p>
      <w:pPr>
        <w:spacing w:after="0" w:line="256" w:lineRule="exact"/>
        <w:rPr>
          <w:sz w:val="20"/>
          <w:szCs w:val="20"/>
          <w:color w:val="auto"/>
        </w:rPr>
      </w:pPr>
    </w:p>
    <w:p>
      <w:pPr>
        <w:jc w:val="both"/>
        <w:ind w:left="420" w:hanging="80"/>
        <w:spacing w:after="0" w:line="254" w:lineRule="auto"/>
        <w:rPr>
          <w:sz w:val="20"/>
          <w:szCs w:val="20"/>
          <w:color w:val="auto"/>
        </w:rPr>
      </w:pPr>
      <w:r>
        <w:rPr>
          <w:rFonts w:ascii="Times New Roman" w:cs="Times New Roman" w:eastAsia="Times New Roman" w:hAnsi="Times New Roman"/>
          <w:sz w:val="18"/>
          <w:szCs w:val="18"/>
          <w:color w:val="auto"/>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spacing w:after="0" w:line="211" w:lineRule="exact"/>
        <w:rPr>
          <w:sz w:val="20"/>
          <w:szCs w:val="20"/>
          <w:color w:val="auto"/>
        </w:rPr>
      </w:pPr>
    </w:p>
    <w:p>
      <w:pPr>
        <w:ind w:left="420" w:hanging="332"/>
        <w:spacing w:after="0" w:line="286" w:lineRule="auto"/>
        <w:tabs>
          <w:tab w:leader="none" w:pos="41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indemnification provisions of acquisition and disposition agreements by which we have acquired or sold or disposed of companies may not fully protect us and may result in unexpected liabilities.</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4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 through indemnifications made to the buyers of businesses we have sold or disposed against known and unknown contingent liabilities such as tax liabilities and environmental matters.</w:t>
      </w:r>
    </w:p>
    <w:p>
      <w:pPr>
        <w:spacing w:after="0" w:line="216"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8"/>
          <w:szCs w:val="18"/>
          <w:color w:val="auto"/>
        </w:rPr>
        <w:t>We continue to face significant and persistent cybersecurity risks and our business has both an increasing reliance on systems and an increasing digital footprint as a result of changing technologies, connected devices and digital offerings, as well as expanded remote work policies. We regularly assess our threat landscape and monitor our systems and other technical security controls, maintain information security policies and procedures, including a breach response plan, take steps to ensure maintenance of backup and protective systems, and have a team of security personnel managing our efforts and initiatives. We regularly review our policies, practices, and plans with assistance from third party experts and advisors for certification purposes, including with respect to SOC 2 certifications and Payment Card Industry Data Security Standard (PCI-DSS) certifications where relevant, and leverage third party resources to support our cyber risk defense, monitoring and response processes. We conduct security assessments and periodic re-assessments on key third party partners and other service providers with access to information assets of Dover. We review independent audit reports from key third party partners and other service providers with access to information assets at least annually. In addition, our online employees are required to participate in cyber, information security, and privacy training at least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an operational perspective, we use vulnerability scanning tools to assess potential data security risks. We correlate the results and prioritize any key actions based on threat modeling analysis and monitor any such actions in-progress with the system owners based on assigned timelines for remediation. However, patch and vulnerability management, including for products and information assets, remains a complex and key risk that has in the past led to and may in the future lead to exploits, security breaches and service disruption. We also integrate security measures into our digital products and services, although product security risks will continue to evolve and grow more complex.</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security efforts are informed in part by key tenants of various industry security standards such as ISA 62443, UL 2000-1, and certain standards from the National Institute of Standards &amp; Technology ("NIST"). As part of our efforts, we conduct risk assessments and prioritize security validation for certain of our products. For example, we conduct security testing and remediation on a risk-based prioritized basis prior to releasing certain products into the market, as well as periodically post-release to discover potential issues in code, firmware, and protocols and to consider potential security patches or future version updates. We have received SOC 2 certifications for some of our products and software offerings and continue to strive to meet similar requirements for other digital offerings.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enterprise risk management program, led by a team of senior executives, includes the performance of an annual risk assessment made at the corporate center and operating company levels, and is designed to identify enterprise level risks we may face, including cybersecurity risk at a high level. Each quarter, this team reassesses the identified enterprise risks, the severity of these risks, and the status of efforts to mitigate them. We also engage consultants and other third parties for periodic risk and vulnerability testing and assessment.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maintain insurance coverage that is intended to address certain aspects of cybersecurity risks.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of these measures, our systems, networks, products and services remain potentially vulnerable to known or unknown cybersecurity attacks and other threats, any of which could have a material adverse effect on our consolidated results of operations, financial condition and cash flows. We have experienced, and will continue to experience, cyber incidents in the normal course of our business. As of the date of this report, we have not identified any specific risks from cybersecurity threats, including those from any previous cybersecurity incidents, that have materially affected us, our business strategy, results of operation or financial condition. However, there can be no assurances that a cybersecurity threat or incident that could have a material impact on us will not occur in the future. For additional information on the risks we face from cyber security threats, please see the risk factor titled, "Our operations, businesses, products and business strategy are subject to cybersecurity risks" in Item 1A.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established a risk management process to identify and manage material risks at the enterprise level, including the potential impact of key cybersecurity threats. The full Board meets with the Senior Vice President &amp; Chief Digital Officer (CDO) and our Chief Information Security Officer (CISO) on at least an annual basis to discuss our cybersecurity posture. The Board also periodically receives targeted briefings related to cybersecurity and reviews our incident response capabilities.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CDO and CISO work to protect the Company’s information systems from cybersecurity threats and to promptly assist in coordinating a response to any cybersecurity incidents in accordance with the Company’s cybersecurity incident response and recovery plans and processes as described above. The CDO is responsible for corporate-wide data security, and the CISO is responsible for developing, implementing and enforcing security policies at the corporate level and providing guidance for the operating companies to manage our overall cybersecurity risks. The CDO and CISO are informed about and monitor the prevention, mitigation, detection, and remediation of cybersecurity incidents through their management of the cybersecurity incident response and recovery plans and processes, as described above. The CDO and CISO also periodically meet with certain corporate officers, such as the Company’s Chief Financial Officer and General Counsel to review and discuss cybersecurity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CDO has over 30 years of information technology experience, including at several Fortune 500 companies and including experience with cybersecurity initiatives that address governance, operational practices, cyber-awareness and technology. The CISO has over 25 years of cybersecurity and risk management experience, specializing in strategy, architecture, and operational practices at multiple Fortune 500 companies. The CDO holds an undergraduate degree in electrical and electronics engineering, a master’s degree in computer science and a master’s degree in business administration. The CISO holds an undergraduate degree in political science and a master's degree in information security, along with Certified Information Systems Security Professional (CISSP) and Information Systems Security Management Professional (ISSMP) certifications.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CDO and CISO annually brief our full Board of Directors on enterprise-wide cybersecurity risk management and our overall cybersecurity risk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type, location and size of the properties used by our operations as of December 31, 2025 are shown in the following charts, by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Number and nature of facilities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Square footage (in 000s)</w:t>
            </w:r>
          </w:p>
        </w:tc>
      </w:tr>
      <w:tr>
        <w:trPr>
          <w:trHeight w:val="223"/>
        </w:trPr>
        <w:tc>
          <w:tcPr>
            <w:tcW w:w="314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Warehouse</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Sales / Service</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Expiration dates of leased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facilities (in years)</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Asia</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owned and leased facilities are well-maintained and suitable for our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Commitments and Contingent Liabilities in the consolidated financial statements in Item 8 of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officers are elected annually at the first meeting of the Board of Directors following our annual meeting of shareholders, and are subject to removal at any time by the Board of Directors. Our executive officers as of February 13, 2026, and their positions with Dover (and, where relevant, prior business experience) for the past five years,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662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Positions Held and Prior Business Experience</w:t>
            </w:r>
          </w:p>
        </w:tc>
      </w:tr>
      <w:tr>
        <w:trPr>
          <w:trHeight w:val="158"/>
        </w:trPr>
        <w:tc>
          <w:tcPr>
            <w:tcW w:w="330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Richard J. Tobin</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62</w:t>
            </w:r>
          </w:p>
        </w:tc>
        <w:tc>
          <w:tcPr>
            <w:tcW w:w="120" w:type="dxa"/>
            <w:vAlign w:val="bottom"/>
            <w:tcBorders>
              <w:top w:val="single" w:sz="8" w:color="CCEEFF"/>
            </w:tcBorders>
            <w:shd w:val="clear" w:color="auto" w:fill="CCEEFF"/>
          </w:tcPr>
          <w:p>
            <w:pPr>
              <w:spacing w:after="0"/>
              <w:rPr>
                <w:sz w:val="13"/>
                <w:szCs w:val="13"/>
                <w:color w:val="auto"/>
              </w:rPr>
            </w:pPr>
          </w:p>
        </w:tc>
        <w:tc>
          <w:tcPr>
            <w:tcW w:w="662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President and Chief Executive Officer (since May 2018) and Director (since August 2016) of Dover;</w:t>
            </w:r>
          </w:p>
        </w:tc>
      </w:tr>
      <w:tr>
        <w:trPr>
          <w:trHeight w:val="216"/>
        </w:trPr>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thereto Chief Executive Officer (from 2013 to 2018) of CNH Industrial NV.</w:t>
            </w:r>
          </w:p>
        </w:tc>
      </w:tr>
      <w:tr>
        <w:trPr>
          <w:trHeight w:val="162"/>
        </w:trPr>
        <w:tc>
          <w:tcPr>
            <w:tcW w:w="3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Jeffrey Yehle</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Human Resources Officer (since July 2024) of Dover; prior thereto</w:t>
            </w: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Executive Vice President, Chicago Market Leader of Gallagher (from September 2020 to July 2024);</w:t>
            </w: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prior thereto Regional Vice President of Sharecare (from August 2019 to September 2020).</w:t>
            </w:r>
          </w:p>
        </w:tc>
      </w:tr>
      <w:tr>
        <w:trPr>
          <w:trHeight w:val="21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Ivonne M. Cabrera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Vice President, General Counsel and Secretary (since January 2013) of Dover.</w:t>
            </w:r>
          </w:p>
        </w:tc>
      </w:tr>
      <w:tr>
        <w:trPr>
          <w:trHeight w:val="162"/>
        </w:trPr>
        <w:tc>
          <w:tcPr>
            <w:tcW w:w="3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Christopher B. Woenker</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43</w:t>
            </w: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Financial Officer (since January 31, 2025) of Dover; prior thereto</w:t>
            </w: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Segment Chief Financial Officer (from June 2017 to January 2025) of Dover.</w:t>
            </w:r>
          </w:p>
        </w:tc>
      </w:tr>
      <w:tr>
        <w:trPr>
          <w:trHeight w:val="165"/>
        </w:trPr>
        <w:tc>
          <w:tcPr>
            <w:tcW w:w="34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Girish Juneja</w:t>
            </w:r>
          </w:p>
        </w:tc>
        <w:tc>
          <w:tcPr>
            <w:tcW w:w="11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56</w:t>
            </w:r>
          </w:p>
        </w:tc>
        <w:tc>
          <w:tcPr>
            <w:tcW w:w="12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Senior Vice President and Chief Digital Officer (since May 2017) of Dover; prior thereto Senior Vice</w:t>
            </w:r>
          </w:p>
        </w:tc>
      </w:tr>
      <w:tr>
        <w:trPr>
          <w:trHeight w:val="162"/>
        </w:trPr>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President/Chief Technology Officer and General Manager of the Marketplace Solutions Business of</w:t>
            </w:r>
          </w:p>
        </w:tc>
      </w:tr>
      <w:tr>
        <w:trPr>
          <w:trHeight w:val="216"/>
        </w:trPr>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Altisource (from January 2014 to April 2017).</w:t>
            </w:r>
          </w:p>
        </w:tc>
      </w:tr>
      <w:tr>
        <w:trPr>
          <w:trHeight w:val="162"/>
        </w:trPr>
        <w:tc>
          <w:tcPr>
            <w:tcW w:w="3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James M. Moran</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Vice President, Treasurer (since November 2015) of Dover; prior thereto Senior Vice President and</w:t>
            </w: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Treasurer (from June 2013 to August 2015) of Navistar International Corporation ("NIC"); prior</w:t>
            </w: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thereto Vice President and Treasurer (from 2008 to June 2013) of NIC; also served as Senior Vice</w:t>
            </w: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Treasurer of Navistar, Inc. (from June 2013 to August 2015).</w:t>
            </w:r>
          </w:p>
        </w:tc>
      </w:tr>
      <w:tr>
        <w:trPr>
          <w:trHeight w:val="165"/>
        </w:trPr>
        <w:tc>
          <w:tcPr>
            <w:tcW w:w="34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Ryan W. Paulson</w:t>
            </w:r>
          </w:p>
        </w:tc>
        <w:tc>
          <w:tcPr>
            <w:tcW w:w="11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Vice President and Controller (since July 2019) of Dover; prior thereto Assistant Controller, Global</w:t>
            </w:r>
          </w:p>
        </w:tc>
      </w:tr>
      <w:tr>
        <w:trPr>
          <w:trHeight w:val="162"/>
        </w:trPr>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Consolidations and Operations Accounting (from August 2017 to July 2019); prior thereto partner at</w:t>
            </w:r>
          </w:p>
        </w:tc>
      </w:tr>
      <w:tr>
        <w:trPr>
          <w:trHeight w:val="216"/>
        </w:trPr>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PricewaterhouseCoopers LLP (from July 2012 to June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principal market in which Dover common stock is traded is the New York Stock Exchange, under the trading symbol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DOV</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2026, there were 1,022 holders of record of Dover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securities authorized for issuance under our equity compensation plans is contained in Part III, Item 12 of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Securities Exchange Act of 1934 during the fourth quarter of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to October 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Fourth Quarter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4"/>
        </w:trPr>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50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bscript"/>
              </w:rPr>
              <w:t>(2)</w:t>
            </w:r>
          </w:p>
        </w:tc>
        <w:tc>
          <w:tcPr>
            <w:tcW w:w="23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18"/>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16,930,718</w:t>
            </w:r>
          </w:p>
        </w:tc>
        <w:tc>
          <w:tcPr>
            <w:tcW w:w="0" w:type="dxa"/>
            <w:vAlign w:val="bottom"/>
          </w:tcPr>
          <w:p>
            <w:pPr>
              <w:spacing w:after="0"/>
              <w:rPr>
                <w:sz w:val="1"/>
                <w:szCs w:val="1"/>
                <w:color w:val="auto"/>
              </w:rPr>
            </w:pPr>
          </w:p>
        </w:tc>
      </w:t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2,334,010</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14,596,708</w:t>
            </w: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14,596,708</w:t>
            </w:r>
          </w:p>
        </w:tc>
        <w:tc>
          <w:tcPr>
            <w:tcW w:w="0" w:type="dxa"/>
            <w:vAlign w:val="bottom"/>
          </w:tcPr>
          <w:p>
            <w:pPr>
              <w:spacing w:after="0"/>
              <w:rPr>
                <w:sz w:val="1"/>
                <w:szCs w:val="1"/>
                <w:color w:val="auto"/>
              </w:rPr>
            </w:pP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2,334,010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2,334,010</w:t>
            </w:r>
          </w:p>
        </w:tc>
        <w:tc>
          <w:tcPr>
            <w:tcW w:w="12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14,596,708</w:t>
            </w: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-633730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-334010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121" w:right="339" w:bottom="1440" w:gutter="0" w:footer="0" w:header="0"/>
          <w:type w:val="continuous"/>
        </w:sectPr>
      </w:pPr>
    </w:p>
    <w:p>
      <w:pPr>
        <w:spacing w:after="0" w:line="4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In August 2023, the Company's Board of Directors approved a standing share repurchase authorization whereby the Company may repurchase up to</w:t>
      </w:r>
    </w:p>
    <w:p>
      <w:pPr>
        <w:spacing w:after="0" w:line="1" w:lineRule="exact"/>
        <w:rPr>
          <w:rFonts w:ascii="Times New Roman" w:cs="Times New Roman" w:eastAsia="Times New Roman" w:hAnsi="Times New Roman"/>
          <w:sz w:val="27"/>
          <w:szCs w:val="27"/>
          <w:color w:val="auto"/>
          <w:vertAlign w:val="superscript"/>
        </w:rPr>
      </w:pPr>
    </w:p>
    <w:p>
      <w:pPr>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 million shares beginning on January 1, 2024 through December 31, 2026. As of December 31, 2025, 14,596,708 shares remained authorized for repurchase under the August 2023 share repurchase authorization.</w:t>
      </w:r>
    </w:p>
    <w:p>
      <w:pPr>
        <w:spacing w:after="0" w:line="209" w:lineRule="exact"/>
        <w:rPr>
          <w:rFonts w:ascii="Times New Roman" w:cs="Times New Roman" w:eastAsia="Times New Roman" w:hAnsi="Times New Roman"/>
          <w:sz w:val="27"/>
          <w:szCs w:val="27"/>
          <w:color w:val="auto"/>
          <w:vertAlign w:val="superscript"/>
        </w:rPr>
      </w:pPr>
    </w:p>
    <w:p>
      <w:pPr>
        <w:jc w:val="both"/>
        <w:ind w:firstLine="8"/>
        <w:spacing w:after="0" w:line="291" w:lineRule="auto"/>
        <w:tabs>
          <w:tab w:leader="none" w:pos="212"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On November 10, 2025, the Company entered into a $500.0 million accelerated share repurchase agreement (the "2025 ASR Agreement") with JP Morgan Chase Bank, N.A. ("JP Morgan") to repurchase its shares in an accelerated share repurchase program (the "2025 ASR Program"). The Company funded the 2025 ASR Program with cash on hand. Under the terms of the 2025 ASR Agreement, the Company paid JP Morgan $500.0 million on November 12, 2025, and on that date received initial delivery of 2,334,010 shares, representing a substantial majority of the shares expected to be retired over the course of the 2025 ASR Program. The total number of shares ultimately repurchased under the 2025 ASR Program will be based on the average of the daily volume-weighted average share price of Dover's common stock during the calculation period of the 2025 ASR Program, less a discount and subject to potential adjustments pursuant to the terms of the 2025 ASR Program. The 2025 ASR Program is scheduled to be completed in the second quarter of 2026, but is subject to early termination in certain circumstances.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Five-Year Cumulative Total Return </w:t>
      </w:r>
      <w:r>
        <w:rPr>
          <w:rFonts w:ascii="Times New Roman" w:cs="Times New Roman" w:eastAsia="Times New Roman" w:hAnsi="Times New Roman"/>
          <w:sz w:val="23"/>
          <w:szCs w:val="23"/>
          <w:b w:val="1"/>
          <w:bCs w:val="1"/>
          <w:i w:val="1"/>
          <w:i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Dover Corporation, S&amp;P 500 Index, S&amp;P 500 Industrials Index</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5177790" cy="3411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779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Source: Research Data Group,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Total return assumes reinvestment of dividends.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graph assumes $100 invested on December 31, 2020 in Dover common stock, the S&amp;P 500 Index and the S&amp;P 500 Industrials Index.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our results of operations and financial condition for the year ended December 31, 2025.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 For more information regarding our consolidated results, segment results, and liquidity and capital resources for the year ended December 31, 2024 as compared to the year ended December 31, 2023 refer to Part II Item 7 "Management's Discussion and Analysis of Financial Condition and Results of Operations" in the Company's 2024 Annual Report on Form 10-K.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Dover Corporation is a diversified global manufacturer and solutions provider delivering innovative equipment and components, consumable supplies, aftermarket parts, software and digital solutions and support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consolidated revenue was $8.1 billion, an increase of $346.7 million or 4.5%, as compared to the prior year. The increase is driven by acquisition-related growth of 2.6%, organic revenue growth of 1.6% and a favorable impact from foreign currency translation of 1.0%, partially offset by a disposition-related decline of 0.7%. The results were primarily driven by robust trends in our secular-growth-exposed end markets, strategic pricing initiatives and acquisitions within the Clean Energy &amp; Fueling and Pumps &amp; Process Solutions segments.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1.6% organic revenue growth was driven by increases of 6.7%, 4.6%, and 1.9% in our Pumps &amp; Process Solutions, Clean Energy &amp; Fueling, and Imaging &amp; Identification segments, respectively, partially offset by the Engineered Products and Climate &amp; Sustainability Technologies segments which declined 6.6% and 2.1%, respectively. For further information, see "Segment Results of Operations" within this Item 7.</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grew 3.3% as compared to the prior year, driven by broad-based growth primarily in our Clean Energy &amp; Fueling and Pumps &amp; Process Solutions segments. Organic revenue in Asia grew 3.4%, while organic revenue in Europe and Other Americas declined 0.9% and 4.3%, respectively. All other geographic markets grew 0.7% organically year over year.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Bookings increased 6.0% over the prior year to $8.1 billion for the year ended December 31, 2025. The bookings increase was broad-based across the portfolio, with each segment except Engineered Products posting year-over-year growth.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and other costs of $78.0 million included restructuring charges of $56.7 million and other costs of $21.2 million. Restructuring and other costs were primarily related to exit costs and headcount reductions across all segments, most notably within the Climate &amp; Sustainability Technologies and Clean Energy &amp; Fueling segments. Other costs (benefits) include $4.0 million in costs associated with a product line exit and $6.3 million in costs associated with a footprint reduction, both in our Climate &amp; Sustainability Technologies segment. For further discussion related to our restructuring and other costs, see "Restructuring and Other Costs (Benefits)," within this Item 7.</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four business acquisitions totaling $665.3 million, net of cash acquired and inclusive of contingent consideration and measurement period adjustments. See Note 3 — Acquisitions in the consolidated financial statements in Item 8 of this Form 10-K for further details regarding the businesses acquired during the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10, 2025, the Company entered into the 2025 ASR Agreement, a $500.0 million accelerated share repurchase agreement with JP Morgan to repurchase its shares under the 2025 ASR Program. The Company funded the 2025 ASR Program with cash on hand. Under the terms of the 2025 ASR Agreement, the Company paid JP Morgan $500.0 million on November 12, 2025, and on that date received initial delivery of 2,334,010 shares, representing a substantial majority of the shares expected to be retired over the course of the 2025 ASR Program. See Note 21 — Stockholders' Equity in the consolidated financial statements in Item 8 of this Form 10-K for further details.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8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figures)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8,092,571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7,745,909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4,874,402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4,787,288</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2,958,621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w w:val="97"/>
              </w:rPr>
              <w:t>39.8 %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38.2 %</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1.60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1,844,808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1,752,266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as a percent of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i w:val="1"/>
                <w:iCs w:val="1"/>
                <w:color w:val="auto"/>
                <w:w w:val="97"/>
              </w:rPr>
              <w:t>22.8 %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160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0.20</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1,373,361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1,206,355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131,171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(37,158)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3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(597,798)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(46,876)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1,374,252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1,757,016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357,048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i w:val="1"/>
                <w:iCs w:val="1"/>
                <w:color w:val="auto"/>
                <w:w w:val="97"/>
              </w:rPr>
              <w:t>20.1 %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20.3 %</w:t>
            </w:r>
          </w:p>
        </w:tc>
        <w:tc>
          <w:tcPr>
            <w:tcW w:w="16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(0.20)</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1,097,429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1,399,968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1,297,158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1,093,956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2,697,126</w:t>
            </w:r>
          </w:p>
        </w:tc>
        <w:tc>
          <w:tcPr>
            <w:tcW w:w="16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from continuing operations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line="20" w:lineRule="exact"/>
              <w:rPr>
                <w:sz w:val="1"/>
                <w:szCs w:val="1"/>
                <w:color w:val="auto"/>
              </w:rPr>
            </w:pPr>
          </w:p>
        </w:tc>
      </w:tr>
      <w:tr>
        <w:trPr>
          <w:trHeight w:val="208"/>
        </w:trPr>
        <w:tc>
          <w:tcPr>
            <w:tcW w:w="6600" w:type="dxa"/>
            <w:vAlign w:val="bottom"/>
            <w:gridSpan w:val="2"/>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10.09</w:t>
            </w: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*nm: not meaningful</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year ended December 31, 2025 increased $346.7 million, or 4.5%, to $8.1 billion compared with 2024. Organic revenue growth of 1.6% is primarily driven by robust trends in our secular-growth-exposed end markets and above and below-ground retail fueling and pricing actions, partially offset by lower volumes in our vehicle service business and project timing in retail refrigeration equipment and services. The increase in revenue was also driven by acquisition-related growth of 2.6% primarily in our Pumps &amp; Process Solutions and Clean Energy &amp; Fueling segments and a favorable impact from foreign currency translation of 1.0%, partially offset by a disposition-related decline of 0.7% in our Engineered Products segment. Customer pricing favorably impacted revenue in 2025 by approximately 1.9% and by 1.6% in the prior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year ended December 31, 2025, increased $259.5 million, or 8.8%, to $3.2 billion compared with 2024, primarily driven by favorable price versus cost dynamics, volume growth, product mix, and productivity actions. Gross profit margin increased 160 basis points to 39.8% as compared to the prior year driven by favorable price versus cost dynamics, productivity initiatives, favorable portfolio mix and benefits from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increased $92.5 million, or 5.3% to $1.8 billion compared with 2024, primarily due to increased employee compensation and benefits and acquisition-related amortization. As a percentage of revenue, selling, general and administrative expenses increased 20 basis points to 22.8%.</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$165.3 million and $149.6 million for the years ended December 31, 2025, and 2024, respectively. These costs as a percent of revenue were 2.0% and 1.9% for the years December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interest expense, net of interest income, decreased $57.3 million, or 60.9%, to $36.7 million compared with 2024 primarily driven by higher interest income generated by the investment of proceeds from the sale of Environmental Solutions Group ("ESG") held in highly liquid short-term investments and reduced interest expense resulting from a lack of commercial paper borrowings.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on dispositions for the years ended December 31, 2025 and 2024 were $4.6 million and $597.8 million, respectively. The gain on dispositions for the year ended December 31, 2024 was driven by the sale of the De-Sta-Co business on March 31, 2024 and the sale of a minority owned equity method investment on September 30, 2024. See Note 4 — Discontinued and Disposed Operations in the consolidated financial statements in Item 8 of this Form 10-K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includes non-service pension benefit, deferred compensation plan investments gain or loss, earnings or charges from equity method investments, foreign exchange gain or loss, and various other items. Other income, net for the years ended December 31, 2025 and 2024 was $33.0 million and $46.9 million, respectively. For the year ended December 31, 2025, other income decreased compared to 2024 primarily due to decreased deferred compensation plan investment gain, decreased earnings from our equity method investments and foreign currency exchange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have a global presence with 38.6% and 35.8% of our pre-tax earnings in 2025 and 2024, respectively, generated in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earnings are generally subject to local country tax rates that differ from the 21.0% U.S. statutory tax rate.</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20.1% for the year ended December 31, 2025, compared to 20.3% for the year ended December 31, 2024. Our effective tax rate differs from the U.S. statutory tax rate primarily driven by mix of earnings and reorganizations.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was enacted into law, introducing changes to the U.S. tax code, including making permanent certain provisions originally enacted under the Tax Cuts and Jobs Act, such as 100% bonus depreciation and the immediate expensing of domestic research and development costs. The changes do not have a material impact to our consolidated financial statements.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continuing to monitor the changes in tax laws resulting from the Organization for Economic Cooperation and Development’s multi-jurisdictional plan of action to address base erosion and profit shifting. The changes do not have a material impact on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Income Taxes in the consolidated financial statements in Item 8 of this Form 10-K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earnings from continuing operations decreased $302.5 million, or 21.6%, to $1.1 billion, or $7.97 per diluted share, compared with earnings from continuing operations of $1.4 billion, or $10.09 per diluted share, for the year ended December 31, 2024. Earnings from continuing operations decreased primarily due to the after-tax gain on dispositions of De-Sta-Co and a minority owned equity method investment totaling $462.4 million in the prior year, partially offset by higher operating earnings in the current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discontinued operations, net for the year ended December 31, 2025 was $3.5 million. Earnings from discontinued operations, net for the year ended December 31, 2024 was $1.3 billion representing the results of ESG through the date of disposition. Refer to Note 4 — Discontinued and Disposed Operations in Item 8 of this form 10-K for additional information on discontinued and disposed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19 — Segment Information in the consolidated financial statements in Item 8 of this Form 10-K.</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report organic revenue growth, a non-GAAP measure, which excludes the impact of foreign currency exchange rates and the impact of acquisitions and divestitures. We believe that reporting organic revenue growth provides a useful comparison of our revenue performance and trends between periods.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revenue order trends.</w:t>
      </w:r>
    </w:p>
    <w:p>
      <w:pPr>
        <w:spacing w:after="0" w:line="2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precision soldering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1,202,457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217,266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231,237</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1,095,624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1,171,777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6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8"/>
        </w:trPr>
        <w:tc>
          <w:tcPr>
            <w:tcW w:w="6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year ended December 31, 2025 decreased $116.6 million, or 9.7%, compared to the prior year due to an organic revenue decline of 6.6% and a disposition-related decline of 4.3%, partially offset by a favorable impact from foreign currency translation of 0.8% and acquisition-related growth of 0.4%. The disposition-related decline was due to the divestiture of De-Sta-Co in the first quarter of 2024. Customer pricing favorably impacted revenue in 2025 by approximately 2.8%.</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decline was primarily due to lower volumes in our vehicle service business, partially offset by pricing actions and favorable demand trends in aerospace and defense components and software. We expect improvements in organic growth trends in 2026 driven by favorable demand trends in several of our key end markets, most notably in aerospace and defense, as well as an improving demand outlook in vehicle service.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Engineered Products segment earnings for the year ended December 31, 2025 decreased $14.0 million, or 6.0%, compared to the prior year. The decrease was primarily due to disposition-related impacts and lower volumes in vehicle service, partially offset by favorable price versus cost dynamics, productivity and cost management initiatives and benefits from restructuring actions. Segment margin increased to 20.0% from 19.2% in the prior year.</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bookings for the year ended December 31, 2025 decreased $76.2 million, or 6.5%, compared to the prior year. The bookings decline was due to the above mentioned divestiture and reduced demand in our vehicle service business, partially offset by strength in aerospace and defense. Segment book-to-bill was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2,130,507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1,936,784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359,993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2,167,272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1,938,495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16"/>
        </w:trPr>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revenue for the year ended December 31, 2025 increased $193.7 million, or 10.0%, compared to the prior year, attributable to acquisition-related growth of 5.1%, organic growth of 4.6% and a favorable impact from foreign currency translation of 0.3%. Acquisition-related growth was primarily driven by the acquisition of Marshall Excelsior Company in the third quarter of 2024. Customer pricing favorably impacted revenue in 2025 by approximately 1.7%.</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favorable demand trends in our above and below-ground retail fueling, fluid transport, and clean energy components businesses. We expect positive demand trends to continue in 2026 driven by a favorable outlook across major end markets.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for the year ended December 31, 2025 increased $58.1 million, or 16.1%, compared to the prior year. The increase was primarily driven by volume growth, favorable price versus cost dynamics, the positive impact from acquisitions and benefits from restructuring actions. Segment margin increased to 19.6% from 18.6% in the prior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for the year ended December 31, 2025 increased 11.8% compared to the prior year. The bookings growth was primarily driven by acquisition-related growth in clean energy platforms and demand in North America above and below-ground retail fueling equipment, partially offset by reduced vehicle wash orders. Segment book-to-bill was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1,173,443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1,137,165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301,707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1,174,537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1,144,147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6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revenue for the year ended December 31, 2025 increased $36.3 million, or 3.2% compared to the prior year, comprised of organic growth of 1.9%, a favorable impact from foreign currency translation of 1.2% and acquisition-related growth of 0.1%. Customer pricing favorably impacted revenue in 2025 by approximately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organic revenue growth was primarily driven by pricing, along with volume growth in core marking and coding equipment and serialization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demand trends to remain favorable in 2026 driven by solid demand trends across the segment.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for the year ended December 31, 2025 increased $13.0 million, or 4.3%, compared to the prior year. This increase was primarily driven by favorable price versus cost dynamics and productivity initiatives. Segment margin increased to 26.8% from 26.5% in the prior year.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for the year ended December 31, 2025 increased 2.7% compared to the prior year. The bookings increase was primarily driven by our core marking and coding business. Segment book-to-bill was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2,148,670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1,894,566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536,606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2,041,184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1,856,680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0"/>
        </w:trPr>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revenue for the year ended December 31, 2025 increased $254.1 million, or 13.4%, compared to the prior year, attributable to organic growth of 6.7%, acquisition-related growth of 5.2% and a favorable impact from foreign currency translation of 1.5%. Acquisition-related growth was driven by the acquisitions of Cryogenic Machinery Corp. ("Cryo-Mach") in the first quarter of 2025 and Sikora AG ("Sikora") and ipp Pump Products GmbH ("ipp") in the second quarter of 2025. Customer pricing favorably impacted revenue by approximately 1.9% in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revenue growth was primarily driven by single-use biopharma components, thermal connectors used in liquid cooling of data centers, as well as precision components and digital controls for midstream natural gas compression and power generation, partially offset by expected declines in our polymer processing equipment business as customers shift focus to optimizing the significant capacity investments made over the last several years. We expect demand conditions to remain constructive across end markets in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for the year ended December 31, 2025 increased $115.0 million, or 21.4%, compared to the prior year. The increase was primarily driven by higher volumes, productivity initiatives, favorable portfolio mix and the impact from acquisitions. Segment margin increased to 30.3% from 28.3% in the prior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for the year ended December 31, 2025 increased 9.9% as compared to the prior year. The bookings increase was primarily driven by positive demand trends in biopharmaceutical end markets, growth in high performance computing and data center application demand and the favorable impact from acquisitions. Segment book-to-bill was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1,559,841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1,579,649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250,875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1,665,049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1,570,632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8"/>
        </w:trPr>
        <w:tc>
          <w:tcPr>
            <w:tcW w:w="6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&amp; Sustainability Technologies revenue for the year ended December 31, 2025 decreased $19.8 million, or 1.3%, compared to the prior year, reflecting an organic revenue decline of 2.1%, partially offset by a favorable impact from foreign currency translation of 0.8%. Customer pricing favorably impacted revenue in 2025 by approximately 0.6%.</w:t>
      </w:r>
    </w:p>
    <w:p>
      <w:pPr>
        <w:spacing w:after="0" w:line="20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organic revenue decline was primarily due to project timing in retail refrigeration door cases and services, partially offset by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improving demand across beverage can-making and heat exchanger applications. We expect demand conditions to trend favorably in 2026 primarily driven by continued strong demand in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expected recovery in refrigerated door cases and services, as well as a favorable outlook for heat exchangers due to accelerating demand in data center cooling applications and continued improvement in European residential heat pumps.</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Climate &amp; Sustainability Technologies segment earnings for the year ended December 31, 2025 increased $14.8 million, or 5.9%, compared to the prior year. The segment earnings increase was primarily driven by higher heat exchanger and beverage can-making volumes, productivity and cost management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 Segment margin increased to 17.0% from 15.9% in the prior year.</w:t>
      </w:r>
    </w:p>
    <w:p>
      <w:pPr>
        <w:spacing w:after="0" w:line="21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Overall, bookings for the year ended December 31, 2025 increased 6.0% compared to the prior year. The bookings increase was driven by favorable heat exchanger and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demand trends. Segment book-to-bill was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Earnings from Continuing Operations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76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231,237</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359,993</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301,707</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536,606</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250,875</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1,680,418</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186,241</w:t>
            </w: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84,983</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(597,798)</w:t>
            </w:r>
          </w:p>
        </w:tc>
      </w:tr>
      <w:tr>
        <w:trPr>
          <w:trHeight w:val="229"/>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(37,158)</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1,757,016</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357,048</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1,399,968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w:t>
      </w:r>
    </w:p>
    <w:p>
      <w:pPr>
        <w:ind w:left="180" w:hanging="172"/>
        <w:spacing w:after="0" w:line="191" w:lineRule="auto"/>
        <w:tabs>
          <w:tab w:leader="none" w:pos="1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w:t>
      </w:r>
    </w:p>
    <w:p>
      <w:pPr>
        <w:spacing w:after="0" w:line="7"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Gain on dispositions includes post-closing adjustments; see Note 4 — Discontinued and Disposed Operations in the consolidated financial statements in Item 8 of this Form 10-K for further details.</w:t>
      </w:r>
    </w:p>
    <w:p>
      <w:pPr>
        <w:jc w:val="both"/>
        <w:ind w:firstLine="8"/>
        <w:spacing w:after="0" w:line="231" w:lineRule="auto"/>
        <w:tabs>
          <w:tab w:leader="none" w:pos="182"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year ended December 31, 2025, restructuring charges of $56.7 million were primarily related to exit costs and headcount reductions across all segments, most notably within the Climate &amp; Sustainability Technologies and Clean Energy &amp; Fueling segments. These restructuring programs were initiated in 2024 and 2025 and the Company will continue to make proactive adjustments to its cost structure to align with current demand trends. Additional programs, beyond the scope of the announced programs, may be implemented during 2026 with related restructuring charges. Other costs, net of $21.2 million for the year ended December 31, 2025, include $4.0 million in costs associated with a product line exit and $6.3 million in costs associated with a footprint reduction, both in our Climate &amp; Sustainability Technologies segment. These restructuring and other charges were primarily recorded in cost of goods and services and selling, general and administrative expenses in the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year ended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56,743</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restructuring charges of $69.8 million were primarily related to headcount reductions and product line and other exit costs in the Clean Energy &amp; Fueling and Climate &amp; Sustainability Technologies segments. These restructuring programs were initiated in 2023 and 2024 and were undertaken in light of current market conditions. Other costs, net of $15.2 million were primarily due to non-cash asset impairment charges and reorganization costs in the Climate &amp; Sustainability Technologies and Imaging &amp; Identification segments, respectively. These restructuring and other charges were primarily recorded in cost of goods and services and selling, general and administrative expenses in the consolidated statement of earnings.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year ended December 31,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69,810</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 Restructuring Activities in the consolidated financial statements in Item 8 of this Form 10-K for additional details regarding our recent restructuring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Purchase accounting expenses are primarily comprised of amortization of intangible assets. These expenses are not presented in our segment earnings because they are excluded from the segment operating performance measure reviewed by management. These expenses are as follows:</w:t>
      </w:r>
    </w:p>
    <w:p>
      <w:pPr>
        <w:spacing w:after="0" w:line="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93,719</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23,015</w:t>
            </w:r>
          </w:p>
        </w:tc>
      </w:tr>
      <w:tr>
        <w:trPr>
          <w:trHeight w:val="229"/>
        </w:trPr>
        <w:tc>
          <w:tcPr>
            <w:tcW w:w="76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Pumps &amp; Process Solutions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19,977</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0" w:firstLine="8"/>
        <w:spacing w:after="0" w:line="238" w:lineRule="auto"/>
        <w:tabs>
          <w:tab w:leader="none" w:pos="164"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Purchase accounting expenses in our Pumps &amp; Process Solutions segment increased by $26.9 million for the year ended December 31, 2025 from the prior year, primarily due to the acquisition of Sikora in Q2 2025.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upcoming debt maturities and for reinvestment in existing businesses and strategic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8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1,338,005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1,087,833</w:t>
            </w:r>
          </w:p>
        </w:tc>
      </w:tr>
      <w:tr>
        <w:trPr>
          <w:trHeight w:val="22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34"/>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(1,271,673)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year ended December 31, 2025 increased by $250.2 million compared to 2024. This increase was primarily driven by higher operating earnings during the year ended December 31, 2025 and timing of tax payments on prior year dispositions.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accounts receivable, plus inventory, less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provides a meaningful measure of liquidity by showing changes caused by operational results. The following table provides a calculation of adjusted working capital: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1,651,057</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working capital increased by $117.4 million, or 7.1%, to $1.8 billion at December 31, 2025, which reflected an increase in accounts receivable of $17.1 million, an increase in inventory of $127.9 million and an increase in accounts payable of $27.7 million. These amounts include the effects of acquisitions and foreign currency translation. The increase in adjusted working capital versus year-end 2024 is primarily driven by higher inventory purchases to support the increase in order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is derived from cash inflows from proceeds from dispositions, offset by cash outflows for acquisitions and capital expenditures. The majority of the activity in investing activities was comprised of the following:</w:t>
      </w:r>
    </w:p>
    <w:p>
      <w:pPr>
        <w:spacing w:after="0" w:line="187" w:lineRule="exact"/>
        <w:rPr>
          <w:sz w:val="20"/>
          <w:szCs w:val="20"/>
          <w:color w:val="auto"/>
        </w:rPr>
      </w:pPr>
    </w:p>
    <w:p>
      <w:pPr>
        <w:jc w:val="both"/>
        <w:ind w:left="660" w:hanging="328"/>
        <w:spacing w:after="0" w:line="273"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Proceeds from dispositions</w:t>
      </w:r>
      <w:r>
        <w:rPr>
          <w:rFonts w:ascii="Times New Roman" w:cs="Times New Roman" w:eastAsia="Times New Roman" w:hAnsi="Times New Roman"/>
          <w:sz w:val="17"/>
          <w:szCs w:val="17"/>
          <w:color w:val="auto"/>
        </w:rPr>
        <w:t>: We received net proceeds of $6.0 million and $93.0 million in 2025 and 2024, respectively, related to the sale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minority owned equity method investment in the third quarter of 2024 within the Climate &amp; Sustainability Technologies segment. In 2024, we also received net proceeds of $675.9 million from the sale of De-Sta-Co, an operating company within the Engineered Products segment. See Note 4</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Discontinued and Disposed Operations in the consolidated financial statements in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2025, we deployed approximately $663.3 million, net of cash acquired to acquire three businesses within the Pumps &amp;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segment and one business within the Clean Energy &amp; Fueling segment. In comparison, we acquired eight businesses in 2024 for total consideration of $635.3 million, net of cash acquired. See Note 3 — Acquisitions in the consolidated financial statements in Item 8 of this Form 10-K for additional information.</w:t>
      </w:r>
    </w:p>
    <w:p>
      <w:pPr>
        <w:spacing w:after="0" w:line="206"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increased $52.7 million to $220.3 million in 2025 compared to $167.5 million in 2024,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growth initiatives, productivity and new product launches.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in 2026 will be funded from available cash and internally generated funds and, if necessary, through the issuance of commercial paper, or by accessing the public debt or equity markets. We estimate capital expenditures in 2026 to range from $190.0 million to $210.0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purchases of our common stock and payment of dividends, offset by net borrowing activity. The majority of financing activity was attributed to the following:</w:t>
      </w:r>
    </w:p>
    <w:p>
      <w:pPr>
        <w:spacing w:after="0" w:line="187"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Repurchase of common stock, including accelerated share repurchase program: </w:t>
      </w:r>
      <w:r>
        <w:rPr>
          <w:rFonts w:ascii="Times New Roman" w:cs="Times New Roman" w:eastAsia="Times New Roman" w:hAnsi="Times New Roman"/>
          <w:sz w:val="18"/>
          <w:szCs w:val="18"/>
          <w:color w:val="auto"/>
        </w:rPr>
        <w:t>During 2025, the Company received initial delivery of 2,334,010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representing a substantial majority of the shares expected to be retired over the course of the 2025 ASR Program for $500.0 million. Exclusive of the 2025 ASR Program, the Company repurchased 200,000 shares of common stock at a total cost of $40.7 million. During the year ended December 31, 2024, the Company received a total of 2,869,282 shares upon completion of the 2024 ASR Program for $500.0 million.</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4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Long-term debt, commercial paper and other short-term borrowings, net</w:t>
      </w:r>
      <w:r>
        <w:rPr>
          <w:rFonts w:ascii="Times New Roman" w:cs="Times New Roman" w:eastAsia="Times New Roman" w:hAnsi="Times New Roman"/>
          <w:sz w:val="18"/>
          <w:szCs w:val="18"/>
          <w:color w:val="auto"/>
        </w:rPr>
        <w:t>: During 2025, we issued €550.0 million of 3.50% euro-denominated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due 2033 ("2033 Notes"). The proceeds of €546.6 million from the issuance of the 2033 Notes, net of discounts and issuance costs, were used for general corporate purposes. On November 15, 2025, the outstanding 3.150% notes with a principal value of $400.0 million matured. The repayment of the notes at maturity was funded by the Company's existing cash balances. There were no repayments or issuances of long-term debt in 2024. During 2025, we used $0.6 million to pay off other short-term borrowings. In 2024, we used $467.6 million to pay off primarily commercial paper borrowings.</w:t>
      </w:r>
    </w:p>
    <w:p>
      <w:pPr>
        <w:spacing w:after="0" w:line="209"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$283.0 million in 2025 and $283.1 million in 2024. Our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per common share increased 1% to $2.07 per share in 2025 compared to $2.05 per share in 2024. The number of common shares outstanding decreased from 2024 to 2025, as share repurchases exceeded share issuances.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provided by discontinued operations for the years end December 31, 2025 and 2024 amounted to $(14.2) million and $1.6 billion, respectively. Cash flows from discontinued operations generated in 2024 primarily relate to cash provided by investing activities of $2.0 billion, which is comprised primarily of proceeds from the sale of ESG and partially offset by cash used in operating activities of $339.5 million, comprised of $439.9 million in tax payments made related to the gain on disposition, partially offset by cash flows from ESG's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1,087,833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(167,533)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earnings from continuing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earnings from continuing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generated free cash flow of $1.1 billion, representing 13.8% of revenue and 101.9% of earnings from continuing operations. Free cash flow increased by $197.4 million compared to 2024, primarily driven by higher operating earnings and the timing of tax payments on prior year dispositions, partially offset by higher capital expenditures. The increases in cash flow from operating activities and free cash flow as percentages of earnings from continuing operations are due primarily to the gain on disposition of De-Sta-Co impacting the prior year. See Note 4 — Discontinued and Disposed Operations in the consolidated financial statements in Item 8 of this Form 10-K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December 31, 2025, we maintained $1.0 billion five-year and $500.0 million 364-day unsecured revolving credit facilities (together, the "Credit Agreements") with a syndicate of banks which expire April 6, 2028 and April 2, 2026, respectively. The Company may elect to extend the maturity date of any loans under the 364-day credit facility until April 2, 2027, subject to conditions specified therein. The Credit Agreements are designated as a liquidity back-stop for the Company's commercial paper program and also are available for general corporate purposes.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 The Company was in compliance with all covenants in the Credit Agreements and other long-term debt covenants at December 31, 2025 and had an interest coverage ratio of consolidated EBITDA to consolidated net interest expense of 48.8 to 1. We are not aware of any potential impairment to our liquidity and expect to remain in compliance with all of our debt covenants.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2025, the Company issued €550.0 million of 3.50% euro-denominated notes due 2033. The proceeds of €546.6 million from the issuance of the 2033 Notes, net of discounts and issuance costs, were used for general corporate purposes.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15, 2025, the outstanding 3.150% notes with a principal value of $400.0 million matured. The repayment of the notes at maturity was funded by the Company's existing cash balances.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our cash and cash equivalents totaled $1.7 billion, of which approximately $447.8 million was held outside the United States. At December 31, 2024, our cash and cash equivalents totaled $1.8 billion, of which $300.5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completed four business acquisitions for total consideration of $665.3 million, net of cash acquired and inclusive of contingent consideration of $2.0 million and measurement period adjustments. See Note 3 — Acquisitions in the consolidated financial statements in Item 8 of this Form 10-K for additional information.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evaluate our capital structure and assess our overall financial leverage and capacity and believe the calculation is useful to investors for the same reasons.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220" w:type="dxa"/>
            <w:vAlign w:val="bottom"/>
          </w:tcPr>
          <w:p>
            <w:pPr>
              <w:spacing w:after="0"/>
              <w:rPr>
                <w:sz w:val="17"/>
                <w:szCs w:val="17"/>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17"/>
                <w:szCs w:val="17"/>
                <w:color w:val="auto"/>
              </w:rPr>
            </w:pPr>
          </w:p>
        </w:tc>
        <w:tc>
          <w:tcPr>
            <w:tcW w:w="18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706,677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2,621,295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3,327,972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2,929,402</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(1,676,808)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(1,844,877)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1,651,164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1,084,525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7,405,206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9,056,370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8,038,521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debt to net capitalization ratio increased to 18.2% at December 31, 2025 compared to 13.5% at December 31, 2024. Net debt increased $566.6 million during the period primarily due to the issuance of the 2033 Notes and the increase in value of the euro-denominated debt resulting from foreign currency translation adjustments offset by a decrease in cash and cash equivalents from acquisition-related investments and repayment of the current portion of long-term debt. Stockholders' equity increased for the period as a result of current earnings of $1.1 billion, partially offset by share repurchases, including shares repurchased under the ASR Program, and dividends paid during the period.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obtain debt financing at comparable risk-based interest rates is partly a function of our existing cash flow-to-debt and debt-to-capitalization levels as well as our current credit standing. Set forth below are our credit ratings, as of December 31, 2025, which were independently developed by the respective credit agencies. The Moody's rating and outlook were issued in December 2018, and the Standard &amp; Poor's rating was issued in December 2017 and the outlook was most recently revised in May 2021. The ratings and outlooks from both agencies were affirmed in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Short-Term Rating</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Long-Term Rating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Outlook</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P-2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Baa1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A-2</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$230.0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estimate of future interest payments on long-term debt, including the current portion, is $927.1 million.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debt maturities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Risk Management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diverse nature of our businesses' activities necessitates the management of various financial and market risks, including those related to changes in interest rates, foreign currency exchange rates and commodity prices. We periodically use derivative and non-derivative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Exposure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for the years ended December 31, 2025 and 2024,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to be minimal since our debt is long-term and fixed rate in nature. Generally, the fair market value of fixed-interest rate debt will increase as interest rates fall and decrease as interest rates rise. A 100 basis point increase in market interest rates would decrease the 2025 year-end fair value of our long-term debt by approximately $156.7 million. However, since we have no plans to repurchase our outstanding fixed-rate instruments before their maturities, the impact of market interest rate fluctuations on our long-term debt does not affect our results of operations or financial position.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and non-derivative financial instruments to offset such risks, when it is believed that the exposure will not be limited by our normal operating and financing activities. We have formal policies to mitigate risk in this area by using fair value and/or cash flow hedging programs.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have designated the €600 million, €500 million and €550 million of euro-denominated notes issued November 9, 2016, November 4, 2019 and November 12, 2025, respectively, as a hedge of our net investment in euro-denominated operations.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pre-tax loss of $154.8 million and a pre-tax gain of $66.8 million in other comprehensive earnings (loss) for the years ended December 31, 2025, and 2024,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Exposure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In some cases, we maintain longer-term index-based contracts on raw materials and component parts and centrally drive an ongoing effort to minimize risk proactively. However, we are prone to exposure as these contracts expire.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our revenue is generated through the manufacture and sale of a broad range of specialized products and components, with revenue recognized upon transfer of title and risk of loss, which is generally upon shipment. In limited cases, our revenue arrangements with customers require delivery, installation, testing, certification, or other promises to deliver goods or services that may impact the timing or pattern of revenue recognized. The remainder of our revenue is recognized over time, which is primarily related to services performed and specialized goods manufactured.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level of judgment is involved in the identification of performance obligations for contracts with multiple-element arrangements and the allocation of the transaction price based on the relative stand-alone selling price. The identification requires judgment to identify all distinct goods or services and also the appropriate timing of revenue recognition for each distinct good or service based on the transfer of control to the customer. We estimate the relative stand-alone selling price for performance obligations if not directly observable. A significant level of judgment is also involved in the selection of the appropriate method to recognize revenue over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the judgments and estimates used or the method selected to recognize revenue over time differ or change in a future period, a change to revenue and the related assets and liabilities could impact our financial position or results of operations. The judgments, estimates, and methods used have been applied consistently over the last three fiscal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Acquired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Intangible assets represent a significant portion of our consolidated balance sheet as a result of current and past acquisitions. Intangible assets primarily include customer intangibles, trademarks, unpatented technologies, and patents. The fair value of acquired intangible assets is determined using widely accepted valuation techniques, and the Company may engage third-party appraisal firms to assist with the determination of fair values of significant intangible assets. The valuation of intangible assets is performed at the time of acquisition and may change during the acquisition measurement period until the valuation is finalized. The fair value of finite-lived intangible assets is subsequently amortized over the estimated useful life.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significant assumptions used in the valuation of customer intangibles include future cash flows, customer attrition rate, and discount rate. The significant assumptions for the valuation of trademarks include future revenues, royalty rate,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discount rate. The significant assumptions for the valuation of unpatented technologies and patents include future revenues, obsolescence rate, royalty rate, and discount rate. The assumptions and estimates used in the valuation of these intangible assets are based on several factors, including historical experience with similar businesses and industries and information obtained from operating company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the assumptions used in our valuation of intangible assets are reasonable and representative of expected results, actual results may differ from these assumptions. While the assumptions used for each acquisition are dependent on the acquired company, the assumptions have been applied using a consistent methodology over the last three fiscal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the difference between the consideration transferred and the fair value of net assets acquired. Goodwill is tested for impairment on an annual basis during the fourth quarter, or more frequently when indicators of impairment exist, or when a change in the composition of reporting units for goodwill occurs for other reasons, such as a disposition or a change in segments. The impairment test involves a comparison of the fair value of each reporting unit with its carrying value. Fair value reflects the price a potential market participant would be willing to pay for the reporting unit in an arms-length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significant assumptions in the fair value analysis of goodwill are the estimated future cash flows and the discount rate. The determination of future cash flows involves significant judgment and is primarily driven by forecasted revenue growth rates and EBITDA margins for the reporting unit. These assumptions are developed based on the reporting unit’s expected future performance, which considers historical performance. We use a discount rate commensurate with the inherent risks in our internally developed forecasts of future cash flows. The discount rate may also fluctuate due to market conditions such as rising interest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the assumptions used in our annual impairment analysis are reasonable and representative of expected results and reflective of a market participant, actual results may differ from these assumptions. The methodology used for the goodwill impairment test has remained consistent over the last three fiscal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Pension Benefit Obligation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pension benefit obligation is actuarially determined in accordance with GAAP and is impacted by assumptions used to estimate the obligation, namely the discount rate. Annually, we review the actuarial assumptions used and compare the assumptions to third-party benchmarks to ensure that the selected assumptions accurately account for our future pension benefit obligations.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discount rate assumptions are determined by developing a yield curve based on high quality corporate bonds with maturities matching the plans’ expected benefit payment streams. The plans’ expected cash flows are then discounted by the resulting year-by-year discount rates. The 2025 weighted-average discount rate used to measure our pension benefit obligations for non-US plans increased to 2.89% from 2.64% in 2024. The U.S. Plan discount rate decreased to 5.40% from 5.70% in 2024. The change in both the non-US plans and the U.S. Plan were driven by changes in corporate bond yields over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25-basis point decrease in the discount rates used for these plans would have increased pension benefit obligations by approximately $15.5 million from the amount recorded at December 31, 2025. The methodology used for the valuation of the pension benefit obligation has remained consistent over the last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Deferred Income Tax Assets and Unrecognized Tax Benefits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and are subject to income taxes in various jurisdictions and are subject to ongoing audits by federal, state, and non-U.S. tax authorities.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 is required in determining the realizability of deferred tax assets and evaluating unrecognized tax benefits.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amounts of deferred tax assets that are evaluated for recoverability and valued accordingly. Management evaluates the realizability of deferred income tax assets for each jurisdiction in which the Company operates. We record valuation allowances to reduce the carrying value of deferred tax assets to amounts that we expect are more likely than not to be realized.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unrecognized tax benefits provides a recognition threshold and measurement attribute for determining the financial statement tax benefits taken or expected to be taken in a tax return and disclosure requirements regarding uncertainties in income tax positions. The tax position is measured at the largest amount of benefit that is greater than 50% likely of being realized upon ultimate settlement.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assessing the adequacy of a recorded valuation allowance, we consider all positive and negative evidence, including the scheduled reversal of deferred tax liabilities, historical and projected future taxable income, and tax planning strategies. Additionally, significant judgment is required in the identification and measurement of unrecognized tax benefits. Our liability for unrecognized tax benefits contains uncertainties because management is required to make assumptions and to apply judgment to estimate the exposures associated with our various filing positions.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that our judgments and estimates are reasonable, actual results could differ and result in additional tax expense or benefit. If we determine a valuation allowance should be recognized to reduce the carrying value of a deferred tax asset or a liability for an unrecognized tax benefit needs to be recorded, the adjustment would result in a change to tax expense in the period such determination is made. We have not made any material changes in the process we use to assess valuation allowances and unrecognized tax benefits over the last three fiscal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Liabilities are established for environmental and legal contingencies at both the business and corporate levels. A significant amount of judgment and the use of estimates are required to quantify our ultimate exposure in these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 involved in the estimate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Estimates used in the valuations include the probable outcome of such proceedings, the costs and expenses reasonably expected to be incurred and currently accrued to-date and consider the availability and extent of insurance coverage. Such liability balances contain uncertainties due to new developments regarding the facts and circumstances of each proceeding, changes in applicable laws and regulations, and other future events and decisions by third parties that may impact the ultimate resolution of a proceeding.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that the amount accrued to-date is adequate, future changes in circumstances could impact these determinations, and we may be exposed to a material loss. For example, to the extent we prevail in matters for which a liability has been established or are required to pay amounts in excess of our established liability, our contingent liability in a given financial statement period could be materially affected. However, the Company does not believe that it is currently involved in any legal proceedings which, individually or in the aggregate, could have a material effect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 — Description of Business and Summary of Significant Accounting Policies in the consolidated financial statements in Item 8 of this Form 10-K for a discussion of recent accounting pronouncements and recently adopted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7,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section is incorporated by reference to the section, "Financial Instruments and Risk Management", included within the MD&amp;A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ind w:left="1020" w:hanging="609"/>
        <w:spacing w:after="0"/>
        <w:tabs>
          <w:tab w:leader="none" w:pos="1020"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Management's Report on Internal Control Over Financial Reporting</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Report of Independent Registered Public Accounting Firm (PCAOB ID </w:t>
      </w:r>
      <w:r>
        <w:rPr>
          <w:rFonts w:ascii="Times New Roman" w:cs="Times New Roman" w:eastAsia="Times New Roman" w:hAnsi="Times New Roman"/>
          <w:sz w:val="18"/>
          <w:szCs w:val="18"/>
          <w:u w:val="single" w:color="auto"/>
          <w:color w:val="0E32E1"/>
        </w:rPr>
        <w:t>238</w:t>
      </w:r>
      <w:r>
        <w:rPr>
          <w:rFonts w:ascii="Times New Roman" w:cs="Times New Roman" w:eastAsia="Times New Roman" w:hAnsi="Times New Roman"/>
          <w:sz w:val="18"/>
          <w:szCs w:val="18"/>
          <w:u w:val="single" w:color="auto"/>
          <w:color w:val="0000FF"/>
        </w:rPr>
        <w:t>)</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Statements of Earnings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Statements of Comprehensive Earnings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Balance Sheets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Statements of Stockholders' Equity</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Statements of Cash Flows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Notes to Consolidated Financial Statements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1 - Description of Business and Summary of Significant Accounting Policies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2 - Revenue</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3 - Acquisitions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4 - Discontinued and Disposed Operations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5 - Inventories, net</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6 - Property, Plant and Equipment, net</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7 - Leases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8 - Credit Losses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9 - Goodwill and Other Intangible Assets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10 - Other Accrued Expenses and Other Liabilities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11 - Restructuring Activities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12 - Borrowings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13 - Financial Instruments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14 - Income Taxes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15 - Equity and Cash Incentive Program</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16 - Commitments and Contingent Liabilities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17 - Employee Benefit Plans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18 - Accumulated Other Comprehensive Earnings (Loss)</w:t>
      </w:r>
    </w:p>
    <w:p>
      <w:pPr>
        <w:spacing w:after="0" w:line="22" w:lineRule="exact"/>
        <w:rPr>
          <w:rFonts w:ascii="Times New Roman" w:cs="Times New Roman" w:eastAsia="Times New Roman" w:hAnsi="Times New Roman"/>
          <w:sz w:val="18"/>
          <w:szCs w:val="18"/>
          <w:u w:val="single" w:color="auto"/>
          <w:color w:val="0000FF"/>
        </w:rPr>
      </w:pPr>
    </w:p>
    <w:p>
      <w:pPr>
        <w:ind w:left="1020" w:hanging="609"/>
        <w:spacing w:after="0"/>
        <w:tabs>
          <w:tab w:leader="none" w:pos="1020"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Note 19 - Segment Information</w:t>
      </w:r>
    </w:p>
    <w:p>
      <w:pPr>
        <w:spacing w:after="0" w:line="22" w:lineRule="exact"/>
        <w:rPr>
          <w:rFonts w:ascii="Times New Roman" w:cs="Times New Roman" w:eastAsia="Times New Roman" w:hAnsi="Times New Roman"/>
          <w:sz w:val="18"/>
          <w:szCs w:val="18"/>
          <w:u w:val="single" w:color="auto"/>
          <w:color w:val="0000FF"/>
        </w:rPr>
      </w:pPr>
    </w:p>
    <w:p>
      <w:pPr>
        <w:ind w:left="3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100</w:t>
      </w:r>
      <w:r>
        <w:rPr>
          <w:rFonts w:ascii="Times New Roman" w:cs="Times New Roman" w:eastAsia="Times New Roman" w:hAnsi="Times New Roman"/>
          <w:sz w:val="17"/>
          <w:szCs w:val="17"/>
          <w:u w:val="single" w:color="auto"/>
          <w:color w:val="0000FF"/>
        </w:rPr>
        <w:t>Note 20 - Earnings per Share</w:t>
      </w:r>
    </w:p>
    <w:p>
      <w:pPr>
        <w:spacing w:after="0" w:line="22" w:lineRule="exact"/>
        <w:rPr>
          <w:rFonts w:ascii="Times New Roman" w:cs="Times New Roman" w:eastAsia="Times New Roman" w:hAnsi="Times New Roman"/>
          <w:sz w:val="18"/>
          <w:szCs w:val="18"/>
          <w:u w:val="single" w:color="auto"/>
          <w:color w:val="0000FF"/>
        </w:rPr>
      </w:pPr>
    </w:p>
    <w:p>
      <w:pPr>
        <w:ind w:left="3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100</w:t>
      </w:r>
      <w:r>
        <w:rPr>
          <w:rFonts w:ascii="Times New Roman" w:cs="Times New Roman" w:eastAsia="Times New Roman" w:hAnsi="Times New Roman"/>
          <w:sz w:val="17"/>
          <w:szCs w:val="17"/>
          <w:u w:val="single" w:color="auto"/>
          <w:color w:val="0000FF"/>
        </w:rPr>
        <w:t>Note 21 -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 13a-15(f).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December 31, 2025. In making this assessment, the Company's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Based on its assessment under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management concluded that, as of December 31, 2025, the Company's internal control over financial reporting was effective to provide reasonable assurance regarding the reliability of financial reporting and the preparation of financial statements for external purposes in accordance with U.S. GAAP.</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Dover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Dover Corporation and its subsidiaries (the "Company") as of December 31, 2025 and 2024, and the related consolidated statements of earnings, of comprehensive earnings,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1 and 9 to the consolidated financial statements, the Company’s consolidated goodwill balance was $5.43 billion as of December 31, 2025. Management performs a goodwill impairment test annually in the fourth quarter, or more frequently if events or circumstances indicate that goodwill may be impaired, when some portion but not all of a reporting unit is disposed of or classified as assets held for sale, or when a change in the composition of reporting units occurs for other reasons. The quantitative test compares the fair value of a reporting unit with its carrying amount, including goodwill. Management uses an income-based valuation method, determining the present value of estimated future cash flows, to estimate the fair value of a reporting unit. As disclosed by management, the significant assumptions in the fair value analysis of goodwill are the estimated future cash flows, which are primarily driven by forecasted revenue growth rates, EBITDA margins, and the discount rate. These assumptions are developed by management based on the reporting unit’s expected future performance, which considers historical performance.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test is a critical audit matter are (i) the significant judgment by management when developing the fair value estimate of the reporting units and (ii) a high degree of auditor judgment, subjectivity, and effort in performing procedures and evaluating management’s significant assumption related to forecasted revenue growth rates for certain reporting units.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valuation of the reporting units. These procedures also included, among others (i) testing management’s process for developing the fair value estimate of the reporting units; (ii) evaluating the appropriateness of the income-based valuation method; (iii) testing the completeness and accuracy of underlying data used in the income-based valuation method; and (iv) evaluating the reasonableness of the significant assumption used by management related to forecasted revenue growth rates for certain reporting units. Evaluating the reasonableness of management’s assumption related to forecasted revenue growth rates for certain reporting units involved considering (i) the current and prior period performance of those reporting units and (ii) the consistency of those forecasted revenue growth rates with external market and/or industry data.</w:t>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7,684,476</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4,874,402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4,787,288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4,816,932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2,867,544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1,752,266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1,648,204</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1,219,340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1,123,000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179,136</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943,864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112,964</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1,056,828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from discontinued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139,848</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1,056,828</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earnings (loss), net of tax</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gains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r>
      <w:tr>
        <w:trPr>
          <w:trHeight w:val="230"/>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7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$38,237, $(14,996) and $10,438 tax benefit</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4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respectively)</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38,893</w:t>
            </w:r>
          </w:p>
        </w:tc>
      </w:tr>
      <w:tr>
        <w:trPr>
          <w:trHeight w:val="20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Actuarial gains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r>
      <w:tr>
        <w:trPr>
          <w:trHeight w:val="230"/>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gains included in net periodic pension cost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30"/>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(credits) costs included in net periodic pension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7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Settlement and curtailment impact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156"/>
        </w:trPr>
        <w:tc>
          <w:tcPr>
            <w:tcW w:w="7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$(1,297), $1,134 and $3,569 tax</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respectively)</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net (losses) gains arising during period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9"/>
        </w:trPr>
        <w:tc>
          <w:tcPr>
            <w:tcW w:w="7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losses (gains) reclassified into earnings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 (net of $448, $(111) and $(778) tax benefit (provision),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2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28,357</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1,085,185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Receivables, net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3" w:lineRule="exact"/>
        <w:rPr>
          <w:sz w:val="20"/>
          <w:szCs w:val="20"/>
          <w:color w:val="auto"/>
        </w:rPr>
      </w:pPr>
    </w:p>
    <w:p>
      <w:pPr>
        <w:ind w:left="780" w:right="340" w:hanging="323"/>
        <w:spacing w:after="0" w:line="276" w:lineRule="auto"/>
        <w:rPr>
          <w:sz w:val="20"/>
          <w:szCs w:val="20"/>
          <w:color w:val="auto"/>
        </w:rPr>
      </w:pPr>
      <w:r>
        <w:rPr>
          <w:rFonts w:ascii="Times New Roman" w:cs="Times New Roman" w:eastAsia="Times New Roman" w:hAnsi="Times New Roman"/>
          <w:sz w:val="18"/>
          <w:szCs w:val="18"/>
          <w:color w:val="auto"/>
        </w:rPr>
        <w:t>Prepaid and other current assets Total current assets</w:t>
      </w:r>
    </w:p>
    <w:p>
      <w:pPr>
        <w:spacing w:after="0" w:line="1" w:lineRule="exact"/>
        <w:rPr>
          <w:sz w:val="20"/>
          <w:szCs w:val="20"/>
          <w:color w:val="auto"/>
        </w:rPr>
      </w:pPr>
    </w:p>
    <w:p>
      <w:pPr>
        <w:ind w:left="20" w:right="360"/>
        <w:spacing w:after="0" w:line="271" w:lineRule="auto"/>
        <w:rPr>
          <w:sz w:val="20"/>
          <w:szCs w:val="20"/>
          <w:color w:val="auto"/>
        </w:rPr>
      </w:pPr>
      <w:r>
        <w:rPr>
          <w:rFonts w:ascii="Times New Roman" w:cs="Times New Roman" w:eastAsia="Times New Roman" w:hAnsi="Times New Roman"/>
          <w:sz w:val="18"/>
          <w:szCs w:val="18"/>
          <w:b w:val="1"/>
          <w:bCs w:val="1"/>
          <w:color w:val="auto"/>
        </w:rPr>
        <w:t>Property, plant and equipment, net Goodwill</w:t>
      </w:r>
    </w:p>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 w:lineRule="exact"/>
        <w:rPr>
          <w:sz w:val="20"/>
          <w:szCs w:val="20"/>
          <w:color w:val="auto"/>
        </w:rPr>
      </w:pPr>
    </w:p>
    <w:tbl>
      <w:tblPr>
        <w:tblLayout w:type="fixed"/>
        <w:tblInd w:w="330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664"/>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1,676,808</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1,844,877</w:t>
            </w:r>
          </w:p>
        </w:tc>
      </w:tr>
      <w:tr>
        <w:trPr>
          <w:trHeight w:val="230"/>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29"/>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34"/>
        </w:trPr>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140,557</w:t>
            </w:r>
          </w:p>
        </w:tc>
      </w:tr>
      <w:tr>
        <w:trPr>
          <w:trHeight w:val="223"/>
        </w:trPr>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4,506,940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4,484,497</w:t>
            </w:r>
          </w:p>
        </w:tc>
      </w:tr>
      <w:tr>
        <w:trPr>
          <w:trHeight w:val="218"/>
        </w:trPr>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987,924</w:t>
            </w:r>
          </w:p>
        </w:tc>
      </w:tr>
      <w:tr>
        <w:trPr>
          <w:trHeight w:val="230"/>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4,905,702</w:t>
            </w:r>
          </w:p>
        </w:tc>
      </w:tr>
      <w:tr>
        <w:trPr>
          <w:trHeight w:val="229"/>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34"/>
        </w:trPr>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550,183</w:t>
            </w: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13,422,423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-1807845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-1516380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-1225550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-934085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-625475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720"/>
            <w:col w:w="7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400,056</w:t>
            </w:r>
          </w:p>
        </w:tc>
      </w:tr>
      <w:tr>
        <w:trPr>
          <w:trHeight w:val="22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30"/>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292,371</w:t>
            </w:r>
          </w:p>
        </w:tc>
      </w:tr>
      <w:tr>
        <w:trPr>
          <w:trHeight w:val="22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198,629</w:t>
            </w:r>
          </w:p>
        </w:tc>
      </w:tr>
      <w:tr>
        <w:trPr>
          <w:trHeight w:val="230"/>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w:t>
            </w:r>
          </w:p>
        </w:tc>
      </w:tr>
      <w:tr>
        <w:trPr>
          <w:trHeight w:val="230"/>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335,326</w:t>
            </w:r>
          </w:p>
        </w:tc>
      </w:tr>
      <w:tr>
        <w:trPr>
          <w:trHeight w:val="229"/>
        </w:trPr>
        <w:tc>
          <w:tcPr>
            <w:tcW w:w="7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34,187</w:t>
            </w:r>
          </w:p>
        </w:tc>
      </w:tr>
      <w:tr>
        <w:trPr>
          <w:trHeight w:val="223"/>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2,518,489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2,196,527</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2,529,346</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352,006</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6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471,127</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 $100 par value; 100,000 shares authorized; none issued</w:t>
            </w:r>
          </w:p>
        </w:tc>
        <w:tc>
          <w:tcPr>
            <w:tcW w:w="6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 $1 par value; 500,000,000 shares authorized; 260,194,888 and</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260,031,000 shares issued at December 31, 2025 and 2024</w:t>
            </w:r>
          </w:p>
        </w:tc>
        <w:tc>
          <w:tcPr>
            <w:tcW w:w="6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260,195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260,031</w:t>
            </w:r>
          </w:p>
        </w:tc>
      </w:tr>
      <w:tr>
        <w:trPr>
          <w:trHeight w:val="230"/>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r>
      <w:tr>
        <w:trPr>
          <w:trHeight w:val="229"/>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14,220,582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13,409,633</w:t>
            </w:r>
          </w:p>
        </w:tc>
      </w:tr>
      <w:tr>
        <w:trPr>
          <w:trHeight w:val="230"/>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(327,776)</w:t>
            </w:r>
          </w:p>
        </w:tc>
      </w:tr>
      <w:tr>
        <w:trPr>
          <w:trHeight w:val="175"/>
        </w:trPr>
        <w:tc>
          <w:tcPr>
            <w:tcW w:w="7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Treasury stock, at cost: 125,348,563 and 122,814,553 shares at December 31, 2025 and</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7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(7,751,380)</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(7,280,578)</w:t>
            </w:r>
          </w:p>
        </w:tc>
      </w:tr>
      <w:tr>
        <w:trPr>
          <w:trHeight w:val="223"/>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7,405,206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13,422,423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 (Loss)</w:t>
            </w: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10,223,070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(6,797,685)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4,286,366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1,056,828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($2.03 per share)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(284,297)</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(12,137)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awards</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28,357</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259,842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886,690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10,995,624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(237,866)</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(6,797,685)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5,106,605</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2,697,126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($2.05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(283,117)</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41,032</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acquired, including</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accelerated share repurchase program and</w:t>
            </w: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(504,664)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excise tax</w:t>
            </w: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(89,910)</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13,409,633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(7,280,578)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6,953,996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80" w:type="dxa"/>
            <w:vAlign w:val="bottom"/>
            <w:tcBorders>
              <w:top w:val="single" w:sz="8" w:color="CCEEFF"/>
            </w:tcBorders>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1,093,956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1,093,956</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($2.07 per share)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(283,007)</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awards</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43,981</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acquired, including</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accelerated share repurchase program and</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(470,802)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(545,802)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tax</w:t>
            </w: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net of tax</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152,822</w:t>
            </w: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260,195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850,763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14,220,582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(174,954)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(7,751,380)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7,405,206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1,093,956</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2,697,126</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1,056,828</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(earnings) from discontinued operations,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(1,297,158)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(112,964)</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305,046</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30,766</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dispositions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losses on accounts receivable (net of recoveries)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(99,286)</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Employee benefit plan (benefit)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162"/>
        </w:trPr>
        <w:tc>
          <w:tcPr>
            <w:tcW w:w="7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effect of changes in assets and liabilities (excluding effects of acquisitions, dispositions and foreign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100,393</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141,747</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10,738</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(114,198)</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(78,218)</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w:t>
            </w:r>
          </w:p>
        </w:tc>
      </w:tr>
      <w:tr>
        <w:trPr>
          <w:trHeight w:val="213"/>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Contributions to employee benefit plans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(16,098)</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1,338,005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1,087,833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1,219,546</w:t>
            </w:r>
          </w:p>
        </w:tc>
      </w:tr>
      <w:tr>
        <w:trPr>
          <w:trHeight w:val="20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(183,406)</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(663,270)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(533,623)</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dispositions, net of cash transferred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(886,594)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(717,715)</w:t>
            </w:r>
          </w:p>
        </w:tc>
      </w:tr>
      <w:tr>
        <w:trPr>
          <w:trHeight w:val="206"/>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commercial paper and other short-term borrowings,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(267,490)</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(284,297)</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 including payment under accelerated share repurchase program</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to settle employee tax obligations on exercise of share-based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(624,870)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(1,271,673)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(568,056)</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operating activities of discontinued 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116,799</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investing activities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r>
      <w:tr>
        <w:trPr>
          <w:trHeight w:val="20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discontinued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107,884</w:t>
            </w:r>
          </w:p>
        </w:tc>
      </w:tr>
      <w:tr>
        <w:trPr>
          <w:trHeight w:val="151"/>
        </w:trPr>
        <w:tc>
          <w:tcPr>
            <w:tcW w:w="7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 including cash held for sale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34,993</w:t>
            </w:r>
          </w:p>
        </w:tc>
      </w:tr>
      <w:tr>
        <w:trPr>
          <w:trHeight w:val="216"/>
        </w:trPr>
        <w:tc>
          <w:tcPr>
            <w:tcW w:w="71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at beginning of year, including cash held for sale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380,868</w:t>
            </w:r>
          </w:p>
        </w:tc>
      </w:tr>
      <w:tr>
        <w:trPr>
          <w:trHeight w:val="234"/>
        </w:trPr>
        <w:tc>
          <w:tcPr>
            <w:tcW w:w="71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Cash and cash equivalents at end of year, including cash held for sale </w:t>
            </w:r>
            <w:r>
              <w:rPr>
                <w:rFonts w:ascii="Times New Roman" w:cs="Times New Roman" w:eastAsia="Times New Roman" w:hAnsi="Times New Roman"/>
                <w:sz w:val="21"/>
                <w:szCs w:val="21"/>
                <w:b w:val="1"/>
                <w:bCs w:val="1"/>
                <w:color w:val="auto"/>
                <w:vertAlign w:val="superscript"/>
              </w:rPr>
              <w:t>(1)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1,676,808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1,844,877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415,861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71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Supplemental information - cash paid during the year for: </w:t>
            </w:r>
            <w:r>
              <w:rPr>
                <w:rFonts w:ascii="Times New Roman" w:cs="Times New Roman" w:eastAsia="Times New Roman" w:hAnsi="Times New Roman"/>
                <w:sz w:val="21"/>
                <w:szCs w:val="21"/>
                <w:b w:val="1"/>
                <w:bCs w:val="1"/>
                <w:color w:val="auto"/>
                <w:vertAlign w:val="superscript"/>
              </w:rPr>
              <w:t>(2)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307,068</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907,791</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332,192</w:t>
            </w:r>
          </w:p>
        </w:tc>
      </w:tr>
      <w:tr>
        <w:trPr>
          <w:trHeight w:val="21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126,704</w:t>
            </w:r>
          </w:p>
        </w:tc>
      </w:tr>
    </w:tbl>
    <w:p>
      <w:pPr>
        <w:spacing w:after="0" w:line="66"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held for sale as of December 31, 2023 totaled $17,300. There was no cash held for sale as of December 31, 2025 and 2024.</w:t>
      </w:r>
    </w:p>
    <w:p>
      <w:pPr>
        <w:ind w:left="140" w:hanging="132"/>
        <w:spacing w:after="0"/>
        <w:tabs>
          <w:tab w:leader="none" w:pos="14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Supplemental information includes cash paid as part of continuing and discontinued operations.</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180"/>
          </w:cols>
          <w:pgMar w:left="320" w:top="121" w:right="399" w:bottom="1440" w:gutter="0" w:footer="0" w:header="0"/>
        </w:sectPr>
      </w:pPr>
    </w:p>
    <w:p>
      <w:pPr>
        <w:spacing w:after="0" w:line="2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Description of Business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The Company operates through five business segments that are structured around businesses with similar business models, go-to market strategies, product categories and manufacturing practices: Engineered Products, Clean Energy &amp; Fueling, Imaging &amp; Identification, Pumps &amp; Process Solutions and Climate &amp; Sustainability Technologies. For additional information on the Company's segments, see Note 19 — Segment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Intercompany accounts and transactions have been eliminated in consolidation. The results of operations of acquired businesses are included from the dates of acquisitions.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Environmental Solutions Group ("ESG") business, an operating company within the Engineered Products segment, was sold during the fourth quarter of 2024 and reported as discontinued operations. Therefore, the Company has classified the results of operations prior to the sale as discontinued operations in the consolidated statements of earnings and the consolidated statements of cash flows. The discussion in the notes to these consolidated financial statements, unless otherwise noted, relates solely to our continuing operations. See Note 4 — Discontinued and Disposed Operations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including finite-lived intangibles, future cash flows associated with impairment testing for goodwill, indefinite-lived intangible assets and other long-lived assets, deferred tax assets, unrecognized tax benefits, contingencies and purchase price allocations. Actual results may differ from these estimates, although management does not believe such differences would materially affect the consolidated financial statements in any individual year. Estimates and assumptions are periodically reviewed and the effects of changes in these estimates and assumptions are reflected in the consolidated financial statements in the period that they are determined.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and short-term investments, which are highly liquid in nature and have original maturities at the time of purchase of three months or less. The carrying value of cash and cash equivalents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face amounts less an allowance for credit losses. The allowance is an estimate based on historical collection experience, current and future economic and market conditions and a review of the current status of each customer's trade accounts receivable. Management evaluates the aging of the accounts receivable balances and the financial condition of its customers and all other forward-looking information that is reasonably available to estimate the amount of accounts receivable that may not be collected in the future and records the appropriate provision. See Note 8 — Credit Losses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determined on the first-in, first-out ("FIFO") basis, or net realizable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plant and equipment includes the historical cost of land, buildings, machinery and equipment, purchased and internally developed software, finance lease assets and significant improvements to existing plant and equipment or, in the case of acquisitions, the fair value of acquired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Non-Derivative Financial Instruments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derivative and non-derivative financial instruments to hedge its exposures to various risks, including foreign currency exchange rate risk. The Company may designate certain instruments as net investment hedges to hedge the net assets of certain foreign subsidiaries which are exposed to volatility in foreign currency exchange rates.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 Changes in the value of derivatives and non-derivatives designated as net investment hedges are calculated each period using the spot method and are reported in foreign currency translation adjustments within accumulated other comprehensive earnings (loss). Such amounts will remain in accumulated other comprehensive earnings (loss) until the complete or substantially complete liquidation of our investment in the underlying foreign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 Based on its current organizational structure, the Company identified reporting units for which cash flows are determinable and to which goodwill was allocated.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its goodwill impairment test annually in the fourth quarter. 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in the analysis and reflective of market participant assumptions. These forecasts are based on historical performance and future estimated results. The discount rates utilized are based on a capital asset pricing model and published relevant industry rates, which take into consideration the risks and uncertainties inherent to the reporting units and in the internally developed forecasts. See Note 9 — Goodwill and Other Intangible Assets for further discussion of the Company's annual goodwill impairment test and results. No impairment of goodwill was required for the years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 impairment loss. No impairment of indefinite-lived intangible assets was required for the years ended December 31, 2025, 2024, or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with determinable lives primarily consist of customer intangibles, unpatented technologies, patents and trademarks. The other intangible assets are amortized over their estimated useful lives, ranging from 5 to 20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prepared and compared to its carrying value. If an asset group is determined to be impaired, the loss is measured by the excess of the carrying amount of the asset group over its fair value, as determined by an estimate of discounted future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a contract. The Company has operating and finance leases for corporate offices, manufacturing plants, research and development facilities, shared services facilities, vehicle fleets and certain office and manufacturing equipment. Operating lease right-of-use ("ROU") assets are included in other assets and deferred charges and operating lease liabilities are included in other accrued expenses and other liabilities in the consolidated balance sheet. Finance lease ROU assets are included in property, plant and equipment, and the related lease liabilities are included in other accrued expenses and other liabilities in the consolidated balance sheet. Leases with an initial term of 12 months or less are not recorded in the balance sheet.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based on changes in index rates or usage, are not included in the ROU assets or lease liabilities. These are expensed as incurred and recorded as variable lease expense.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during the lease term and lease liabilities represent the Company's obligation to make lease payments arising from the lease. ROU assets and lease liabilities are recognized at the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the commencement date in determining the present value of lease payments. Finance lease agreements include an interest rate that is used to determine the present value of future lease payments. Fixed operating lease expense and finance lease depreciation expense are recognized on a straight-line basis over the lease term.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the collection of receivables due from the Company.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supplier. The agreement between the Company and the SCF financial institution does not require the Company to provide assets pledged as security or other forms of guarantees.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payments related to the SCF program are recorded within accounts payable in our consolidated balance sheets. Amounts due to the SCF financial institutions as of December 31, 2025 and 2024, and the rollforward of our outstanding obligations under the SCF program for the year ended December 31, 2025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Disposition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Invoices confirmed during the period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Confirmed invoices paid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Invoices confirmed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Confirmed invoices paid during the period</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Accruals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40" w:lineRule="exact"/>
        <w:rPr>
          <w:sz w:val="20"/>
          <w:szCs w:val="20"/>
          <w:color w:val="auto"/>
        </w:rPr>
      </w:pPr>
    </w:p>
    <w:p>
      <w:pPr>
        <w:ind w:left="1145" w:hanging="1145"/>
        <w:spacing w:after="0"/>
        <w:tabs>
          <w:tab w:leader="none" w:pos="11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156,245</w:t>
      </w:r>
    </w:p>
    <w:p>
      <w:pPr>
        <w:spacing w:after="0" w:line="27" w:lineRule="exact"/>
        <w:rPr>
          <w:rFonts w:ascii="Times New Roman" w:cs="Times New Roman" w:eastAsia="Times New Roman" w:hAnsi="Times New Roman"/>
          <w:sz w:val="18"/>
          <w:szCs w:val="18"/>
          <w:color w:val="auto"/>
        </w:rPr>
      </w:pPr>
    </w:p>
    <w:p>
      <w:pPr>
        <w:ind w:left="12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w:t>
      </w:r>
    </w:p>
    <w:p>
      <w:pPr>
        <w:spacing w:after="0" w:line="23"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8"/>
          <w:szCs w:val="18"/>
          <w:color w:val="auto"/>
        </w:rPr>
        <w:t>579,481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(575,968)</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156,973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535,867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(574,956)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57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1165" w:hanging="1165"/>
        <w:spacing w:after="0"/>
        <w:tabs>
          <w:tab w:leader="none" w:pos="11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57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57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8715" w:space="720"/>
            <w:col w:w="1805"/>
          </w:cols>
          <w:pgMar w:left="320" w:top="121" w:right="339" w:bottom="1440" w:gutter="0" w:footer="0" w:header="0"/>
          <w:type w:val="continuous"/>
        </w:sectPr>
      </w:pP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takes actions to reduce headcount, close facilities, or otherwise exit operations as considered necessary.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and liabilities of non-U.S. subsidiaries, where the functional currency is not the U.S. dollar, have been translated at year-end exchange rates and profit and loss accounts have been translated using weighted-average monthly exchange 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where applicable.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generated through the manufacture and sale of a broad range of specialized products and components, with revenue recognized upon transfer of control, title and risk of loss, which is generally upon shipment. Service revenue represents approximately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principal awards issued under the Company's stock-based compensation plans include non-qualified stock appreciation rights ("SARs"), restricted stock units ("RSUs") and performance share awards ("PSAs"). The cost for such awards is measured at the grant date based on the fair value of the award. At the time of grant, the Company estimates forfeitures, based on historical experience, in order to estimate the portion of the award that will ultimately vest. The value of the portion of the award that is expected to ultimately vest is recognized as expense on a straight-line basis, generally over the explicit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15 — Equity and Cash Incentive Program for additional information related to the Company's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of the deferred tax benefit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$165,342 in 2025, $149,601 in 2024 and $139,058 in 2023. These costs as a percent of revenue were 2.0% in 2025, 1.9% in 2024 and 1.8% in 2023. Research and development costs are reported within selling, general and administrative expenses in the consolidated statements of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when incurred and amounted to $23,827 in 2025, $23,166 in 2024 and $22,112 in 2023. Advertising costs are reported within selling, general and administrative expenses in the consolidated statements of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Retention, Insurance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insurance policies with deductibles for claims and liabilities related primarily to workers' compensation, health and welfare claims, general liability, product and automobile liability, cybersecurity risks, property damage and business interruption resulting from certain events. The Company accrues for claim exposures that are probable of occurrence and can be reasonably estimated.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accounting standards updates ("ASU"), issued by the Financial Accounting Standards Board ("FASB"), will, or are expected to, result in a change in practice and/or have a financial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provides entities the option of a practical expedient in the estimation of credit losses. The amendments are effective for fiscal years beginning after December 15, 2025, and interim periods within those annual reporting periods. Early adoption is permitted. The Company is currently evaluating this ASU to determine its impact on the Company’s consolidated financial statements. The Company expects to adopt this standard as required beginning first quarter of 2026.</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changes the requirements for when entities may begin capitalizing costs for internal-use software. The amendments are effective for fiscal years beginning after December 15, 2027, and interim reporting periods within those annual reporting periods. Early adoption is permitted as of the beginning of an annual reporting period. The Company is currently evaluating this ASU to determine its impact on the Company’s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The Company adopted the guidance during the fourth quarter of 2025. See Note 14 — Income Taxes for further details.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they best depict the nature and amount of the Company's revenue. See Note 19 — Segment Information for further details.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These contracts require judgment in determining the number of performance obligations.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we estimated that $315,420 in revenue is expected to be recognized in the future related to performance obligations that are unsatisfied (or partially unsatisfied) at the end of the reporting period. We expect to recognize approximately 47.9% of the Company's unsatisfied (or partially unsatisfied) performance obligations as revenue in 2026, 29.0% in 2027, with the remaining balance to be recognized in 2028 and thereafter.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consideration, including variable consideration, from contracts with customers is included in the amounts presented in the preceding paragraph and pertains to contracts with multiple performance obligations, extended warranties on products and multi-year agreements, which are typically recognized as the performance obligation is satisfied.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and are recorded in prepaid and other current assets in the consolidated balance sheets. Contract assets are transferred to receivables when the right to consideration becomes unconditional. Contract liabilities relate to advance consideration received from customers or advance billings for which revenue has not been recognized. Current contract liabilities are recorded in deferred revenue and non-current contract liabilities are recorded in other liabilities in the consolidated balance sheets. Contract liabilities are reduced when the associated revenue from the contract is recognized.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2025 and 2024 that was included in the contract liabilities at the beginning of the respective periods amounted to $188,849 and $182,846,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consolidated statements of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four businesses in separate transactions for total consideration of $665,270, net of cash acquired and inclusive of contingent consideration of $2,000 (a non-cash financing activity) and measurement period adjustments. These businesses were acquired to complement and expand upon existing operations within the Pumps &amp; Process Solutions and Clean Energy &amp; Fueling segments. The goodwill recorded as a result of these acquisitions represents the economic benefits expected to be derived from product line expansions and operational synergies. Goodwill of $16,614 is deductible for income tax purposes and $350,516 is non-deductible for income tax purposes for these acquisitions.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Sikora</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11, 2025, the Company acquired 99.8% of the equity interest in Sikora AG ("Sikora"), a provider of precision measurement, inspection and control solutions for production processes in the wires and cables, hoses, optical fibers and plastic industries for $608,459, net of cash acquired and inclusive of measurement period adjustments. The Sikora acquisition strengthens the Company's offerings in the Pumps &amp; Process Solutions segment. In connection with this acquisition, the Company recorded preliminary goodwill of $340,478 and intangible assets of $219,058 for customer intangibles, $72,942 for unpatented technology and $17,690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 of intangible assets include discounted future cash flows, customer attrition rates and discount rates.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in the Sikora acquisition, based on their estimated fair values at acquisition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7240" w:type="dxa"/>
            <w:vAlign w:val="bottom"/>
            <w:gridSpan w:val="2"/>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DOVER CORPORATION</w:t>
            </w:r>
          </w:p>
        </w:tc>
        <w:tc>
          <w:tcPr>
            <w:tcW w:w="1300" w:type="dxa"/>
            <w:vAlign w:val="bottom"/>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7240" w:type="dxa"/>
            <w:vAlign w:val="bottom"/>
            <w:gridSpan w:val="2"/>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3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7240" w:type="dxa"/>
            <w:vAlign w:val="bottom"/>
            <w:gridSpan w:val="2"/>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data and where otherwise indicated)</w:t>
            </w:r>
          </w:p>
        </w:tc>
        <w:tc>
          <w:tcPr>
            <w:tcW w:w="1300" w:type="dxa"/>
            <w:vAlign w:val="bottom"/>
          </w:tcPr>
          <w:p>
            <w:pPr>
              <w:spacing w:after="0"/>
              <w:rPr>
                <w:sz w:val="20"/>
                <w:szCs w:val="20"/>
                <w:color w:val="auto"/>
              </w:rPr>
            </w:pPr>
          </w:p>
        </w:tc>
      </w:tr>
      <w:tr>
        <w:trPr>
          <w:trHeight w:val="608"/>
        </w:trPr>
        <w:tc>
          <w:tcPr>
            <w:tcW w:w="2700" w:type="dxa"/>
            <w:vAlign w:val="bottom"/>
            <w:tcBorders>
              <w:bottom w:val="single" w:sz="8" w:color="CCEEFF"/>
            </w:tcBorders>
          </w:tcPr>
          <w:p>
            <w:pPr>
              <w:spacing w:after="0"/>
              <w:rPr>
                <w:sz w:val="24"/>
                <w:szCs w:val="24"/>
                <w:color w:val="auto"/>
              </w:rPr>
            </w:pPr>
          </w:p>
        </w:tc>
        <w:tc>
          <w:tcPr>
            <w:tcW w:w="68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6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65,813</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30,318</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340,478</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309,690</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6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(39,526)</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8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(99,108)</w:t>
            </w: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8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608,459</w:t>
            </w:r>
          </w:p>
        </w:tc>
      </w:tr>
      <w:tr>
        <w:trPr>
          <w:trHeight w:val="21"/>
        </w:trPr>
        <w:tc>
          <w:tcPr>
            <w:tcW w:w="27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2025, the Company acquired 100% of the equity interest in Cryogenic Machinery Corp. ("Cryo-Mach"), a provider of cryogenic centrifugal pumps, mechanical seals and accessories, for total consideration of $28,909, net of cash acquired and inclusive of measurement period adjustments. The Cryo-Mach business was acquired to expand the Company's participation in cryogenic applications within the Pumps &amp; Process Solutions segment. In connection with this acquisition, the Company recorded preliminary tax-deductible goodwill of $9,250 and intangible assets of $21,020, primarily related to customer intangibles.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2025, the Company acquired 100% of the equity interest in ipp Pump Products GmbH ("ipp"), a specialized manufacturer of sanitary pump technologies, including hygienic lobe, progressive, and other processing equipment for $16,523, net of cash acquired and inclusive of measurement period adjustments. ipp's products expand the Company's capabilities in critical hygienic applications within the Pumps &amp; Process Solutions segment. In connection with this acquisition, the Company recorded preliminary goodwill of $10,038 and intangible assets of $5,648 related to customer intangibles.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the Company acquired 100% of the equity interest in Site IQ LLC ("SIQ"), an industrial internet of things company with a focus on remote monitoring of fueling sites, for total consideration of $11,379, net of cash acquired and inclusive of contingent consideration and measurement period adjustments. SIQ's hardware and software products expand the Company's ability to deliver a comprehensive solution that brings actionable intelligence and remote hardware service to retailers and service companies within the Clean Energy &amp; Fueling segment. In connection with this acquisition, the Company recorded preliminary tax-deductible goodwill of $7,364 and intangible assets of $4,600 related to unpatented technology.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all 2025 acquisitions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350,516</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242,626</w:t>
            </w:r>
          </w:p>
        </w:tc>
        <w:tc>
          <w:tcPr>
            <w:tcW w:w="2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79,802</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2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708,088</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acquired eight businesses in separate transactions for total consideration of $674,005, net of cash acquired and inclusive of contingent consideration of $38,736 (a non-cash financing activity) and measurement period adjustments. These businesses were acquired to complement and expand upon existing operations within the Clean Energy &amp; Fueling, Engineered Products, Imaging &amp; Identification and Pumps &amp; Process Solutions segments. The goodwill recorded as a result of these acquisitions represents the economic benefits expected to be derived from product line expansions and operational synergies. Goodwill of $14,188 is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$323,063 is non-deductible for income tax purposes for these acquisitions.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2024, the Company acquired 100% of the equity interests in the Marshall Excelsior Company ("MEC"), a supplier of highly-engineered flow control components for transportation, storage, and use in liquefied petroleum gas and other industrial gases, for $395,809, net of cash acquired and inclusive of measurement period adjustments. The MEC acquisition expands the Company's critical flow control capabilities in the Clean Energy &amp; Fueling segment. In connection with this acquisition, the Company recorded goodwill of $187,923 and intangible assets of $194,100, primarily related to customer intangibles.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During the year ended December 31, 2025, the Company recorded additional measurement period adjustments resulting in an increase to the goodwill disclosed above of $4,839.</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for the MEC acquisition,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187,923</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194,100</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(44,852)</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395,809</w:t>
            </w:r>
          </w:p>
        </w:tc>
      </w:tr>
      <w:tr>
        <w:trPr>
          <w:trHeight w:val="21"/>
        </w:trPr>
        <w:tc>
          <w:tcPr>
            <w:tcW w:w="9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acquired 100% of the equity interests in the Transchem Group ("Transchem"), a supplier of car wash chemicals and associated solutions, for $48,241, net of cash acquired and inclusive of contingent consideration and measurement period adjustments.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$25,132 and intangible assets of $26,309,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2024, the Company acquired 100% of the equity interests in Bulloch Technologies, Inc. ("Bulloch"), a provider of point-of-sale ("POS"), forecourt controller and electronic payment server solutions to the convenience retail industry, for $121,917, net of cash acquired and inclusive of contingent consideration and measurement period adjustments. The acquisition of Bulloch expands the Company's offering in North America with highly complementary POS and forecourt solutions within the Clean Energy &amp; Fueling segment. In connection with this acquisition, the Company recorded goodwill of $73,850 and intangible assets of $62,417, primarily related to customer intangibles.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2024, the Company acquired 100% of the equity interests in Demaco Holland B.V. ("Demaco"), a provider of critical flow control components for cryogenic applications used in a wide range of end markets, for $42,556, net of cash acquired and inclusive of contingent consideration and measurement period adjustments. The acquisition of Demaco expands the Company's offering within the Clean Energy &amp; Fueling segment. In connection with this acquisition, the Company recorded goodwill of $23,788 and intangible assets of $20,159, primarily related to customer intangibles.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2024, the Company acquired 100% of the equity interest in Criteria Labs, Inc. ("Criteria Labs"), a provider of radio frequency devices and microelectronic engineering solutions tailored for high-reliability applications, for $14,737, net of cash acquired and inclusive of contingent consideration and measurement period adjustments. The acquisition of Criteria Labs expands the Company's offerings within the Engineered Products segment. In connection with this acquisition, the Company recorded goodwill of $7,252 and intangible assets of $7,900, primarily related to unpatented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2024, the Company acquired 100% of the equity interest in SPS Cryogenics B.V. and Special Gas Systems B.V ("SPS Cryogenics"), a designer, manufacturer, and supplier of vacuum-insulated piping systems for a wide variety of liquefied gases, for $11,080, net of cash acquired and inclusive of measurement period adjustments. The acquisition of SPS Cryogenics expands the Company's presence in Europe with highly complementary offerings within the Clean Energy &amp; Fueling segment. In connection with this acquisition, the Company recorded goodwill of $5,118 and intangible assets of $5,677,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20, 2024, the Company acquired certain assets from Carter Day International, Inc.'s petrochemical division for $33,968, inclusive of contingent consideration. The acquisition of these assets expands the Company's pelletizing-system portfolio of dewatering and drying equipment and includes complementary high-volume dryer technology to offerings in the Pumps &amp; Process Solutions segment. In connection with this acquisition, the Company recorded tax-deductible goodwill of $14,188 and intangible assets of $19,780, primarily related to unpatented technologies and customer intangibles.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other immaterial acquisition was completed during the year ended December 31, 2024, within the Imaging &amp; Identification segment. The acquisition is highly complementary to our existing track and trace solutions business, grows our presence in the European market and adds complementary offerings to our portfolio.</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for the seven acquisitions other than MEC,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278,196</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all 2024 acquisitions were as follows:</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6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20" w:type="dxa"/>
            <w:vAlign w:val="bottom"/>
          </w:tcPr>
          <w:p>
            <w:pPr>
              <w:spacing w:after="0"/>
              <w:rPr>
                <w:sz w:val="24"/>
                <w:szCs w:val="24"/>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43"/>
        </w:trPr>
        <w:tc>
          <w:tcPr>
            <w:tcW w:w="802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deductible</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two businesses in separate transactions for total consideration of $535,290, net of cash acquired and inclusive of contingent consideration. These businesses were acquired to complement and expand upon existing operations within the Pumps</w:t>
      </w:r>
    </w:p>
    <w:p>
      <w:pPr>
        <w:jc w:val="both"/>
        <w:ind w:firstLine="8"/>
        <w:spacing w:after="0" w:line="255" w:lineRule="auto"/>
        <w:tabs>
          <w:tab w:leader="none" w:pos="1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Solutions and Climate &amp; Sustainability Technologies segments. The goodwill recorded as a result of these acquisitions represents the economic benefits expected to be derived from product line expansions and operational synergies. Goodwill of $224,771 is deductible for income tax purposes and $2,990 is non-deductible for income tax purposes for these acquisitions.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FW Murphy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4, 2023, the Company acquired 100% of the assets, and assumed certain liabilities, of the FW Murphy Production Controls business ("FW Murphy"), a provider of control and optimization solutions for the reciprocating compression industry, for $526,457. The FW Murphy acquisition strengthens the Company's position in compression technologies for natural gas and clean energy applications, and adds complementary offerings within the Pumps &amp; Process Solutions segment. In connection with this acquisition, the Company recorded goodwill of $224,771 and intangible assets of $254,000 for customer intangibles, $11,100 for unpatented technology and $10,400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in the FW Murphy acquisition, based on their estimated fair values at acquisition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26,564</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224,771</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275,500</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526,457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2023, the Company acquired 100% of the equity interest in the Arc Pacific group ("Arc Pacific"), a global supplier of can washers, dry-off, pin and internal bake ovens for the metal packaging industry, for $8,833, net of cash acquired and inclusive of contingent consideration. The Arc Pacific acquisition extends the Company's reach into can processing equipment production within the Climate &amp; Sustainability Technologies segment. In connection with this acquisition, the Company recorded goodwill of $2,990 and intangible assets of $7,670, primarily related to customer intangibles.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all 2023 acquisitions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Useful Life (in</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deductible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224,771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Unpatented technology</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510,931</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Discontinued and Disposed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evaluates Dover's businesses periodically for their strategic fit within its operations and may from time to time sell or discontinue certain operations for various reasons.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to Terex Corporation for total consideration, net of cash transferred, of $2.0 billion.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consolidated statements of earnings and in the consolidated statements of cash flows for the years ended December 31, 2025, 2024, and 2023. For the year ended December 31, 2024, this sale resulted in a preliminary pre-tax gain on disposition of $1.6 billion ($1.2 billion after-tax), included within earnings from discontinued operations, net in the consolidated statements of earnings. For the year ended December 31, 2025, net working capital adjustments of $9,796 ($7,739 after-tax), other post-closing adjustments of $3,866 ($3,066 after-tax), and a tax benefit of $7,332 related to the final accrual on the disposition gain were recorded resulting in a loss from discontinued operations, net of $3,473 in the consolidated statements of earnings.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a jury returned a verdict against the ESG business for approximately $58.9 million in connection with litigation involving alleged breach of contract and inducement of breach of fiduciary duty claims arising from certain product development efforts. ESG has filed post-trial motions and, if necessary, will file an appeal with the U.S. Court of Appeals for the Seventh Circuit. The Company has not recognized an expense in connection with this matter because it does not currently believe a loss is probable.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Summarized results of the Company's discontinued operations are as follows: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58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753,658</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0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536,569</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70,086</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147,003</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disposition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5"/>
        </w:trPr>
        <w:tc>
          <w:tcPr>
            <w:tcW w:w="58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 discontinued operations before provision for income</w:t>
            </w: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147,006</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34,042</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1,297,158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112,964</w:t>
            </w:r>
          </w:p>
        </w:tc>
      </w:tr>
      <w:tr>
        <w:trPr>
          <w:trHeight w:val="20"/>
        </w:trPr>
        <w:tc>
          <w:tcPr>
            <w:tcW w:w="5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the results of the ESG business through the date of disposition on October 8th, 2024.</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73" w:lineRule="exact"/>
        <w:rPr>
          <w:rFonts w:ascii="Times New Roman" w:cs="Times New Roman" w:eastAsia="Times New Roman" w:hAnsi="Times New Roman"/>
          <w:sz w:val="19"/>
          <w:szCs w:val="19"/>
          <w:color w:val="auto"/>
          <w:vertAlign w:val="superscript"/>
        </w:rPr>
      </w:pPr>
    </w:p>
    <w:p>
      <w:pPr>
        <w:ind w:left="53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Dispositions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dispositions in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$675,885. This sale resulted in a pre-tax gain on disposition of $530,349 ($415,376 after-tax) included within the consolidated statements of earnings for the year ended December 31, 2024. The sale did not meet the criteria to be classified as a discontinued operation, as it did not represent a strategic shift that would have a major effect on operations and financial results.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2024, a minority owned equity method investment held within the Climate &amp; Sustainability Technologies segment was sold and the Company received its proportionate share of the proceeds amounting to $92,962. The sale resulted in pre-tax gain of $67,449 ($47,008 after-tax) and included within the consolidated statements of earnings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Dispositions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one immaterial disposition in 2023.</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649,993</w:t>
            </w:r>
          </w:p>
        </w:tc>
        <w:tc>
          <w:tcPr>
            <w:tcW w:w="0" w:type="dxa"/>
            <w:vAlign w:val="bottom"/>
          </w:tcPr>
          <w:p>
            <w:pPr>
              <w:spacing w:after="0"/>
              <w:rPr>
                <w:sz w:val="1"/>
                <w:szCs w:val="1"/>
                <w:color w:val="auto"/>
              </w:rPr>
            </w:pPr>
          </w:p>
        </w:tc>
      </w:tr>
      <w:tr>
        <w:trPr>
          <w:trHeight w:val="230"/>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233,544</w:t>
            </w:r>
          </w:p>
        </w:tc>
        <w:tc>
          <w:tcPr>
            <w:tcW w:w="0" w:type="dxa"/>
            <w:vAlign w:val="bottom"/>
          </w:tcPr>
          <w:p>
            <w:pPr>
              <w:spacing w:after="0"/>
              <w:rPr>
                <w:sz w:val="1"/>
                <w:szCs w:val="1"/>
                <w:color w:val="auto"/>
              </w:rPr>
            </w:pPr>
          </w:p>
        </w:tc>
      </w:tr>
      <w:tr>
        <w:trPr>
          <w:trHeight w:val="229"/>
        </w:trPr>
        <w:tc>
          <w:tcPr>
            <w:tcW w:w="7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23"/>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1,274,162</w:t>
            </w:r>
          </w:p>
        </w:tc>
        <w:tc>
          <w:tcPr>
            <w:tcW w:w="0" w:type="dxa"/>
            <w:vAlign w:val="bottom"/>
          </w:tcPr>
          <w:p>
            <w:pPr>
              <w:spacing w:after="0"/>
              <w:rPr>
                <w:sz w:val="1"/>
                <w:szCs w:val="1"/>
                <w:color w:val="auto"/>
              </w:rPr>
            </w:pPr>
          </w:p>
        </w:tc>
      </w:tr>
      <w:tr>
        <w:trPr>
          <w:trHeight w:val="229"/>
        </w:trPr>
        <w:tc>
          <w:tcPr>
            <w:tcW w:w="7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(129,324)</w:t>
            </w:r>
          </w:p>
        </w:tc>
        <w:tc>
          <w:tcPr>
            <w:tcW w:w="0" w:type="dxa"/>
            <w:vAlign w:val="bottom"/>
          </w:tcPr>
          <w:p>
            <w:pPr>
              <w:spacing w:after="0"/>
              <w:rPr>
                <w:sz w:val="1"/>
                <w:szCs w:val="1"/>
                <w:color w:val="auto"/>
              </w:rPr>
            </w:pPr>
          </w:p>
        </w:tc>
      </w:tr>
      <w:tr>
        <w:trPr>
          <w:trHeight w:val="223"/>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1,144,838</w:t>
            </w:r>
          </w:p>
        </w:tc>
        <w:tc>
          <w:tcPr>
            <w:tcW w:w="0" w:type="dxa"/>
            <w:vAlign w:val="bottom"/>
          </w:tcPr>
          <w:p>
            <w:pPr>
              <w:spacing w:after="0"/>
              <w:rPr>
                <w:sz w:val="1"/>
                <w:szCs w:val="1"/>
                <w:color w:val="auto"/>
              </w:rPr>
            </w:pPr>
          </w:p>
        </w:tc>
      </w:tr>
      <w:tr>
        <w:trPr>
          <w:trHeight w:val="21"/>
        </w:trPr>
        <w:tc>
          <w:tcPr>
            <w:tcW w:w="7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1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30"/>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626,075</w:t>
            </w:r>
          </w:p>
        </w:tc>
        <w:tc>
          <w:tcPr>
            <w:tcW w:w="0" w:type="dxa"/>
            <w:vAlign w:val="bottom"/>
          </w:tcPr>
          <w:p>
            <w:pPr>
              <w:spacing w:after="0"/>
              <w:rPr>
                <w:sz w:val="1"/>
                <w:szCs w:val="1"/>
                <w:color w:val="auto"/>
              </w:rPr>
            </w:pPr>
          </w:p>
        </w:tc>
      </w:tr>
      <w:tr>
        <w:trPr>
          <w:trHeight w:val="230"/>
        </w:trPr>
        <w:tc>
          <w:tcPr>
            <w:tcW w:w="7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1,945,479</w:t>
            </w:r>
          </w:p>
        </w:tc>
        <w:tc>
          <w:tcPr>
            <w:tcW w:w="0" w:type="dxa"/>
            <w:vAlign w:val="bottom"/>
          </w:tcPr>
          <w:p>
            <w:pPr>
              <w:spacing w:after="0"/>
              <w:rPr>
                <w:sz w:val="1"/>
                <w:szCs w:val="1"/>
                <w:color w:val="auto"/>
              </w:rPr>
            </w:pPr>
          </w:p>
        </w:tc>
      </w:tr>
      <w:tr>
        <w:trPr>
          <w:trHeight w:val="223"/>
        </w:trPr>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2,944,555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2,633,824</w:t>
            </w:r>
          </w:p>
        </w:tc>
        <w:tc>
          <w:tcPr>
            <w:tcW w:w="0" w:type="dxa"/>
            <w:vAlign w:val="bottom"/>
          </w:tcPr>
          <w:p>
            <w:pPr>
              <w:spacing w:after="0"/>
              <w:rPr>
                <w:sz w:val="1"/>
                <w:szCs w:val="1"/>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(1,645,900)</w:t>
            </w:r>
          </w:p>
        </w:tc>
        <w:tc>
          <w:tcPr>
            <w:tcW w:w="0" w:type="dxa"/>
            <w:vAlign w:val="bottom"/>
          </w:tcPr>
          <w:p>
            <w:pPr>
              <w:spacing w:after="0"/>
              <w:rPr>
                <w:sz w:val="1"/>
                <w:szCs w:val="1"/>
                <w:color w:val="auto"/>
              </w:rPr>
            </w:pPr>
          </w:p>
        </w:tc>
      </w:tr>
      <w:tr>
        <w:trPr>
          <w:trHeight w:val="223"/>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$169,251, $154,449 and $151,271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ROU assets and lease liabilities are discussed in Note 1 — Description of Business and Summary of Significant Accounting Policies.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65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2"/>
                <w:szCs w:val="22"/>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66,752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57,409</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21,718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r>
      <w:tr>
        <w:trPr>
          <w:trHeight w:val="248"/>
        </w:trPr>
        <w:tc>
          <w:tcPr>
            <w:tcW w:w="65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cost and sublease income were immaterial.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65,302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48,143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51,340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3"/>
        </w:trPr>
        <w:tc>
          <w:tcPr>
            <w:tcW w:w="7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1"/>
                <w:szCs w:val="21"/>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208,379</w:t>
            </w:r>
          </w:p>
        </w:tc>
      </w:tr>
      <w:tr>
        <w:trPr>
          <w:trHeight w:val="196"/>
        </w:trPr>
        <w:tc>
          <w:tcPr>
            <w:tcW w:w="7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w:t>
            </w:r>
          </w:p>
        </w:tc>
      </w:tr>
      <w:tr>
        <w:trPr>
          <w:trHeight w:val="23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174,905</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224,551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3"/>
        </w:trPr>
        <w:tc>
          <w:tcPr>
            <w:tcW w:w="7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1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196"/>
        </w:trPr>
        <w:tc>
          <w:tcPr>
            <w:tcW w:w="7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30"/>
        </w:trPr>
        <w:tc>
          <w:tcPr>
            <w:tcW w:w="7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8"/>
        <w:spacing w:after="0"/>
        <w:tabs>
          <w:tab w:leader="none" w:pos="171"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Finance lease right-of-use assets are recorded net of accumulated depreciation of $16,924 and $12,378 for the years ended December 31, 2025 and December 31, 2024,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December 31, 2025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Average lease terms and discount rates were as follows:</w:t>
            </w: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4"/>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estimated amount of accounts receivable that may not be collected is based on aging of the accounts receivable balances and other historical and forward-looking information on the financial condition of the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dispositions and foreign currency translation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operating segments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2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Identification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Process Solutions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4,708,125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Accumulated impairment loss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4,637,564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367,130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152,717</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5,430,038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Accumulated impairment loss as of December 31, 2025 is not subject to foreign currency translation.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and 2024, the Company recognized additions of $367,130 and $337,251, respectively, to goodwill as a result of acquisitions as discussed in Note 3 — Acquisitions. During the year ended December 31, 2025, the Company recorded measurement period adjustments that increased goodwill by $4,489 primarily related to the MEC acquisition in the third quarter of 2024 under the Clean Energy &amp; Fueling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impairment testing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tests goodwill for impairment annually in the fourth quarter of each year, whenever events or circumstances indicate an impairment may have occurred, or when a change in the composition of reporting units occurs for other reasons, such as a change in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its annual goodwill impairment test during the fourth quarter of 2025 using a discounted cash flow analysis as discussed in Note 1</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Description of Business and Summary of Significant Accounting Policies. The Company performed a quantitative goodwill impairment test for each of its reporting units, concluding that the fair values of all of its reporting units were in excess of their carrying values. No impairment of goodwill was required. The discounted cash flow analysis includes management's current assumptions as to future cash flows and long-term growth rates. The discount rates utilized are based on a capital asset pricing model and published relevant industry rates, which take into consideration the risks and uncertainties inherent to the reporting units and in the internally developed forecasts. The discount rate used in the 2025 reporting unit valuations was 9.8%. Further, the Company assessed the current market capitalization, forecasts and the amount of headroom in the 2025 impairment test.</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the Company believes the assumptions used in the 2025 impairment analysis are reasonable and representative of expected results, actual results may differ from expectations.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69"/>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9"/>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1,169,628</w:t>
            </w:r>
          </w:p>
        </w:tc>
      </w:tr>
      <w:tr>
        <w:trPr>
          <w:trHeight w:val="229"/>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126,471</w:t>
            </w:r>
          </w:p>
        </w:tc>
      </w:tr>
      <w:tr>
        <w:trPr>
          <w:trHeight w:val="230"/>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w:t>
            </w:r>
          </w:p>
        </w:tc>
      </w:tr>
      <w:tr>
        <w:trPr>
          <w:trHeight w:val="229"/>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108,635</w:t>
            </w:r>
          </w:p>
        </w:tc>
      </w:tr>
      <w:tr>
        <w:trPr>
          <w:trHeight w:val="229"/>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r>
      <w:tr>
        <w:trPr>
          <w:trHeight w:val="230"/>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1,484,377</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$340,958 of acquired intangible assets in 2025. See Note 3 — Acquisitions for further information.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amortization expense was $210,326, $183,393 and $153,775 respectively. Amortization expense is primarily comprised of acquisition-related intangible amortization.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held at December 31, 2025 for the next five years is as follows:</w:t>
            </w:r>
          </w:p>
        </w:tc>
        <w:tc>
          <w:tcPr>
            <w:tcW w:w="1760" w:type="dxa"/>
            <w:vAlign w:val="bottom"/>
          </w:tcPr>
          <w:p>
            <w:pPr>
              <w:spacing w:after="0"/>
              <w:rPr>
                <w:sz w:val="20"/>
                <w:szCs w:val="20"/>
                <w:color w:val="auto"/>
              </w:rPr>
            </w:pPr>
          </w:p>
        </w:tc>
      </w:tr>
      <w:tr>
        <w:trPr>
          <w:trHeight w:val="256"/>
        </w:trPr>
        <w:tc>
          <w:tcPr>
            <w:tcW w:w="3840" w:type="dxa"/>
            <w:vAlign w:val="bottom"/>
            <w:tcBorders>
              <w:bottom w:val="single" w:sz="8" w:color="CCEEFF"/>
            </w:tcBorders>
          </w:tcPr>
          <w:p>
            <w:pPr>
              <w:spacing w:after="0"/>
              <w:rPr>
                <w:sz w:val="22"/>
                <w:szCs w:val="22"/>
                <w:color w:val="auto"/>
              </w:rPr>
            </w:pPr>
          </w:p>
        </w:tc>
        <w:tc>
          <w:tcPr>
            <w:tcW w:w="34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4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221,952</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215,867</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182,961</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171,082</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161,970</w:t>
            </w:r>
          </w:p>
        </w:tc>
      </w:tr>
      <w:tr>
        <w:trPr>
          <w:trHeight w:val="51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Other Accrued Expenses and Other Liabilities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8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details the major components of other accrued expenses: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6"/>
        </w:trPr>
        <w:tc>
          <w:tcPr>
            <w:tcW w:w="38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2"/>
                <w:szCs w:val="22"/>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rebates and volume discounts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w:t>
            </w:r>
          </w:p>
        </w:tc>
      </w:tr>
      <w:tr>
        <w:trPr>
          <w:trHeight w:val="22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w:t>
            </w:r>
          </w:p>
        </w:tc>
      </w:tr>
      <w:tr>
        <w:trPr>
          <w:trHeight w:val="27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39,486</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36,503</w:t>
            </w: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exit costs</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 (non-employee)</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r>
      <w:tr>
        <w:trPr>
          <w:trHeight w:val="230"/>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106,295</w:t>
            </w:r>
          </w:p>
        </w:tc>
      </w:tr>
      <w:tr>
        <w:trPr>
          <w:trHeight w:val="24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the major components of other liabilities (non-current):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7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2"/>
                <w:szCs w:val="22"/>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and other postretirement benefit plans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87,019</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environmental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warranty program claims are provided for at the time of sale. Amounts provided for are based on historical costs and adjusted for new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product warranties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11"/>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(52,562)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11. Restructuring Activities</w:t>
            </w:r>
          </w:p>
        </w:tc>
        <w:tc>
          <w:tcPr>
            <w:tcW w:w="45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120" w:type="dxa"/>
            <w:vAlign w:val="bottom"/>
            <w:tcBorders>
              <w:bottom w:val="single" w:sz="8" w:color="auto"/>
            </w:tcBorders>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10"/>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992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consolidated statements of earnings as follows:</w:t>
            </w: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32,092</w:t>
            </w:r>
          </w:p>
        </w:tc>
        <w:tc>
          <w:tcPr>
            <w:tcW w:w="28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31,817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restructuring expenses of $56,743 incurred during the year ended December 31, 2025 were primarily related to exit costs and headcount reductions across all segments, most notably within the Climate &amp; Sustainability Technologies and Clean Energy &amp; Fueling segments. These restructuring programs were initiated in 2024 and 2025 and the Company will continue to make proactive adjustments to its cost structure to align with current demand trends. Additional programs, beyond the scope of the announced programs, may be implemented during 2026 with related restructuring charges.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expenses incurred in 2024 and 2023 were primarily comprised of headcount reductions and product line and other exit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6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40" w:type="dxa"/>
            <w:vAlign w:val="bottom"/>
          </w:tcPr>
          <w:p>
            <w:pPr>
              <w:spacing w:after="0"/>
              <w:rPr>
                <w:sz w:val="22"/>
                <w:szCs w:val="22"/>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Exit</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(41,043)</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40,893</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69,810</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(43,995)</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(27,634)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w:t>
            </w:r>
          </w:p>
        </w:tc>
      </w:tr>
      <w:tr>
        <w:trPr>
          <w:trHeight w:val="22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3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56,743</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(16,090)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r>
      <w:tr>
        <w:trPr>
          <w:trHeight w:val="248"/>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Exit reserves activity includes non-cash asset charges related to a product line exit within the Climate &amp; Sustainability Technologies segment.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accrual balances at December 31, 2025 primarily reflect restructuring plans initiated during the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12. Borrowings</w:t>
            </w: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2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 and current portion of long-term debt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4"/>
                <w:szCs w:val="14"/>
                <w:color w:val="auto"/>
              </w:rPr>
            </w:pPr>
          </w:p>
        </w:tc>
        <w:tc>
          <w:tcPr>
            <w:tcW w:w="1400" w:type="dxa"/>
            <w:vAlign w:val="bottom"/>
            <w:gridSpan w:val="4"/>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4"/>
                <w:szCs w:val="14"/>
                <w:color w:val="auto"/>
              </w:rPr>
            </w:pPr>
          </w:p>
        </w:tc>
        <w:tc>
          <w:tcPr>
            <w:tcW w:w="13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10-year notes due November 15,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10-year notes due November 9, 2026 (euro-denominated)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622,313</w:t>
            </w:r>
          </w:p>
        </w:tc>
        <w:tc>
          <w:tcPr>
            <w:tcW w:w="0" w:type="dxa"/>
            <w:vAlign w:val="bottom"/>
          </w:tcPr>
          <w:p>
            <w:pPr>
              <w:spacing w:after="0"/>
              <w:rPr>
                <w:sz w:val="1"/>
                <w:szCs w:val="1"/>
                <w:color w:val="auto"/>
              </w:rPr>
            </w:pPr>
          </w:p>
        </w:tc>
      </w:tr>
      <w:tr>
        <w:trPr>
          <w:trHeight w:val="22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588,082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517,863</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6.65%</w:t>
            </w: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30-year debentures due June 1, 2028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199,657</w:t>
            </w:r>
          </w:p>
        </w:tc>
        <w:tc>
          <w:tcPr>
            <w:tcW w:w="0" w:type="dxa"/>
            <w:vAlign w:val="bottom"/>
          </w:tcPr>
          <w:p>
            <w:pPr>
              <w:spacing w:after="0"/>
              <w:rPr>
                <w:sz w:val="1"/>
                <w:szCs w:val="1"/>
                <w:color w:val="auto"/>
              </w:rPr>
            </w:pPr>
          </w:p>
        </w:tc>
      </w:tr>
      <w:tr>
        <w:trPr>
          <w:trHeight w:val="230"/>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298,166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w:t>
            </w: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8-year notes due November 12, 2033 (euro-denominated)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297,308</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30-year notes due March 15, 2038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345,810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345,534</w:t>
            </w:r>
          </w:p>
        </w:tc>
        <w:tc>
          <w:tcPr>
            <w:tcW w:w="0" w:type="dxa"/>
            <w:vAlign w:val="bottom"/>
          </w:tcPr>
          <w:p>
            <w:pPr>
              <w:spacing w:after="0"/>
              <w:rPr>
                <w:sz w:val="1"/>
                <w:szCs w:val="1"/>
                <w:color w:val="auto"/>
              </w:rPr>
            </w:pPr>
          </w:p>
        </w:tc>
      </w:tr>
      <w:tr>
        <w:trPr>
          <w:trHeight w:val="223"/>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2,928,757</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8"/>
        <w:spacing w:after="0" w:line="511" w:lineRule="auto"/>
        <w:tabs>
          <w:tab w:leader="none" w:pos="162"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Carrying amount is net of unamortized debt discount and deferred debt issuance costs. Total unamortized debt discounts were $8.6 million and $8.5 million as of December 31, 2025 and December 31, 2024, respectively. Total deferred debt issuance costs were $9.7 million and $6.8 million as of December 31, 2025 and December 31, 2024, respectively.</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2025, the Company issued €550,000 of 3.50% euro-denominated notes due 2033 ("2033 Notes"). The proceeds of €546,552 from the issuance of the 2033 Notes, net of discounts and issuance costs, were used for general corporate purposes.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15, 2025, the outstanding 3.150% notes with a principal value of $400,000 matured. The repayment of the notes at maturity was funded by the Company's existing cash balances.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2023, the Company entered into a $1.0 billion five-year unsecured revolving credit facility and on April 3, 2025, the Company entered into a new $500.0 million 364-day unsecured revolving credit facility (together, the "Credit Agreements") with a syndicate of banks. The current 364-day credit facility replaced the previous $500.0 million 364-day credit facility, which expired on April 3, 2025. The lenders' commitments under the Credit Agreements will terminate and any outstanding loans under the Credit Agreements will mature on April 6, 2028 and April 2, 2026, respectively. The Company may elect to extend the maturity date of any loans under the new 364-day credit facility until April 2, 2027,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December 31, 2025 and December 31, 2024, there were no outstanding borrowings under the five-year, previous or current 364-day credit facilities.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December 31, 2025 and had an interest coverage ratio of consolidated EBITDA to consolidated net interest expense of 48.8 to 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the future maturities of long-term debt were as follows:</w:t>
            </w:r>
          </w:p>
        </w:tc>
        <w:tc>
          <w:tcPr>
            <w:tcW w:w="3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7"/>
        </w:trPr>
        <w:tc>
          <w:tcPr>
            <w:tcW w:w="88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Future Maturities</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707,714</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589,762</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1,548,738</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3,346,214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other Guarantees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approximately $230.0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2025 and 2024, the Company had contracts with total notional amounts of $153,765 and $142,835, respectively, to exchange currencies, principally euro, pound sterling, Swedish krona, Canadian dollar, Chinese yuan, and Swiss franc. The Company believes it is probable that all forecasted cash flow transactions will occur.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$74,403 and $75,784 as of December 31, 2025 and December 31, 2024,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December 31, 2025 and 2024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42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earnings (loss), net of tax as a separate component of the consolidated statements of stockholders' equity and is reclassified into revenues or cost of goods and services in the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derivative and non-derivative instruments as net investment hedges to hedge the net assets of certain foreign subsidiaries which are exposed to volatility in foreign currency exchange rates. The Company has designated the €600,000, €500,000, and €550,000 of euro-denominated notes issued November 9, 2016, November 4, 2019, and November 12, 2025, respectively, as hedges of its net investment in euro-denominated operations. In May of 2025, the Company entered into a €550,000 currency forward contract designated as a net investment hedge for the duration of the contract. The forward contract settled in December of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value of the euro-denominated debt and currency forward contract, which are calculated using the spot method, are recognized in foreign currency translation adjustments within other comprehensive earnings (loss) in the consolidated statements of comprehensive earnings. These changes in fair value of the euro-denominated debt and currency forward contract resulting from exchange rate differences are offset by changes in the net investment due to the high degree of effectiveness between the hedging instruments and the exposure being hedged.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euro-denominated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currency forward contract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net investment hedges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December 31, 2025 and 2024:</w:t>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19685</wp:posOffset>
            </wp:positionV>
            <wp:extent cx="1311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Level 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13544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p>
      <w:pPr>
        <w:spacing w:after="0" w:line="31" w:lineRule="exact"/>
        <w:rPr>
          <w:sz w:val="20"/>
          <w:szCs w:val="20"/>
          <w:color w:val="auto"/>
        </w:rPr>
      </w:pPr>
    </w:p>
    <w:p>
      <w:pPr>
        <w:sectPr>
          <w:pgSz w:w="11900" w:h="16838" w:orient="portrait"/>
          <w:cols w:equalWidth="0" w:num="2">
            <w:col w:w="8720" w:space="720"/>
            <w:col w:w="1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4"/>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9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December 31, 2025 and 2024 was $2,652,750 and $2,492,535,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short-term borrowings and current portion of long-term debt approximate their fair values as of December 31, 2025 and 2024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Income Taxes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Income taxes have been based on the following components of earnings before provision for income taxes and discontinued operations in the consolidated statements of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608,423</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514,577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1,123,000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related to continuing operations for the years ended December 31, 2025, 2024 and 2023 is comprised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114,195</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r>
      <w:tr>
        <w:trPr>
          <w:trHeight w:val="229"/>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143,216</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271,341</w:t>
            </w:r>
          </w:p>
        </w:tc>
      </w:tr>
      <w:tr>
        <w:trPr>
          <w:trHeight w:val="20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(28,471)</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(67,781)</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(92,205)</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Effective January 1, 2025, the Company adopted ASU No. 2023-09, Income Taxes (Topic 740): Improvements to Income Taxes Disclosures prospectively. The following table is a reconciliation of the U.S. federal statutory rate of 21% to the Company’s effective rate for the year ended December 31, 2025 in accordance with the guidance in ASU No. 2023-09: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9"/>
                <w:szCs w:val="19"/>
                <w:color w:val="auto"/>
              </w:rPr>
            </w:pPr>
          </w:p>
        </w:tc>
      </w:tr>
      <w:tr>
        <w:trPr>
          <w:trHeight w:val="223"/>
        </w:trPr>
        <w:tc>
          <w:tcPr>
            <w:tcW w:w="8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288,578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taxes, net of federal income tax benefit</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jurisdictions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Enactment of new tax laws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loss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State taxes in California, Illinois, Michigan, Minnesota, New Hampshire, and Pennsylvania comprised greater than 50% of the tax effect in this category.</w:t>
      </w:r>
    </w:p>
    <w:p>
      <w:pPr>
        <w:spacing w:after="0" w:line="2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is a reconciliation of the U.S. federal statutory rate of 21% to the Company’s effective rate for the years ended December 31, 2024 and 2023 in accordance with the guidance prior to the adoption of ASU No. 2023-09:</w:t>
      </w:r>
    </w:p>
    <w:p>
      <w:pPr>
        <w:spacing w:after="0" w:line="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income tax benefit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operations tax effect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awards</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resolutions</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0"/>
        </w:trPr>
        <w:tc>
          <w:tcPr>
            <w:tcW w:w="8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postretirement and other employee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311,043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31,583</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 warranty and environmental costs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51,837</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542,652</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(198,082)</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344,570</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(440,946)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(580,204)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as follows in the Consolidated Balance Sheets: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116,372</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(352,006)</w:t>
            </w:r>
          </w:p>
        </w:tc>
      </w:tr>
      <w:tr>
        <w:trPr>
          <w:trHeight w:val="223"/>
        </w:trPr>
        <w:tc>
          <w:tcPr>
            <w:tcW w:w="7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(235,634)</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$304,941 of deferred tax assets recorded related to non-U.S. tax loss carryforwards primarily resulting from non-operating activities and tax credit carryforwards. The non-U.S. losses and credits as of December 31, 2025 are available to be carried forward, with $122,742 expiring during the years 2026 through 2045, and the remaining $182,199 carried forward indefinitely.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$81,922 of deferred tax assets recorded related to U.S. federal and state tax loss and tax credit carryforwards. The U.S. federal and state tax losses and credits as of December 31, 2025 are available to be carried forward, with $78,970 expiring during the years 2026 through 2045, and the remaining $2,952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maintains valuation allowances by jurisdiction against the deferred tax assets related to certain of these carryforwards for which it is more likely than not that some portion or all will not be realized. The following table is a reconciliation of the beginning and ending balances of the Company's valuation allowance on deferred tax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271,203</w:t>
            </w: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w:t>
            </w: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209,931</w:t>
            </w: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27,192</w:t>
            </w:r>
          </w:p>
        </w:tc>
      </w:tr>
      <w:tr>
        <w:trPr>
          <w:trHeight w:val="230"/>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Reductions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(39,041)</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198,082</w:t>
            </w: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25,027</w:t>
            </w: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209,948</w:t>
            </w:r>
          </w:p>
        </w:tc>
      </w:tr>
      <w:tr>
        <w:trPr>
          <w:trHeight w:val="21"/>
        </w:trPr>
        <w:tc>
          <w:tcPr>
            <w:tcW w:w="9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U.S federal, state, local and non-U.S.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All significant U.S. federal, state, local and non-U.S. matters have been concluded through 2022. The Company believes adequate provision has been made for all income tax uncertainties.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the beginning and ending balances of the Company's unrecognized tax benefits: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9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at January 1,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28,186</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29"/>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at December 31, 2023</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r>
      <w:tr>
        <w:trPr>
          <w:trHeight w:val="223"/>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33,688</w:t>
            </w: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at December 31, 2024</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w:t>
            </w:r>
          </w:p>
        </w:tc>
      </w:tr>
      <w:tr>
        <w:trPr>
          <w:trHeight w:val="223"/>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29"/>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at December 31,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recognized, the net amount of potential tax benefits as of December 31, 2025 that would impact the Company's effective tax rate is $44,077. During the years ended December 31, 2025, 2024 and 2023, the Company recorded (expense)/income of $(2,506), $617 and $1,378, respectively, as a component of provision for income taxes for the accrued interest and penalties related to unrecognized tax benefits. The Company had accrued interest and penalties of $6,687 at December 31, 2025 and $4,181 at December 31, 2024, which are not included in the unrecognized tax benefits table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Payments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below is a summary of income taxes paid by jurisdiction pursuant to the disclosure requirements of ASU No. 2023-09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9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9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131,106</w:t>
            </w:r>
          </w:p>
        </w:tc>
      </w:tr>
      <w:tr>
        <w:trPr>
          <w:trHeight w:val="25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38,292</w:t>
            </w:r>
          </w:p>
        </w:tc>
      </w:tr>
      <w:tr>
        <w:trPr>
          <w:trHeight w:val="237"/>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w:t>
            </w:r>
          </w:p>
        </w:tc>
      </w:t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114,348</w:t>
            </w:r>
          </w:p>
        </w:tc>
      </w:tr>
      <w:tr>
        <w:trPr>
          <w:trHeight w:val="22"/>
        </w:trPr>
        <w:tc>
          <w:tcPr>
            <w:tcW w:w="9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7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307,068</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Equity and Cash Incentive Program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For the years presented herein, employee awards were made pursuant to the terms of the Company's 2021 Omnibus Incentive Plan (the "2021 Plan") and 2012 Equity and Cash Incentive Plan (the "2012 Plan").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7, 2021, the shareholders approved the 2021 Plan, to replace the 2012 Plan, which otherwise would have terminated according to its terms on May 3, 2022. Upon approval of the 2021 Plan, no additional awards could be granted under the 2012 Plan, and the remaining 4,888,197 shares available for additional award grant purposes became available for issuance under the 2021 Plan. The 2021 Plan provides for stock options and SARs, RSUs, PSAs, cash performance awards, directors' shares and deferred stock units. Under the 2021 Plan, a total of 8,300,000 newly authorized shares of common stock are reserved for issuance, resulting in a total of 13,188,197 authorized shares available for issuance. These shares are subject to adjustments resulting from stock dividends, stock splits, recapitalizations, reorganizations and other similar changes.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Officers and other key employees, as well as non-employee directors, are eligible to participate in the 2021 Plan, and were also eligible under the 2012 Plan which had a ten-year term between May 3, 2012 to May 3, 2022.</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Stock-based compensation costs are reported within selling, general and administrative expenses in the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30,766</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(4,423)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(3,106)</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36,567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27,660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Pre-tax stock-based compensation expense attributable to discontinued operations was $673 and $699 for the years ended December 31, 2024 and 2023, respectively. These expenses are included within stock-based compensation expense in the consolidated statements of stockholders' equity. See Note 4 — Discontinued and Disposed Operations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 2025, 2024 and 2023, the Company issued SARs covering 283,837, 355,685 and 359,715 shares, respectively. The fair value of each SAR grant was estimated on the date of grant using a Black-Scholes option-pricing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SARs granted under the 2021 Plan and the 2012 Plan for the year ended December 31, 2025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8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 expired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SARs not yet exercisable was $7,276 at December 31, 2025. This cost is expected to be recognized over a weighted average period of 1.7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regarding the exercise of SARs is listed below:</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of SARs that became exercisable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SARs exercised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PSAs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PSAs granted are expensed over the three-year requisite performance and service period. Awards become vested if (1) the Company achieves certain conditions, discussed below, and (2) the employee remains continuously employed by the Company during the performance period. Partial vesting may occur after separation from service in the case of certain terminations not for cause and for retirements.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2024 and 2023, the Company issued PSAs covering 34,458, 43,602 and 43,656 shares, respectively.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PSAs granted in 2025 and 2024 vest based on the attainment of two equally weighted measures: (i) Dover’s performance relative to established internal metrics (performance condition) and (ii) Dover's performance relative to its peer group (companies listed under the S&amp;P 500 Industrials sector; market condition). The PSAs granted in 2023 vest solely on the attainment of Dover's performance relative to its peer group (same aforementioned market condition).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fair value per share at the date of grant for the 2025 and 2024 performance condition portion were $202.33 and $177.19,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2025 and 2024 market condition portion, and all 2023 PSAs,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ind w:left="6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27.30 %</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0" w:type="dxa"/>
            <w:vAlign w:val="bottom"/>
          </w:tcPr>
          <w:p>
            <w:pPr>
              <w:spacing w:after="0"/>
              <w:rPr>
                <w:sz w:val="1"/>
                <w:szCs w:val="1"/>
                <w:color w:val="auto"/>
              </w:rPr>
            </w:pPr>
          </w:p>
        </w:tc>
      </w:tr>
      <w:tr>
        <w:trPr>
          <w:trHeight w:val="234"/>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1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0" w:type="dxa"/>
            <w:vAlign w:val="bottom"/>
          </w:tcPr>
          <w:p>
            <w:pPr>
              <w:spacing w:after="0"/>
              <w:rPr>
                <w:sz w:val="1"/>
                <w:szCs w:val="1"/>
                <w:color w:val="auto"/>
              </w:rPr>
            </w:pPr>
          </w:p>
        </w:tc>
      </w:tr>
      <w:tr>
        <w:trPr>
          <w:trHeight w:val="54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activity for PSAs for the year ended December 31, 2025 is as follows: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0" w:type="dxa"/>
            <w:vAlign w:val="bottom"/>
          </w:tcPr>
          <w:p>
            <w:pPr>
              <w:spacing w:after="0"/>
              <w:rPr>
                <w:sz w:val="1"/>
                <w:szCs w:val="1"/>
                <w:color w:val="auto"/>
              </w:rPr>
            </w:pPr>
          </w:p>
        </w:tc>
      </w:tr>
      <w:tr>
        <w:trPr>
          <w:trHeight w:val="248"/>
        </w:trPr>
        <w:tc>
          <w:tcPr>
            <w:tcW w:w="6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unvested PSAs as of December 31, 2025 was $11,889, which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restricted stock authorized for grant. Common stock of the Company may be granted at no cost to certain officers and key employees. In general, restrictions limit the sale or transfer of these shares during a three-year period, and restrictions lapse proportionately over the three-year period. The Company granted 66,762, 94,307 and 91,439 of RSUs in 2025, 2024 and 2023, respectively. The fair value of these awards was determined using Dover's closing stock price on the date of grant, which was $202.33, $160.11, and $153.25 in 2025, 2024 and 2023,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activity for RSUs for the year ended December 31, 2025 is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RSUs as of December 31, 2025 was $9,674, which will be recognized over a weighted average period of 1.4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shares to its non-employee directors as partial compensation for serving as directors of the Company: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314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shares granted</w:t>
            </w:r>
          </w:p>
        </w:tc>
        <w:tc>
          <w:tcPr>
            <w:tcW w:w="12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8,195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8,259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2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(5,242)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shares issued</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December 31, 2025 and December 31, 2024, these estimated liabilities for environmental and other matters, including private party claims for exposure to hazardous substances that are probable and estimable, were not significant. See Note 10 — Other Accrued Expenses and Other Liabilities for additional details.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December 31, 2025 and 2024,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 See also Note 4 — Discontinued and Disposed Operations for details on litigation related to a discontinued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Employee Benefit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defined contribution retirement plans which cover the majority of its U.S. employees, as well as employees in certain other countries. The Company’s expense relating to defined contribution plans was $69,776, $61,384 and $56,597 for the years ended December 31, 2025, 2024 and 2023,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qualified and non-qualified defined benefit plans were closed to new employees after December 31, 2013. All pension-eligible employees as of December 31, 2013 continued to earn a pension benefit through December 31, 2023 as long as they remained employed by the Company participating in the impacted plans. Effective January 1, 2024, the plans have been frozen for any future benefit accruals.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other post-retirement benefit plans. These plans are closed to new entrants and are not considered to be significant. The supplemental and other post-retirement benefit plans are supported by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 in benefit obligations, change in plan assets, and funded status associated with the Company's significant defined benefit plans and the amounts recognized in the consolidated balance sheets at December 31, 2025 and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Qualified Defined Benefits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Non-Qualified Supplemental</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180" w:type="dxa"/>
            <w:vAlign w:val="bottom"/>
          </w:tcPr>
          <w:p>
            <w:pPr>
              <w:spacing w:after="0"/>
              <w:rPr>
                <w:sz w:val="18"/>
                <w:szCs w:val="18"/>
                <w:color w:val="auto"/>
              </w:rPr>
            </w:pPr>
          </w:p>
        </w:tc>
        <w:tc>
          <w:tcPr>
            <w:tcW w:w="1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319,306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participants' contributions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Actuarial loss (gain)</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Disposition</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Amendments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Settlements and curtailments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and 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283,857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290,756</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268,808</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241,431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 contributions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participants' contributions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Settlements and curtailments</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and other</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371,966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Funded (unfunded) status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(65,201)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Amounts recognized in the consolidated balance</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sheets consist of:</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Defined benefit and other post-retirement benefit</w:t>
            </w: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plans</w:t>
            </w: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 (liabilities)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(56,044)</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(65,201)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0" w:type="dxa"/>
            <w:vAlign w:val="bottom"/>
          </w:tcPr>
          <w:p>
            <w:pPr>
              <w:spacing w:after="0"/>
              <w:rPr>
                <w:sz w:val="1"/>
                <w:szCs w:val="1"/>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(earnings):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actuarial losses (gains)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Tax (benefit)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0" w:type="dxa"/>
            <w:vAlign w:val="bottom"/>
          </w:tcPr>
          <w:p>
            <w:pPr>
              <w:spacing w:after="0"/>
              <w:rPr>
                <w:sz w:val="1"/>
                <w:szCs w:val="1"/>
                <w:color w:val="auto"/>
              </w:rPr>
            </w:pPr>
          </w:p>
        </w:tc>
      </w:tr>
      <w:tr>
        <w:trPr>
          <w:trHeight w:val="145"/>
        </w:trPr>
        <w:tc>
          <w:tcPr>
            <w:tcW w:w="3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(19,400)</w:t>
            </w: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net of tax</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 recognized at December 31,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290,756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260,636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233,921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actuarial loss (gain) were primarily due to discount rate fluctuations and plan experience.</w:t>
      </w:r>
    </w:p>
    <w:p>
      <w:pPr>
        <w:ind w:firstLine="8"/>
        <w:spacing w:after="0" w:line="269" w:lineRule="auto"/>
        <w:tabs>
          <w:tab w:leader="none" w:pos="149"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settlement gain recognized for a Non-Qualified Supplemental Benefit Plan was recorded within loss from discontinued operations, net in the consolidated statements of earnings. See Note 4 — Discontinued and Disposed Operations </w:t>
      </w:r>
      <w:r>
        <w:rPr>
          <w:rFonts w:ascii="Times New Roman" w:cs="Times New Roman" w:eastAsia="Times New Roman" w:hAnsi="Times New Roman"/>
          <w:sz w:val="15"/>
          <w:szCs w:val="15"/>
          <w:color w:val="auto"/>
        </w:rPr>
        <w:t>for further details.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net unfunded status at December 31, 2025 and 2024 includes net liabilities of $56,044 and $65,201, respectively, relating to the Company's international qualified plans, some in locations where it is not economically advantageous to pre-fund the plans due to local regulations. The majority of the international obligations relate to defined pension plans operated by the Company's businesses in Germany, France, the United Kingdom, Switzerland, India, and Italy.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$562,985 and $547,719 at December 31,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pension plans with accumulated benefit obligations in excess of plan assets consist of the following at December 31, 2025 and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228,977</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169,207</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pension plans with projected benefit obligations in excess of plan assets consist of the following at December 31, 2025 and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236,488</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169,207</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expense component of net periodic benefit cost (service cost) is reported with similar compensation costs in the Company's consolidated statement of earnings. The non-operating components (all other components of net periodic benefit cost, including interest cost, amortization of prior service cost, curtailments and settlements, etc.) are reported outside of operating income in other income, net in the consolidated statement of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net periodic benefit cost were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Qualified Defined Benefits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Non-Qualified Supplemental</w:t>
            </w:r>
          </w:p>
        </w:tc>
      </w:tr>
      <w:tr>
        <w:trPr>
          <w:trHeight w:val="20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r>
      <w:tr>
        <w:trPr>
          <w:trHeight w:val="213"/>
        </w:trPr>
        <w:tc>
          <w:tcPr>
            <w:tcW w:w="3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Actuarial loss (gain)</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r>
      <w:tr>
        <w:trPr>
          <w:trHeight w:val="219"/>
        </w:trPr>
        <w:tc>
          <w:tcPr>
            <w:tcW w:w="32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Settlement and curtailment loss (gain)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(benefit)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(11,843)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firstLine="8"/>
        <w:spacing w:after="0" w:line="294" w:lineRule="auto"/>
        <w:tabs>
          <w:tab w:leader="none" w:pos="149"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settlement gain recognized for a Non-Qualified Supplemental Benefit Plan was recorded within loss from discontinued operations, net in the consolidated statements of earnings. See Note 4 — Discontinued and Disposed Operations </w:t>
      </w:r>
      <w:r>
        <w:rPr>
          <w:rFonts w:ascii="Times New Roman" w:cs="Times New Roman" w:eastAsia="Times New Roman" w:hAnsi="Times New Roman"/>
          <w:sz w:val="15"/>
          <w:szCs w:val="15"/>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actuarial assumptions on an annual basis. The weighted average assumptions used in determining the benefit obligations were as follows:</w:t>
      </w:r>
    </w:p>
    <w:p>
      <w:pPr>
        <w:ind w:left="5760"/>
        <w:spacing w:after="0" w:line="222" w:lineRule="auto"/>
        <w:rPr>
          <w:sz w:val="20"/>
          <w:szCs w:val="20"/>
          <w:color w:val="auto"/>
        </w:rPr>
      </w:pPr>
      <w:r>
        <w:rPr>
          <w:rFonts w:ascii="Times New Roman" w:cs="Times New Roman" w:eastAsia="Times New Roman" w:hAnsi="Times New Roman"/>
          <w:sz w:val="16"/>
          <w:szCs w:val="16"/>
          <w:b w:val="1"/>
          <w:bCs w:val="1"/>
          <w:color w:val="auto"/>
        </w:rPr>
        <w:t>Qualified Defined Benefits</w:t>
      </w:r>
    </w:p>
    <w:tbl>
      <w:tblPr>
        <w:tblLayout w:type="fixed"/>
        <w:tblInd w:w="0" w:type="dxa"/>
        <w:tblCellMar>
          <w:top w:w="0" w:type="dxa"/>
          <w:left w:w="0" w:type="dxa"/>
          <w:bottom w:w="0" w:type="dxa"/>
          <w:right w:w="0" w:type="dxa"/>
        </w:tblCellMar>
      </w:tblPr>
      <w:tr>
        <w:trPr>
          <w:trHeight w:val="50"/>
        </w:trPr>
        <w:tc>
          <w:tcPr>
            <w:tcW w:w="4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Non-Qualified Supplemental</w:t>
            </w: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4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2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6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wage increase</w:t>
            </w: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in determining the net periodic benefit cost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Qualified Defined Benefits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2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Non-U.S. Plans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Non- Qualified Supplemental Benefits</w:t>
            </w:r>
          </w:p>
        </w:tc>
      </w:tr>
      <w:tr>
        <w:trPr>
          <w:trHeight w:val="225"/>
        </w:trPr>
        <w:tc>
          <w:tcPr>
            <w:tcW w:w="292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wage increase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discount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the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net periodic benefit cost is developed through analysis of historical and forecasted market returns, statistical analysis, current market conditions and the past experience of plan asset investments.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actual and target weighted average asset allocation for our U.S. Qualified Defined Benefits Plan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 Target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Return-seeking investments</w:t>
            </w:r>
          </w:p>
        </w:tc>
        <w:tc>
          <w:tcPr>
            <w:tcW w:w="8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hedging investments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Return-seeking investments include diversified foreign and domestic equities, U.S. high yield fixed income investments, and emerging market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hedging investments primarily include a diversified portfolio of U.S. long and intermediate duration fixed income assets. While the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policies are different for each country, the long-term objectives are generally the same as for the U.S. pension assets.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of both U.S. and non-U.S. pension plan assets by asset category within the fair value hierarchy (as defined in Note 13 — Financial Instruments)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1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U.S. Qualified Defined Benefits Plan</w:t>
            </w: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9"/>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10"/>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Total Fair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7"/>
              </w:rPr>
              <w:t>Total Fair</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109,284</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196,492</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86,784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86,784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52,880</w:t>
            </w:r>
          </w:p>
        </w:tc>
        <w:tc>
          <w:tcPr>
            <w:tcW w:w="0" w:type="dxa"/>
            <w:vAlign w:val="bottom"/>
          </w:tcPr>
          <w:p>
            <w:pPr>
              <w:spacing w:after="0"/>
              <w:rPr>
                <w:sz w:val="1"/>
                <w:szCs w:val="1"/>
                <w:color w:val="auto"/>
              </w:rPr>
            </w:pPr>
          </w:p>
        </w:tc>
      </w:tr>
      <w:tr>
        <w:trPr>
          <w:trHeight w:val="229"/>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cash and short-term investments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196,068</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199,360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252,561</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Investments measured at net asset value*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Collective funds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166,388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110,020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374,393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371,966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5"/>
        </w:trPr>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3"/>
                <w:szCs w:val="13"/>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3"/>
                <w:szCs w:val="13"/>
                <w:color w:val="auto"/>
              </w:rPr>
            </w:pPr>
          </w:p>
        </w:tc>
        <w:tc>
          <w:tcPr>
            <w:tcW w:w="88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4"/>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Total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Total Fair</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73,330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56,976</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40,023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35,936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34,103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3,570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25,228</w:t>
            </w: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43,422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30,704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165,233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71,478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39,506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132,642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Investments measured at net asset value*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Collective funds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46,016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0" w:type="dxa"/>
            <w:vAlign w:val="bottom"/>
          </w:tcPr>
          <w:p>
            <w:pPr>
              <w:spacing w:after="0"/>
              <w:rPr>
                <w:sz w:val="1"/>
                <w:szCs w:val="1"/>
                <w:color w:val="auto"/>
              </w:rPr>
            </w:pPr>
          </w:p>
        </w:tc>
      </w:tr>
      <w:tr>
        <w:trPr>
          <w:trHeight w:val="210"/>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212,764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176,230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8"/>
        <w:spacing w:after="0" w:line="272" w:lineRule="auto"/>
        <w:tabs>
          <w:tab w:leader="none" w:pos="13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stocks represent investments in domestic and foreign equities, which are publicly traded on active exchanges and are valued based on quoted market prices.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income investments include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Mutual funds are categorized as either Level 1, 2 or Net Asset Value ("NAV") as a practical expedient depending on the nature of the observable inputs. Collective funds and short-term investment funds are valued using NAV as a practical expedient as of the last business day of the year. The NAV is based on the underlying value of the assets owned by the fund, minus its liabilities, and then divided by the number of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 of plan assets using significant unobservable inputs (Level 3) changed during 2024 and 2025,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Relating to assets still held at December 31, 2024</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Relating to assets sold during the period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settlements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Relating to assets still held at December 31, 2025</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Relating to assets sold during the period</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settlements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Future Estimates</w:t>
            </w: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Payments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Estimated future benefit payments to retirees, which reflect expected future service except to the extent frozen, are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Qualified Defined Benefits</w:t>
            </w:r>
          </w:p>
        </w:tc>
        <w:tc>
          <w:tcPr>
            <w:tcW w:w="100" w:type="dxa"/>
            <w:vAlign w:val="bottom"/>
          </w:tcPr>
          <w:p>
            <w:pPr>
              <w:spacing w:after="0"/>
              <w:rPr>
                <w:sz w:val="24"/>
                <w:szCs w:val="24"/>
                <w:color w:val="auto"/>
              </w:rPr>
            </w:pPr>
          </w:p>
        </w:tc>
        <w:tc>
          <w:tcPr>
            <w:tcW w:w="19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24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00" w:type="dxa"/>
            <w:vAlign w:val="bottom"/>
          </w:tcPr>
          <w:p>
            <w:pPr>
              <w:spacing w:after="0"/>
              <w:rPr>
                <w:sz w:val="20"/>
                <w:szCs w:val="20"/>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Supplemental Benefits</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2031 - 2035</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2026, the Company expects to make payments of approximately $9.9 million to its non-US plans and $4.6 million to its non-qualified U.S. plan. No payments are expected for the qualified U.S. plan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Earnings (Loss)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7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are as follows: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(265,815)</w:t>
            </w: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(64,238)</w:t>
            </w: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23"/>
        </w:trPr>
        <w:tc>
          <w:tcPr>
            <w:tcW w:w="4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(327,776)</w:t>
            </w:r>
          </w:p>
        </w:tc>
      </w:tr>
      <w:tr>
        <w:trPr>
          <w:trHeight w:val="20"/>
        </w:trPr>
        <w:tc>
          <w:tcPr>
            <w:tcW w:w="4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from continuing operations during the years ended December 31, 2025, 2024 and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Pension and other postretirement benefit plans: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and curtailment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reclassified into earnings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translation losses for the year ended December 31, 2025 were recognized in other income, net within the consolidated statement of earnings as a result of the substantial liquidation of certain businesses. Foreign currency translation losses for the year ended December 31, 2024 were recognized in gain on dispositions within the consolidated statement of earnings as a result of the disposition of De-Sta-Co.</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in other income, net within the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of foreign currency forward contracts. The Company recognizes the realized gains and losses on its cash flow hedges in the same line item as the hedged transaction, such as revenue or cost of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Segment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reportable segments are as follows:</w:t>
      </w:r>
    </w:p>
    <w:p>
      <w:pPr>
        <w:spacing w:after="0" w:line="252" w:lineRule="exact"/>
        <w:rPr>
          <w:sz w:val="20"/>
          <w:szCs w:val="20"/>
          <w:color w:val="auto"/>
        </w:rPr>
      </w:pPr>
    </w:p>
    <w:p>
      <w:pPr>
        <w:ind w:left="660" w:right="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aerospace and defense, industrial winch and hoist, precision soldering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disposition costs, (gain) loss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8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1,202,457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1,579,649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1,778,582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7,690,207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7,684,476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Adjusted cost of goods and services:</w:t>
            </w:r>
            <w:r>
              <w:rPr>
                <w:rFonts w:ascii="Times New Roman" w:cs="Times New Roman" w:eastAsia="Times New Roman" w:hAnsi="Times New Roman"/>
                <w:sz w:val="20"/>
                <w:szCs w:val="20"/>
                <w:b w:val="1"/>
                <w:bCs w:val="1"/>
                <w:color w:val="auto"/>
                <w:vertAlign w:val="superscript"/>
              </w:rPr>
              <w:t>(1)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58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955,472</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1,083,352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1,130,736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adjusted segment cost of goods and services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4,758,342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58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selling, general and administrative expenses:</w:t>
            </w:r>
            <w:r>
              <w:rPr>
                <w:rFonts w:ascii="Times New Roman" w:cs="Times New Roman" w:eastAsia="Times New Roman" w:hAnsi="Times New Roman"/>
                <w:sz w:val="18"/>
                <w:szCs w:val="18"/>
                <w:b w:val="1"/>
                <w:bCs w:val="1"/>
                <w:color w:val="auto"/>
                <w:vertAlign w:val="superscript"/>
              </w:rPr>
              <w:t>(2)</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1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156,151</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165,087</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192,779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315,814</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segment 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58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231,237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484,405</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250,875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305,380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earnings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5"/>
          </w:tcPr>
          <w:p>
            <w:pPr>
              <w:spacing w:after="0" w:line="223"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Disposition costs </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cost of goods and services exclude expenses related to purchase accounting and restructuring and other costs.</w:t>
      </w:r>
    </w:p>
    <w:p>
      <w:pPr>
        <w:ind w:left="340" w:hanging="8"/>
        <w:spacing w:after="0" w:line="215" w:lineRule="auto"/>
        <w:tabs>
          <w:tab w:leader="none" w:pos="516"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selling, general and administrative expenses exclude expenses related to purchase accounting, restructuring and other costs, disposition costs, and (gain) loss on dispositions and include other income, net.</w:t>
      </w:r>
    </w:p>
    <w:p>
      <w:pPr>
        <w:ind w:left="500" w:hanging="168"/>
        <w:spacing w:after="0" w:line="201" w:lineRule="auto"/>
        <w:tabs>
          <w:tab w:leader="none" w:pos="5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6" w:lineRule="exact"/>
        <w:rPr>
          <w:sz w:val="20"/>
          <w:szCs w:val="20"/>
          <w:color w:val="auto"/>
        </w:rPr>
      </w:pPr>
    </w:p>
    <w:p>
      <w:pPr>
        <w:ind w:left="340" w:hanging="8"/>
        <w:spacing w:after="0" w:line="225" w:lineRule="auto"/>
        <w:tabs>
          <w:tab w:leader="none" w:pos="515"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49,901</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Disposition costs related to the sale of De-Sta-Co in our Engineered Products segment.</w:t>
      </w:r>
    </w:p>
    <w:p>
      <w:pPr>
        <w:spacing w:after="0" w:line="10" w:lineRule="exact"/>
        <w:rPr>
          <w:rFonts w:ascii="Times New Roman" w:cs="Times New Roman" w:eastAsia="Times New Roman" w:hAnsi="Times New Roman"/>
          <w:sz w:val="21"/>
          <w:szCs w:val="21"/>
          <w:color w:val="auto"/>
          <w:vertAlign w:val="superscript"/>
        </w:rPr>
      </w:pPr>
    </w:p>
    <w:p>
      <w:pPr>
        <w:ind w:left="500" w:hanging="168"/>
        <w:spacing w:after="0" w:line="187" w:lineRule="auto"/>
        <w:tabs>
          <w:tab w:leader="none" w:pos="50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dispositions includes post-closing adjustments, see Note 4 — Discontinued and Disposed Operations.</w:t>
      </w:r>
    </w:p>
    <w:p>
      <w:pPr>
        <w:ind w:left="480" w:hanging="148"/>
        <w:spacing w:after="0" w:line="211" w:lineRule="auto"/>
        <w:tabs>
          <w:tab w:leader="none" w:pos="48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w:t>
      </w:r>
    </w:p>
    <w:p>
      <w:pPr>
        <w:spacing w:after="0" w:line="10" w:lineRule="exact"/>
        <w:rPr>
          <w:sz w:val="20"/>
          <w:szCs w:val="20"/>
          <w:color w:val="auto"/>
        </w:rPr>
      </w:pPr>
    </w:p>
    <w:p>
      <w:pPr>
        <w:ind w:left="340"/>
        <w:spacing w:after="0" w:line="257" w:lineRule="auto"/>
        <w:rPr>
          <w:sz w:val="20"/>
          <w:szCs w:val="20"/>
          <w:color w:val="auto"/>
        </w:rPr>
      </w:pPr>
      <w:r>
        <w:rPr>
          <w:rFonts w:ascii="Times New Roman" w:cs="Times New Roman" w:eastAsia="Times New Roman" w:hAnsi="Times New Roman"/>
          <w:sz w:val="16"/>
          <w:szCs w:val="16"/>
          <w:color w:val="auto"/>
        </w:rPr>
        <w:t>service pension costs, non-operating insurance expenses, shared business services and digital and IT overhead costs, deal related expenses and various administrative expenses relating to the corporate headquarters.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margin and a reconciliation of segment depreciation and amortization to consolidated results follows: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Borders>
              <w:bottom w:val="single" w:sz="8" w:color="auto"/>
            </w:tcBorders>
          </w:tcPr>
          <w:p>
            <w:pPr>
              <w:spacing w:after="0"/>
              <w:rPr>
                <w:sz w:val="22"/>
                <w:szCs w:val="22"/>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9"/>
        </w:trPr>
        <w:tc>
          <w:tcPr>
            <w:tcW w:w="20" w:type="dxa"/>
            <w:vAlign w:val="bottom"/>
            <w:shd w:val="clear" w:color="auto" w:fill="CCEEFF"/>
          </w:tcPr>
          <w:p>
            <w:pPr>
              <w:spacing w:after="0"/>
              <w:rPr>
                <w:sz w:val="14"/>
                <w:szCs w:val="14"/>
                <w:color w:val="auto"/>
              </w:rPr>
            </w:pPr>
          </w:p>
        </w:tc>
        <w:tc>
          <w:tcPr>
            <w:tcW w:w="66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Segment margins: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29"/>
        </w:trPr>
        <w:tc>
          <w:tcPr>
            <w:tcW w:w="20" w:type="dxa"/>
            <w:vAlign w:val="bottom"/>
          </w:tcPr>
          <w:p>
            <w:pPr>
              <w:spacing w:after="0"/>
              <w:rPr>
                <w:sz w:val="19"/>
                <w:szCs w:val="19"/>
                <w:color w:val="auto"/>
              </w:rPr>
            </w:pPr>
          </w:p>
        </w:tc>
        <w:tc>
          <w:tcPr>
            <w:tcW w:w="7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29"/>
        </w:trPr>
        <w:tc>
          <w:tcPr>
            <w:tcW w:w="20" w:type="dxa"/>
            <w:vAlign w:val="bottom"/>
          </w:tcPr>
          <w:p>
            <w:pPr>
              <w:spacing w:after="0"/>
              <w:rPr>
                <w:sz w:val="19"/>
                <w:szCs w:val="19"/>
                <w:color w:val="auto"/>
              </w:rPr>
            </w:pPr>
          </w:p>
        </w:tc>
        <w:tc>
          <w:tcPr>
            <w:tcW w:w="7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auto"/>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 depreciation and amortization:</w:t>
            </w:r>
            <w:r>
              <w:rPr>
                <w:rFonts w:ascii="Times New Roman" w:cs="Times New Roman" w:eastAsia="Times New Roman" w:hAnsi="Times New Roman"/>
                <w:sz w:val="23"/>
                <w:szCs w:val="23"/>
                <w:color w:val="auto"/>
                <w:vertAlign w:val="superscript"/>
              </w:rPr>
              <w:t>(8)</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22,012</w:t>
            </w:r>
          </w:p>
        </w:tc>
      </w:tr>
      <w:tr>
        <w:trPr>
          <w:trHeight w:val="229"/>
        </w:trPr>
        <w:tc>
          <w:tcPr>
            <w:tcW w:w="2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30,117</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15,293</w:t>
            </w:r>
          </w:p>
        </w:tc>
      </w:tr>
      <w:tr>
        <w:trPr>
          <w:trHeight w:val="230"/>
        </w:trPr>
        <w:tc>
          <w:tcPr>
            <w:tcW w:w="2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54,226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46,344</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27,557</w:t>
            </w: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depreciation and amortization</w:t>
            </w:r>
          </w:p>
        </w:tc>
        <w:tc>
          <w:tcPr>
            <w:tcW w:w="3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158,439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145,072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141,323</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6,046</w:t>
            </w:r>
          </w:p>
        </w:tc>
      </w:tr>
      <w:tr>
        <w:trPr>
          <w:trHeight w:val="184"/>
        </w:trPr>
        <w:tc>
          <w:tcPr>
            <w:tcW w:w="20" w:type="dxa"/>
            <w:vAlign w:val="bottom"/>
          </w:tcPr>
          <w:p>
            <w:pPr>
              <w:spacing w:after="0"/>
              <w:rPr>
                <w:sz w:val="16"/>
                <w:szCs w:val="16"/>
                <w:color w:val="auto"/>
              </w:rPr>
            </w:pPr>
          </w:p>
        </w:tc>
        <w:tc>
          <w:tcPr>
            <w:tcW w:w="66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Depreciation and amortization included in purchase accounting expenses and restructuring</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and other</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213,904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185,740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157,677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depreciation and amortization 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379,577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337,842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8"/>
        <w:spacing w:after="0" w:line="225" w:lineRule="auto"/>
        <w:tabs>
          <w:tab w:leader="none" w:pos="502"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depreciation and amortization relates to property, plant, and equipment and intangibles, and excludes amounts related to purchase accounting expenses and restructuring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Selected financial information by segment (continued):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6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r>
      <w:tr>
        <w:trPr>
          <w:trHeight w:val="230"/>
        </w:trPr>
        <w:tc>
          <w:tcPr>
            <w:tcW w:w="20" w:type="dxa"/>
            <w:vAlign w:val="bottom"/>
          </w:tcPr>
          <w:p>
            <w:pPr>
              <w:spacing w:after="0"/>
              <w:rPr>
                <w:sz w:val="19"/>
                <w:szCs w:val="19"/>
                <w:color w:val="auto"/>
              </w:rPr>
            </w:pPr>
          </w:p>
        </w:tc>
        <w:tc>
          <w:tcPr>
            <w:tcW w:w="6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w:t>
            </w:r>
          </w:p>
        </w:tc>
      </w:tr>
      <w:tr>
        <w:trPr>
          <w:trHeight w:val="229"/>
        </w:trPr>
        <w:tc>
          <w:tcPr>
            <w:tcW w:w="20" w:type="dxa"/>
            <w:vAlign w:val="bottom"/>
          </w:tcPr>
          <w:p>
            <w:pPr>
              <w:spacing w:after="0"/>
              <w:rPr>
                <w:sz w:val="19"/>
                <w:szCs w:val="19"/>
                <w:color w:val="auto"/>
              </w:rPr>
            </w:pPr>
          </w:p>
        </w:tc>
        <w:tc>
          <w:tcPr>
            <w:tcW w:w="6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60,860</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61,790</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1,063,292</w:t>
            </w:r>
          </w:p>
        </w:tc>
      </w:tr>
      <w:tr>
        <w:trPr>
          <w:trHeight w:val="229"/>
        </w:trPr>
        <w:tc>
          <w:tcPr>
            <w:tcW w:w="20" w:type="dxa"/>
            <w:vAlign w:val="bottom"/>
          </w:tcPr>
          <w:p>
            <w:pPr>
              <w:spacing w:after="0"/>
              <w:rPr>
                <w:sz w:val="19"/>
                <w:szCs w:val="19"/>
                <w:color w:val="auto"/>
              </w:rPr>
            </w:pPr>
          </w:p>
        </w:tc>
        <w:tc>
          <w:tcPr>
            <w:tcW w:w="8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3,601,573</w:t>
            </w: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1,749,028</w:t>
            </w:r>
          </w:p>
        </w:tc>
      </w:tr>
      <w:tr>
        <w:trPr>
          <w:trHeight w:val="229"/>
        </w:trPr>
        <w:tc>
          <w:tcPr>
            <w:tcW w:w="20" w:type="dxa"/>
            <w:vAlign w:val="bottom"/>
          </w:tcPr>
          <w:p>
            <w:pPr>
              <w:spacing w:after="0"/>
              <w:rPr>
                <w:sz w:val="19"/>
                <w:szCs w:val="19"/>
                <w:color w:val="auto"/>
              </w:rPr>
            </w:pPr>
          </w:p>
        </w:tc>
        <w:tc>
          <w:tcPr>
            <w:tcW w:w="8160" w:type="dxa"/>
            <w:vAlign w:val="bottom"/>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Pumps &amp; Process Solutions </w:t>
            </w:r>
            <w:r>
              <w:rPr>
                <w:rFonts w:ascii="Times New Roman" w:cs="Times New Roman" w:eastAsia="Times New Roman" w:hAnsi="Times New Roman"/>
                <w:sz w:val="23"/>
                <w:szCs w:val="23"/>
                <w:color w:val="auto"/>
                <w:vertAlign w:val="superscript"/>
              </w:rPr>
              <w:t>(9)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2,613,405</w:t>
            </w: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1,293,132</w:t>
            </w:r>
          </w:p>
        </w:tc>
      </w:tr>
      <w:tr>
        <w:trPr>
          <w:trHeight w:val="230"/>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(10)</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Increase primarily driven by 2025 acquisitions. See Note 3 — Acquisitions for additional information.</w:t>
      </w:r>
    </w:p>
    <w:p>
      <w:pPr>
        <w:spacing w:after="0" w:line="10" w:lineRule="exact"/>
        <w:rPr>
          <w:rFonts w:ascii="Times New Roman" w:cs="Times New Roman" w:eastAsia="Times New Roman" w:hAnsi="Times New Roman"/>
          <w:sz w:val="19"/>
          <w:szCs w:val="19"/>
          <w:color w:val="auto"/>
          <w:vertAlign w:val="superscript"/>
        </w:rPr>
      </w:pPr>
    </w:p>
    <w:p>
      <w:pPr>
        <w:ind w:left="200" w:hanging="192"/>
        <w:spacing w:after="0" w:line="236" w:lineRule="auto"/>
        <w:tabs>
          <w:tab w:leader="none" w:pos="200" w:val="left"/>
        </w:tabs>
        <w:numPr>
          <w:ilvl w:val="0"/>
          <w:numId w:val="5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Corporate assets are comprised primarily of cash and cash equivalents.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3"/>
                <w:szCs w:val="23"/>
                <w:b w:val="1"/>
                <w:bCs w:val="1"/>
                <w:color w:val="auto"/>
                <w:vertAlign w:val="superscript"/>
              </w:rPr>
              <w:t>(11)</w:t>
            </w:r>
          </w:p>
        </w:tc>
      </w:tr>
      <w:tr>
        <w:trPr>
          <w:trHeight w:val="223"/>
        </w:trPr>
        <w:tc>
          <w:tcPr>
            <w:tcW w:w="3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60" w:type="dxa"/>
            <w:vAlign w:val="bottom"/>
            <w:tcBorders>
              <w:bottom w:val="single" w:sz="8" w:color="auto"/>
            </w:tcBorders>
          </w:tcPr>
          <w:p>
            <w:pPr>
              <w:spacing w:after="0"/>
              <w:rPr>
                <w:sz w:val="19"/>
                <w:szCs w:val="19"/>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599,090</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1,756,999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302,129</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57,113</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26,431</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8,092,571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7,745,909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7,684,476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1,119,623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987,924</w:t>
            </w:r>
          </w:p>
        </w:tc>
      </w:tr>
      <w:tr>
        <w:trPr>
          <w:trHeight w:val="21"/>
        </w:trPr>
        <w:tc>
          <w:tcPr>
            <w:tcW w:w="3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Long-lived assets are comprised of net property, plant and equipment.</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U.S. was the largest geographical market for revenue for the Engineered Products, Clean Energy &amp; Fueling, Pumps &amp; Process Solutions, and Climate &amp; Sustainability Technologies segments, and Europe was the largest market for the Imaging &amp; Identification segment.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attributed to regions based on the location of the Company's customer, which in some instances is an intermediary and not necessarily the end user. The Company's businesses serve thousands of customers, none of which individually accounted for more than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20. Earnings per Share</w:t>
            </w:r>
          </w:p>
        </w:tc>
        <w:tc>
          <w:tcPr>
            <w:tcW w:w="5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79"/>
        </w:trPr>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17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Borders>
              <w:bottom w:val="single" w:sz="8" w:color="auto"/>
            </w:tcBorders>
          </w:tcPr>
          <w:p>
            <w:pPr>
              <w:spacing w:after="0"/>
              <w:rPr>
                <w:sz w:val="22"/>
                <w:szCs w:val="22"/>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943,864</w:t>
            </w:r>
          </w:p>
        </w:tc>
      </w:tr>
      <w:tr>
        <w:trPr>
          <w:trHeight w:val="229"/>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112,964</w:t>
            </w:r>
          </w:p>
        </w:tc>
      </w:tr>
      <w:tr>
        <w:trPr>
          <w:trHeight w:val="22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1,056,828</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139,848,000</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137,777,000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138,696,000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140,599,000</w:t>
            </w:r>
          </w:p>
        </w:tc>
      </w:tr>
      <w:tr>
        <w:trPr>
          <w:trHeight w:val="52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6"/>
        </w:trPr>
        <w:tc>
          <w:tcPr>
            <w:tcW w:w="17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Borders>
              <w:bottom w:val="single" w:sz="8" w:color="auto"/>
            </w:tcBorders>
          </w:tcPr>
          <w:p>
            <w:pPr>
              <w:spacing w:after="0"/>
              <w:rPr>
                <w:sz w:val="22"/>
                <w:szCs w:val="22"/>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139,848,000</w:t>
            </w: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assumed exercise of SARs and vesting of PSAs and RSUs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751,000</w:t>
            </w:r>
          </w:p>
        </w:tc>
      </w:tr>
      <w:tr>
        <w:trPr>
          <w:trHeight w:val="248"/>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137,777,000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138,696,000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140,599,000</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PSAs and RSUs, as determined using the treasury stock method. For the years ended December 31, 2025, 2024 and 2023, the weighted average number of anti-dilutive potential common shares excluded from the calculation above totaled 41,000, 48,000 and 48,000,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21.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 standing share repurchase authorization whereby the Company was authorized to repurchase up to 20 million shares beginning on January 1, 2021 through December 31, 2023.</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2023, the Company's Board of Directors approved a standing share repurchase authorization whereby the Company may repurchase up to 20 million shares beginning on January 1, 2024 through December 31, 2026. This share repurchase authorization replaced the November 2020 share repurchase authorization.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$500,000 accelerated share repurchase agreement (the "2024 ASR Agreement") with Citibank, N.A. ("Citibank") to repurchase its shares in an accelerated share repurchase program (the "2024 ASR Program"). The 2024 ASR Program is classified as equity, initially recorded at fair value with no subsequent remeasurement. The Company conducted the 2024 ASR Program under the current share repurchase authorization. The Company funded the 2024 ASR Program with net proceeds from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2024 ASR Agreement, the Company paid Citibank $500,000 on March 1, 2024 and on that date received initial delivery of 2,569,839 shares, representing a substantial majority of the shares expected to be retired over the course of the 2024 ASR Program. In July 2024, Citibank delivered 299,443 additional shares which completed the 2024 ASR Program totaling 2,869,282 repurchased shares. The total number of shares ultimately repurchased under the 2024 ASR Program was based on the volume-weighted average share price of Dover's common stock during the calculation period of the 2024 ASR Program, less a discount, which was $174.26 over the term of the ASR Program.</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10, 2025, the Company entered into a $500,000 accelerated share repurchase agreement (the "2025 ASR Agreement") with JP Morgan Chase Bank, N.A. ("JP Morgan") to repurchase its shares in an accelerated share repurchase program (the "2025 ASR Program"). The 2025 ASR Program is classified as equity, initially recorded at fair value with no subsequent remeasurement. The Company is conducting the 2025 ASR Program under the current share repurchase authorization. The Company funded the 2025 ASR Program with cash on hand.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2025 ASR Agreement, the Company paid JP Morgan $500,000 on November 12, 2025, and on that date received initial delivery of 2,334,010 shares, representing a substantial majority of the shares expected to be retired over the course of the 2025 ASR Program. The total number of shares ultimately repurchased under the 2025 ASR Program will be based on the average of the daily volume-weighted average share price of Dover's common stock during the calculation period of the 2025 ASR Program, less a discount and subject to potential adjustments pursuant to the terms of the 2025 ASR Program. The 2025 ASR Program is scheduled to be completed in the second quarter of 2026, but is subject to early termination in certain circumstances. The impact of any shares that may be received at the completion of the 2025 ASR Program is anti-dilutive and therefore excluded from the calculation of diluted earnings per share. The actual number of shares repurchased will be determined at the completion of the 2025 ASR Program.</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exclusive of the 2025 ASR Program, the Company repurchased 200,000 shares of common stock at a total cost of $40,700 or $203.50 per share. During the years ended December 31, 2024, and 2023, exclusive of any ASR Programs, there were no share repurchases.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14,596,708 shares remain authorized for repurchase under the August 2023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on the evaluation, the Company's Chief Executive Officer and Chief Financial Officer have concluded that the Company's disclosure controls and procedures as defined in Rule 13a-15(e) under the Exchange Act were effective as of December 31, 2025 to ensure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there were no changes in the Company's internal control over financial reporting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03" w:lineRule="exact"/>
        <w:rPr>
          <w:sz w:val="20"/>
          <w:szCs w:val="20"/>
          <w:color w:val="auto"/>
        </w:rPr>
      </w:pPr>
    </w:p>
    <w:p>
      <w:pPr>
        <w:ind w:left="660" w:right="20" w:hanging="328"/>
        <w:spacing w:after="0" w:line="282" w:lineRule="auto"/>
        <w:tabs>
          <w:tab w:leader="none" w:pos="6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no director or Section 16 officer adopted or terminated any Rule 10b5-1 trading arrangements or non-Rule 10b5-1 trading arrangements as defined in Item 408 of Regulation 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with respect to the corporate governance matters required to be included pursuant to this Item 10 will be included in the 2026 Proxy Statement that will be filed with the Securities and Exchange Commission pursuant to Rule 14a-6 under the Exchange Act in accordance with applicable SEC deadlines, and is incorporated in this Item 10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forth below is a list of the members of our Board of Directors as of February 13,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Deborah L. DeHaas</w:t>
      </w:r>
      <w:r>
        <w:rPr>
          <w:rFonts w:ascii="Times New Roman" w:cs="Times New Roman" w:eastAsia="Times New Roman" w:hAnsi="Times New Roman"/>
          <w:sz w:val="23"/>
          <w:szCs w:val="23"/>
          <w:color w:val="auto"/>
          <w:vertAlign w:val="superscript"/>
        </w:rPr>
        <w:t>1,3</w:t>
      </w:r>
    </w:p>
    <w:p>
      <w:pPr>
        <w:spacing w:after="0"/>
        <w:rPr>
          <w:sz w:val="20"/>
          <w:szCs w:val="20"/>
          <w:color w:val="auto"/>
        </w:rPr>
      </w:pPr>
      <w:r>
        <w:rPr>
          <w:rFonts w:ascii="Times New Roman" w:cs="Times New Roman" w:eastAsia="Times New Roman" w:hAnsi="Times New Roman"/>
          <w:sz w:val="18"/>
          <w:szCs w:val="18"/>
          <w:color w:val="auto"/>
        </w:rPr>
        <w:t>Former Vice Chairman of Deloitte and Managing Partner of the Center for Board Effectiveness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John Gilbertson, Jr.</w:t>
      </w:r>
      <w:r>
        <w:rPr>
          <w:rFonts w:ascii="Times New Roman" w:cs="Times New Roman" w:eastAsia="Times New Roman" w:hAnsi="Times New Roman"/>
          <w:sz w:val="23"/>
          <w:szCs w:val="23"/>
          <w:color w:val="auto"/>
          <w:vertAlign w:val="superscript"/>
        </w:rPr>
        <w:t>3,4</w:t>
      </w:r>
    </w:p>
    <w:p>
      <w:pPr>
        <w:spacing w:after="0"/>
        <w:rPr>
          <w:sz w:val="20"/>
          <w:szCs w:val="20"/>
          <w:color w:val="auto"/>
        </w:rPr>
      </w:pPr>
      <w:r>
        <w:rPr>
          <w:rFonts w:ascii="Times New Roman" w:cs="Times New Roman" w:eastAsia="Times New Roman" w:hAnsi="Times New Roman"/>
          <w:sz w:val="18"/>
          <w:szCs w:val="18"/>
          <w:color w:val="auto"/>
        </w:rPr>
        <w:t>Retired Managing Director, Goldman Sachs Group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Kristiane C. Graham</w:t>
      </w:r>
      <w:r>
        <w:rPr>
          <w:rFonts w:ascii="Times New Roman" w:cs="Times New Roman" w:eastAsia="Times New Roman" w:hAnsi="Times New Roman"/>
          <w:sz w:val="23"/>
          <w:szCs w:val="23"/>
          <w:color w:val="auto"/>
          <w:vertAlign w:val="superscript"/>
        </w:rPr>
        <w:t>2,3</w:t>
      </w:r>
    </w:p>
    <w:p>
      <w:pPr>
        <w:spacing w:after="0"/>
        <w:rPr>
          <w:sz w:val="20"/>
          <w:szCs w:val="20"/>
          <w:color w:val="auto"/>
        </w:rPr>
      </w:pPr>
      <w:r>
        <w:rPr>
          <w:rFonts w:ascii="Times New Roman" w:cs="Times New Roman" w:eastAsia="Times New Roman" w:hAnsi="Times New Roman"/>
          <w:sz w:val="18"/>
          <w:szCs w:val="18"/>
          <w:color w:val="auto"/>
        </w:rPr>
        <w:t>Private Investor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A. Howze</w:t>
      </w:r>
      <w:r>
        <w:rPr>
          <w:rFonts w:ascii="Times New Roman" w:cs="Times New Roman" w:eastAsia="Times New Roman" w:hAnsi="Times New Roman"/>
          <w:sz w:val="23"/>
          <w:szCs w:val="23"/>
          <w:color w:val="auto"/>
          <w:vertAlign w:val="superscript"/>
        </w:rPr>
        <w:t>1,2</w:t>
      </w:r>
    </w:p>
    <w:p>
      <w:pPr>
        <w:spacing w:after="0"/>
        <w:rPr>
          <w:sz w:val="20"/>
          <w:szCs w:val="20"/>
          <w:color w:val="auto"/>
        </w:rPr>
      </w:pPr>
      <w:r>
        <w:rPr>
          <w:rFonts w:ascii="Times New Roman" w:cs="Times New Roman" w:eastAsia="Times New Roman" w:hAnsi="Times New Roman"/>
          <w:sz w:val="18"/>
          <w:szCs w:val="18"/>
          <w:color w:val="auto"/>
        </w:rPr>
        <w:t>Retired Senior Advisor, Office of the Chairman at Deere &amp;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Manley</w:t>
      </w:r>
      <w:r>
        <w:rPr>
          <w:rFonts w:ascii="Times New Roman" w:cs="Times New Roman" w:eastAsia="Times New Roman" w:hAnsi="Times New Roman"/>
          <w:sz w:val="23"/>
          <w:szCs w:val="23"/>
          <w:color w:val="auto"/>
          <w:vertAlign w:val="superscript"/>
        </w:rPr>
        <w:t>2,4</w:t>
      </w:r>
    </w:p>
    <w:p>
      <w:pPr>
        <w:spacing w:after="0"/>
        <w:rPr>
          <w:sz w:val="20"/>
          <w:szCs w:val="20"/>
          <w:color w:val="auto"/>
        </w:rPr>
      </w:pPr>
      <w:r>
        <w:rPr>
          <w:rFonts w:ascii="Times New Roman" w:cs="Times New Roman" w:eastAsia="Times New Roman" w:hAnsi="Times New Roman"/>
          <w:sz w:val="18"/>
          <w:szCs w:val="18"/>
          <w:color w:val="auto"/>
        </w:rPr>
        <w:t>Chief Executive Officer of AutoNation,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Danita K. Ostling</w:t>
      </w:r>
      <w:r>
        <w:rPr>
          <w:rFonts w:ascii="Times New Roman" w:cs="Times New Roman" w:eastAsia="Times New Roman" w:hAnsi="Times New Roman"/>
          <w:sz w:val="23"/>
          <w:szCs w:val="23"/>
          <w:color w:val="auto"/>
          <w:vertAlign w:val="superscript"/>
        </w:rPr>
        <w:t>1,3</w:t>
      </w:r>
    </w:p>
    <w:p>
      <w:pPr>
        <w:spacing w:after="0"/>
        <w:rPr>
          <w:sz w:val="20"/>
          <w:szCs w:val="20"/>
          <w:color w:val="auto"/>
        </w:rPr>
      </w:pPr>
      <w:r>
        <w:rPr>
          <w:rFonts w:ascii="Times New Roman" w:cs="Times New Roman" w:eastAsia="Times New Roman" w:hAnsi="Times New Roman"/>
          <w:sz w:val="18"/>
          <w:szCs w:val="18"/>
          <w:color w:val="auto"/>
        </w:rPr>
        <w:t>Former Partner and Senior Leader at Ernst &amp; Young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A. Spiegel</w:t>
      </w:r>
      <w:r>
        <w:rPr>
          <w:rFonts w:ascii="Times New Roman" w:cs="Times New Roman" w:eastAsia="Times New Roman" w:hAnsi="Times New Roman"/>
          <w:sz w:val="23"/>
          <w:szCs w:val="23"/>
          <w:color w:val="auto"/>
          <w:vertAlign w:val="superscript"/>
        </w:rPr>
        <w:t>1,4</w:t>
      </w:r>
    </w:p>
    <w:p>
      <w:pPr>
        <w:spacing w:after="0"/>
        <w:rPr>
          <w:sz w:val="20"/>
          <w:szCs w:val="20"/>
          <w:color w:val="auto"/>
        </w:rPr>
      </w:pPr>
      <w:r>
        <w:rPr>
          <w:rFonts w:ascii="Times New Roman" w:cs="Times New Roman" w:eastAsia="Times New Roman" w:hAnsi="Times New Roman"/>
          <w:sz w:val="18"/>
          <w:szCs w:val="18"/>
          <w:color w:val="auto"/>
        </w:rPr>
        <w:t>Former President and CEO of Siemens USA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 Tobin, Chairman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Dover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E. Wandell, Lead Independent Director</w:t>
      </w:r>
      <w:r>
        <w:rPr>
          <w:rFonts w:ascii="Times New Roman" w:cs="Times New Roman" w:eastAsia="Times New Roman" w:hAnsi="Times New Roman"/>
          <w:sz w:val="23"/>
          <w:szCs w:val="23"/>
          <w:color w:val="auto"/>
          <w:vertAlign w:val="superscript"/>
        </w:rPr>
        <w:t>2,4</w:t>
      </w:r>
    </w:p>
    <w:p>
      <w:pPr>
        <w:spacing w:after="0"/>
        <w:rPr>
          <w:sz w:val="20"/>
          <w:szCs w:val="20"/>
          <w:color w:val="auto"/>
        </w:rPr>
      </w:pPr>
      <w:r>
        <w:rPr>
          <w:rFonts w:ascii="Times New Roman" w:cs="Times New Roman" w:eastAsia="Times New Roman" w:hAnsi="Times New Roman"/>
          <w:sz w:val="18"/>
          <w:szCs w:val="18"/>
          <w:color w:val="auto"/>
        </w:rPr>
        <w:t>Retired President and Chief Executive Officer, Harley-Davidson, Inc.</w:t>
      </w:r>
    </w:p>
    <w:p>
      <w:pPr>
        <w:spacing w:after="0" w:line="192" w:lineRule="exact"/>
        <w:rPr>
          <w:sz w:val="20"/>
          <w:szCs w:val="20"/>
          <w:color w:val="auto"/>
        </w:rPr>
      </w:pPr>
    </w:p>
    <w:p>
      <w:pPr>
        <w:ind w:left="100" w:hanging="92"/>
        <w:spacing w:after="0"/>
        <w:tabs>
          <w:tab w:leader="none" w:pos="10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Members of Audit Committee</w:t>
      </w:r>
    </w:p>
    <w:p>
      <w:pPr>
        <w:ind w:left="100" w:hanging="92"/>
        <w:spacing w:after="0" w:line="196" w:lineRule="auto"/>
        <w:tabs>
          <w:tab w:leader="none" w:pos="10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Members of Compensation Committee</w:t>
      </w:r>
    </w:p>
    <w:p>
      <w:pPr>
        <w:ind w:left="100" w:hanging="92"/>
        <w:spacing w:after="0" w:line="204" w:lineRule="auto"/>
        <w:tabs>
          <w:tab w:leader="none" w:pos="1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Members of Governance &amp; Nominating Committee</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Members of Finance Committee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with respect to Section 16(a) reporting compliance required to be included in this Item 10 will be included in our 2026 Proxy Statement and is incorporated in this Item 10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with respect to executive compensation and the compensation committee required to be included pursuant to this Item 11 will be included in our 2026 Proxy Statement and is incorporated in this Item 11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regarding security ownership of certain beneficial owners and management that is required to be included pursuant to this Item 12 will be included in our 2026 Proxy Statement and is incorporated in this Item 12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Compensation Plan Table below presents information regarding our equity compensation plans at December 31,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24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19"/>
                <w:szCs w:val="19"/>
                <w:color w:val="auto"/>
              </w:rPr>
            </w:pPr>
          </w:p>
        </w:tc>
        <w:tc>
          <w:tcPr>
            <w:tcW w:w="16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6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46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rPr>
              <w:t>to be Issued Upon</w:t>
            </w:r>
          </w:p>
        </w:tc>
        <w:tc>
          <w:tcPr>
            <w:tcW w:w="180" w:type="dxa"/>
            <w:vAlign w:val="bottom"/>
          </w:tcPr>
          <w:p>
            <w:pPr>
              <w:spacing w:after="0"/>
              <w:rPr>
                <w:sz w:val="16"/>
                <w:szCs w:val="16"/>
                <w:color w:val="auto"/>
              </w:rPr>
            </w:pPr>
          </w:p>
        </w:tc>
        <w:tc>
          <w:tcPr>
            <w:tcW w:w="16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46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1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460" w:type="dxa"/>
            <w:vAlign w:val="bottom"/>
          </w:tcPr>
          <w:p>
            <w:pPr>
              <w:jc w:val="center"/>
              <w:ind w:left="5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 w:type="dxa"/>
            <w:vAlign w:val="bottom"/>
          </w:tcPr>
          <w:p>
            <w:pPr>
              <w:spacing w:after="0"/>
              <w:rPr>
                <w:sz w:val="15"/>
                <w:szCs w:val="15"/>
                <w:color w:val="auto"/>
              </w:rPr>
            </w:pPr>
          </w:p>
        </w:tc>
        <w:tc>
          <w:tcPr>
            <w:tcW w:w="16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189"/>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46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(1)</w:t>
            </w: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 (2)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2,667,849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131.53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10,663,310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2,667,849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131.53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10,663,310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 (a) includes shares issuable pursuant to outstanding stock appreciation rights ("SARs"), restricted stock units ("RSUs") and performance share awards ("PSAs") under the Company's 2021 Omnibus Incentive Plan (the "2021 Plan") and 2012 Equity and Cash Incentive Plan (the "2012 Plan"). PSAs are subject to satisfaction of the applicable performance criteria over a three-year performance period. RSUs and PSAs are not reflected in the weighted exercise price in column (b) as these awards do not have an exercise price.</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 (c) consists of shares available for future issuance under the Company's 2021 Plan. Under the 2021 Plan, the Company may grant stock options, SARs, restricted stock, RSUs, PSAs, director shares, or deferred stock units. Under the 2021 Plan, the number of shares available for issuance will be reduced (i) by one share for each share issued pursuant to options or SARs and (ii) by three shares for each share of stock issued pursuant to restricted stock, RSUs, PSAs, director share, or deferred stock unit awards.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equity securities have been authorized for issuance to employees and/or non-employee directors under the 2021 Plan and its predecessor plan (the "2012 Plan"). Although the 2012 Plan has expired and no further awards may be granted under the Plan, there remain outstanding SARs under the 2012 Plan, which are reflected in Column (a) of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2026 Proxy Statement and is incorporated in this Item 13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with respect to the Company's relationship with its independent registered public accounting firm and fees paid thereto required to be included pursuant to this Item 14 will be included in the 2026 Proxy Statement and is incorporated in this Item 14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with respect to audit committee pre-approval policies and procedures required to be included pursuant to this Item 14 will be included in the 2026 Proxy Statement and is incorporated in this Item 14 by reference.</w:t>
      </w:r>
    </w:p>
    <w:p>
      <w:pPr>
        <w:sectPr>
          <w:pgSz w:w="11900" w:h="16838" w:orient="portrait"/>
          <w:cols w:equalWidth="0" w:num="1">
            <w:col w:w="11240"/>
          </w:cols>
          <w:pgMar w:left="320" w:top="121" w:right="3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54" w:lineRule="exact"/>
        <w:rPr>
          <w:sz w:val="20"/>
          <w:szCs w:val="20"/>
          <w:color w:val="auto"/>
        </w:rPr>
      </w:pPr>
    </w:p>
    <w:p>
      <w:pPr>
        <w:ind w:left="560" w:hanging="359"/>
        <w:spacing w:after="0"/>
        <w:tabs>
          <w:tab w:leader="none" w:pos="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44" w:lineRule="exact"/>
        <w:rPr>
          <w:sz w:val="20"/>
          <w:szCs w:val="20"/>
          <w:color w:val="auto"/>
        </w:rPr>
      </w:pPr>
    </w:p>
    <w:p>
      <w:pPr>
        <w:ind w:left="560" w:hanging="394"/>
        <w:spacing w:after="0"/>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are set forth under "Item 8. Financial Statements and Supplementary Data" of this Form 10-K.</w:t>
      </w:r>
    </w:p>
    <w:p>
      <w:pPr>
        <w:spacing w:after="0" w:line="130" w:lineRule="exact"/>
        <w:rPr>
          <w:rFonts w:ascii="Times New Roman" w:cs="Times New Roman" w:eastAsia="Times New Roman" w:hAnsi="Times New Roman"/>
          <w:sz w:val="18"/>
          <w:szCs w:val="18"/>
          <w:color w:val="auto"/>
        </w:rPr>
      </w:pPr>
    </w:p>
    <w:p>
      <w:pPr>
        <w:ind w:left="560" w:hanging="394"/>
        <w:spacing w:after="0" w:line="250"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All schedules have been omitted because they are not required, are not applicable or the required information is included in the financial statements or the notes thereto.</w:t>
      </w:r>
    </w:p>
    <w:p>
      <w:pPr>
        <w:spacing w:after="0" w:line="108" w:lineRule="exact"/>
        <w:rPr>
          <w:rFonts w:ascii="Times New Roman" w:cs="Times New Roman" w:eastAsia="Times New Roman" w:hAnsi="Times New Roman"/>
          <w:sz w:val="18"/>
          <w:szCs w:val="18"/>
          <w:color w:val="auto"/>
        </w:rPr>
      </w:pPr>
    </w:p>
    <w:p>
      <w:pPr>
        <w:ind w:left="560" w:hanging="394"/>
        <w:spacing w:after="0" w:line="237"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below are filed or incorporated by reference as part of this Form 10-K. The exhibits will be filed with the SEC but will not be included in the printed version of the Annual Report to Shareholders.</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4" w:lineRule="exact"/>
        <w:rPr>
          <w:sz w:val="20"/>
          <w:szCs w:val="20"/>
          <w:color w:val="auto"/>
        </w:rPr>
      </w:pPr>
    </w:p>
    <w:p>
      <w:pPr>
        <w:ind w:left="980" w:right="2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(2.1) </w:t>
      </w:r>
      <w:hyperlink r:id="rId134">
        <w:r>
          <w:rPr>
            <w:rFonts w:ascii="Times New Roman" w:cs="Times New Roman" w:eastAsia="Times New Roman" w:hAnsi="Times New Roman"/>
            <w:sz w:val="18"/>
            <w:szCs w:val="18"/>
            <w:u w:val="single" w:color="auto"/>
            <w:color w:val="0000FF"/>
          </w:rPr>
          <w:t>Transaction Agreement, dated as of July 21, 2024, by and between Dover Corporation and Terex Corporation, filed as Exhibit 2.1 to the</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Company's Quarterly Report on Form 10-Q for the period ended September 30, 2024 (SEC File No. 001-04018), is incorporated by reference.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 **</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8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136">
        <w:r>
          <w:rPr>
            <w:rFonts w:ascii="Times New Roman" w:cs="Times New Roman" w:eastAsia="Times New Roman" w:hAnsi="Times New Roman"/>
            <w:sz w:val="18"/>
            <w:szCs w:val="18"/>
            <w:u w:val="single" w:color="auto"/>
            <w:color w:val="0000FF"/>
          </w:rPr>
          <w:t>First Amendment to Transaction Agreement, by and between Dover Corporation and Terex Corporation, dated as of October 8, 2024, filed as</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Exhibit 2.2 to the Company's Quarterly Report on Form 10-Q for the period ended September 30, 2024 (SEC File No. 001-04018), is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incorporated by reference. **</w:t>
        </w:r>
      </w:hyperlink>
    </w:p>
    <w:p>
      <w:pPr>
        <w:ind w:left="5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(3)(i) </w:t>
      </w:r>
      <w:hyperlink r:id="rId137">
        <w:r>
          <w:rPr>
            <w:rFonts w:ascii="Times New Roman" w:cs="Times New Roman" w:eastAsia="Times New Roman" w:hAnsi="Times New Roman"/>
            <w:sz w:val="18"/>
            <w:szCs w:val="18"/>
            <w:u w:val="single" w:color="auto"/>
            <w:color w:val="0000FF"/>
          </w:rPr>
          <w:t>Sixth Restated Certificate of Incorporation of the Company, filed as Exhibit 3.1 to the Company's Current Report on Form 8-K filed May 8,</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2024 (SEC File No. 001-04018), is incorporated by reference.</w:t>
        </w:r>
      </w:hyperlink>
    </w:p>
    <w:p>
      <w:pPr>
        <w:spacing w:after="0" w:line="16" w:lineRule="exact"/>
        <w:rPr>
          <w:rFonts w:ascii="Times New Roman" w:cs="Times New Roman" w:eastAsia="Times New Roman" w:hAnsi="Times New Roman"/>
          <w:sz w:val="18"/>
          <w:szCs w:val="18"/>
          <w:color w:val="auto"/>
        </w:rPr>
      </w:pPr>
    </w:p>
    <w:p>
      <w:pPr>
        <w:ind w:left="980" w:right="100" w:hanging="464"/>
        <w:spacing w:after="0" w:line="29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(3)(ii) </w:t>
      </w:r>
      <w:hyperlink r:id="rId139">
        <w:r>
          <w:rPr>
            <w:rFonts w:ascii="Times New Roman" w:cs="Times New Roman" w:eastAsia="Times New Roman" w:hAnsi="Times New Roman"/>
            <w:sz w:val="18"/>
            <w:szCs w:val="18"/>
            <w:u w:val="single" w:color="auto"/>
            <w:color w:val="0000FF"/>
          </w:rPr>
          <w:t>Amended and Restated By-Laws of the Company, effective as of February 10, 2023, filed as Exhibit 3.1 to the Company's Current Report on</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Form 8-K filed on February 16, 2023 (SEC File No. 001-04018), are incorporated by reference.</w:t>
        </w:r>
      </w:hyperlink>
    </w:p>
    <w:p>
      <w:pPr>
        <w:spacing w:after="0" w:line="122" w:lineRule="exact"/>
        <w:rPr>
          <w:sz w:val="20"/>
          <w:szCs w:val="20"/>
          <w:color w:val="auto"/>
        </w:rPr>
      </w:pPr>
    </w:p>
    <w:p>
      <w:pPr>
        <w:ind w:left="980" w:right="660" w:hanging="3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140">
        <w:r>
          <w:rPr>
            <w:rFonts w:ascii="Times New Roman" w:cs="Times New Roman" w:eastAsia="Times New Roman" w:hAnsi="Times New Roman"/>
            <w:sz w:val="18"/>
            <w:szCs w:val="18"/>
            <w:u w:val="single" w:color="auto"/>
            <w:color w:val="0000FF"/>
          </w:rPr>
          <w:t>Indenture, dated as of June 8, 1998 between the Company and The First National Bank Chicago, as trustee, filed as Exhibit 4.1 to the</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Company's Current Report on Form 8-K filed June 12, 1998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right="500" w:hanging="3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140">
        <w:r>
          <w:rPr>
            <w:rFonts w:ascii="Times New Roman" w:cs="Times New Roman" w:eastAsia="Times New Roman" w:hAnsi="Times New Roman"/>
            <w:sz w:val="18"/>
            <w:szCs w:val="18"/>
            <w:u w:val="single" w:color="auto"/>
            <w:color w:val="0000FF"/>
          </w:rPr>
          <w:t>Form of 6.65% Debentures due June 1, 2028 ($200,000,000 aggregate principal amount), filed as Exhibit 4.4 to the Company's Current</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Report on Form 8-K filed June 12, 1998 (SEC File No. 001-04018), is incorporated by reference.</w:t>
        </w:r>
      </w:hyperlink>
    </w:p>
    <w:p>
      <w:pPr>
        <w:spacing w:after="0" w:line="10" w:lineRule="exact"/>
        <w:rPr>
          <w:sz w:val="20"/>
          <w:szCs w:val="20"/>
          <w:color w:val="auto"/>
        </w:rPr>
      </w:pPr>
    </w:p>
    <w:p>
      <w:pPr>
        <w:ind w:left="980" w:right="460" w:hanging="3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142">
        <w:r>
          <w:rPr>
            <w:rFonts w:ascii="Times New Roman" w:cs="Times New Roman" w:eastAsia="Times New Roman" w:hAnsi="Times New Roman"/>
            <w:sz w:val="18"/>
            <w:szCs w:val="18"/>
            <w:u w:val="single" w:color="auto"/>
            <w:color w:val="0000FF"/>
          </w:rPr>
          <w:t>Indenture, dated as of February 8, 2001 between the Company and BankOne Trust Company, N.A., as trustee, filed as Exhibit 4.1 to the</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Company's Current Report on Form 8-K filed February 13, 2001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18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144">
        <w:r>
          <w:rPr>
            <w:rFonts w:ascii="Times New Roman" w:cs="Times New Roman" w:eastAsia="Times New Roman" w:hAnsi="Times New Roman"/>
            <w:sz w:val="18"/>
            <w:szCs w:val="18"/>
            <w:u w:val="single" w:color="auto"/>
            <w:color w:val="0000FF"/>
          </w:rPr>
          <w:t>First Supplemental Indenture, dated as of October 13, 2005, among the Company, J.P. Morgan Trust Company, National Association, as</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original trustee, and The Bank of New York, as trustee, filed as Exhibit 4.1 to the Company's Current Report on Form 8-K filed October 13,</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2005 (SEC File No. 001-04018), is incorporated by reference.</w:t>
        </w:r>
      </w:hyperlink>
    </w:p>
    <w:p>
      <w:pPr>
        <w:spacing w:after="0" w:line="9" w:lineRule="exact"/>
        <w:rPr>
          <w:rFonts w:ascii="Times New Roman" w:cs="Times New Roman" w:eastAsia="Times New Roman" w:hAnsi="Times New Roman"/>
          <w:sz w:val="18"/>
          <w:szCs w:val="18"/>
          <w:color w:val="auto"/>
        </w:rPr>
      </w:pPr>
    </w:p>
    <w:p>
      <w:pPr>
        <w:ind w:left="980" w:right="80" w:hanging="3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145">
        <w:r>
          <w:rPr>
            <w:rFonts w:ascii="Times New Roman" w:cs="Times New Roman" w:eastAsia="Times New Roman" w:hAnsi="Times New Roman"/>
            <w:sz w:val="18"/>
            <w:szCs w:val="18"/>
            <w:u w:val="single" w:color="auto"/>
            <w:color w:val="0000FF"/>
          </w:rPr>
          <w:t>Form of 5.375% Debentures due October 15, 2035 ($300,000,000 aggregate principal amount), filed as Exhibit 4.3 to the Company's Current</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Report on Form 8-K filed October 13, 2005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both"/>
        <w:ind w:left="980" w:right="16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147">
        <w:r>
          <w:rPr>
            <w:rFonts w:ascii="Times New Roman" w:cs="Times New Roman" w:eastAsia="Times New Roman" w:hAnsi="Times New Roman"/>
            <w:sz w:val="18"/>
            <w:szCs w:val="18"/>
            <w:u w:val="single" w:color="auto"/>
            <w:color w:val="0000FF"/>
          </w:rPr>
          <w:t>Second Supplemental Indenture, dated as of March 14, 2008, between the Company and The Bank of New York, as trustee, including forms</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of note, filed as Exhibit 4.1 to the Company's Current Report on Form 8-K filed March 14, 2008 (SEC File No. 001-04018), is incorporated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by reference.</w:t>
        </w:r>
      </w:hyperlink>
    </w:p>
    <w:p>
      <w:pPr>
        <w:spacing w:after="0" w:line="9" w:lineRule="exact"/>
        <w:rPr>
          <w:rFonts w:ascii="Times New Roman" w:cs="Times New Roman" w:eastAsia="Times New Roman" w:hAnsi="Times New Roman"/>
          <w:sz w:val="18"/>
          <w:szCs w:val="18"/>
          <w:color w:val="auto"/>
        </w:rPr>
      </w:pPr>
    </w:p>
    <w:p>
      <w:pPr>
        <w:ind w:left="980" w:right="2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148">
        <w:r>
          <w:rPr>
            <w:rFonts w:ascii="Times New Roman" w:cs="Times New Roman" w:eastAsia="Times New Roman" w:hAnsi="Times New Roman"/>
            <w:sz w:val="18"/>
            <w:szCs w:val="18"/>
            <w:u w:val="single" w:color="auto"/>
            <w:color w:val="0000FF"/>
          </w:rPr>
          <w:t>Third Supplemental Indenture, dated as of February 22, 2011, between the Company and The Bank of New York Mellon, as trustee, including</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forms of note, filed as Exhibit 4.1 to the Company's Current Report on Form 8-K filed February 22, 2011 (SEC File No. 001-04018), is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incorporated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both"/>
        <w:ind w:left="980" w:right="18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150">
        <w:r>
          <w:rPr>
            <w:rFonts w:ascii="Times New Roman" w:cs="Times New Roman" w:eastAsia="Times New Roman" w:hAnsi="Times New Roman"/>
            <w:sz w:val="18"/>
            <w:szCs w:val="18"/>
            <w:u w:val="single" w:color="auto"/>
            <w:color w:val="0000FF"/>
          </w:rPr>
          <w:t>Sixth Supplemental Indenture, dated as of November 9, 2016, between the Company and J.P. Morgan Trust Company National Association,</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as trustee, including form of note, filed as Exhibit 4.1 to the Company's Current Report on Form 8-K filed on November 9, 2016 (SEC File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No. 001-04018), is incorporated by reference.</w:t>
        </w:r>
      </w:hyperlink>
    </w:p>
    <w:p>
      <w:pPr>
        <w:spacing w:after="0" w:line="9" w:lineRule="exact"/>
        <w:rPr>
          <w:rFonts w:ascii="Times New Roman" w:cs="Times New Roman" w:eastAsia="Times New Roman" w:hAnsi="Times New Roman"/>
          <w:sz w:val="18"/>
          <w:szCs w:val="18"/>
          <w:color w:val="auto"/>
        </w:rPr>
      </w:pPr>
    </w:p>
    <w:p>
      <w:pPr>
        <w:ind w:left="980" w:right="40" w:hanging="38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(4.9) </w:t>
      </w:r>
      <w:hyperlink r:id="rId151">
        <w:r>
          <w:rPr>
            <w:rFonts w:ascii="Times New Roman" w:cs="Times New Roman" w:eastAsia="Times New Roman" w:hAnsi="Times New Roman"/>
            <w:sz w:val="18"/>
            <w:szCs w:val="18"/>
            <w:u w:val="single" w:color="auto"/>
            <w:color w:val="0000FF"/>
          </w:rPr>
          <w:t>Seventh Supplemental Indenture, dated as of November 4, 2019, between the Company and the Bank of New York Mellon, including form of</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note, filed as Exhibit 4.1 to the Company's Current Report on Form 8-K filed on November 4, 2019 (SEC File No. 001-04018), is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320" w:hanging="469"/>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(4.10) </w:t>
      </w:r>
      <w:hyperlink r:id="rId154">
        <w:r>
          <w:rPr>
            <w:rFonts w:ascii="Times New Roman" w:cs="Times New Roman" w:eastAsia="Times New Roman" w:hAnsi="Times New Roman"/>
            <w:sz w:val="17"/>
            <w:szCs w:val="17"/>
            <w:u w:val="single" w:color="auto"/>
            <w:color w:val="0000FF"/>
          </w:rPr>
          <w:t>Eighth Supplemental Indenture, dated as of November 4, 2019, between the Company and the Bank of New York Mellon, as trustee,</w:t>
        </w:r>
      </w:hyperlink>
      <w:r>
        <w:rPr>
          <w:rFonts w:ascii="Times New Roman" w:cs="Times New Roman" w:eastAsia="Times New Roman" w:hAnsi="Times New Roman"/>
          <w:sz w:val="17"/>
          <w:szCs w:val="17"/>
          <w:color w:val="auto"/>
        </w:rPr>
        <w:t xml:space="preserve"> </w:t>
      </w:r>
      <w:hyperlink r:id="rId154">
        <w:r>
          <w:rPr>
            <w:rFonts w:ascii="Times New Roman" w:cs="Times New Roman" w:eastAsia="Times New Roman" w:hAnsi="Times New Roman"/>
            <w:sz w:val="17"/>
            <w:szCs w:val="17"/>
            <w:u w:val="single" w:color="auto"/>
            <w:color w:val="0000FF"/>
          </w:rPr>
          <w:t>including form of note, filed as Exhibit 4.3 to the Company's Current Report on Form 8-K filed on November 4, 2019 (SEC File No. 001-</w:t>
        </w:r>
      </w:hyperlink>
    </w:p>
    <w:p>
      <w:pPr>
        <w:ind w:left="98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240" w:hanging="463"/>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(4.11) </w:t>
      </w:r>
      <w:hyperlink r:id="rId156">
        <w:r>
          <w:rPr>
            <w:rFonts w:ascii="Times New Roman" w:cs="Times New Roman" w:eastAsia="Times New Roman" w:hAnsi="Times New Roman"/>
            <w:sz w:val="17"/>
            <w:szCs w:val="17"/>
            <w:u w:val="single" w:color="auto"/>
            <w:color w:val="0000FF"/>
          </w:rPr>
          <w:t>Ninth Supplemental Indenture, dated as of November 12, 2025, between the Company and the Bank of New York Mellon, as trustee,</w:t>
        </w:r>
      </w:hyperlink>
      <w:r>
        <w:rPr>
          <w:rFonts w:ascii="Times New Roman" w:cs="Times New Roman" w:eastAsia="Times New Roman" w:hAnsi="Times New Roman"/>
          <w:sz w:val="17"/>
          <w:szCs w:val="17"/>
          <w:color w:val="auto"/>
        </w:rPr>
        <w:t xml:space="preserve"> </w:t>
      </w:r>
      <w:hyperlink r:id="rId156">
        <w:r>
          <w:rPr>
            <w:rFonts w:ascii="Times New Roman" w:cs="Times New Roman" w:eastAsia="Times New Roman" w:hAnsi="Times New Roman"/>
            <w:sz w:val="17"/>
            <w:szCs w:val="17"/>
            <w:u w:val="single" w:color="auto"/>
            <w:color w:val="0000FF"/>
          </w:rPr>
          <w:t>including form of note, filed as Exhibit 4.1 to the Company's Current Report on Form 8-K filed on November 12, 2025 (SEC File No. 001-</w:t>
        </w:r>
      </w:hyperlink>
    </w:p>
    <w:p>
      <w:pPr>
        <w:ind w:left="98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04018), is incorporated by reference.</w:t>
        </w:r>
      </w:hyperlink>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0000FF"/>
        </w:rPr>
        <w:t>Description of Dover Corporation's securities registered pursuant to Section 12 of the Exchange Act.(1)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980" w:right="60"/>
        <w:spacing w:after="0" w:line="234" w:lineRule="auto"/>
        <w:rPr>
          <w:sz w:val="20"/>
          <w:szCs w:val="20"/>
          <w:color w:val="auto"/>
        </w:rPr>
      </w:pPr>
      <w:r>
        <w:rPr>
          <w:rFonts w:ascii="Times New Roman" w:cs="Times New Roman" w:eastAsia="Times New Roman" w:hAnsi="Times New Roman"/>
          <w:sz w:val="18"/>
          <w:szCs w:val="18"/>
          <w:color w:val="auto"/>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p>
      <w:pPr>
        <w:spacing w:after="0" w:line="10" w:lineRule="exact"/>
        <w:rPr>
          <w:sz w:val="20"/>
          <w:szCs w:val="20"/>
          <w:color w:val="auto"/>
        </w:rPr>
      </w:pPr>
    </w:p>
    <w:p>
      <w:pPr>
        <w:ind w:left="980" w:right="40" w:hanging="469"/>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158">
        <w:r>
          <w:rPr>
            <w:rFonts w:ascii="Times New Roman" w:cs="Times New Roman" w:eastAsia="Times New Roman" w:hAnsi="Times New Roman"/>
            <w:sz w:val="17"/>
            <w:szCs w:val="17"/>
            <w:u w:val="single" w:color="auto"/>
            <w:color w:val="0000FF"/>
          </w:rPr>
          <w:t>Five-Year Credit Agreement dated as of April 6, 2023 among Dover Corporation, the Lenders party thereto, the Issuing Banks party thereto,</w:t>
        </w:r>
      </w:hyperlink>
      <w:r>
        <w:rPr>
          <w:rFonts w:ascii="Times New Roman" w:cs="Times New Roman" w:eastAsia="Times New Roman" w:hAnsi="Times New Roman"/>
          <w:sz w:val="17"/>
          <w:szCs w:val="17"/>
          <w:color w:val="auto"/>
        </w:rPr>
        <w:t xml:space="preserve"> </w:t>
      </w:r>
      <w:hyperlink r:id="rId158">
        <w:r>
          <w:rPr>
            <w:rFonts w:ascii="Times New Roman" w:cs="Times New Roman" w:eastAsia="Times New Roman" w:hAnsi="Times New Roman"/>
            <w:sz w:val="17"/>
            <w:szCs w:val="17"/>
            <w:u w:val="single" w:color="auto"/>
            <w:color w:val="0000FF"/>
          </w:rPr>
          <w:t>the Borrowing Subsidiaries party thereto from time to time and JPMorgan Chase Bank, N.A. as Administrative Agent, filed as Exhibit 10.1 to</w:t>
        </w:r>
      </w:hyperlink>
    </w:p>
    <w:p>
      <w:pPr>
        <w:ind w:left="98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the Company's Current Report on Form 8-K filed April 11, 2023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4883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left="500" w:right="40"/>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 </w:t>
      </w:r>
      <w:hyperlink r:id="rId160">
        <w:r>
          <w:rPr>
            <w:rFonts w:ascii="Times New Roman" w:cs="Times New Roman" w:eastAsia="Times New Roman" w:hAnsi="Times New Roman"/>
            <w:sz w:val="17"/>
            <w:szCs w:val="17"/>
            <w:u w:val="single" w:color="auto"/>
            <w:color w:val="0000FF"/>
          </w:rPr>
          <w:t>First Amendment, dated as of April 4, 2024, to Five-Year Credit Agreement dated as of April 6, 2023 among Dover Corporation, the Lenders</w:t>
        </w:r>
      </w:hyperlink>
      <w:r>
        <w:rPr>
          <w:rFonts w:ascii="Times New Roman" w:cs="Times New Roman" w:eastAsia="Times New Roman" w:hAnsi="Times New Roman"/>
          <w:sz w:val="17"/>
          <w:szCs w:val="17"/>
          <w:color w:val="auto"/>
        </w:rPr>
        <w:t xml:space="preserve"> </w:t>
      </w:r>
      <w:hyperlink r:id="rId160">
        <w:r>
          <w:rPr>
            <w:rFonts w:ascii="Times New Roman" w:cs="Times New Roman" w:eastAsia="Times New Roman" w:hAnsi="Times New Roman"/>
            <w:sz w:val="17"/>
            <w:szCs w:val="17"/>
            <w:u w:val="single" w:color="auto"/>
            <w:color w:val="0000FF"/>
          </w:rPr>
          <w:t>party thereto, the Issuing Banks party thereto, the Borrowing Subsidiaries party thereto from time to time and JPMorgan Chase Bank, N.A. as</w:t>
        </w:r>
      </w:hyperlink>
    </w:p>
    <w:p>
      <w:pPr>
        <w:ind w:left="980" w:right="40"/>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Administrative Agent, filed as Exhibit 10.4 to the Company's Quarterly Report on Form 10-Q for the period ended March 31, 2024 (SEC File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No. 001-04018), is incorporated by reference.</w:t>
        </w:r>
      </w:hyperlink>
    </w:p>
    <w:p>
      <w:pPr>
        <w:ind w:left="980" w:right="60" w:hanging="469"/>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 </w:t>
      </w:r>
      <w:hyperlink r:id="rId161">
        <w:r>
          <w:rPr>
            <w:rFonts w:ascii="Times New Roman" w:cs="Times New Roman" w:eastAsia="Times New Roman" w:hAnsi="Times New Roman"/>
            <w:sz w:val="17"/>
            <w:szCs w:val="17"/>
            <w:u w:val="single" w:color="auto"/>
            <w:color w:val="0000FF"/>
          </w:rPr>
          <w:t>364-Day Credit Agreement dated as of April 3, 2025 among Dover Corporation, the Lenders party thereto, the Borrowing Subsidiaries party</w:t>
        </w:r>
      </w:hyperlink>
      <w:r>
        <w:rPr>
          <w:rFonts w:ascii="Times New Roman" w:cs="Times New Roman" w:eastAsia="Times New Roman" w:hAnsi="Times New Roman"/>
          <w:sz w:val="17"/>
          <w:szCs w:val="17"/>
          <w:color w:val="auto"/>
        </w:rPr>
        <w:t xml:space="preserve"> </w:t>
      </w:r>
      <w:hyperlink r:id="rId161">
        <w:r>
          <w:rPr>
            <w:rFonts w:ascii="Times New Roman" w:cs="Times New Roman" w:eastAsia="Times New Roman" w:hAnsi="Times New Roman"/>
            <w:sz w:val="17"/>
            <w:szCs w:val="17"/>
            <w:u w:val="single" w:color="auto"/>
            <w:color w:val="0000FF"/>
          </w:rPr>
          <w:t>thereto from time to time and JPMorgan Chase Bank, N.A. as Administrative Agent, filed as Exhibit 10.1 to the Company’s Quarterly Report</w:t>
        </w:r>
      </w:hyperlink>
    </w:p>
    <w:p>
      <w:pPr>
        <w:ind w:left="98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on Form 8-K filed April 3, 2025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480" w:hanging="46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63">
        <w:r>
          <w:rPr>
            <w:rFonts w:ascii="Times New Roman" w:cs="Times New Roman" w:eastAsia="Times New Roman" w:hAnsi="Times New Roman"/>
            <w:sz w:val="18"/>
            <w:szCs w:val="18"/>
            <w:u w:val="single" w:color="auto"/>
            <w:color w:val="0000FF"/>
          </w:rPr>
          <w:t>Dover Corporation Executive Officer Annual Incentive Plan, as amended and restated as of January 1, 2009, filed as Exhibit 10.2 to the</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Company's Current Report on Form 8-K filed May 13, 2009 (SEC File No. 001-04018), is incorporated by reference.*</w:t>
        </w:r>
      </w:hyperlink>
    </w:p>
    <w:p>
      <w:pPr>
        <w:spacing w:after="0" w:line="10" w:lineRule="exact"/>
        <w:rPr>
          <w:sz w:val="20"/>
          <w:szCs w:val="20"/>
          <w:color w:val="auto"/>
        </w:rPr>
      </w:pPr>
    </w:p>
    <w:p>
      <w:pPr>
        <w:ind w:left="980" w:hanging="469"/>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64">
        <w:r>
          <w:rPr>
            <w:rFonts w:ascii="Times New Roman" w:cs="Times New Roman" w:eastAsia="Times New Roman" w:hAnsi="Times New Roman"/>
            <w:sz w:val="17"/>
            <w:szCs w:val="17"/>
            <w:u w:val="single" w:color="auto"/>
            <w:color w:val="0000FF"/>
          </w:rPr>
          <w:t>First Amendment to the Dover Corporation Executive Officer Annual Incentive Plan, as amended November 7, 2019, filed as Exhibit 10.3 to</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u w:val="single" w:color="auto"/>
            <w:color w:val="0000FF"/>
          </w:rPr>
          <w:t>the Company's Annual Report on Form 10-K for the year ended December 31, 2019 (SEC File No. 001-04018), is incorporated by reference.*</w:t>
        </w:r>
      </w:hyperlink>
    </w:p>
    <w:p>
      <w:pPr>
        <w:spacing w:after="0" w:line="1" w:lineRule="exact"/>
        <w:rPr>
          <w:sz w:val="20"/>
          <w:szCs w:val="20"/>
          <w:color w:val="auto"/>
        </w:rPr>
      </w:pPr>
    </w:p>
    <w:p>
      <w:pPr>
        <w:ind w:left="980" w:right="180" w:hanging="469"/>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65">
        <w:r>
          <w:rPr>
            <w:rFonts w:ascii="Times New Roman" w:cs="Times New Roman" w:eastAsia="Times New Roman" w:hAnsi="Times New Roman"/>
            <w:sz w:val="17"/>
            <w:szCs w:val="17"/>
            <w:u w:val="single" w:color="auto"/>
            <w:color w:val="0000FF"/>
          </w:rPr>
          <w:t>Dover Corporation Deferred Compensation Plan, as amended and restated as of September 21, 2020, filed as Exhibit 10.1 to the Company's</w:t>
        </w:r>
      </w:hyperlink>
      <w:r>
        <w:rPr>
          <w:rFonts w:ascii="Times New Roman" w:cs="Times New Roman" w:eastAsia="Times New Roman" w:hAnsi="Times New Roman"/>
          <w:sz w:val="17"/>
          <w:szCs w:val="17"/>
          <w:color w:val="auto"/>
        </w:rPr>
        <w:t xml:space="preserve"> </w:t>
      </w:r>
      <w:hyperlink r:id="rId165">
        <w:r>
          <w:rPr>
            <w:rFonts w:ascii="Times New Roman" w:cs="Times New Roman" w:eastAsia="Times New Roman" w:hAnsi="Times New Roman"/>
            <w:sz w:val="17"/>
            <w:szCs w:val="17"/>
            <w:u w:val="single" w:color="auto"/>
            <w:color w:val="0000FF"/>
          </w:rPr>
          <w:t>Quarterly Report on Form 10-Q for the period ended September 30, 2020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260" w:hanging="469"/>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 </w:t>
      </w:r>
      <w:hyperlink r:id="rId167">
        <w:r>
          <w:rPr>
            <w:rFonts w:ascii="Times New Roman" w:cs="Times New Roman" w:eastAsia="Times New Roman" w:hAnsi="Times New Roman"/>
            <w:sz w:val="17"/>
            <w:szCs w:val="17"/>
            <w:u w:val="single" w:color="auto"/>
            <w:color w:val="0000FF"/>
          </w:rPr>
          <w:t>First Amendment, dated as of November 23, 2021, to the Dover Corporation Deferred Compensation Plan, filed as Exhibit 10.6 to the</w:t>
        </w:r>
      </w:hyperlink>
      <w:r>
        <w:rPr>
          <w:rFonts w:ascii="Times New Roman" w:cs="Times New Roman" w:eastAsia="Times New Roman" w:hAnsi="Times New Roman"/>
          <w:sz w:val="17"/>
          <w:szCs w:val="17"/>
          <w:color w:val="auto"/>
        </w:rPr>
        <w:t xml:space="preserve"> </w:t>
      </w:r>
      <w:hyperlink r:id="rId167">
        <w:r>
          <w:rPr>
            <w:rFonts w:ascii="Times New Roman" w:cs="Times New Roman" w:eastAsia="Times New Roman" w:hAnsi="Times New Roman"/>
            <w:sz w:val="17"/>
            <w:szCs w:val="17"/>
            <w:u w:val="single" w:color="auto"/>
            <w:color w:val="0000FF"/>
          </w:rPr>
          <w:t>Company's Annual Report on Form 10-K for the year ended December 31, 2022 (SEC File No. 001-04018), is incorporated by reference.*</w:t>
        </w:r>
      </w:hyperlink>
    </w:p>
    <w:p>
      <w:pPr>
        <w:ind w:left="500"/>
        <w:spacing w:after="0" w:line="2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168">
        <w:r>
          <w:rPr>
            <w:rFonts w:ascii="Times New Roman" w:cs="Times New Roman" w:eastAsia="Times New Roman" w:hAnsi="Times New Roman"/>
            <w:sz w:val="18"/>
            <w:szCs w:val="18"/>
            <w:u w:val="single" w:color="auto"/>
            <w:color w:val="0000FF"/>
          </w:rPr>
          <w:t>Dover Corporation Pension Replacement Plan (formerly the Supplemental Executive Retirement Plan), as amended and restated as of January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377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line="219"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1, 2010, filed as Exhibit 10.11 to the Company's Annual Report on Form 10-K for the year ended December 31, 2009 (SEC File No. 001-</w:t>
        </w:r>
      </w:hyperlink>
    </w:p>
    <w:p>
      <w:pPr>
        <w:ind w:left="980"/>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04018), is incorporated by reference.*</w:t>
        </w:r>
      </w:hyperlink>
    </w:p>
    <w:p>
      <w:pPr>
        <w:spacing w:after="0" w:line="7" w:lineRule="exact"/>
        <w:rPr>
          <w:sz w:val="20"/>
          <w:szCs w:val="20"/>
          <w:color w:val="auto"/>
        </w:rPr>
      </w:pPr>
    </w:p>
    <w:p>
      <w:pPr>
        <w:jc w:val="center"/>
        <w:ind w:left="8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70">
        <w:r>
          <w:rPr>
            <w:rFonts w:ascii="Times New Roman" w:cs="Times New Roman" w:eastAsia="Times New Roman" w:hAnsi="Times New Roman"/>
            <w:sz w:val="18"/>
            <w:szCs w:val="18"/>
            <w:u w:val="single" w:color="auto"/>
            <w:color w:val="0000FF"/>
          </w:rPr>
          <w:t>First Amendment to the Dover Corporation Pension Replacement Plan, as amended and restated as of January 1, 2010, filed as Exhibit 10.2 to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the Company's Quarterly Report on Form 10-Q for the period ended September 30, 2013 (SEC File No. 001-04018), is incorporated by</w:t>
        </w:r>
      </w:hyperlink>
    </w:p>
    <w:p>
      <w:pPr>
        <w:ind w:left="98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260" w:hanging="560"/>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(10.10) </w:t>
      </w:r>
      <w:hyperlink r:id="rId172">
        <w:r>
          <w:rPr>
            <w:rFonts w:ascii="Times New Roman" w:cs="Times New Roman" w:eastAsia="Times New Roman" w:hAnsi="Times New Roman"/>
            <w:sz w:val="17"/>
            <w:szCs w:val="17"/>
            <w:u w:val="single" w:color="auto"/>
            <w:color w:val="0000FF"/>
          </w:rPr>
          <w:t>Second Amendment, dated as of November 28, 2016, to the Dover Corporation Pension Replacement Plan, as amended and restated as of</w:t>
        </w:r>
      </w:hyperlink>
      <w:r>
        <w:rPr>
          <w:rFonts w:ascii="Times New Roman" w:cs="Times New Roman" w:eastAsia="Times New Roman" w:hAnsi="Times New Roman"/>
          <w:sz w:val="17"/>
          <w:szCs w:val="17"/>
          <w:color w:val="auto"/>
        </w:rPr>
        <w:t xml:space="preserve"> </w:t>
      </w:r>
      <w:hyperlink r:id="rId172">
        <w:r>
          <w:rPr>
            <w:rFonts w:ascii="Times New Roman" w:cs="Times New Roman" w:eastAsia="Times New Roman" w:hAnsi="Times New Roman"/>
            <w:sz w:val="17"/>
            <w:szCs w:val="17"/>
            <w:u w:val="single" w:color="auto"/>
            <w:color w:val="0000FF"/>
          </w:rPr>
          <w:t>January 1, 2010, filed as Exhibit 10.19 to the Company's Annual Report on Form 10-K for the period ended December 31, 2016 (SEC File</w:t>
        </w:r>
      </w:hyperlink>
    </w:p>
    <w:p>
      <w:pPr>
        <w:ind w:left="98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No. 001-04018), is incorporated by reference.*</w:t>
        </w:r>
      </w:hyperlink>
    </w:p>
    <w:p>
      <w:pPr>
        <w:jc w:val="right"/>
        <w:ind w:right="200"/>
        <w:spacing w:after="0" w:line="2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(10.11) </w:t>
      </w:r>
      <w:hyperlink r:id="rId173">
        <w:r>
          <w:rPr>
            <w:rFonts w:ascii="Times New Roman" w:cs="Times New Roman" w:eastAsia="Times New Roman" w:hAnsi="Times New Roman"/>
            <w:sz w:val="18"/>
            <w:szCs w:val="18"/>
            <w:u w:val="single" w:color="auto"/>
            <w:color w:val="0000FF"/>
          </w:rPr>
          <w:t>Third Amendment, dated as of May 8, 2018, to the Dover Corporation Pension Replacement Plan, as amended and restated as of January 1,</w:t>
        </w:r>
      </w:hyperlink>
    </w:p>
    <w:p>
      <w:pPr>
        <w:jc w:val="right"/>
        <w:ind w:right="160"/>
        <w:spacing w:after="0" w:line="219"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2010, filed as Exhibit 10.2 to the Company's Quarterly Report on Form 10-Q for the period ended June 30, 2018 (SEC File No. 001-04018),</w:t>
        </w:r>
      </w:hyperlink>
    </w:p>
    <w:p>
      <w:pPr>
        <w:spacing w:after="0" w:line="1"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380" w:hanging="56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75">
        <w:r>
          <w:rPr>
            <w:rFonts w:ascii="Times New Roman" w:cs="Times New Roman" w:eastAsia="Times New Roman" w:hAnsi="Times New Roman"/>
            <w:sz w:val="18"/>
            <w:szCs w:val="18"/>
            <w:u w:val="single" w:color="auto"/>
            <w:color w:val="0000FF"/>
          </w:rPr>
          <w:t>Dover Corporation Executive Severance Plan (as amended and restated effective August 5, 2021), filed as Exhibit 10.1 to the Company's</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FF"/>
          </w:rPr>
          <w:t>Current Report on Form 8-K filed August 11, 2021 (SEC File No. 001-04018) is incorporated by reference.*</w:t>
        </w:r>
      </w:hyperlink>
    </w:p>
    <w:p>
      <w:pPr>
        <w:ind w:left="4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(10.13) </w:t>
      </w:r>
      <w:hyperlink r:id="rId176">
        <w:r>
          <w:rPr>
            <w:rFonts w:ascii="Times New Roman" w:cs="Times New Roman" w:eastAsia="Times New Roman" w:hAnsi="Times New Roman"/>
            <w:sz w:val="18"/>
            <w:szCs w:val="18"/>
            <w:u w:val="single" w:color="auto"/>
            <w:color w:val="0000FF"/>
          </w:rPr>
          <w:t>Dover Corporation Senior Executive Change-in-Control Severance Plan (as amended and restated effective August 5, 2021), filed as Exhibit</w:t>
        </w:r>
      </w:hyperlink>
    </w:p>
    <w:p>
      <w:pPr>
        <w:ind w:left="98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10.2 to the Company's Current Report on Form 8-K filed August 11, 2021 (SEC File No. 001-04018) is incorporated by reference.*</w:t>
        </w:r>
      </w:hyperlink>
    </w:p>
    <w:p>
      <w:pPr>
        <w:spacing w:after="0" w:line="16" w:lineRule="exact"/>
        <w:rPr>
          <w:sz w:val="20"/>
          <w:szCs w:val="20"/>
          <w:color w:val="auto"/>
        </w:rPr>
      </w:pPr>
    </w:p>
    <w:p>
      <w:pPr>
        <w:ind w:left="980" w:right="520" w:hanging="5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77">
        <w:r>
          <w:rPr>
            <w:rFonts w:ascii="Times New Roman" w:cs="Times New Roman" w:eastAsia="Times New Roman" w:hAnsi="Times New Roman"/>
            <w:sz w:val="18"/>
            <w:szCs w:val="18"/>
            <w:u w:val="single" w:color="auto"/>
            <w:color w:val="0000FF"/>
          </w:rPr>
          <w:t>Dover Corporation 2012 Equity and Cash Incentive Plan, effective as of May 3, 2012, filed as Exhibit 10.1 to the Company's Quarterly</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Report on Form 10-Q for the period ended June 30, 2012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60" w:hanging="5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80">
        <w:r>
          <w:rPr>
            <w:rFonts w:ascii="Times New Roman" w:cs="Times New Roman" w:eastAsia="Times New Roman" w:hAnsi="Times New Roman"/>
            <w:sz w:val="18"/>
            <w:szCs w:val="18"/>
            <w:u w:val="single" w:color="auto"/>
            <w:color w:val="0000FF"/>
          </w:rPr>
          <w:t>Amendment No. 1 to the Dover Corporation 2012 Equity and Cash Incentive Plan, filed as Exhibit 10.25 to the Company's Annual Report on</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Form 10-K for the year ended December 31, 2013 (SEC File No. 001-04018), is incorporated by reference.*</w:t>
        </w:r>
      </w:hyperlink>
    </w:p>
    <w:p>
      <w:pPr>
        <w:spacing w:after="0" w:line="10" w:lineRule="exact"/>
        <w:rPr>
          <w:sz w:val="20"/>
          <w:szCs w:val="20"/>
          <w:color w:val="auto"/>
        </w:rPr>
      </w:pPr>
    </w:p>
    <w:p>
      <w:pPr>
        <w:ind w:left="980" w:right="500" w:hanging="5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(10.16) </w:t>
      </w:r>
      <w:hyperlink r:id="rId181">
        <w:r>
          <w:rPr>
            <w:rFonts w:ascii="Times New Roman" w:cs="Times New Roman" w:eastAsia="Times New Roman" w:hAnsi="Times New Roman"/>
            <w:sz w:val="17"/>
            <w:szCs w:val="17"/>
            <w:u w:val="single" w:color="auto"/>
            <w:color w:val="0000FF"/>
          </w:rPr>
          <w:t>Amendment No. 2, adopted and effective as of August 6, 2014, to the Dover Corporation 2012 Equity and Cash Incentive Plan, filed as</w:t>
        </w:r>
      </w:hyperlink>
      <w:r>
        <w:rPr>
          <w:rFonts w:ascii="Times New Roman" w:cs="Times New Roman" w:eastAsia="Times New Roman" w:hAnsi="Times New Roman"/>
          <w:sz w:val="17"/>
          <w:szCs w:val="17"/>
          <w:color w:val="auto"/>
        </w:rPr>
        <w:t xml:space="preserve"> </w:t>
      </w:r>
      <w:hyperlink r:id="rId181">
        <w:r>
          <w:rPr>
            <w:rFonts w:ascii="Times New Roman" w:cs="Times New Roman" w:eastAsia="Times New Roman" w:hAnsi="Times New Roman"/>
            <w:sz w:val="17"/>
            <w:szCs w:val="17"/>
            <w:u w:val="single" w:color="auto"/>
            <w:color w:val="0000FF"/>
          </w:rPr>
          <w:t>Exhibit 10.1 to the Company's Quarterly Report on Form 10-Q for the period ended September 30, 2014 (SEC File No. 001-04018), 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77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incorporated by reference.*</w:t>
        </w:r>
      </w:hyperlink>
    </w:p>
    <w:p>
      <w:pPr>
        <w:spacing w:after="0" w:line="7" w:lineRule="exact"/>
        <w:rPr>
          <w:sz w:val="20"/>
          <w:szCs w:val="20"/>
          <w:color w:val="auto"/>
        </w:rPr>
      </w:pPr>
    </w:p>
    <w:p>
      <w:pPr>
        <w:jc w:val="center"/>
        <w:ind w:left="580" w:right="1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183">
        <w:r>
          <w:rPr>
            <w:rFonts w:ascii="Times New Roman" w:cs="Times New Roman" w:eastAsia="Times New Roman" w:hAnsi="Times New Roman"/>
            <w:sz w:val="18"/>
            <w:szCs w:val="18"/>
            <w:u w:val="single" w:color="auto"/>
            <w:color w:val="0000FF"/>
          </w:rPr>
          <w:t>Amendment Number 3, adopted and effective as of February 12, 2021, to the Dover Corporation 2012 Equity and Cash Incentive Plan, filed</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as Exhibit 10.1 to the Company's Quarterly Report on Form 10-Q for the period ended March 31, 2021 (SEC File No. 001-04018), is</w:t>
        </w:r>
      </w:hyperlink>
    </w:p>
    <w:p>
      <w:pPr>
        <w:ind w:left="98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100" w:hanging="5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85">
        <w:r>
          <w:rPr>
            <w:rFonts w:ascii="Times New Roman" w:cs="Times New Roman" w:eastAsia="Times New Roman" w:hAnsi="Times New Roman"/>
            <w:sz w:val="18"/>
            <w:szCs w:val="18"/>
            <w:u w:val="single" w:color="auto"/>
            <w:color w:val="0000FF"/>
          </w:rPr>
          <w:t>Form of award grant letter for SSAR grants made under the Dover Corporation 2012 Equity and Cash Incentive Plan, filed as Exhibit 10.1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the Company's Quarterly Report on Form 10-Q for the period ended March 31, 2016 (SEC File No. 001-04018), is incorporated by</w:t>
        </w:r>
      </w:hyperlink>
    </w:p>
    <w:p>
      <w:pPr>
        <w:ind w:left="98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reference.*</w:t>
        </w:r>
      </w:hyperlink>
    </w:p>
    <w:p>
      <w:pPr>
        <w:spacing w:after="0" w:line="7" w:lineRule="exact"/>
        <w:rPr>
          <w:sz w:val="20"/>
          <w:szCs w:val="20"/>
          <w:color w:val="auto"/>
        </w:rPr>
      </w:pPr>
    </w:p>
    <w:p>
      <w:pPr>
        <w:ind w:left="980" w:right="100" w:hanging="5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86">
        <w:r>
          <w:rPr>
            <w:rFonts w:ascii="Times New Roman" w:cs="Times New Roman" w:eastAsia="Times New Roman" w:hAnsi="Times New Roman"/>
            <w:sz w:val="18"/>
            <w:szCs w:val="18"/>
            <w:u w:val="single" w:color="auto"/>
            <w:color w:val="0000FF"/>
          </w:rPr>
          <w:t>Form of award grant letter for SSAR grants made under the Dover Corporation 2012 Equity and Cash Incentive Plan, filed as Exhibit 10.1 to</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the Company's Quarterly Report on Form 10-Q for the period ended March 31, 2017 (SEC File No. 001-04018), is incorporated by</w:t>
        </w:r>
      </w:hyperlink>
    </w:p>
    <w:p>
      <w:pPr>
        <w:ind w:left="98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100" w:hanging="5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88">
        <w:r>
          <w:rPr>
            <w:rFonts w:ascii="Times New Roman" w:cs="Times New Roman" w:eastAsia="Times New Roman" w:hAnsi="Times New Roman"/>
            <w:sz w:val="18"/>
            <w:szCs w:val="18"/>
            <w:u w:val="single" w:color="auto"/>
            <w:color w:val="0000FF"/>
          </w:rPr>
          <w:t>Form of award grant letter for SSAR grants made under the Dover Corporation 2012 Equity and Cash Incentive Plan, filed as Exhibit 10.1 to</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the Company's Quarterly Report on Form 10-Q for the period ended March 31, 2018 (SEC File No. 001-04018), is incorporated by</w:t>
        </w:r>
      </w:hyperlink>
    </w:p>
    <w:p>
      <w:pPr>
        <w:ind w:left="98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reference.*</w:t>
        </w:r>
      </w:hyperlink>
    </w:p>
    <w:p>
      <w:pPr>
        <w:spacing w:after="0" w:line="7" w:lineRule="exact"/>
        <w:rPr>
          <w:sz w:val="20"/>
          <w:szCs w:val="20"/>
          <w:color w:val="auto"/>
        </w:rPr>
      </w:pPr>
    </w:p>
    <w:p>
      <w:pPr>
        <w:ind w:left="980" w:right="100" w:hanging="5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89">
        <w:r>
          <w:rPr>
            <w:rFonts w:ascii="Times New Roman" w:cs="Times New Roman" w:eastAsia="Times New Roman" w:hAnsi="Times New Roman"/>
            <w:sz w:val="18"/>
            <w:szCs w:val="18"/>
            <w:u w:val="single" w:color="auto"/>
            <w:color w:val="0000FF"/>
          </w:rPr>
          <w:t>Form of award grant letter for SSAR grants made under the Dover Corporation 2012 Equity and Cash Incentive Plan, filed as Exhibit 10.1 to</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the Company's Quarterly Report on Form 10-Q for the period ended March 31, 2019 (SEC File No. 001-04019), is incorporated by</w:t>
        </w:r>
      </w:hyperlink>
    </w:p>
    <w:p>
      <w:pPr>
        <w:ind w:left="98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100" w:hanging="5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91">
        <w:r>
          <w:rPr>
            <w:rFonts w:ascii="Times New Roman" w:cs="Times New Roman" w:eastAsia="Times New Roman" w:hAnsi="Times New Roman"/>
            <w:sz w:val="18"/>
            <w:szCs w:val="18"/>
            <w:u w:val="single" w:color="auto"/>
            <w:color w:val="0000FF"/>
          </w:rPr>
          <w:t>Form of award grant letter for SSAR grants made under the Dover Corporation 2012 Equity and Cash Incentive Plan, filed as Exhibit 10.1 to</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the Company's Quarterly Report on Form 10-Q for the period ended March 31, 2020 (SEC File No. 001-04019), is incorporated by</w:t>
        </w:r>
      </w:hyperlink>
    </w:p>
    <w:p>
      <w:pPr>
        <w:ind w:left="98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reference.*</w:t>
        </w:r>
      </w:hyperlink>
    </w:p>
    <w:p>
      <w:pPr>
        <w:jc w:val="right"/>
        <w:ind w:right="280"/>
        <w:spacing w:after="0" w:line="2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192">
        <w:r>
          <w:rPr>
            <w:rFonts w:ascii="Times New Roman" w:cs="Times New Roman" w:eastAsia="Times New Roman" w:hAnsi="Times New Roman"/>
            <w:sz w:val="18"/>
            <w:szCs w:val="18"/>
            <w:u w:val="single" w:color="auto"/>
            <w:color w:val="0000FF"/>
          </w:rPr>
          <w:t>Form of 2021 award grant letter for SSAR grants made under the Dover Corporation 2012 Equity and Cash Incentive Plan filed as Exhibit</w:t>
        </w:r>
      </w:hyperlink>
    </w:p>
    <w:p>
      <w:pPr>
        <w:jc w:val="right"/>
        <w:ind w:right="260"/>
        <w:spacing w:after="0" w:line="219"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10.2 to the Company's Quarterly Report on Form 10-Q for the period ended March 31, 2021 (SEC File No. 001-04018), is incorporated by</w:t>
        </w:r>
      </w:hyperlink>
    </w:p>
    <w:p>
      <w:pPr>
        <w:spacing w:after="0" w:line="1"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320" w:hanging="56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94">
        <w:r>
          <w:rPr>
            <w:rFonts w:ascii="Times New Roman" w:cs="Times New Roman" w:eastAsia="Times New Roman" w:hAnsi="Times New Roman"/>
            <w:sz w:val="18"/>
            <w:szCs w:val="18"/>
            <w:u w:val="single" w:color="auto"/>
            <w:color w:val="0000FF"/>
          </w:rPr>
          <w:t>Dover Corporation 2021 Omnibus Incentive Plan, filed as Exhibit 10.1 to the Company's Current Report on Form 8-K filed May 10, 2021</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(SEC File No. 001-04018), is incorporated by reference.*</w:t>
        </w:r>
      </w:hyperlink>
    </w:p>
    <w:p>
      <w:pPr>
        <w:spacing w:after="0" w:line="10" w:lineRule="exact"/>
        <w:rPr>
          <w:sz w:val="20"/>
          <w:szCs w:val="20"/>
          <w:color w:val="auto"/>
        </w:rPr>
      </w:pPr>
    </w:p>
    <w:p>
      <w:pPr>
        <w:ind w:left="980" w:hanging="560"/>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(10.25) </w:t>
      </w:r>
      <w:hyperlink r:id="rId195">
        <w:r>
          <w:rPr>
            <w:rFonts w:ascii="Times New Roman" w:cs="Times New Roman" w:eastAsia="Times New Roman" w:hAnsi="Times New Roman"/>
            <w:sz w:val="17"/>
            <w:szCs w:val="17"/>
            <w:u w:val="single" w:color="auto"/>
            <w:color w:val="0000FF"/>
          </w:rPr>
          <w:t>Form of 2022 award grant letter for SSAR grants made under the Dover Corporation 2021 Omnibus Incentive Plan filed as Exhibit 10.43 to</w:t>
        </w:r>
      </w:hyperlink>
      <w:r>
        <w:rPr>
          <w:rFonts w:ascii="Times New Roman" w:cs="Times New Roman" w:eastAsia="Times New Roman" w:hAnsi="Times New Roman"/>
          <w:sz w:val="17"/>
          <w:szCs w:val="17"/>
          <w:color w:val="auto"/>
        </w:rPr>
        <w:t xml:space="preserve"> </w:t>
      </w:r>
      <w:hyperlink r:id="rId195">
        <w:r>
          <w:rPr>
            <w:rFonts w:ascii="Times New Roman" w:cs="Times New Roman" w:eastAsia="Times New Roman" w:hAnsi="Times New Roman"/>
            <w:sz w:val="17"/>
            <w:szCs w:val="17"/>
            <w:u w:val="single" w:color="auto"/>
            <w:color w:val="0000FF"/>
          </w:rPr>
          <w:t>the Company's Annual Report on Form 10-K for the year ended December 31, 2021 (SEC File No. 001-04018), is incorporated by reference.*</w:t>
        </w:r>
      </w:hyperlink>
    </w:p>
    <w:p>
      <w:pPr>
        <w:spacing w:after="0" w:line="1" w:lineRule="exact"/>
        <w:rPr>
          <w:sz w:val="20"/>
          <w:szCs w:val="20"/>
          <w:color w:val="auto"/>
        </w:rPr>
      </w:pPr>
    </w:p>
    <w:p>
      <w:pPr>
        <w:ind w:left="980" w:hanging="560"/>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(10.26) </w:t>
      </w:r>
      <w:hyperlink r:id="rId196">
        <w:r>
          <w:rPr>
            <w:rFonts w:ascii="Times New Roman" w:cs="Times New Roman" w:eastAsia="Times New Roman" w:hAnsi="Times New Roman"/>
            <w:sz w:val="17"/>
            <w:szCs w:val="17"/>
            <w:u w:val="single" w:color="auto"/>
            <w:color w:val="0000FF"/>
          </w:rPr>
          <w:t>Form of 2023 award grant letter for SSAR grants made under the Dover Corporation 2021 Omnibus Incentive Plan filed as Exhibit 10.37 to</w:t>
        </w:r>
      </w:hyperlink>
      <w:r>
        <w:rPr>
          <w:rFonts w:ascii="Times New Roman" w:cs="Times New Roman" w:eastAsia="Times New Roman" w:hAnsi="Times New Roman"/>
          <w:sz w:val="17"/>
          <w:szCs w:val="17"/>
          <w:color w:val="auto"/>
        </w:rPr>
        <w:t xml:space="preserve"> </w:t>
      </w:r>
      <w:hyperlink r:id="rId196">
        <w:r>
          <w:rPr>
            <w:rFonts w:ascii="Times New Roman" w:cs="Times New Roman" w:eastAsia="Times New Roman" w:hAnsi="Times New Roman"/>
            <w:sz w:val="17"/>
            <w:szCs w:val="17"/>
            <w:u w:val="single" w:color="auto"/>
            <w:color w:val="0000FF"/>
          </w:rPr>
          <w:t>the Company's Annual Report on Form 10-K for the year ended December 31, 2022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hanging="560"/>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(10.27) </w:t>
      </w:r>
      <w:hyperlink r:id="rId198">
        <w:r>
          <w:rPr>
            <w:rFonts w:ascii="Times New Roman" w:cs="Times New Roman" w:eastAsia="Times New Roman" w:hAnsi="Times New Roman"/>
            <w:sz w:val="17"/>
            <w:szCs w:val="17"/>
            <w:u w:val="single" w:color="auto"/>
            <w:color w:val="0000FF"/>
          </w:rPr>
          <w:t>Form of 2023 award grant letter for RSU awards made under the Dover Corporation 2021 Omnibus Incentive Plan filed as Exhibit 10.38 to</w:t>
        </w:r>
      </w:hyperlink>
      <w:r>
        <w:rPr>
          <w:rFonts w:ascii="Times New Roman" w:cs="Times New Roman" w:eastAsia="Times New Roman" w:hAnsi="Times New Roman"/>
          <w:sz w:val="17"/>
          <w:szCs w:val="17"/>
          <w:color w:val="auto"/>
        </w:rPr>
        <w:t xml:space="preserve"> </w:t>
      </w:r>
      <w:hyperlink r:id="rId198">
        <w:r>
          <w:rPr>
            <w:rFonts w:ascii="Times New Roman" w:cs="Times New Roman" w:eastAsia="Times New Roman" w:hAnsi="Times New Roman"/>
            <w:sz w:val="17"/>
            <w:szCs w:val="17"/>
            <w:u w:val="single" w:color="auto"/>
            <w:color w:val="0000FF"/>
          </w:rPr>
          <w:t>the Company's Annual Report on Form 10-K for the year ended December 31, 2022 (SEC File No. 001-04018), is incorporated by reference.*</w:t>
        </w:r>
      </w:hyperlink>
    </w:p>
    <w:p>
      <w:pPr>
        <w:spacing w:after="0" w:line="1" w:lineRule="exact"/>
        <w:rPr>
          <w:sz w:val="20"/>
          <w:szCs w:val="20"/>
          <w:color w:val="auto"/>
        </w:rPr>
      </w:pPr>
    </w:p>
    <w:p>
      <w:pPr>
        <w:ind w:left="980" w:right="440" w:hanging="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99">
        <w:r>
          <w:rPr>
            <w:rFonts w:ascii="Times New Roman" w:cs="Times New Roman" w:eastAsia="Times New Roman" w:hAnsi="Times New Roman"/>
            <w:sz w:val="18"/>
            <w:szCs w:val="18"/>
            <w:u w:val="single" w:color="auto"/>
            <w:color w:val="0000FF"/>
          </w:rPr>
          <w:t>Form of 2023 award grant letter for performance share awards made under the Dover Corporation 2021 Omnibus Incentive Plan filed as</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Exhibit 10.39 to the Company's Annual Report on Form 10-K for the year ended December 31, 2022 (SEC File No. 001-04018), 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incorporated by reference.*</w:t>
        </w:r>
      </w:hyperlink>
    </w:p>
    <w:p>
      <w:pPr>
        <w:spacing w:after="0" w:line="7" w:lineRule="exact"/>
        <w:rPr>
          <w:sz w:val="20"/>
          <w:szCs w:val="20"/>
          <w:color w:val="auto"/>
        </w:rPr>
      </w:pPr>
    </w:p>
    <w:p>
      <w:pPr>
        <w:ind w:left="980" w:hanging="560"/>
        <w:spacing w:after="0" w:line="25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(10.29) </w:t>
      </w:r>
      <w:hyperlink r:id="rId201">
        <w:r>
          <w:rPr>
            <w:rFonts w:ascii="Times New Roman" w:cs="Times New Roman" w:eastAsia="Times New Roman" w:hAnsi="Times New Roman"/>
            <w:sz w:val="17"/>
            <w:szCs w:val="17"/>
            <w:u w:val="single" w:color="auto"/>
            <w:color w:val="0000FF"/>
          </w:rPr>
          <w:t>Form of 2024 award grant letter for SSAR grants made under the Dover Corporation 2021 Omnibus Incentive Plan filed as Exhibit 10.38 to</w:t>
        </w:r>
      </w:hyperlink>
      <w:r>
        <w:rPr>
          <w:rFonts w:ascii="Times New Roman" w:cs="Times New Roman" w:eastAsia="Times New Roman" w:hAnsi="Times New Roman"/>
          <w:sz w:val="17"/>
          <w:szCs w:val="17"/>
          <w:color w:val="auto"/>
        </w:rPr>
        <w:t xml:space="preserve"> </w:t>
      </w:r>
      <w:hyperlink r:id="rId201">
        <w:r>
          <w:rPr>
            <w:rFonts w:ascii="Times New Roman" w:cs="Times New Roman" w:eastAsia="Times New Roman" w:hAnsi="Times New Roman"/>
            <w:sz w:val="17"/>
            <w:szCs w:val="17"/>
            <w:u w:val="single" w:color="auto"/>
            <w:color w:val="0000FF"/>
          </w:rPr>
          <w:t>the Company's Annual Report on Form 10-K for the year ended December 31, 2023 (SEC File No. 001-04018), is incorporated by reference.*</w:t>
        </w:r>
      </w:hyperlink>
    </w:p>
    <w:p>
      <w:pPr>
        <w:spacing w:after="0" w:line="2" w:lineRule="exact"/>
        <w:rPr>
          <w:sz w:val="20"/>
          <w:szCs w:val="20"/>
          <w:color w:val="auto"/>
        </w:rPr>
      </w:pPr>
    </w:p>
    <w:p>
      <w:pPr>
        <w:ind w:left="980" w:hanging="560"/>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(10.30) </w:t>
      </w:r>
      <w:hyperlink r:id="rId202">
        <w:r>
          <w:rPr>
            <w:rFonts w:ascii="Times New Roman" w:cs="Times New Roman" w:eastAsia="Times New Roman" w:hAnsi="Times New Roman"/>
            <w:sz w:val="17"/>
            <w:szCs w:val="17"/>
            <w:u w:val="single" w:color="auto"/>
            <w:color w:val="0000FF"/>
          </w:rPr>
          <w:t>Form of 2024 award grant letter for RSU awards made under the Dover Corporation 2021 Omnibus Incentive Plan filed as Exhibit 10.39 to</w:t>
        </w:r>
      </w:hyperlink>
      <w:r>
        <w:rPr>
          <w:rFonts w:ascii="Times New Roman" w:cs="Times New Roman" w:eastAsia="Times New Roman" w:hAnsi="Times New Roman"/>
          <w:sz w:val="17"/>
          <w:szCs w:val="17"/>
          <w:color w:val="auto"/>
        </w:rPr>
        <w:t xml:space="preserve"> </w:t>
      </w:r>
      <w:hyperlink r:id="rId202">
        <w:r>
          <w:rPr>
            <w:rFonts w:ascii="Times New Roman" w:cs="Times New Roman" w:eastAsia="Times New Roman" w:hAnsi="Times New Roman"/>
            <w:sz w:val="17"/>
            <w:szCs w:val="17"/>
            <w:u w:val="single" w:color="auto"/>
            <w:color w:val="0000FF"/>
          </w:rPr>
          <w:t>the Company's Annual Report on Form 10-K for the year ended December 31, 2023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400" w:hanging="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204">
        <w:r>
          <w:rPr>
            <w:rFonts w:ascii="Times New Roman" w:cs="Times New Roman" w:eastAsia="Times New Roman" w:hAnsi="Times New Roman"/>
            <w:sz w:val="18"/>
            <w:szCs w:val="18"/>
            <w:u w:val="single" w:color="auto"/>
            <w:color w:val="0000FF"/>
          </w:rPr>
          <w:t>Form of 2024 award grant letter for performance share awards made under the Dover Corporation 2021 Omnibus Incentive Plan, filed as</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Exhibit 10.2 to the Company's Quarterly Report on Form 10-Q for the period ended March 31, 2024 (SEC File No. 001-04018), is</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hanging="560"/>
        <w:spacing w:after="0" w:line="25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(10.32) </w:t>
      </w:r>
      <w:hyperlink r:id="rId206">
        <w:r>
          <w:rPr>
            <w:rFonts w:ascii="Times New Roman" w:cs="Times New Roman" w:eastAsia="Times New Roman" w:hAnsi="Times New Roman"/>
            <w:sz w:val="17"/>
            <w:szCs w:val="17"/>
            <w:u w:val="single" w:color="auto"/>
            <w:color w:val="0000FF"/>
          </w:rPr>
          <w:t>Form of 2025 award grant letter for SSAR grants made under the Dover Corporation 2021 Omnibus Incentive Plan filed as Exhibit 10.37 to</w:t>
        </w:r>
      </w:hyperlink>
      <w:r>
        <w:rPr>
          <w:rFonts w:ascii="Times New Roman" w:cs="Times New Roman" w:eastAsia="Times New Roman" w:hAnsi="Times New Roman"/>
          <w:sz w:val="17"/>
          <w:szCs w:val="17"/>
          <w:color w:val="auto"/>
        </w:rPr>
        <w:t xml:space="preserve"> </w:t>
      </w:r>
      <w:hyperlink r:id="rId206">
        <w:r>
          <w:rPr>
            <w:rFonts w:ascii="Times New Roman" w:cs="Times New Roman" w:eastAsia="Times New Roman" w:hAnsi="Times New Roman"/>
            <w:sz w:val="17"/>
            <w:szCs w:val="17"/>
            <w:u w:val="single" w:color="auto"/>
            <w:color w:val="0000FF"/>
          </w:rPr>
          <w:t>the Company's Annual Report on Form 10-K for the year ended December 31, 2024 (SEC File No. 001-04018), is incorporated by reference.*</w:t>
        </w:r>
      </w:hyperlink>
    </w:p>
    <w:p>
      <w:pPr>
        <w:spacing w:after="0" w:line="2" w:lineRule="exact"/>
        <w:rPr>
          <w:sz w:val="20"/>
          <w:szCs w:val="20"/>
          <w:color w:val="auto"/>
        </w:rPr>
      </w:pPr>
    </w:p>
    <w:p>
      <w:pPr>
        <w:ind w:left="980" w:hanging="560"/>
        <w:spacing w:after="0" w:line="26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(10.33) </w:t>
      </w:r>
      <w:hyperlink r:id="rId207">
        <w:r>
          <w:rPr>
            <w:rFonts w:ascii="Times New Roman" w:cs="Times New Roman" w:eastAsia="Times New Roman" w:hAnsi="Times New Roman"/>
            <w:sz w:val="17"/>
            <w:szCs w:val="17"/>
            <w:u w:val="single" w:color="auto"/>
            <w:color w:val="0000FF"/>
          </w:rPr>
          <w:t>Form of 2025 award grant letter for RSU awards made under the Dover Corporation 2021 Omnibus Incentive Plan filed as Exhibit 10.38 to</w:t>
        </w:r>
      </w:hyperlink>
      <w:r>
        <w:rPr>
          <w:rFonts w:ascii="Times New Roman" w:cs="Times New Roman" w:eastAsia="Times New Roman" w:hAnsi="Times New Roman"/>
          <w:sz w:val="17"/>
          <w:szCs w:val="17"/>
          <w:color w:val="auto"/>
        </w:rPr>
        <w:t xml:space="preserve"> </w:t>
      </w:r>
      <w:hyperlink r:id="rId207">
        <w:r>
          <w:rPr>
            <w:rFonts w:ascii="Times New Roman" w:cs="Times New Roman" w:eastAsia="Times New Roman" w:hAnsi="Times New Roman"/>
            <w:sz w:val="17"/>
            <w:szCs w:val="17"/>
            <w:u w:val="single" w:color="auto"/>
            <w:color w:val="0000FF"/>
          </w:rPr>
          <w:t>the Company's Annual Report on Form 10-K for the year ended December 31, 2024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40" w:hanging="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209">
        <w:r>
          <w:rPr>
            <w:rFonts w:ascii="Times New Roman" w:cs="Times New Roman" w:eastAsia="Times New Roman" w:hAnsi="Times New Roman"/>
            <w:sz w:val="18"/>
            <w:szCs w:val="18"/>
            <w:u w:val="single" w:color="auto"/>
            <w:color w:val="0000FF"/>
          </w:rPr>
          <w:t>Form of 2025 award grant letter for performance share awards made under the Dover Corporation 2021 Omnibus Incentive Plan filed as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Exhibit 10.39 to the Company's Annual Report on Form 10-K for the year ended December 31, 2024 (SEC File No. 001-04018), 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incorporated by reference.*</w:t>
        </w:r>
      </w:hyperlink>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(10.35) </w:t>
      </w:r>
      <w:r>
        <w:rPr>
          <w:rFonts w:ascii="Times New Roman" w:cs="Times New Roman" w:eastAsia="Times New Roman" w:hAnsi="Times New Roman"/>
          <w:sz w:val="18"/>
          <w:szCs w:val="18"/>
          <w:u w:val="single" w:color="auto"/>
          <w:color w:val="0000FF"/>
        </w:rPr>
        <w:t>Form of 2026 award grant letter for SSAR grants made under the Dover Corporation 2021 Omnibus Incentive Plan.*(1)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(10.36) </w:t>
      </w:r>
      <w:r>
        <w:rPr>
          <w:rFonts w:ascii="Times New Roman" w:cs="Times New Roman" w:eastAsia="Times New Roman" w:hAnsi="Times New Roman"/>
          <w:sz w:val="18"/>
          <w:szCs w:val="18"/>
          <w:u w:val="single" w:color="auto"/>
          <w:color w:val="0000FF"/>
        </w:rPr>
        <w:t>Form of 2026 award grant letter for RSU awards made under the Dover Corporation 2021 Omnibus Incentive Plan.*(1)</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(10.37) </w:t>
      </w:r>
      <w:r>
        <w:rPr>
          <w:rFonts w:ascii="Times New Roman" w:cs="Times New Roman" w:eastAsia="Times New Roman" w:hAnsi="Times New Roman"/>
          <w:sz w:val="18"/>
          <w:szCs w:val="18"/>
          <w:u w:val="single" w:color="auto"/>
          <w:color w:val="0000FF"/>
        </w:rPr>
        <w:t>Form of 2026 award grant letter for performance share awards made under the Dover Corporation 2021 Omnibus Incentive Plan.*(1)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980" w:right="80" w:hanging="56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213">
        <w:r>
          <w:rPr>
            <w:rFonts w:ascii="Times New Roman" w:cs="Times New Roman" w:eastAsia="Times New Roman" w:hAnsi="Times New Roman"/>
            <w:sz w:val="18"/>
            <w:szCs w:val="18"/>
            <w:u w:val="single" w:color="auto"/>
            <w:color w:val="0000FF"/>
          </w:rPr>
          <w:t>Employment Agreement of Richard J. Tobin dated March 16, 2018, filed as Exhibit 10.1 to the Company's Current Report on Form 8-K filed</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0000FF"/>
          </w:rPr>
          <w:t>March 20, 2018 (SEC File No. 001-04018), is incorporated by reference.*</w:t>
        </w:r>
      </w:hyperlink>
    </w:p>
    <w:p>
      <w:pPr>
        <w:spacing w:after="0" w:line="10" w:lineRule="exact"/>
        <w:rPr>
          <w:sz w:val="20"/>
          <w:szCs w:val="20"/>
          <w:color w:val="auto"/>
        </w:rPr>
      </w:pPr>
    </w:p>
    <w:p>
      <w:pPr>
        <w:ind w:left="980" w:right="380" w:hanging="5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(10.39) </w:t>
      </w:r>
      <w:hyperlink r:id="rId214">
        <w:r>
          <w:rPr>
            <w:rFonts w:ascii="Times New Roman" w:cs="Times New Roman" w:eastAsia="Times New Roman" w:hAnsi="Times New Roman"/>
            <w:sz w:val="18"/>
            <w:szCs w:val="18"/>
            <w:u w:val="single" w:color="auto"/>
            <w:color w:val="0000FF"/>
          </w:rPr>
          <w:t>Amendment to Employment Agreement of Richard J. Tobin, dated as of March 5, 2024, filed as Exhibit 10.1 to the Company's Quarterly</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FF"/>
          </w:rPr>
          <w:t>Report on Form 10-Q for the period ended March 31, 2024 (SEC File No. 001-04018), is incorporated by reference.*</w:t>
        </w:r>
      </w:hyperlink>
    </w:p>
    <w:p>
      <w:pPr>
        <w:spacing w:after="0" w:line="10" w:lineRule="exact"/>
        <w:rPr>
          <w:sz w:val="20"/>
          <w:szCs w:val="20"/>
          <w:color w:val="auto"/>
        </w:rPr>
      </w:pPr>
    </w:p>
    <w:p>
      <w:pPr>
        <w:ind w:left="980" w:right="160" w:hanging="345"/>
        <w:spacing w:after="0" w:line="237" w:lineRule="auto"/>
        <w:tabs>
          <w:tab w:leader="none" w:pos="980" w:val="left"/>
        </w:tabs>
        <w:numPr>
          <w:ilvl w:val="0"/>
          <w:numId w:val="65"/>
        </w:numPr>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Insider trading policies and procedures, filed as Exhibit 19 to the Company's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2024 (SEC File No. 001-04018), is incorporated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hanging="345"/>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Dover. (1)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color w:val="auto"/>
        </w:rPr>
      </w:pPr>
    </w:p>
    <w:p>
      <w:pPr>
        <w:ind w:left="980" w:hanging="345"/>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(1)</w:t>
      </w:r>
    </w:p>
    <w:p>
      <w:pPr>
        <w:spacing w:after="0" w:line="22" w:lineRule="exact"/>
        <w:rPr>
          <w:rFonts w:ascii="Times New Roman" w:cs="Times New Roman" w:eastAsia="Times New Roman" w:hAnsi="Times New Roman"/>
          <w:sz w:val="18"/>
          <w:szCs w:val="18"/>
          <w:color w:val="auto"/>
        </w:rPr>
      </w:pPr>
    </w:p>
    <w:p>
      <w:pPr>
        <w:ind w:left="980" w:hanging="345"/>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(included in signature page). (1)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6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pursuant to Rule 13a-14 of the Securities and Exchange Act of 1934, as amended, signed and dated by Christopher B. Woenker.</w:t>
      </w:r>
    </w:p>
    <w:p>
      <w:pPr>
        <w:ind w:left="98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16"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pursuant to Rule 13a-14 of the Securities and Exchange Act of 1934, as amended, signed and dated by Richard J. Tobin. (1)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color w:val="auto"/>
        </w:rPr>
      </w:pPr>
    </w:p>
    <w:p>
      <w:pPr>
        <w:ind w:left="980" w:hanging="345"/>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signed and dated by Richard J. Tobin and Christopher B. Woenker. (1)</w:t>
      </w:r>
    </w:p>
    <w:p>
      <w:pPr>
        <w:spacing w:after="0" w:line="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(97.1) </w:t>
      </w:r>
      <w:hyperlink r:id="rId220">
        <w:r>
          <w:rPr>
            <w:rFonts w:ascii="Times New Roman" w:cs="Times New Roman" w:eastAsia="Times New Roman" w:hAnsi="Times New Roman"/>
            <w:sz w:val="18"/>
            <w:szCs w:val="18"/>
            <w:u w:val="single" w:color="auto"/>
            <w:color w:val="0000FF"/>
          </w:rPr>
          <w:t>Dover Corporation Clawback Policy, filed as Exhibit 97.1 to the Company's Annual Report on Form 10-K for the year ended December 31,</w:t>
        </w:r>
      </w:hyperlink>
    </w:p>
    <w:p>
      <w:pPr>
        <w:ind w:left="980"/>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2023 (SEC File No. 001-04018), is incorporated by reference.</w:t>
        </w:r>
      </w:hyperlink>
    </w:p>
    <w:p>
      <w:pPr>
        <w:spacing w:after="0" w:line="16" w:lineRule="exact"/>
        <w:rPr>
          <w:rFonts w:ascii="Times New Roman" w:cs="Times New Roman" w:eastAsia="Times New Roman" w:hAnsi="Times New Roman"/>
          <w:sz w:val="18"/>
          <w:szCs w:val="18"/>
          <w:color w:val="auto"/>
        </w:rPr>
      </w:pPr>
    </w:p>
    <w:p>
      <w:pPr>
        <w:ind w:left="980" w:hanging="435"/>
        <w:spacing w:after="0" w:line="224"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Annual Report on Form 10-K for the year ended December 31, 2025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488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 (1)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77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119" w:lineRule="exact"/>
        <w:rPr>
          <w:rFonts w:ascii="Times New Roman" w:cs="Times New Roman" w:eastAsia="Times New Roman" w:hAnsi="Times New Roman"/>
          <w:sz w:val="18"/>
          <w:szCs w:val="18"/>
          <w:color w:val="auto"/>
        </w:rPr>
      </w:pPr>
    </w:p>
    <w:p>
      <w:pPr>
        <w:ind w:left="980" w:hanging="135"/>
        <w:spacing w:after="0"/>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plan or arrangement.</w:t>
      </w:r>
    </w:p>
    <w:p>
      <w:pPr>
        <w:spacing w:after="0" w:line="40" w:lineRule="exact"/>
        <w:rPr>
          <w:rFonts w:ascii="Times New Roman" w:cs="Times New Roman" w:eastAsia="Times New Roman" w:hAnsi="Times New Roman"/>
          <w:sz w:val="18"/>
          <w:szCs w:val="18"/>
          <w:color w:val="auto"/>
        </w:rPr>
      </w:pPr>
    </w:p>
    <w:p>
      <w:pPr>
        <w:ind w:left="980" w:right="140" w:hanging="225"/>
        <w:spacing w:after="0" w:line="234"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or exhibits have been omitted pursuant to Item601(a)(5) of Regulation S-K, but will be furnished supplementally to the SEC upon request.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6000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 Portions of Exhibit 2.1 have been redacted in accordance with Item 601(b)(2)(ii) of Regulation S-K.</w:t>
      </w:r>
    </w:p>
    <w:p>
      <w:pPr>
        <w:spacing w:after="0" w:line="27" w:lineRule="exact"/>
        <w:rPr>
          <w:rFonts w:ascii="Times New Roman" w:cs="Times New Roman" w:eastAsia="Times New Roman" w:hAnsi="Times New Roman"/>
          <w:sz w:val="18"/>
          <w:szCs w:val="18"/>
          <w:color w:val="auto"/>
        </w:rPr>
      </w:pPr>
    </w:p>
    <w:p>
      <w:pPr>
        <w:jc w:val="center"/>
        <w:ind w:right="8440"/>
        <w:spacing w:after="0"/>
        <w:rPr>
          <w:sz w:val="20"/>
          <w:szCs w:val="20"/>
          <w:color w:val="auto"/>
        </w:rPr>
      </w:pPr>
      <w:r>
        <w:rPr>
          <w:rFonts w:ascii="Times New Roman" w:cs="Times New Roman" w:eastAsia="Times New Roman" w:hAnsi="Times New Roman"/>
          <w:sz w:val="18"/>
          <w:szCs w:val="18"/>
          <w:color w:val="auto"/>
        </w:rPr>
        <w:t>(1) Filed herewith.</w:t>
      </w:r>
    </w:p>
    <w:p>
      <w:pPr>
        <w:spacing w:after="0" w:line="95" w:lineRule="exact"/>
        <w:rPr>
          <w:rFonts w:ascii="Times New Roman" w:cs="Times New Roman" w:eastAsia="Times New Roman" w:hAnsi="Times New Roman"/>
          <w:sz w:val="18"/>
          <w:szCs w:val="18"/>
          <w:color w:val="auto"/>
        </w:rPr>
      </w:pPr>
    </w:p>
    <w:p>
      <w:pPr>
        <w:jc w:val="center"/>
        <w:ind w:right="84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Richard J. Tobin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13, 2026</w:t>
      </w:r>
    </w:p>
    <w:p>
      <w:pPr>
        <w:spacing w:after="0" w:line="3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Christopher B. Woenker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2025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72"/>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Chairman, Chief Executive Officer and</w:t>
            </w:r>
          </w:p>
        </w:tc>
        <w:tc>
          <w:tcPr>
            <w:tcW w:w="2420" w:type="dxa"/>
            <w:vAlign w:val="bottom"/>
          </w:tcPr>
          <w:p>
            <w:pPr>
              <w:spacing w:after="0"/>
              <w:rPr>
                <w:sz w:val="24"/>
                <w:szCs w:val="24"/>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J. Tobin</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8"/>
              </w:rPr>
              <w:t>President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J. Tobin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87"/>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2420" w:type="dxa"/>
            <w:vAlign w:val="bottom"/>
          </w:tcPr>
          <w:p>
            <w:pPr>
              <w:spacing w:after="0"/>
              <w:rPr>
                <w:sz w:val="24"/>
                <w:szCs w:val="24"/>
                <w:color w:val="auto"/>
              </w:rPr>
            </w:pPr>
          </w:p>
        </w:tc>
      </w:tr>
      <w:tr>
        <w:trPr>
          <w:trHeight w:val="176"/>
        </w:trPr>
        <w:tc>
          <w:tcPr>
            <w:tcW w:w="3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40" w:type="dxa"/>
            <w:vAlign w:val="bottom"/>
            <w:gridSpan w:val="2"/>
          </w:tcPr>
          <w:p>
            <w:pPr>
              <w:jc w:val="center"/>
              <w:ind w:right="1040"/>
              <w:spacing w:after="0" w:line="176" w:lineRule="exact"/>
              <w:rPr>
                <w:sz w:val="20"/>
                <w:szCs w:val="20"/>
                <w:color w:val="auto"/>
              </w:rPr>
            </w:pPr>
            <w:r>
              <w:rPr>
                <w:rFonts w:ascii="Times New Roman" w:cs="Times New Roman" w:eastAsia="Times New Roman" w:hAnsi="Times New Roman"/>
                <w:sz w:val="18"/>
                <w:szCs w:val="18"/>
                <w:color w:val="auto"/>
                <w:w w:val="99"/>
              </w:rPr>
              <w:t>Chief Financial Officer (Principal</w:t>
            </w:r>
          </w:p>
        </w:tc>
        <w:tc>
          <w:tcPr>
            <w:tcW w:w="2420" w:type="dxa"/>
            <w:vAlign w:val="bottom"/>
          </w:tcPr>
          <w:p>
            <w:pPr>
              <w:spacing w:after="0"/>
              <w:rPr>
                <w:sz w:val="15"/>
                <w:szCs w:val="15"/>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B. Woenker</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Financial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B. Woenker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87"/>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Vice President, Controller (Principal</w:t>
            </w:r>
          </w:p>
        </w:tc>
        <w:tc>
          <w:tcPr>
            <w:tcW w:w="2420" w:type="dxa"/>
            <w:vAlign w:val="bottom"/>
          </w:tcPr>
          <w:p>
            <w:pPr>
              <w:spacing w:after="0"/>
              <w:rPr>
                <w:sz w:val="24"/>
                <w:szCs w:val="24"/>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Ryan W. Paulson</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Ryan W. Paulson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L. DeHaas</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Deborah L. DeHaas</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 John Gilbertson, Jr.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 John Gilbertson, Jr.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Kristiane C. Graham</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Kristiane C. Graham</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42"/>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A. Howze</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A. Howze</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Manley</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Manley</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Danita K. Ostling</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Danita K. Ostling</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A. Spiegel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A. Spiegel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E. Wandell</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E. Wandell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21" w:right="359" w:bottom="1440" w:gutter="0" w:footer="0" w:header="0"/>
        </w:sectPr>
      </w:pPr>
    </w:p>
    <w:bookmarkStart w:id="113" w:name="page114"/>
    <w:bookmarkEnd w:id="113"/>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Dover Corporation had four classes of securities registered under Section 12 of the Securities Exchange Act of 1934, as amended (the "Exchange Act"): (1) our common stock; (2) our 1.250% Notes due 2026; (3) our 0.750% Notes due 2027; and (4) our 3.500% Notes due 2033.</w:t>
      </w:r>
    </w:p>
    <w:p>
      <w:pPr>
        <w:spacing w:after="0" w:line="199"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OUR 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common stock as described in our sixth restated certificate of incorporation and our amended and restated by-laws, and is qualified in its entirety by reference to such restated certificate of incorporation and amended and restated by-laws. We have filed copies of these documents as exhibits to our periodic reports filed with the SEC each of which are incorporated by reference as an exhibit to the Annual Report on Form 10-K of which this Exhibit is a part.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presently consists of 500,000,000 shares of common stock, par value $1.00 per share, and 100,000 shares of preferred stock, par value $100.00 per share. There are currently no shares of preferred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stockholders, including elections of directors. No holder of common stock may cumulate votes in voting for our directors except that cumulative voting is required for the election of directors at any time there is a stockholder or group of affiliated stockholders who own 40% or more of our outstanding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rights of any holders of any outstanding preferred stock, the holders of common stock are entitled to receive dividends, if any, that the board of directors may from time to time declare out of funds legally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Company, the holders of common stock are entitled to share ratably in all assets remaining after payment of liabilities, subject to prior distribution rights of preferred stock then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has no preemptive or conversion rights or other subscription rights. There are no redemption or sinking fund provisions applicable to the common stock. All outstanding shares of common stock are fully paid and non-assessable.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rules and regulations of the New York Stock Exchange, the authorized but unissued shares of common stock will be available for future issuance without additional stockholder approval.</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which we may designate and issue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“DOV".</w:t>
      </w:r>
    </w:p>
    <w:p>
      <w:pPr>
        <w:spacing w:after="0" w:line="248"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OUR 1.250% NOTES DUE 2026</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summary of our 1.250% Notes due 2026 (referred to in this section as the “notes”) is based on our indenture dated February 8, 2001 between us and The Bank of New York Mellon, a New York banking corporation, as successor trustee to JPMorgan Chase Bank, N.A. (successor to Bank One Trust Company, N.A.), as supplemented by the first supplemental indenture, dated October 13, 2005, the second supplemental indenture, dated March 14, 2008, the third supplemental indenture, dated February 22, 2011, the fourth supplemental indenture, dated December 2, 2013, the fifth supplemental indenture, dated November 3, 2015, and the sixth supplemental indenture, dated November 9, 2016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constitute a separate series of notes under the indenture in the aggregate principal amount of €600 million and will mature on November 9, 2026. All payments of principal of, including payments made upon any redemption of the notes, premium, if any, interest on and additional amounts, if any, is payable in euros. These global notes are deposited with a common depositary on behalf of Euroclear and Clearstream and registered in the name of the common depositary or its nominee. The notes are listed on the New York Stock Exchange under the symbol “DOV 26”.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bear interest at the rate of 1.250% per year, accruing from November 9, 2016 or the most recent interest payment date to which interest has been paid or provided for. We pay interest on the notes annually in arrears on November 9 of each year, to persons in whose names the notes are registered at the close of business on the preceding October 25. The amount of interest payable for any interest period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are our senior unsecured debt obligations and rank on parity with all of our other senior unsecured indebtedness. The notes are not be convertible or exchangeable for any other securities. The notes do not have the benefit of any sinking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at our option and from time to time. If the notes are redeemed before August 9, 2026 (the date that is three months prior to the maturity date of the notes), the notes will be redeemed at a redemption price equal to the greater of: (1) 100% of the principal amount of the notes to be redeemed; and (2) the</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sum of the present values of the remaining scheduled payments of principal and interest thereon (not including any portion of such payments of interest accrued as of the date of redemption), discounted to the date of redemption on an annual basis (ACTUAL/ACTUAL (ICMA)) at the applicable Comparable Government Bond Rate (as defined below), plus 20 basis points, 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notes are redeemed on or after August 9, 2026 (the date that is three months prior to the maturity date of the notes), the notes may be redeemed at a redemption price equal to 100% of the principal amount of the notes then outstanding to be redeemed, plus accrued and unpaid interest thereon to, but excluding, the redemption date.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 selected by us, a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 Rate</w:t>
      </w:r>
      <w:r>
        <w:rPr>
          <w:rFonts w:ascii="Times New Roman" w:cs="Times New Roman" w:eastAsia="Times New Roman" w:hAnsi="Times New Roman"/>
          <w:sz w:val="18"/>
          <w:szCs w:val="18"/>
          <w:color w:val="auto"/>
        </w:rPr>
        <w:t>” means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us.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the following covenants applicable to the notes.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Secured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and may not permit any restricted subsidiary to, incur or guarantee any evidence of indebtedness for money borrowed secured by a lien on any</w:t>
      </w:r>
    </w:p>
    <w:p>
      <w:pPr>
        <w:spacing w:after="0" w:line="27" w:lineRule="exact"/>
        <w:rPr>
          <w:sz w:val="20"/>
          <w:szCs w:val="20"/>
          <w:color w:val="auto"/>
        </w:rPr>
      </w:pPr>
    </w:p>
    <w:p>
      <w:pPr>
        <w:ind w:firstLine="8"/>
        <w:spacing w:after="0" w:line="260" w:lineRule="auto"/>
        <w:tabs>
          <w:tab w:leader="none" w:pos="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property or any part thereof, (b) capital stock of a restricted subsidiary we or any restricted subsidiary now own or hereafter acquire or (c) debt of a restricted subsidiary owed to us or any of our restricted subsidiaries, except if:</w:t>
      </w:r>
    </w:p>
    <w:p>
      <w:pPr>
        <w:spacing w:after="0" w:line="2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effectively provide that the debt securities are secured equally and ratably with, or, at our option, prior to, such secured debt; and</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26" w:lineRule="exact"/>
        <w:rPr>
          <w:sz w:val="20"/>
          <w:szCs w:val="20"/>
          <w:color w:val="auto"/>
        </w:rPr>
      </w:pPr>
    </w:p>
    <w:p>
      <w:pPr>
        <w:jc w:val="both"/>
        <w:ind w:left="1300" w:hanging="644"/>
        <w:spacing w:after="0" w:line="266" w:lineRule="auto"/>
        <w:tabs>
          <w:tab w:leader="none" w:pos="12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restriction do not apply to, and we will exclude from debt in any computation under such restriction, the following items:</w:t>
      </w:r>
    </w:p>
    <w:p>
      <w:pPr>
        <w:spacing w:after="0" w:line="252"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our favor or in favor of a restricted subsidiary;</w:t>
      </w:r>
    </w:p>
    <w:p>
      <w:pPr>
        <w:spacing w:after="0" w:line="2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favor of governmental bodies to secure progress or advance payments or payments pursuant to contracts or statute;</w:t>
      </w:r>
    </w:p>
    <w:p>
      <w:pPr>
        <w:ind w:left="1300" w:right="20" w:hanging="644"/>
        <w:spacing w:after="0" w:line="250"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on property, capital stock or debt existing at the time of acquisition thereof, including acquisition through merger, consolidation or otherwise;</w:t>
      </w:r>
    </w:p>
    <w:p>
      <w:pPr>
        <w:jc w:val="both"/>
        <w:ind w:left="1300" w:hanging="644"/>
        <w:spacing w:after="0" w:line="250"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consisting of industrial revenue or pollution control bonds or similar financing secured solely by a lien on the property the subject thereof; or</w:t>
      </w: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any debt referred to in the third and fourth clauses above.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Sale and Leaseback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189"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of three years or less, including renewal rights;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pollution control bonds or similar financing;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between us and a restricted subsidiary or between restricted subsidiaries; or</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restricted subsidiary, within 180 days after the sale is completed, apply an amount equal to the greater of (A) the net proceeds of the sale of the principal property leased or (B) the fair market value of the principal property 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Consolidations and Certain Sales of Assets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 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facility we or any restricted subsidiary owns the gross book value of which, including related land, improvements, machinery and equipment so owned, without deduction of any depreciation reserves, on the date as of which the determination is being made exceeds 1% of consolidated net 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which owns a principal property.</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 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a corporation more than 50% of the voting stock of which we and/or one or more subsidiaries owns or (b) any other person (other than a corporation) of which we and/or one or more subsidiaries has at least a majority ownership and power to direct the policies, management and affairs.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under the indenture with respect to the notes:</w:t>
      </w:r>
    </w:p>
    <w:p>
      <w:pPr>
        <w:spacing w:after="0" w:line="252"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the notes when due;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notes when due, continued for 30 days;</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of our covenants in the indenture, other than a covenant included in the indenture solely for the benefit of a series other than the notes, continued for 60 days after written notice has been given by the trustee, or the holders of at least 10% in principal amount of the outstanding debt securities of the notes, as provided in the indenture;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involving us or any restricted subsidiary.</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Requiring Consent of Holders</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(with the authorization of our board of directors) and the trustee may make modifications and amendments to the indenture with the consent of the holders of a majority in aggregate principal amount of the outstanding notes affected by such modification or amendment, provided that no such modification or amendment may, without the consent of the holder of each outstanding security affected by such modification or amendment:</w:t>
      </w:r>
    </w:p>
    <w:p>
      <w:pPr>
        <w:spacing w:after="0" w:line="203"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note;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 note payable upon acceleration of the maturity thereof;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ind w:left="1300" w:hanging="644"/>
        <w:spacing w:after="0" w:line="250" w:lineRule="auto"/>
        <w:tabs>
          <w:tab w:leader="none" w:pos="1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ind w:left="1300" w:hanging="644"/>
        <w:spacing w:after="0" w:line="260" w:lineRule="auto"/>
        <w:tabs>
          <w:tab w:leader="none" w:pos="1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Not Requiring Consent of 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any holders of notes, we and the trustee may supplement the indenture, among other things, to:</w:t>
      </w:r>
    </w:p>
    <w:p>
      <w:pPr>
        <w:spacing w:after="0" w:line="252"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another entity has succeeded us and assumed the covenants and obligations of us under the notes and the indenture;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notes, or to surrender any right or power conferred to us under the indenture;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 for the benefit of holders of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 in the indenture to permit the issuance of notes in uncertificated form;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with there is no such debt security outstanding;</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property to the trustee as security for the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any other series of debt securities as permitted by in the indenture;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any change of the trustee with respect to the notes, or provide for the administration of the trusts under the indenture by an additional trustee;</w:t>
      </w:r>
    </w:p>
    <w:p>
      <w:pPr>
        <w:jc w:val="both"/>
        <w:ind w:left="1300" w:hanging="644"/>
        <w:spacing w:after="0" w:line="250" w:lineRule="auto"/>
        <w:tabs>
          <w:tab w:leader="none" w:pos="1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such notes to any provision of the “Description of Notes” provided in the prospectus supplement under which the notes were offered to the public to the extent that such provision in the “Description of Notes” was intended to be a verbatim recitation of the indenture or such notes.</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waive our compliance with certain restrictive provisions of the indenture as they relate to the notes. The holders of a majority in principal amount of the</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199"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OUR 0.750% NOTES DUE 2027</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summary of our 0.750% Notes due 2027 (referred to in this section as the “notes”) is based on our indenture dated February 8, 2001 between us and The Bank of New York Mellon, a New York banking corporation, as successor trustee to JPMorgan Chase Bank, N.A. (successor to Bank One Trust Company, N.A.), as supplemented by the first supplemental indenture, dated October 13, 2005, the second supplemental indenture, dated March 14, 2008, the third supplemental indenture, dated February 22, 2011, the fourth supplemental indenture, dated December 2, 2013, the fifth supplemental indenture, dated November 3, 2015, the sixth supplemental indenture, dated November 9, 2016, and the seventh supplemental indenture, dated November 4, 2019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constitute a separate series of notes under the indenture in the aggregate principal amount of €500 million and will mature on November 4, 2027. All payments of principal of, including payments made upon any redemption of the notes, premium, if any, interest on and additional amounts, if any, is payable in euros. These global notes are deposited with a common depositary on behalf of Euroclear and Clearstream and registered in the name of the common depositary or its nominee. The notes are listed on the New York Stock Exchange under the symbol “DOV 27”.</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bear interest at the rate of 0.750% per year, accruing from November 4, 2020, or the most recent interest payment date to which interest has been paid or provided for. We pay interest on the notes annually in arrears on November 4 of each year, to persons in whose names the notes are registered at the close of business on the preceding October 15. The amount of interest payable for any interest period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are our senior unsecured debt obligations and rank on parity with all of our other senior unsecured indebtedness. The notes are not be convertible or exchangeable for any other securities. The notes do not have the benefit of any sinking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redeemable, in whole or in part, at our option and from time to time. If the notes are redeemed before August 4, 2027 (the date that is three months prior to the maturity date of the notes), the notes will be redeemed at a redemption price equal to the greater of: (1) 100% of the principal amount of the notes to be redeemed; and (2) the sum of the present values of the remaining scheduled payments of principal and interest thereon (not including any portion of such payments of interest accrued as of the date of redemption), discounted to the date of redemption on an annual basis (ACTUAL/ACTUAL (ICMA)) at the applicable Comparable Government Bond Rate (as defined</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plus 20 basis points, 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notes are redeemed on or after August 4, 2027 (the date that is three months prior to the maturity date of the notes), the notes may be redeemed at a redemption price equal to 100% of the principal amount of the notes then outstanding to be redeemed, plus accrued and unpaid interest thereon to, but excluding, the redemption date.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 selected by us, a bond that is a direct obligation of the Federal Republic of Germany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 Rate</w:t>
      </w:r>
      <w:r>
        <w:rPr>
          <w:rFonts w:ascii="Times New Roman" w:cs="Times New Roman" w:eastAsia="Times New Roman" w:hAnsi="Times New Roman"/>
          <w:sz w:val="18"/>
          <w:szCs w:val="18"/>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us in accordance with generally accepted market practice at such time.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 of any redemption will be mailed at least 10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the following covenants that are applicable to the notes: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Secured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and may not permit any restricted subsidiary to, incur or guarantee any evidence of indebtedness for money borrowed secured by a lien on any</w:t>
      </w:r>
    </w:p>
    <w:p>
      <w:pPr>
        <w:spacing w:after="0" w:line="27" w:lineRule="exact"/>
        <w:rPr>
          <w:sz w:val="20"/>
          <w:szCs w:val="20"/>
          <w:color w:val="auto"/>
        </w:rPr>
      </w:pPr>
    </w:p>
    <w:p>
      <w:pPr>
        <w:ind w:firstLine="8"/>
        <w:spacing w:after="0" w:line="260" w:lineRule="auto"/>
        <w:tabs>
          <w:tab w:leader="none" w:pos="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property or any part thereof, (b) capital stock of a restricted subsidiary we or any restricted subsidiary now own or hereafter acquire or (c) debt of a restricted subsidiary owed to us or any of our restricted subsidiaries, except if:</w:t>
      </w:r>
    </w:p>
    <w:p>
      <w:pPr>
        <w:spacing w:after="0" w:line="2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effectively provide that the debt securities are secured equally and ratably with, or, at our option, prior to, such secured debt; and</w:t>
      </w:r>
    </w:p>
    <w:p>
      <w:pPr>
        <w:spacing w:after="0" w:line="2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restriction do not apply to, and we will exclude from debt in any computation under such restriction, the following items:</w:t>
      </w:r>
    </w:p>
    <w:p>
      <w:pPr>
        <w:spacing w:after="0" w:line="252"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our favor or in favor of a restricted subsidiary;</w:t>
      </w:r>
    </w:p>
    <w:p>
      <w:pPr>
        <w:spacing w:after="0" w:line="2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favor of governmental bodies to secure progress or advance payments or payments pursuant to contracts or statute;</w:t>
      </w:r>
    </w:p>
    <w:p>
      <w:pPr>
        <w:ind w:left="1300" w:right="20" w:hanging="644"/>
        <w:spacing w:after="0" w:line="250"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on property, capital stock or debt existing at the time of acquisition thereof, including acquisition through merger, consolidation or otherwise;</w:t>
      </w:r>
    </w:p>
    <w:p>
      <w:pPr>
        <w:jc w:val="both"/>
        <w:ind w:left="1300" w:hanging="644"/>
        <w:spacing w:after="0" w:line="250"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consisting of industrial revenue or pollution control bonds or similar financing secured solely by a lien on the property the subject thereof; or</w:t>
      </w: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any debt referred to in the third and fourth clauses above.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Sale and Leaseback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189"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of three years or less, including renewal rights;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pollution control bonds or similar financing;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between us and a restricted subsidiary or between restricted subsidiaries; or</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restricted subsidiary, within 180 days after the sale is completed, apply an amount equal to the greater of (A) the net proceeds of the sale of the principal property leased or (B) the fair market value of the principal property 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Consolidations and Certain Sales of Assets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facility we or any restricted subsidiary owns the gross book value of which, including related land, improvements, machinery and equipment so owned, without deduction of any depreciation reserves, on the date as of which the determination is being made exceeds 1% of consolidated net 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which owns a principal property.</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 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a corporation more than 50% of the voting stock of which we and/or one or more subsidiaries owns or (b) any other person (other than a corporation) of which we and/or one or more subsidiaries has at least a majority ownership and power to direct the policies, management and affairs.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under the indenture with respect to the notes:</w:t>
      </w:r>
    </w:p>
    <w:p>
      <w:pPr>
        <w:spacing w:after="0" w:line="252"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of the notes when due;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notes when due, continued for 30 days;</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of our covenants in the indenture, other than a covenant included in the indenture solely for the benefit of a series other than the notes, continued for 60 days after written notice has been given by the trustee, or the holders of at least 10% in principal amount of the outstanding debt securities of that series, as provided in the indenture;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involving us or any restricted subsidiary.</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Requiring Consent of Holders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(with the authorization of our board of directors) and the trustee may make modifications and amendments to the indenture with the consent of the holders of a majority in aggregate principal amount of the outstanding notes affected by such modification or amendment, provided that no such modification or amendment may, without the consent of the holder of each outstanding security affected by such modification or amendment: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69"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note;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 note payable upon acceleration of the maturity thereof;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ind w:left="1300" w:hanging="644"/>
        <w:spacing w:after="0" w:line="250"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ind w:left="1300" w:hanging="644"/>
        <w:spacing w:after="0" w:line="260"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Not Requiring Consent of 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any holders of notes, we and the trustee may supplement the indenture, among other things, to:</w:t>
      </w:r>
    </w:p>
    <w:p>
      <w:pPr>
        <w:spacing w:after="0" w:line="252"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another entity has succeeded us and assumed the covenants and obligations of us under the notes and the indenture;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notes, or to surrender any right or power conferred to us under the indenture;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 for the benefit of holders of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 in the indenture to permit the issuance of notes in uncertificated form;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with there is no such debt security outstanding;</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property to the trustee as security for the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any other series of debt securities as permitted by in the indenture;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any change of the trustee with respect to the notes, or provide for the administration of the trusts under the indenture by an additional trustee;</w:t>
      </w:r>
    </w:p>
    <w:p>
      <w:pPr>
        <w:jc w:val="both"/>
        <w:ind w:left="1300" w:hanging="644"/>
        <w:spacing w:after="0" w:line="250" w:lineRule="auto"/>
        <w:tabs>
          <w:tab w:leader="none" w:pos="12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such notes to any provision of the “Description of Notes” provided in the prospectus supplement pursuant to which the notes were offered to the extent that such provision in the “Description of Notes” was intended to be a verbatim recitation of the indenture or such notes.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Description of our 3.500% Notes due 2033</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summary of our 3.500% Notes due 2030 (referred to in this section as the “notes”) is based on our indenture dated February 8, 2001 between us and The Bank of New York Mellon, a New York banking corporation, as successor trustee to JPMorgan Chase Bank, N.A. (successor to Bank One Trust Company, N.A.), as supplemented by the first supplemental indenture, dated October 13, 2005, the second supplemental indenture, dated March 14, 2008, the third supplemental indenture, dated February 22, 2011, the fourth supplemental indenture, dated December 2, 2013, the fifth supplemental indenture, dated November 3, 2015, the sixth supplemental indenture, dated November 9, 2016, the seventh supplemental indenture, dated November 4, 2019, the eighth supplemental indenture, dated November 4, 2019, and the ninth supplemental indenture, dated November 12, 2025 (together, referred to in this section as the “indenture”). The following summary of specified provisions of the indenture and the notes is subject to, and qualified in its entirety by reference to, the actual provisions of the indenture, including the defined terms used therein. We have filed copies of these documents as exhibits to our periodic reports filed with the SEC each of which are incorporated by reference as an exhibit to the Annual Report on Form 10-K of which this Exhibit is a part.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constitute a separate series of notes under the indenture in the aggregate principal amount of €550 million and will mature on November 12, 2033. All payments of principal of, including payments made upon any redemption of the notes, premium, if any, interest on and additional amounts, if any, are payable in euros. These global notes are deposited with a common depositary on behalf of Euroclear and Clearstream and registered in the name of the common depositary or its nominee. The notes are listed on the New York Stock Exchange under the symbol “DOV 33”.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bear interest at the rate of 3.500% per year, accruing from November 12, 2025, or the most recent interest payment date to which interest has been paid or provided for. We pay interest on the notes annually in arrears on November 12 of each year, to persons in whose names the notes are registered at the close of business on the preceding November 1. The amount of interest payable for any interest period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are our senior unsecured debt obligations and rank on parity with all of our other senior unsecured indebtedness. The notes are not convertible or exchangeable for any other securities. The notes do not have the benefit of any sinking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are redeemable, in whole or in part, at our option and from time to time. If the notes are redeemed before August 12, 2033 (the date that is three months prior to the maturity date of the notes), the notes will be redeemed at a redemption price equal to the greater of: (1) 100% of the principal amount of the notes to be redeemed; and (2) the sum of the present values of the remaining scheduled payments of principal and interest thereon (not including any portion of such payments of interest accrued as of the date of redemption), discounted to the date of redemption on an annual basis (ACTUAL/ACTUAL (ICMA)) at the applicable Comparable Government Bond Rate (as defined below), plus 15 basis points, 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the registered holders as of the close of business on the relevant record date according to the notes and the indenture.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notes are redeemed on or after August 12, 2033 (the date that is three months prior to the maturity date of the notes), the notes may be redeemed at a redemption price equal to 100% of the principal amount of the notes then outstanding to be redeemed, plus accrued and unpaid interest thereon to, but excluding, the redemption date.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 selected by us, a bond that is a direct obligation of the Federal Republic of Germany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 Rate</w:t>
      </w:r>
      <w:r>
        <w:rPr>
          <w:rFonts w:ascii="Times New Roman" w:cs="Times New Roman" w:eastAsia="Times New Roman" w:hAnsi="Times New Roman"/>
          <w:sz w:val="18"/>
          <w:szCs w:val="18"/>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us in accordance with generally accepted market practice at such time.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delivered electronically in accordance with the policies and procedures of Euroclear or Clearstream, or otherwise mailed at least 10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in the case of global notes, in accordance with the policies and procedures of Euroclear or Clearstream, and in the case of certificated notes, by the trustee by lot.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the following covenants that are applicable to the notes: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Secured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and may not permit any restricted subsidiary to, incur or guarantee any evidence of indebtedness for money borrowed secured by a lien on any</w:t>
      </w:r>
    </w:p>
    <w:p>
      <w:pPr>
        <w:spacing w:after="0" w:line="27" w:lineRule="exact"/>
        <w:rPr>
          <w:sz w:val="20"/>
          <w:szCs w:val="20"/>
          <w:color w:val="auto"/>
        </w:rPr>
      </w:pPr>
    </w:p>
    <w:p>
      <w:pPr>
        <w:ind w:firstLine="8"/>
        <w:spacing w:after="0" w:line="260" w:lineRule="auto"/>
        <w:tabs>
          <w:tab w:leader="none" w:pos="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property or any part thereof, (b) capital stock of a restricted subsidiary we or any restricted subsidiary now own or hereafter acquire or (c) debt of a restricted subsidiary owed to us or any of our restricted subsidiaries, except if:</w:t>
      </w:r>
    </w:p>
    <w:p>
      <w:pPr>
        <w:spacing w:after="0" w:line="2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effectively provide that the debt securities are secured equally and ratably with, or, at our option, prior to, such secured debt; and</w:t>
      </w:r>
    </w:p>
    <w:p>
      <w:pPr>
        <w:spacing w:after="0" w:line="2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restriction do not apply to, and we will exclude from debt in any computation under such restriction, the following items:</w:t>
      </w:r>
    </w:p>
    <w:p>
      <w:pPr>
        <w:spacing w:after="0" w:line="252"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our favor or in favor of a restricted subsidiary;</w:t>
      </w:r>
    </w:p>
    <w:p>
      <w:pPr>
        <w:spacing w:after="0" w:line="2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favor of governmental bodies to secure progress or advance payments or payments pursuant to contracts or statute;</w:t>
      </w:r>
    </w:p>
    <w:p>
      <w:pPr>
        <w:ind w:left="1300" w:right="20" w:hanging="644"/>
        <w:spacing w:after="0" w:line="250" w:lineRule="auto"/>
        <w:tabs>
          <w:tab w:leader="none" w:pos="12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on property, capital stock or debt existing at the time of acquisition thereof, including acquisition through merger, consolidation or otherwise;</w:t>
      </w:r>
    </w:p>
    <w:p>
      <w:pPr>
        <w:jc w:val="both"/>
        <w:ind w:left="1300" w:hanging="644"/>
        <w:spacing w:after="0" w:line="250" w:lineRule="auto"/>
        <w:tabs>
          <w:tab w:leader="none" w:pos="12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consisting of industrial revenue or pollution control bonds or similar financing secured solely by a lien on the property the subject thereof; or</w:t>
      </w: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any debt referred to in the third and fourth clauses above.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Sale and Leaseback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189"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of three years or less, including renewal rights;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pollution control bonds or similar financing;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between us and a restricted subsidiary or between restricted subsidiaries; or</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restricted subsidiary, within 180 days after the sale is completed, apply an amount equal to the greater of (A) the net proceeds of the sale of the principal property leased or (B) the fair market value of the principal property 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Consolidations and Certain Sales of Assets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facility we or any restricted subsidiary owns the gross book value of which, including related land, improvements, machinery and equipment so owned, without deduction of any depreciation reserves, on the date as of which the determination is being made exceeds 1% of consolidated net 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which owns a principal property.</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 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a corporation more than 50% of the voting stock of which we and/or one or more subsidiaries owns or (b) any other person (other than a corporation) of which we and/or one or more subsidiaries has at least a majority ownership and power to direct the policies, management and affairs.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under the indenture with respect to the notes:</w:t>
      </w:r>
    </w:p>
    <w:p>
      <w:pPr>
        <w:spacing w:after="0" w:line="252"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of the notes when due;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notes when due, continued for 30 days;</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of our covenants in the indenture, other than a covenant included in the indenture solely for the benefit of a series other than the notes, continued for 60 days after written notice has been given by the trustee, or the holders of at least 10% in principal amount of the outstanding debt securities of that series, as provided in the indenture;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involving us or any restricted subsidiary.</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Requiring Consent of Holders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(with the authorization of our board of directors) and the trustee may make modifications and amendments to the indenture with the consent of the holders of a majority in aggregate principal amount of the outstanding notes affected by such modification or amendment, provided that no such modification or amendment may, without the consent of the holder of each outstanding security affected by such modification or amendment:</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69"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note;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 note payable upon acceleration of the maturity thereof;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note;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ind w:left="1300" w:hanging="644"/>
        <w:spacing w:after="0" w:line="250" w:lineRule="auto"/>
        <w:tabs>
          <w:tab w:leader="none" w:pos="1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ind w:left="1300" w:hanging="644"/>
        <w:spacing w:after="0" w:line="260" w:lineRule="auto"/>
        <w:tabs>
          <w:tab w:leader="none" w:pos="1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 Not Requiring Consent of 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any holders of notes, we and the trustee may supplement the indenture, among other things, to:</w:t>
      </w:r>
    </w:p>
    <w:p>
      <w:pPr>
        <w:spacing w:after="0" w:line="252"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another entity has succeeded us and assumed the covenants and obligations of us under the notes and the indenture;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notes, or to surrender any right or power conferred to us under the indenture;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 for the benefit of holders of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 in the indenture to permit the issuance of notes in uncertificated form;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with there is no such debt security outstanding;</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property to the trustee as security for the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any other series of debt securities as permitted by in the indenture;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any change of the trustee with respect to the notes, or provide for the administration of the trusts under the indenture by an additional trustee;</w:t>
      </w:r>
    </w:p>
    <w:p>
      <w:pPr>
        <w:jc w:val="both"/>
        <w:ind w:left="1300" w:hanging="644"/>
        <w:spacing w:after="0" w:line="250"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such notes to any provision of the “Description of Notes” provided in the prospectus supplement pursuant to which the notes were offered to the extent that such provision in the “Description of Notes” was intended to be a verbatim recitation of the indenture or such notes.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1525905" cy="565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SSAR Award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2026</w:t>
            </w: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  /$ParticipantName$/</w:t>
            </w: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 are the details for your SSAR grant:</w:t>
            </w: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shares of Dover Common Stock -</w:t>
            </w:r>
          </w:p>
        </w:tc>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/$AwardsGranted$/</w:t>
            </w:r>
          </w:p>
        </w:tc>
        <w:tc>
          <w:tcPr>
            <w:tcW w:w="920" w:type="dxa"/>
            <w:vAlign w:val="bottom"/>
          </w:tcPr>
          <w:p>
            <w:pPr>
              <w:spacing w:after="0"/>
              <w:rPr>
                <w:sz w:val="24"/>
                <w:szCs w:val="24"/>
                <w:color w:val="auto"/>
              </w:rPr>
            </w:pPr>
          </w:p>
        </w:tc>
      </w:tr>
      <w:tr>
        <w:trPr>
          <w:trHeight w:val="257"/>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SSAR Base Price Per Share -</w:t>
            </w: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tc>
        <w:tc>
          <w:tcPr>
            <w:tcW w:w="2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of Grant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21"/>
                <w:szCs w:val="21"/>
                <w:color w:val="auto"/>
                <w:w w:val="99"/>
              </w:rPr>
              <w:t>•</w:t>
            </w:r>
            <w:r>
              <w:rPr>
                <w:rFonts w:ascii="Times New Roman" w:cs="Times New Roman" w:eastAsia="Times New Roman" w:hAnsi="Times New Roman"/>
                <w:sz w:val="18"/>
                <w:szCs w:val="18"/>
                <w:color w:val="auto"/>
                <w:w w:val="99"/>
              </w:rPr>
              <w:t>], 2026</w:t>
            </w:r>
          </w:p>
        </w:tc>
      </w:tr>
      <w:tr>
        <w:trPr>
          <w:trHeight w:val="282"/>
        </w:trPr>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Expiration Date -</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2036</w:t>
            </w: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Stock Settled Appreciation Right (SSAR)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your SSAR Award is subject to the following:</w:t>
      </w:r>
    </w:p>
    <w:p>
      <w:pPr>
        <w:spacing w:after="0" w:line="225" w:lineRule="exact"/>
        <w:rPr>
          <w:sz w:val="20"/>
          <w:szCs w:val="20"/>
          <w:color w:val="auto"/>
        </w:rPr>
      </w:pPr>
    </w:p>
    <w:p>
      <w:pPr>
        <w:jc w:val="both"/>
        <w:ind w:left="660" w:hanging="409"/>
        <w:spacing w:after="0" w:line="266"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SSAR Award will be eligible to vest and become exercisable on the third anniversary of the Grant Date; provided, that you remain employed and in good standing with Dover or one of its Affiliates on such vesting date, except as otherwise provided in the Plan. No cash payment is required to exercise a SSAR Award.</w:t>
      </w:r>
    </w:p>
    <w:p>
      <w:pPr>
        <w:spacing w:after="0" w:line="198" w:lineRule="exact"/>
        <w:rPr>
          <w:rFonts w:ascii="Times New Roman" w:cs="Times New Roman" w:eastAsia="Times New Roman" w:hAnsi="Times New Roman"/>
          <w:sz w:val="18"/>
          <w:szCs w:val="18"/>
          <w:color w:val="auto"/>
        </w:rPr>
      </w:pPr>
    </w:p>
    <w:p>
      <w:pPr>
        <w:ind w:left="660" w:right="20" w:hanging="382"/>
        <w:spacing w:after="0" w:line="286" w:lineRule="auto"/>
        <w:tabs>
          <w:tab w:leader="none" w:pos="597"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58" w:lineRule="exact"/>
        <w:rPr>
          <w:rFonts w:ascii="Times New Roman" w:cs="Times New Roman" w:eastAsia="Times New Roman" w:hAnsi="Times New Roman"/>
          <w:sz w:val="18"/>
          <w:szCs w:val="18"/>
          <w:color w:val="auto"/>
        </w:rPr>
      </w:pPr>
    </w:p>
    <w:p>
      <w:pPr>
        <w:ind w:left="640" w:hanging="362"/>
        <w:spacing w:after="0"/>
        <w:tabs>
          <w:tab w:leader="none" w:pos="64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SSAR Award is subject to earlier termination, exercisability and forfeiture provisions as provided in the Plan.</w:t>
      </w:r>
    </w:p>
    <w:p>
      <w:pPr>
        <w:spacing w:after="0" w:line="225" w:lineRule="exact"/>
        <w:rPr>
          <w:rFonts w:ascii="Times New Roman" w:cs="Times New Roman" w:eastAsia="Times New Roman" w:hAnsi="Times New Roman"/>
          <w:sz w:val="18"/>
          <w:szCs w:val="18"/>
          <w:color w:val="auto"/>
        </w:rPr>
      </w:pPr>
    </w:p>
    <w:p>
      <w:pPr>
        <w:jc w:val="both"/>
        <w:ind w:left="660" w:hanging="401"/>
        <w:spacing w:after="0" w:line="256" w:lineRule="auto"/>
        <w:tabs>
          <w:tab w:leader="none" w:pos="59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settled in any manner determined by the Committee.</w:t>
      </w:r>
    </w:p>
    <w:p>
      <w:pPr>
        <w:spacing w:after="0" w:line="187" w:lineRule="exact"/>
        <w:rPr>
          <w:rFonts w:ascii="Times New Roman" w:cs="Times New Roman" w:eastAsia="Times New Roman" w:hAnsi="Times New Roman"/>
          <w:sz w:val="18"/>
          <w:szCs w:val="18"/>
          <w:color w:val="auto"/>
        </w:rPr>
      </w:pPr>
    </w:p>
    <w:p>
      <w:pPr>
        <w:jc w:val="both"/>
        <w:ind w:left="660" w:hanging="409"/>
        <w:spacing w:after="0" w:line="260" w:lineRule="auto"/>
        <w:tabs>
          <w:tab w:leader="none" w:pos="72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of receiving your SSAR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Executive Compensation Team at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left="660" w:hanging="382"/>
        <w:spacing w:after="0" w:line="282" w:lineRule="auto"/>
        <w:tabs>
          <w:tab w:leader="none" w:pos="73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Employees, your SSAR Award is subject to the terms and conditions of the Addendum for Non-US Employees attached to your SSAR Award letter.</w:t>
      </w:r>
    </w:p>
    <w:p>
      <w:pPr>
        <w:sectPr>
          <w:pgSz w:w="11900" w:h="16838" w:orient="portrait"/>
          <w:cols w:equalWidth="0" w:num="1">
            <w:col w:w="11240"/>
          </w:cols>
          <w:pgMar w:left="320" w:top="114" w:right="339" w:bottom="1440" w:gutter="0" w:footer="0" w:header="0"/>
        </w:sectPr>
      </w:pPr>
    </w:p>
    <w:bookmarkStart w:id="130" w:name="page131"/>
    <w:bookmarkEnd w:id="130"/>
    <w:p>
      <w:pPr>
        <w:ind w:left="421" w:hanging="421"/>
        <w:spacing w:after="0" w:line="282" w:lineRule="auto"/>
        <w:tabs>
          <w:tab w:leader="none" w:pos="3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SSAR Award is not transferrable by you other than by will or the laws of descent and distribution and in accordance with the applicable terms and conditions of the Plan.</w:t>
      </w:r>
    </w:p>
    <w:p>
      <w:pPr>
        <w:spacing w:after="0" w:line="161" w:lineRule="exact"/>
        <w:rPr>
          <w:rFonts w:ascii="Times New Roman" w:cs="Times New Roman" w:eastAsia="Times New Roman" w:hAnsi="Times New Roman"/>
          <w:sz w:val="18"/>
          <w:szCs w:val="18"/>
          <w:color w:val="auto"/>
        </w:rPr>
      </w:pPr>
    </w:p>
    <w:p>
      <w:pPr>
        <w:ind w:left="441" w:hanging="402"/>
        <w:spacing w:after="0"/>
        <w:tabs>
          <w:tab w:leader="none" w:pos="44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reserves the right to amend, modify, or terminate the Plan at any time in its discretion without notice.</w:t>
      </w:r>
    </w:p>
    <w:p>
      <w:pPr>
        <w:sectPr>
          <w:pgSz w:w="11900" w:h="16838" w:orient="portrait"/>
          <w:cols w:equalWidth="0" w:num="1">
            <w:col w:w="11001"/>
          </w:cols>
          <w:pgMar w:left="559" w:top="137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1525905" cy="565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Restricted Stock Unit Award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ectPr>
          <w:pgSz w:w="11900" w:h="16838" w:orient="portrait"/>
          <w:cols w:equalWidth="0" w:num="3">
            <w:col w:w="520" w:space="180"/>
            <w:col w:w="1000" w:space="720"/>
            <w:col w:w="8820"/>
          </w:cols>
          <w:pgMar w:left="320" w:top="122"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/$AwardsGranted$/ Restricted Stock Units</w:t>
      </w:r>
    </w:p>
    <w:p>
      <w:pPr>
        <w:spacing w:after="0" w:line="211" w:lineRule="exact"/>
        <w:rPr>
          <w:sz w:val="20"/>
          <w:szCs w:val="20"/>
          <w:color w:val="auto"/>
        </w:rPr>
      </w:pPr>
    </w:p>
    <w:p>
      <w:pPr>
        <w:sectPr>
          <w:pgSz w:w="11900" w:h="16838" w:orient="portrait"/>
          <w:cols w:equalWidth="0" w:num="3">
            <w:col w:w="300" w:space="180"/>
            <w:col w:w="1660" w:space="720"/>
            <w:col w:w="8380"/>
          </w:cols>
          <w:pgMar w:left="320" w:top="122"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Your Restricted Stock Unit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your Restricted Stock Unit Award is subject to the following:</w:t>
      </w:r>
    </w:p>
    <w:p>
      <w:pPr>
        <w:spacing w:after="0" w:line="225" w:lineRule="exact"/>
        <w:rPr>
          <w:sz w:val="20"/>
          <w:szCs w:val="20"/>
          <w:color w:val="auto"/>
        </w:rPr>
      </w:pPr>
    </w:p>
    <w:p>
      <w:pPr>
        <w:ind w:left="660" w:right="10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each Restricted Period, Dover shall issue shares of Common Stock in your name equal to the number of Restricted Stock Units that have vested during the Restricted Period less applicable tax withholding.</w:t>
      </w:r>
    </w:p>
    <w:p>
      <w:pPr>
        <w:spacing w:after="0" w:line="176" w:lineRule="exact"/>
        <w:rPr>
          <w:rFonts w:ascii="Times New Roman" w:cs="Times New Roman" w:eastAsia="Times New Roman" w:hAnsi="Times New Roman"/>
          <w:sz w:val="18"/>
          <w:szCs w:val="18"/>
          <w:color w:val="auto"/>
        </w:rPr>
      </w:pPr>
    </w:p>
    <w:p>
      <w:pPr>
        <w:ind w:left="660" w:right="40" w:hanging="328"/>
        <w:spacing w:after="0" w:line="223"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vest in the Restricted Stock Unit Award with respect to 33% of your Restricted Stock Units on the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following the first anniversary of the Date of Grant (or the last trading day preceding if such date is not a trading day), with respect to 33% of your Restricted Stock Units on the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following the second anniversary of the Date of Grant (or the last trading day preceding if such date is not a trading day) and with respect to 34% of your Restricted Stock Units on the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following the third anniversary of the Date of Grant (or the last trading day preceding if such date is not a trading day), subject to you remaining employed and in good standing with Dover or one of its Affiliates until the end of each respective Restricted Period, except as otherwise provided in the Plan.</w:t>
      </w:r>
    </w:p>
    <w:p>
      <w:pPr>
        <w:spacing w:after="0" w:line="20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any voting rights with respect to Restricted Stock Units.</w:t>
      </w:r>
    </w:p>
    <w:p>
      <w:pPr>
        <w:spacing w:after="0" w:line="225"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of receiving your Restricted Stock Unit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Executive Compensation Team at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Employees, your Restricted Stock Unit Award is subject to the terms and conditions of the Addendum for Non-US Employees.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Restricted Stock Unit Award is not transferable by you other than by will or the laws of descent and distribution and in accordance with the applicable terms and conditions of the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reserves the right to amend, modify, or terminate the Plan at any time in its discretion without notice.</w:t>
      </w:r>
    </w:p>
    <w:p>
      <w:pPr>
        <w:sectPr>
          <w:pgSz w:w="11900" w:h="16838" w:orient="portrait"/>
          <w:cols w:equalWidth="0" w:num="1">
            <w:col w:w="11240"/>
          </w:cols>
          <w:pgMar w:left="320" w:top="122"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1525905" cy="565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Performance Share Award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DATE:</w:t>
        <w:tab/>
        <w: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2026</w:t>
      </w:r>
    </w:p>
    <w:p>
      <w:pPr>
        <w:spacing w:after="0" w:line="26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/$ParticipantName$/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are the details for your Performance Share Award:</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of Grant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2026</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Performance Period is the three-year period 2026-2028</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Your target Performance Share Award at the 100% level (the “Total Target”) - /$AwardsGranted$/Shares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actual Performance Shares to be paid to you, if any, will be derived from the TSR Ranking Payout Table and the Tangible ROIC Payout Table included in this Award agreement.</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8"/>
          <w:szCs w:val="18"/>
          <w:color w:val="auto"/>
        </w:rPr>
        <w:t>Your Performance Share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your Performance Share Award is subject to the following:</w:t>
      </w:r>
    </w:p>
    <w:p>
      <w:pPr>
        <w:spacing w:after="0" w:line="212" w:lineRule="exact"/>
        <w:rPr>
          <w:sz w:val="20"/>
          <w:szCs w:val="20"/>
          <w:color w:val="auto"/>
        </w:rPr>
      </w:pPr>
    </w:p>
    <w:p>
      <w:pPr>
        <w:ind w:left="340" w:right="60" w:hanging="332"/>
        <w:spacing w:after="0" w:line="281" w:lineRule="auto"/>
        <w:tabs>
          <w:tab w:leader="none" w:pos="3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Award may be earned between 0% to 300% of the Total Target level, and will be eligible to vest (i) fifty percent (50%) based on Dover’s TSR Ranking, as set forth in the TSR Ranking Payout Table included in this Award agreement and (ii) fifty percent (50%) based on Dover’s Tangible ROIC, as set forth in the Tangible ROIC Payout Table included in this Award agreement, provided in each case (i) and (ii) that the other conditions of your Performance Share Award are satisfied. To the extent earned, Dover will issue you shares of Common Stock in respect of the Performance Share Award no later than two and one-half months following the end of the Performance Period. In order to receive shares of Common Stock in respect of your Performance Share Award, you must remain employed in good standing with Dover or one of its Affiliates until the end of the Performance Period, except as otherwise provided in the Plan. For any Section 16 Person, Dover will issue shares of Common Stock for the vested Performance Share Award less a number of shares of Common Stock in respect of applicable tax withholding.</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components of Dover’s TSR Ranking and Tangible ROIC is set forth in the Definitions Section included in this Award agreement.</w:t>
      </w:r>
    </w:p>
    <w:p>
      <w:pPr>
        <w:spacing w:after="0" w:line="265" w:lineRule="exact"/>
        <w:rPr>
          <w:rFonts w:ascii="Times New Roman" w:cs="Times New Roman" w:eastAsia="Times New Roman" w:hAnsi="Times New Roman"/>
          <w:sz w:val="18"/>
          <w:szCs w:val="18"/>
          <w:color w:val="auto"/>
        </w:rPr>
      </w:pPr>
    </w:p>
    <w:p>
      <w:pPr>
        <w:ind w:left="340" w:right="20" w:hanging="332"/>
        <w:spacing w:after="0" w:line="287"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of receiving your Performance Share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Executive Compensation Team at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 w:right="339" w:bottom="1440" w:gutter="0" w:footer="0" w:header="0"/>
        </w:sectPr>
      </w:pPr>
    </w:p>
    <w:bookmarkStart w:id="133" w:name="page134"/>
    <w:bookmarkEnd w:id="133"/>
    <w:p>
      <w:pPr>
        <w:spacing w:after="0" w:line="59"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Employees, your Performance Share Award is subject to the terms and conditions of the Addendum for Non-US Employees.</w:t>
      </w:r>
    </w:p>
    <w:p>
      <w:pPr>
        <w:spacing w:after="0" w:line="265" w:lineRule="exact"/>
        <w:rPr>
          <w:rFonts w:ascii="Times New Roman" w:cs="Times New Roman" w:eastAsia="Times New Roman" w:hAnsi="Times New Roman"/>
          <w:sz w:val="18"/>
          <w:szCs w:val="18"/>
          <w:color w:val="auto"/>
        </w:rPr>
      </w:pPr>
    </w:p>
    <w:p>
      <w:pPr>
        <w:ind w:left="340" w:right="500" w:hanging="332"/>
        <w:spacing w:after="0" w:line="313"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Performance Share Award is not transferrable by you other than by will or the laws of descent and distribution and in accordance with the applicable terms and conditions of the Plan.</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TSR Ranking Payout Table – 50% Weighting</w:t>
      </w:r>
    </w:p>
    <w:p>
      <w:pPr>
        <w:spacing w:after="0" w:line="200" w:lineRule="exact"/>
        <w:rPr>
          <w:sz w:val="20"/>
          <w:szCs w:val="20"/>
          <w:color w:val="auto"/>
        </w:rPr>
      </w:pPr>
    </w:p>
    <w:p>
      <w:pPr>
        <w:spacing w:after="0" w:line="324"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5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Dover’s TSR Ranking for Performance Period</w:t>
            </w:r>
          </w:p>
        </w:tc>
        <w:tc>
          <w:tcPr>
            <w:tcW w:w="5400" w:type="dxa"/>
            <w:vAlign w:val="bottom"/>
            <w:tcBorders>
              <w:top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TSR Ranking Payout (% of target)</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90th Percentile or above</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w:t>
            </w:r>
          </w:p>
        </w:tc>
      </w:tr>
      <w:tr>
        <w:trPr>
          <w:trHeight w:val="41"/>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50th Percentile (target level)</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25th Percentile</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Below 25th Percentile</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1"/>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9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Dover’s TSR Ranking for the Performance Period is between two of the levels set forth in the table above, the TSR Ranking Payout percentage will be determined using linear interpolation. In the event Dover’s TSR for the Performance Period is negative, the TSR Ranking Payout percentage will not exceed 100%.</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Tangible ROIC Payout Table – 50% Weighting</w:t>
      </w:r>
    </w:p>
    <w:p>
      <w:pPr>
        <w:spacing w:after="0" w:line="200" w:lineRule="exact"/>
        <w:rPr>
          <w:sz w:val="20"/>
          <w:szCs w:val="20"/>
          <w:color w:val="auto"/>
        </w:rPr>
      </w:pPr>
    </w:p>
    <w:p>
      <w:pPr>
        <w:spacing w:after="0" w:line="324"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5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Dover’s Tangible ROIC for Performance Period</w:t>
            </w:r>
          </w:p>
        </w:tc>
        <w:tc>
          <w:tcPr>
            <w:tcW w:w="5400" w:type="dxa"/>
            <w:vAlign w:val="bottom"/>
            <w:tcBorders>
              <w:top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Tangible ROIC Payout (% of target)</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 or above</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 (target level)</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Below 21%</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If Dover’s Tangible ROIC for the Performance Period is between two of the levels set forth in the table above, the Tangible ROIC Payout percentage will be determined using linear interpolation.</w:t>
      </w:r>
    </w:p>
    <w:p>
      <w:pPr>
        <w:spacing w:after="0" w:line="18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color w:val="auto"/>
        </w:rPr>
        <w:t>Weighted payout for illustrative purposes only. If your Total Target was 100 PSUs , and Dover’s TSR Ranking was achieved at the 75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percentile and Dover’s Tangible ROIC was achieved at 21%, then you would earn a weighted payout of 125% for a total of 125 shares of Common Stock in respect of the Performance Share Award (i.e., (200% TSR Ranking Payout times the 50% weighting equals 100%) plus (50% Tangible ROIC Payout times the 50% weighting equals 25%) equals a weighted payout of 125%).</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Award, the terms below have the following meanings:</w:t>
      </w:r>
    </w:p>
    <w:p>
      <w:pPr>
        <w:spacing w:after="0" w:line="24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Net Earnings: </w:t>
      </w:r>
      <w:r>
        <w:rPr>
          <w:rFonts w:ascii="Times New Roman" w:cs="Times New Roman" w:eastAsia="Times New Roman" w:hAnsi="Times New Roman"/>
          <w:sz w:val="18"/>
          <w:szCs w:val="18"/>
          <w:color w:val="auto"/>
        </w:rPr>
        <w:t>The Adjusted Net Earnings reported on Dover’s current report filed with the Securities and Exchange Commission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December 31 during the Performance Period, excluding the adjusted net earnings related to any business acquisitions or dispositions in the year each such transaction is completed.</w:t>
      </w:r>
    </w:p>
    <w:p>
      <w:pPr>
        <w:sectPr>
          <w:pgSz w:w="11900" w:h="16838" w:orient="portrait"/>
          <w:cols w:equalWidth="0" w:num="1">
            <w:col w:w="11140"/>
          </w:cols>
          <w:pgMar w:left="320" w:top="1440"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 xml:space="preserve">Annual Tangible ROIC: </w:t>
      </w:r>
      <w:r>
        <w:rPr>
          <w:rFonts w:ascii="Times New Roman" w:cs="Times New Roman" w:eastAsia="Times New Roman" w:hAnsi="Times New Roman"/>
          <w:sz w:val="18"/>
          <w:szCs w:val="18"/>
          <w:color w:val="auto"/>
        </w:rPr>
        <w:t>For each year in the Performance Period, the quotient of (i) Adjusted Net Earnings and (ii) Total Tangibles.</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Beginning Stock Price: </w:t>
      </w:r>
      <w:r>
        <w:rPr>
          <w:rFonts w:ascii="Times New Roman" w:cs="Times New Roman" w:eastAsia="Times New Roman" w:hAnsi="Times New Roman"/>
          <w:sz w:val="18"/>
          <w:szCs w:val="18"/>
          <w:color w:val="auto"/>
        </w:rPr>
        <w:t>The average closing price of a share of stock, as reported in transactions on the applicable stock exchange or market,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30 trading days immediately preceding the first trading day of the Performance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 in Stock Price: </w:t>
      </w:r>
      <w:r>
        <w:rPr>
          <w:rFonts w:ascii="Times New Roman" w:cs="Times New Roman" w:eastAsia="Times New Roman" w:hAnsi="Times New Roman"/>
          <w:sz w:val="18"/>
          <w:szCs w:val="18"/>
          <w:color w:val="auto"/>
        </w:rPr>
        <w:t>The Ending Stock Price minus the Beginning Stock Price.</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Paid: </w:t>
      </w:r>
      <w:r>
        <w:rPr>
          <w:rFonts w:ascii="Times New Roman" w:cs="Times New Roman" w:eastAsia="Times New Roman" w:hAnsi="Times New Roman"/>
          <w:sz w:val="18"/>
          <w:szCs w:val="18"/>
          <w:color w:val="auto"/>
        </w:rPr>
        <w:t>The total of all dividends paid on one share of stock during the Performance Period, provided that dividends will be treated as though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are reinvested on the date the dividend is paid.</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Ending Stock Price: </w:t>
      </w:r>
      <w:r>
        <w:rPr>
          <w:rFonts w:ascii="Times New Roman" w:cs="Times New Roman" w:eastAsia="Times New Roman" w:hAnsi="Times New Roman"/>
          <w:sz w:val="18"/>
          <w:szCs w:val="18"/>
          <w:color w:val="auto"/>
        </w:rPr>
        <w:t>The average closing price of a share of stock, as reported in transactions on the applicable stock exchange or market,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30 trading days of the Performance Period.</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The companies in the S&amp;P 500 Industrials Sector; provided, that (i) the Peer Group will not include any company that is not publicly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 foregoing, the Dover Compensation Committee may disregard any of these guidelines when evaluating changes in the membership of the Peer Group during the Performance Period in any particular situation, as it deems reasonable in the exercise of its discretion.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Tangible ROIC: </w:t>
      </w:r>
      <w:r>
        <w:rPr>
          <w:rFonts w:ascii="Times New Roman" w:cs="Times New Roman" w:eastAsia="Times New Roman" w:hAnsi="Times New Roman"/>
          <w:sz w:val="18"/>
          <w:szCs w:val="18"/>
          <w:color w:val="auto"/>
        </w:rPr>
        <w:t>The average of the Annual Tangible ROIC for each year during the Performance Period.</w:t>
      </w:r>
    </w:p>
    <w:p>
      <w:pPr>
        <w:spacing w:after="0" w:line="25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Tangibles: </w:t>
      </w:r>
      <w:r>
        <w:rPr>
          <w:rFonts w:ascii="Times New Roman" w:cs="Times New Roman" w:eastAsia="Times New Roman" w:hAnsi="Times New Roman"/>
          <w:sz w:val="18"/>
          <w:szCs w:val="18"/>
          <w:color w:val="auto"/>
        </w:rPr>
        <w:t>The total tangible assets of Dover reported on Dover’s annual report filed with the Securities and Exchange Commission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December 31 during the Performance Period, excluding the total tangible assets related to any business acquisitions or dispositions in the year each such transaction is completed, equal to the sum of (i) property, plant and equipment, gross, (ii) accounts receivable, (iii) total inventory, net and (iv) accounts payable (stated as a negative number).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TSR: </w:t>
      </w:r>
      <w:r>
        <w:rPr>
          <w:rFonts w:ascii="Times New Roman" w:cs="Times New Roman" w:eastAsia="Times New Roman" w:hAnsi="Times New Roman"/>
          <w:sz w:val="18"/>
          <w:szCs w:val="18"/>
          <w:color w:val="auto"/>
        </w:rPr>
        <w:t>(Change in Stock Price + Dividends Paid)/Beginning Stock Price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TSR Ranking: </w:t>
      </w:r>
      <w:r>
        <w:rPr>
          <w:rFonts w:ascii="Times New Roman" w:cs="Times New Roman" w:eastAsia="Times New Roman" w:hAnsi="Times New Roman"/>
          <w:sz w:val="18"/>
          <w:szCs w:val="18"/>
          <w:color w:val="auto"/>
        </w:rPr>
        <w:t>The percentile ranking of Dover’s TSR as compared to the TSR of each company in the Peer Group for the Performance Period.</w:t>
      </w:r>
    </w:p>
    <w:p>
      <w:pPr>
        <w:sectPr>
          <w:pgSz w:w="11900" w:h="16838" w:orient="portrait"/>
          <w:cols w:equalWidth="0" w:num="1">
            <w:col w:w="10860"/>
          </w:cols>
          <w:pgMar w:left="660" w:top="1238" w:right="3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Dover Corporation - Domestic and Foreign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Where Incorporated</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Domestic</w:t>
            </w:r>
          </w:p>
        </w:tc>
        <w:tc>
          <w:tcPr>
            <w:tcW w:w="5040" w:type="dxa"/>
            <w:vAlign w:val="bottom"/>
          </w:tcPr>
          <w:p>
            <w:pPr>
              <w:spacing w:after="0"/>
              <w:rPr>
                <w:sz w:val="19"/>
                <w:szCs w:val="19"/>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Acme Cryo Intermediate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Acme Cryogenics,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Alfred Fueling Systems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Equity Holdings,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Holdings,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North Holdco,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Specialty Glass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AvaLAN Wireless Systems Incorporated</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Belanger,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Belvac Production Machinery,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Virginia</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Bite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 Organization &amp; Development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CDS Visual,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CEP Liquidation,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CHRONOTEK FLOW,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Colder Products Company</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Minnesota</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 Compression,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Cook-MFS,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 Formation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CPC Europe,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Minnesota</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CPI Products,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Criteria Labs,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Cryogenic Experts,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DD1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DDI Properties,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Capital Formation,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Capital Holdings,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De-Sta-Co Cylinders,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DFH Corporation</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Dosmatic U.S.A.,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(Schweiz) Holding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Business Services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Clean Energy &amp; Fueling Segment,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Climate &amp; Sustainability Technologies Segment,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DEI Services,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Engineered Products Segment,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Europe,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Global Holdings,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Imaging &amp; Identification Segment,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International Investments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International Operations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International Ventures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Investments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Mexico Holdings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Overseas Ventures, Inc.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Pumps &amp; Process Solutions Segment, Inc.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WSCR Holding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WSCR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Dow-Key Microwave LLC</w:t>
            </w: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ECI Holding Company, LLC</w:t>
            </w:r>
          </w:p>
        </w:tc>
        <w:tc>
          <w:tcPr>
            <w:tcW w:w="50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887"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ECII (Mexico),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Controls International,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EOA Systems,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Espy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Virginia</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GIIER,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Highland Park Insurance Company</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 PHOENIX WIC,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 PHOENIX,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Hydro Systems Company</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Innovative Control Systems,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Inpro/Seal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K&amp;L Microwave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Knappco,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Gala,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Virginia</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Pump Systems (US), Inc.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Reduction,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MALEMA ENGINEERING CORPORATION</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Corporation</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Excelsior Co.</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 Enterprises,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 CRYO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MEC Realty,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 Xanik I,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MEC Xanik II,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 Xanik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Midland Manufacturing,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MPG Holding Company</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Lights (Nevada),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Northern Lights Funding LP</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Lights Investments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 Controls, Inc.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 International Holdings,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 International, Inc.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OPW Fluids Group,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OPW Fuel Management Systems,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OPW Fueling Components,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PDQ Manufacturing, Inc.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PISCES by OPW,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Pole/Zero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PSG California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 Management Services Co.,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Questclean Corporation</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Revod Corporation</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Revod Formation,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Robohand,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 Liquidation,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Seabiscuit Motorsports, Inc.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International Corporation</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Simmons Sirvey Corporation</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IQ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IQ Remote Monitoring,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Superior Holding, LLC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Superior Products, LLC</w:t>
            </w:r>
          </w:p>
        </w:tc>
        <w:tc>
          <w:tcPr>
            <w:tcW w:w="55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Ohio</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SWEP North America, Inc.</w:t>
            </w:r>
          </w:p>
        </w:tc>
        <w:tc>
          <w:tcPr>
            <w:tcW w:w="5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20" w:top="931" w:right="37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Sys-Tech Solutions, Inc.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Tartan Textile Services, Inc.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Transchem Pro Inc.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TTSI III, Inc.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Tulsa Winch, Inc.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TXHI, LLC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Service Group, LLC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Warn Automotive, LLC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Waukesha Bearings Corporation</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Fueling Systems LLC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Intermediate LLC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Solutions US LLC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WSCR Corp.</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34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w:t>
            </w:r>
          </w:p>
        </w:tc>
        <w:tc>
          <w:tcPr>
            <w:tcW w:w="486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Advansor A/S</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Advansor Germany GmbH</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 Pacific Siam Ltd.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Thailand</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Engineering Inc.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New Brunswick</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BELVAC CR, spol. s r.o.</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Belvac Decorating Systems B.V.</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Belvac Middle East FZE</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Dubai</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BlitzRotary GmbH</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BSC Filters Limited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Bulloch Technologies Inc.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Ontario</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Caldera</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Colder Products Company GmbH</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 Compression Limited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Demaco Holland B.V.</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DFS Netherlands B.V.</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Mosaic Corp.</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Ontario</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Dositec Sistemas SL</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(China) Holding Co., Ltd.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(Shanghai) Industrial Co., Ltd.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(Shenzhen) Industrial Equipment Manufacturing Co., Ltd.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(Suzhou) Industrial Equipment Manufacturing Co., Ltd.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Asia Investments Private Limited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Asia Trading Private Limited</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Australia Holdings Pty Limited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Business Services Europe S.R.L.</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Romania</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Business Services Philippines Corporation</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Canada Holdings ULC</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Canada Operations ULC</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CLP Formation Limited Partnership</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Corporation Regional Headquarters</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Denmark Holdings ApS</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do Brasil Ltda.</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EMEA FZCO</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Dubai</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Euro Investment Pte. Ltd.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Europe Sarl</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Fluids UK Ltd</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France Holdings</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France Participations</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France Technologies</w:t>
            </w:r>
          </w:p>
        </w:tc>
        <w:tc>
          <w:tcPr>
            <w:tcW w:w="48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Fueling Solutions Italia S.r.l.</w:t>
            </w:r>
          </w:p>
        </w:tc>
        <w:tc>
          <w:tcPr>
            <w:tcW w:w="48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1200"/>
          </w:cols>
          <w:pgMar w:left="320" w:top="936" w:right="37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Fueling Solutions UK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Germany GmbH</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Holdings de Mexico, Sociedad Anonima de Capital Variable</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India Pvt.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Industries Italy S.R.L.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Intercompany Services UK Limited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International B.V.</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International ithalat ihracat ve Pazarlama Limited Sirketi</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Italy Holdings S.r.l.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Luxembourg Finance Sarl</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Luxembourg Participations S.a r.l.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Luxembourg S.a r.l.</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Luxembourg Services S.A.</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Operations South Africa (Pty)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Refrigeration &amp; Food Equipment UK Ltd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Resources International de Mexico, Sociedad de Responsabilidad Limitada de Capital Variable</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Romania Innovation Center S.R.L.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Romania</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Singapore Holdings Private Limited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Solutions Colombia SAS</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Colombia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Southeast Asia (Thailand)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Thailand</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Spain Holdings, S.L.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Dover Switzerland Participations GmbH</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UK Pensions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Dresser Wayne Fuel Equipment (Shanghai) Co.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Ebs-Ray Pumps Pty Ltd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ECI RegO Servicios, Sociedad De Responsabilidad Limitada De Capital Variable</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ECI RegO, Sociedad de Responsabilidad Limitada de Capital Variable</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em-tec GmbH</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Fairbanks Environmental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Fibrelite Composites Limited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Foshan ARC Industrial Equipment Manufacturing Co., Ltd.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Guangdong Tokheim LIYUAN Oil Industry Technology Limited Company</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 Phoenix Costa Rica, Sociedad De Responsabilidad Limitada</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Costa Rica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 Phoenix de Mexico, S. de R.L. de C.V.</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Hiltap Fittings Ltd.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Hydro Systems Europe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IPP Pump Products GmbH</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KPS (Beijing) Petroleum Equipment Trading Co,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KPS Hong Kong Holding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LIQAL B.V.</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Liquip International Pty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Victoria</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LIQUIP UK PTY LIMITED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AMN</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Automatik Plastics Machinery (Shanghai) Co.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Ettlinger GmbH</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Germany GmbH</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Italy S.R.L.</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Pump Systems AG</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Service (Malaysia) Sdn. Bhd.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Service (Taiwan) Ltd.</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Maag Systems (Thailand)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Maag Witte GmbH</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MALEMA SENSORS INDIA PRIVATE LIMITED</w:t>
            </w: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 FZ SA</w:t>
            </w: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Uruguay</w:t>
            </w:r>
          </w:p>
        </w:tc>
      </w:tr>
    </w:tbl>
    <w:p>
      <w:pPr>
        <w:sectPr>
          <w:pgSz w:w="11900" w:h="16838" w:orient="portrait"/>
          <w:cols w:equalWidth="0" w:num="1">
            <w:col w:w="11200"/>
          </w:cols>
          <w:pgMar w:left="320" w:top="931" w:right="37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 Imaje Center of Competencies Spain, S.L.U.</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 Unipessoal, Lda</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Portugal</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(China) Co.,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A/S</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AB</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AG</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AS</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Norway</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B.V.</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Co., Ltd.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 (the Republic of)</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GmbH</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Holding</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Inc.</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India Private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Industries</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Industries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KK</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LLC</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Ltd.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Ltd.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Thailand</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N.V.</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Philippines Corporation</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Pty. Ltd.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S.A.</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S.A. de C.V.</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S.r.l.</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SAS</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Markem-Imaje Sdn. Bhd.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Markem-Imaje Spain S.A.</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 Xanik Mexico, S. de R.L. de C.V.</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Mouvex</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MPG DR Inc.</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 International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OPW Fluid Transfer Group Europe B.V.</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OPW Fluid Transfer Solutions (Jiang Su) Co., Ltd.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OPW Fueling Components (Suzhou) Co., Ltd.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OPW Malaysia Sdn. Bhd.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OPW Slovakia s.r.o.</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Slovakia</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OPW Sweden AB</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Vend Sp. z o.o.</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Pharmacontrol Electronic GmbH</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Precision Brasil Equipamentos E Servicos Para Postos De Combustiveis Ltda.</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176"/>
        </w:trPr>
        <w:tc>
          <w:tcPr>
            <w:tcW w:w="7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Precision Service - Servicos De Manutencao E Instalacao De Postos De Abastecimento De Combustivel</w:t>
            </w:r>
          </w:p>
        </w:tc>
        <w:tc>
          <w:tcPr>
            <w:tcW w:w="3440" w:type="dxa"/>
            <w:vAlign w:val="bottom"/>
          </w:tcPr>
          <w:p>
            <w:pPr>
              <w:spacing w:after="0"/>
              <w:rPr>
                <w:sz w:val="15"/>
                <w:szCs w:val="15"/>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Ltda.</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PSD Codax Holdings Limited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PSD Codax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PSG (Shanghai) Co., Ltd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PSG (Taicang) Co., Ltd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PSG (Tianjin) Co., Ltd.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PSG Germany GmbH</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Quantex Arc Limited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Quantex Patents Limited</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RAV France</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Engineering GmbH</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RegO (Shanghai) Trading Co., Ltd.</w:t>
            </w: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200"/>
          </w:cols>
          <w:pgMar w:left="320" w:top="931" w:right="37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Rego GmbH</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RegO Valve (Shanghai) Co., Ltd.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Revod Luxembourg S.a r.l.</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Revod Singapore Private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Revod Sweden AB</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Rotary Lift Consolidated (Haimen) Co., Ltd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RegO Flow Technology Company, Ltd.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(Fuzhou) Electronic Technology Co., Ltd.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Equipamentos de Medicao e Controle Importacao e Exportacao Ltda.</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France</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Gesellschaft mit beschrankter Haftung</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India Private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Italia S.r.l.</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Japan Inc.</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Middle East FZE</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Dubai</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Poland spolka z ograniczona odpowiedzialnoscia</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Sikora Southeast Asia Sdn. Bhd.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Malaysia</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Sikora Turkey Endustriyel Elektronik Ticaret Limited Sirketi</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Solaris Laser spolka z ograniczona odpowiedzialnoscia</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Poland</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Gas Systems (SGS) B.V.</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SPS Cryogenics B.V.</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Swep Energy Oy</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SWEP France</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SWEP Germany GmbH</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SWEP International AB</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Swep Japan K.K.</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SWEP Malaysia Sdn. Bhd.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SWEP Slovakia s.r.o.</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Slovakia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SWEP Technology (Suzhou) Co., Ltd.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Systech GB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Tecnologia-Sikora, Sociedad de Responsabilidad Limitada de Capital Variable</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Tokheim Belgium</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Tokheim China Company Limited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Tokheim GmbH</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Tokheim Group</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Tokheim Hengshan Technologies (Guangzhou) Co. Ltd.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Tokheim Holding B.V.</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Tokheim India Private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Tokheim Sofitam Applications</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TQC Quantium Quality, S.A. de C.V.</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Mexico City, District Federal</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Transchem Inc.</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Ontario</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TWG Canada Consolidated Inc.</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 Service Group Italy S.r.l.</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Service Group UK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Waukesha Bearings Limited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Financing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Formation (Scot) LP</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Formation Holdings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Fueling Systems Australia Pty Ltd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Victoria</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Fueling Systems Canada ULC</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Fueling Systems UK Holdco Ltd.</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Fueling Systems UK Limited</w:t>
            </w:r>
          </w:p>
        </w:tc>
        <w:tc>
          <w:tcPr>
            <w:tcW w:w="4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Industria e Comercio Ltda.</w:t>
            </w:r>
          </w:p>
        </w:tc>
        <w:tc>
          <w:tcPr>
            <w:tcW w:w="4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Brazil</w:t>
            </w:r>
          </w:p>
        </w:tc>
      </w:tr>
    </w:tbl>
    <w:p>
      <w:pPr>
        <w:sectPr>
          <w:pgSz w:w="11900" w:h="16838" w:orient="portrait"/>
          <w:cols w:equalWidth="0" w:num="1">
            <w:col w:w="11200"/>
          </w:cols>
          <w:pgMar w:left="320" w:top="931" w:right="37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 Operations Holdings Limited</w:t>
            </w:r>
          </w:p>
        </w:tc>
        <w:tc>
          <w:tcPr>
            <w:tcW w:w="536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Solutions UK Limited</w:t>
            </w:r>
          </w:p>
        </w:tc>
        <w:tc>
          <w:tcPr>
            <w:tcW w:w="53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WITTE Pumps &amp; Technology (Shanghai) Co., Ltd.</w:t>
            </w:r>
          </w:p>
        </w:tc>
        <w:tc>
          <w:tcPr>
            <w:tcW w:w="536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Xanor de Mexico, S.A. de C.V.</w:t>
            </w:r>
          </w:p>
        </w:tc>
        <w:tc>
          <w:tcPr>
            <w:tcW w:w="53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1200"/>
          </w:cols>
          <w:pgMar w:left="320" w:top="936" w:right="3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32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333-269991) and Form S-8 (Nos. 333-01419, 333-64160, 333-125072, 333-183414, 333-192604, and 333-255993) of Dover Corporation of our report dated February 13, 2026 relating to the financial statements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ectPr>
          <w:pgSz w:w="11900" w:h="16838" w:orient="portrait"/>
          <w:cols w:equalWidth="0" w:num="1">
            <w:col w:w="11240"/>
          </w:cols>
          <w:pgMar w:left="320" w:top="88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Woenker, certify that:</w:t>
      </w:r>
    </w:p>
    <w:p>
      <w:pPr>
        <w:spacing w:after="0" w:line="171" w:lineRule="exact"/>
        <w:rPr>
          <w:sz w:val="20"/>
          <w:szCs w:val="20"/>
          <w:color w:val="auto"/>
        </w:rPr>
      </w:pPr>
    </w:p>
    <w:p>
      <w:pPr>
        <w:ind w:left="500" w:hanging="330"/>
        <w:spacing w:after="0"/>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2026</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2026</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hanging="328"/>
        <w:spacing w:after="0" w:line="28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10-K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13,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13,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decimal"/>
      <w:start w:val="4"/>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decimal"/>
      <w:start w:val="50"/>
    </w:lvl>
  </w:abstractNum>
  <w:abstractNum w:abstractNumId="24">
    <w:nsid w:val="77AE35EB"/>
    <w:multiLevelType w:val="hybridMultilevel"/>
    <w:lvl w:ilvl="0">
      <w:lvlJc w:val="left"/>
      <w:lvlText w:val="%1"/>
      <w:numFmt w:val="decimal"/>
      <w:start w:val="53"/>
    </w:lvl>
  </w:abstractNum>
  <w:abstractNum w:abstractNumId="25">
    <w:nsid w:val="579BE4F1"/>
    <w:multiLevelType w:val="hybridMultilevel"/>
    <w:lvl w:ilvl="0">
      <w:lvlJc w:val="left"/>
      <w:lvlText w:val="%1"/>
      <w:numFmt w:val="decimal"/>
      <w:start w:val="58"/>
    </w:lvl>
  </w:abstractNum>
  <w:abstractNum w:abstractNumId="26">
    <w:nsid w:val="310C50B3"/>
    <w:multiLevelType w:val="hybridMultilevel"/>
    <w:lvl w:ilvl="0">
      <w:lvlJc w:val="left"/>
      <w:lvlText w:val="%1"/>
      <w:numFmt w:val="decimal"/>
      <w:start w:val="63"/>
    </w:lvl>
  </w:abstractNum>
  <w:abstractNum w:abstractNumId="27">
    <w:nsid w:val="5FF87E05"/>
    <w:multiLevelType w:val="hybridMultilevel"/>
    <w:lvl w:ilvl="0">
      <w:lvlJc w:val="left"/>
      <w:lvlText w:val="%1"/>
      <w:numFmt w:val="decimal"/>
      <w:start w:val="65"/>
    </w:lvl>
  </w:abstractNum>
  <w:abstractNum w:abstractNumId="28">
    <w:nsid w:val="2F305DEF"/>
    <w:multiLevelType w:val="hybridMultilevel"/>
    <w:lvl w:ilvl="0">
      <w:lvlJc w:val="left"/>
      <w:lvlText w:val="%1"/>
      <w:numFmt w:val="decimal"/>
      <w:start w:val="70"/>
    </w:lvl>
  </w:abstractNum>
  <w:abstractNum w:abstractNumId="29">
    <w:nsid w:val="25A70BF7"/>
    <w:multiLevelType w:val="hybridMultilevel"/>
    <w:lvl w:ilvl="0">
      <w:lvlJc w:val="left"/>
      <w:lvlText w:val="%1"/>
      <w:numFmt w:val="decimal"/>
      <w:start w:val="71"/>
    </w:lvl>
  </w:abstractNum>
  <w:abstractNum w:abstractNumId="30">
    <w:nsid w:val="1DBABF00"/>
    <w:multiLevelType w:val="hybridMultilevel"/>
    <w:lvl w:ilvl="0">
      <w:lvlJc w:val="left"/>
      <w:lvlText w:val="%1"/>
      <w:numFmt w:val="decimal"/>
      <w:start w:val="79"/>
    </w:lvl>
  </w:abstractNum>
  <w:abstractNum w:abstractNumId="31">
    <w:nsid w:val="4AD084E9"/>
    <w:multiLevelType w:val="hybridMultilevel"/>
    <w:lvl w:ilvl="0">
      <w:lvlJc w:val="left"/>
      <w:lvlText w:val="%1"/>
      <w:numFmt w:val="decimal"/>
      <w:start w:val="81"/>
    </w:lvl>
  </w:abstractNum>
  <w:abstractNum w:abstractNumId="32">
    <w:nsid w:val="1F48EAA1"/>
    <w:multiLevelType w:val="hybridMultilevel"/>
    <w:lvl w:ilvl="0">
      <w:lvlJc w:val="left"/>
      <w:lvlText w:val="%1"/>
      <w:numFmt w:val="decimal"/>
      <w:start w:val="85"/>
    </w:lvl>
  </w:abstractNum>
  <w:abstractNum w:abstractNumId="33">
    <w:nsid w:val="1381823A"/>
    <w:multiLevelType w:val="hybridMultilevel"/>
    <w:lvl w:ilvl="0">
      <w:lvlJc w:val="left"/>
      <w:lvlText w:val="%1"/>
      <w:numFmt w:val="decimal"/>
      <w:start w:val="88"/>
    </w:lvl>
  </w:abstractNum>
  <w:abstractNum w:abstractNumId="34">
    <w:nsid w:val="5DB70AE5"/>
    <w:multiLevelType w:val="hybridMultilevel"/>
    <w:lvl w:ilvl="0">
      <w:lvlJc w:val="left"/>
      <w:lvlText w:val="%1"/>
      <w:numFmt w:val="decimal"/>
      <w:start w:val="95"/>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amp;"/>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emdash "/>
      <w:numFmt w:val="bullet"/>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4"/>
    </w:lvl>
  </w:abstractNum>
  <w:abstractNum w:abstractNumId="52">
    <w:nsid w:val="11447B73"/>
    <w:multiLevelType w:val="hybridMultilevel"/>
    <w:lvl w:ilvl="0">
      <w:lvlJc w:val="left"/>
      <w:lvlText w:val="(%1)"/>
      <w:numFmt w:val="decimal"/>
      <w:start w:val="5"/>
    </w:lvl>
  </w:abstractNum>
  <w:abstractNum w:abstractNumId="53">
    <w:nsid w:val="42963E5A"/>
    <w:multiLevelType w:val="hybridMultilevel"/>
    <w:lvl w:ilvl="0">
      <w:lvlJc w:val="left"/>
      <w:lvlText w:val="(%1)"/>
      <w:numFmt w:val="decimal"/>
      <w:start w:val="8"/>
    </w:lvl>
  </w:abstractNum>
  <w:abstractNum w:abstractNumId="54">
    <w:nsid w:val="A0382C5"/>
    <w:multiLevelType w:val="hybridMultilevel"/>
    <w:lvl w:ilvl="0">
      <w:lvlJc w:val="left"/>
      <w:lvlText w:val="(%1)"/>
      <w:numFmt w:val="decimal"/>
      <w:start w:val="9"/>
    </w:lvl>
  </w:abstractNum>
  <w:abstractNum w:abstractNumId="55">
    <w:nsid w:val="8F2B15E"/>
    <w:multiLevelType w:val="hybridMultilevel"/>
    <w:lvl w:ilvl="0">
      <w:lvlJc w:val="left"/>
      <w:lvlText w:val="(%1)"/>
      <w:numFmt w:val="decimal"/>
      <w:start w:val="11"/>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bullet"/>
      <w:start w:val="1"/>
    </w:lvl>
  </w:abstractNum>
  <w:abstractNum w:abstractNumId="59">
    <w:nsid w:val="4962813B"/>
    <w:multiLevelType w:val="hybridMultilevel"/>
    <w:lvl w:ilvl="0">
      <w:lvlJc w:val="left"/>
      <w:lvlText w:val="2"/>
      <w:numFmt w:val="bullet"/>
      <w:start w:val="1"/>
    </w:lvl>
  </w:abstractNum>
  <w:abstractNum w:abstractNumId="60">
    <w:nsid w:val="60B6DF70"/>
    <w:multiLevelType w:val="hybridMultilevel"/>
    <w:lvl w:ilvl="0">
      <w:lvlJc w:val="left"/>
      <w:lvlText w:val="3"/>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19"/>
    </w:lvl>
  </w:abstractNum>
  <w:abstractNum w:abstractNumId="65">
    <w:nsid w:val="71EA1109"/>
    <w:multiLevelType w:val="hybridMultilevel"/>
    <w:lvl w:ilvl="0">
      <w:lvlJc w:val="left"/>
      <w:lvlText w:val="(%1)"/>
      <w:numFmt w:val="decimal"/>
      <w:start w:val="21"/>
    </w:lvl>
  </w:abstractNum>
  <w:abstractNum w:abstractNumId="66">
    <w:nsid w:val="100F59DC"/>
    <w:multiLevelType w:val="hybridMultilevel"/>
    <w:lvl w:ilvl="0">
      <w:lvlJc w:val="left"/>
      <w:lvlText w:val="(%1)"/>
      <w:numFmt w:val="decimal"/>
      <w:start w:val="23"/>
    </w:lvl>
  </w:abstractNum>
  <w:abstractNum w:abstractNumId="67">
    <w:nsid w:val="7FB7E0AA"/>
    <w:multiLevelType w:val="hybridMultilevel"/>
    <w:lvl w:ilvl="0">
      <w:lvlJc w:val="left"/>
      <w:lvlText w:val="(%1)"/>
      <w:numFmt w:val="decimal"/>
      <w:start w:val="32"/>
    </w:lvl>
  </w:abstractNum>
  <w:abstractNum w:abstractNumId="68">
    <w:nsid w:val="6EB5BD4"/>
    <w:multiLevelType w:val="hybridMultilevel"/>
    <w:lvl w:ilvl="0">
      <w:lvlJc w:val="left"/>
      <w:lvlText w:val="(%1)"/>
      <w:numFmt w:val="decimal"/>
      <w:start w:val="101"/>
    </w:lvl>
  </w:abstractNum>
  <w:abstractNum w:abstractNumId="69">
    <w:nsid w:val="6F6DD9AC"/>
    <w:multiLevelType w:val="hybridMultilevel"/>
    <w:lvl w:ilvl="0">
      <w:lvlJc w:val="left"/>
      <w:lvlText w:val="**"/>
      <w:numFmt w:val="bullet"/>
      <w:start w:val="1"/>
    </w:lvl>
    <w:lvl w:ilvl="1">
      <w:lvlJc w:val="left"/>
      <w:lvlText w:val="*"/>
      <w:numFmt w:val="bullet"/>
      <w:start w:val="1"/>
    </w:lvl>
  </w:abstractNum>
  <w:abstractNum w:abstractNumId="70">
    <w:nsid w:val="94211F2"/>
    <w:multiLevelType w:val="hybridMultilevel"/>
    <w:lvl w:ilvl="0">
      <w:lvlJc w:val="left"/>
      <w:lvlText w:val="%1."/>
      <w:numFmt w:val="upperLetter"/>
      <w:start w:val="9"/>
    </w:lvl>
  </w:abstractNum>
  <w:abstractNum w:abstractNumId="71">
    <w:nsid w:val="885E1B"/>
    <w:multiLevelType w:val="hybridMultilevel"/>
    <w:lvl w:ilvl="0">
      <w:lvlJc w:val="left"/>
      <w:lvlText w:val="%1."/>
      <w:numFmt w:val="upperLetter"/>
      <w:start w:val="35"/>
    </w:lvl>
  </w:abstractNum>
  <w:abstractNum w:abstractNumId="72">
    <w:nsid w:val="76272110"/>
    <w:multiLevelType w:val="hybridMultilevel"/>
    <w:lvl w:ilvl="0">
      <w:lvlJc w:val="left"/>
      <w:lvlText w:val="(%1)"/>
      <w:numFmt w:val="lowerLetter"/>
      <w:start w:val="1"/>
    </w:lvl>
    <w:lvl w:ilvl="1">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upperLetter"/>
      <w:start w:val="61"/>
    </w:lvl>
  </w:abstractNum>
  <w:abstractNum w:abstractNumId="80">
    <w:nsid w:val="46B7D447"/>
    <w:multiLevelType w:val="hybridMultilevel"/>
    <w:lvl w:ilvl="0">
      <w:lvlJc w:val="left"/>
      <w:lvlText w:val="(%1)"/>
      <w:numFmt w:val="lowerLetter"/>
      <w:start w:val="1"/>
    </w:lvl>
    <w:lvl w:ilvl="1">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lowerLetter"/>
      <w:start w:val="1"/>
    </w:lvl>
    <w:lvl w:ilvl="1">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abstractNum>
  <w:abstractNum w:abstractNumId="93">
    <w:nsid w:val="488AC1A"/>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94">
    <w:nsid w:val="5FB8011C"/>
    <w:multiLevelType w:val="hybridMultilevel"/>
    <w:lvl w:ilvl="0">
      <w:lvlJc w:val="left"/>
      <w:lvlText w:val="%1."/>
      <w:numFmt w:val="decimal"/>
      <w:start w:val="7"/>
    </w:lvl>
    <w:lvl w:ilvl="1">
      <w:lvlJc w:val="left"/>
      <w:lvlText w:val="%2."/>
      <w:numFmt w:val="decimal"/>
      <w:start w:val="8"/>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4"/>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8" Type="http://schemas.openxmlformats.org/officeDocument/2006/relationships/image" Target="media/image128.png"/><Relationship Id="rId141" Type="http://schemas.openxmlformats.org/officeDocument/2006/relationships/image" Target="media/image129.png"/><Relationship Id="rId143" Type="http://schemas.openxmlformats.org/officeDocument/2006/relationships/image" Target="media/image130.png"/><Relationship Id="rId146" Type="http://schemas.openxmlformats.org/officeDocument/2006/relationships/image" Target="media/image131.png"/><Relationship Id="rId149"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5" Type="http://schemas.openxmlformats.org/officeDocument/2006/relationships/image" Target="media/image135.png"/><Relationship Id="rId157" Type="http://schemas.openxmlformats.org/officeDocument/2006/relationships/image" Target="media/image136.png"/><Relationship Id="rId159" Type="http://schemas.openxmlformats.org/officeDocument/2006/relationships/image" Target="media/image137.png"/><Relationship Id="rId162" Type="http://schemas.openxmlformats.org/officeDocument/2006/relationships/image" Target="media/image138.png"/><Relationship Id="rId166" Type="http://schemas.openxmlformats.org/officeDocument/2006/relationships/image" Target="media/image139.png"/><Relationship Id="rId169" Type="http://schemas.openxmlformats.org/officeDocument/2006/relationships/image" Target="media/image140.png"/><Relationship Id="rId171" Type="http://schemas.openxmlformats.org/officeDocument/2006/relationships/image" Target="media/image141.png"/><Relationship Id="rId174"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2" Type="http://schemas.openxmlformats.org/officeDocument/2006/relationships/image" Target="media/image145.png"/><Relationship Id="rId184" Type="http://schemas.openxmlformats.org/officeDocument/2006/relationships/image" Target="media/image146.png"/><Relationship Id="rId187" Type="http://schemas.openxmlformats.org/officeDocument/2006/relationships/image" Target="media/image147.png"/><Relationship Id="rId190" Type="http://schemas.openxmlformats.org/officeDocument/2006/relationships/image" Target="media/image148.png"/><Relationship Id="rId193" Type="http://schemas.openxmlformats.org/officeDocument/2006/relationships/image" Target="media/image149.png"/><Relationship Id="rId197" Type="http://schemas.openxmlformats.org/officeDocument/2006/relationships/image" Target="media/image150.png"/><Relationship Id="rId200" Type="http://schemas.openxmlformats.org/officeDocument/2006/relationships/image" Target="media/image151.png"/><Relationship Id="rId203" Type="http://schemas.openxmlformats.org/officeDocument/2006/relationships/image" Target="media/image152.png"/><Relationship Id="rId205" Type="http://schemas.openxmlformats.org/officeDocument/2006/relationships/image" Target="media/image153.png"/><Relationship Id="rId208"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jpeg"/><Relationship Id="rId228" Type="http://schemas.openxmlformats.org/officeDocument/2006/relationships/image" Target="media/image169.jpeg"/><Relationship Id="rId229" Type="http://schemas.openxmlformats.org/officeDocument/2006/relationships/image" Target="media/image170.jpeg"/><Relationship Id="rId134" Type="http://schemas.openxmlformats.org/officeDocument/2006/relationships/hyperlink" Target="https://www.sec.gov/Archives/edgar/data/29905/000002990524000045/a2024093010-qexhibit21.htm" TargetMode="External"/><Relationship Id="rId136" Type="http://schemas.openxmlformats.org/officeDocument/2006/relationships/hyperlink" Target="https://www.sec.gov/Archives/edgar/data/29905/000002990524000045/a2024093010-qexhibit22.htm" TargetMode="External"/><Relationship Id="rId137" Type="http://schemas.openxmlformats.org/officeDocument/2006/relationships/hyperlink" Target="https://www.sec.gov/Archives/edgar/data/29905/000119312524134321/d804750dex31.htm" TargetMode="External"/><Relationship Id="rId139" Type="http://schemas.openxmlformats.org/officeDocument/2006/relationships/hyperlink" Target="https://www.sec.gov/Archives/edgar/data/29905/000119312523041110/d409855dex31.htm" TargetMode="External"/><Relationship Id="rId140" Type="http://schemas.openxmlformats.org/officeDocument/2006/relationships/hyperlink" Target="https://www.sec.gov/Archives/edgar/data/29905/0000950123-98-005947-index.html" TargetMode="External"/><Relationship Id="rId142" Type="http://schemas.openxmlformats.org/officeDocument/2006/relationships/hyperlink" Target="https://www.sec.gov/Archives/edgar/data/29905/000095012301001183/y45340ex4-1.txt" TargetMode="External"/><Relationship Id="rId144" Type="http://schemas.openxmlformats.org/officeDocument/2006/relationships/hyperlink" Target="https://www.sec.gov/Archives/edgar/data/29905/000095012305012117/y13484aexv4w1.htm" TargetMode="External"/><Relationship Id="rId145" Type="http://schemas.openxmlformats.org/officeDocument/2006/relationships/hyperlink" Target="https://www.sec.gov/Archives/edgar/data/29905/000095012305012117/y13484aexv4w3.htm" TargetMode="External"/><Relationship Id="rId147" Type="http://schemas.openxmlformats.org/officeDocument/2006/relationships/hyperlink" Target="https://www.sec.gov/Archives/edgar/data/29905/000095012308002981/y51458a1exv4w1.htm" TargetMode="External"/><Relationship Id="rId148" Type="http://schemas.openxmlformats.org/officeDocument/2006/relationships/hyperlink" Target="https://www.sec.gov/Archives/edgar/data/29905/000095012311016229/y89741exv4w1.htm" TargetMode="External"/><Relationship Id="rId150" Type="http://schemas.openxmlformats.org/officeDocument/2006/relationships/hyperlink" Target="https://www.sec.gov/Archives/edgar/data/29905/000119312516763637/d200819dex41.htm" TargetMode="External"/><Relationship Id="rId151" Type="http://schemas.openxmlformats.org/officeDocument/2006/relationships/hyperlink" Target="https://www.sec.gov/Archives/edgar/data/29905/000119312519283338/d816977dex41.htm" TargetMode="External"/><Relationship Id="rId154" Type="http://schemas.openxmlformats.org/officeDocument/2006/relationships/hyperlink" Target="https://www.sec.gov/Archives/edgar/data/29905/000119312519283338/d816977dex43.htm" TargetMode="External"/><Relationship Id="rId156" Type="http://schemas.openxmlformats.org/officeDocument/2006/relationships/hyperlink" Target="https://www.sec.gov/Archives/edgar/data/29905/000119312525277534/d84051dex41.htm" TargetMode="External"/><Relationship Id="rId158" Type="http://schemas.openxmlformats.org/officeDocument/2006/relationships/hyperlink" Target="https://www.sec.gov/Archives/edgar/data/29905/000119312523097188/d416302dex101.htm" TargetMode="External"/><Relationship Id="rId160" Type="http://schemas.openxmlformats.org/officeDocument/2006/relationships/hyperlink" Target="https://www.sec.gov/Archives/edgar/data/29905/000002990524000020/a2024033110-qexhibit104.htm" TargetMode="External"/><Relationship Id="rId161" Type="http://schemas.openxmlformats.org/officeDocument/2006/relationships/hyperlink" Target="https://www.sec.gov/Archives/edgar/data/29905/000119312525072471/d928407dex101.htm" TargetMode="External"/><Relationship Id="rId163" Type="http://schemas.openxmlformats.org/officeDocument/2006/relationships/hyperlink" Target="https://www.sec.gov/Archives/edgar/data/29905/000095012309008734/y77189exv10w2.htm" TargetMode="External"/><Relationship Id="rId164" Type="http://schemas.openxmlformats.org/officeDocument/2006/relationships/hyperlink" Target="https://www.sec.gov/Archives/edgar/data/29905/000002990520000011/a2019123110-kexhibit103.htm" TargetMode="External"/><Relationship Id="rId165" Type="http://schemas.openxmlformats.org/officeDocument/2006/relationships/hyperlink" Target="https://www.sec.gov/Archives/edgar/data/29905/000002990520000043/a2020093010-qexhibit101.htm" TargetMode="External"/><Relationship Id="rId167" Type="http://schemas.openxmlformats.org/officeDocument/2006/relationships/hyperlink" Target="https://www.sec.gov/Archives/edgar/data/29905/000002990523000008/a2022123110-kexhibit106.htm" TargetMode="External"/><Relationship Id="rId168" Type="http://schemas.openxmlformats.org/officeDocument/2006/relationships/hyperlink" Target="https://www.sec.gov/Archives/edgar/data/29905/000095012310014502/y81455exv10w11.htm" TargetMode="External"/><Relationship Id="rId170" Type="http://schemas.openxmlformats.org/officeDocument/2006/relationships/hyperlink" Target="https://www.sec.gov/Archives/edgar/data/29905/000002990513000053/a2013093010-qexhibit102.htm" TargetMode="External"/><Relationship Id="rId172" Type="http://schemas.openxmlformats.org/officeDocument/2006/relationships/hyperlink" Target="https://www.sec.gov/Archives/edgar/data/29905/000002990517000011/a2016123110-kexhibit1019.htm" TargetMode="External"/><Relationship Id="rId173" Type="http://schemas.openxmlformats.org/officeDocument/2006/relationships/hyperlink" Target="https://www.sec.gov/Archives/edgar/data/29905/000002990518000043/a2018063010-qexhibit102.htm" TargetMode="External"/><Relationship Id="rId175" Type="http://schemas.openxmlformats.org/officeDocument/2006/relationships/hyperlink" Target="https://www.sec.gov/Archives/edgar/data/29905/000119312521243460/d216080dex101.htm" TargetMode="External"/><Relationship Id="rId176" Type="http://schemas.openxmlformats.org/officeDocument/2006/relationships/hyperlink" Target="https://www.sec.gov/Archives/edgar/data/29905/000119312521243460/d216080dex102.htm" TargetMode="External"/><Relationship Id="rId177" Type="http://schemas.openxmlformats.org/officeDocument/2006/relationships/hyperlink" Target="https://www.sec.gov/Archives/edgar/data/29905/000002990512000039/a2012063010-qexhibit101.htm" TargetMode="External"/><Relationship Id="rId180" Type="http://schemas.openxmlformats.org/officeDocument/2006/relationships/hyperlink" Target="https://www.sec.gov/Archives/edgar/data/29905/000002990514000012/a2013123110-kexhibit1025.htm" TargetMode="External"/><Relationship Id="rId181" Type="http://schemas.openxmlformats.org/officeDocument/2006/relationships/hyperlink" Target="https://www.sec.gov/Archives/edgar/data/29905/000002990514000044/a2014093010-qexhibit101.htm" TargetMode="External"/><Relationship Id="rId183" Type="http://schemas.openxmlformats.org/officeDocument/2006/relationships/hyperlink" Target="https://www.sec.gov/Archives/edgar/data/29905/000002990521000020/a2021033110-qexhibit101.htm" TargetMode="External"/><Relationship Id="rId185" Type="http://schemas.openxmlformats.org/officeDocument/2006/relationships/hyperlink" Target="https://www.sec.gov/Archives/edgar/data/29905/000002990516000074/a2016033110-qexhibit101.htm" TargetMode="External"/><Relationship Id="rId186" Type="http://schemas.openxmlformats.org/officeDocument/2006/relationships/hyperlink" Target="https://www.sec.gov/Archives/edgar/data/29905/000002990517000017/a2017033110-qexhibit101.htm" TargetMode="External"/><Relationship Id="rId188" Type="http://schemas.openxmlformats.org/officeDocument/2006/relationships/hyperlink" Target="https://www.sec.gov/Archives/edgar/data/29905/000002990518000026/a2018033110-qexhibit101.htm" TargetMode="External"/><Relationship Id="rId189" Type="http://schemas.openxmlformats.org/officeDocument/2006/relationships/hyperlink" Target="https://www.sec.gov/Archives/edgar/data/29905/000002990519000029/a2019033110-qex101.htm" TargetMode="External"/><Relationship Id="rId191" Type="http://schemas.openxmlformats.org/officeDocument/2006/relationships/hyperlink" Target="https://www.sec.gov/Archives/edgar/data/29905/000002990520000018/a2020033110-qexhibit101.htm" TargetMode="External"/><Relationship Id="rId192" Type="http://schemas.openxmlformats.org/officeDocument/2006/relationships/hyperlink" Target="https://www.sec.gov/Archives/edgar/data/29905/000002990521000020/a2021033110-qexhibit102.htm" TargetMode="External"/><Relationship Id="rId194" Type="http://schemas.openxmlformats.org/officeDocument/2006/relationships/hyperlink" Target="https://www.sec.gov/Archives/edgar/data/29905/000119312521156215/d662152dex101.htm" TargetMode="External"/><Relationship Id="rId195" Type="http://schemas.openxmlformats.org/officeDocument/2006/relationships/hyperlink" Target="https://www.sec.gov/Archives/edgar/data/29905/000002990522000009/a2021123110-kexhibit1043.htm" TargetMode="External"/><Relationship Id="rId196" Type="http://schemas.openxmlformats.org/officeDocument/2006/relationships/hyperlink" Target="https://www.sec.gov/Archives/edgar/data/29905/000002990523000008/a2022123110-kexhibit1037.htm" TargetMode="External"/><Relationship Id="rId198" Type="http://schemas.openxmlformats.org/officeDocument/2006/relationships/hyperlink" Target="https://www.sec.gov/Archives/edgar/data/29905/000002990523000008/a2022123110-kexhibit1038.htm" TargetMode="External"/><Relationship Id="rId199" Type="http://schemas.openxmlformats.org/officeDocument/2006/relationships/hyperlink" Target="https://www.sec.gov/Archives/edgar/data/29905/000002990523000008/a2022123110-kexhibit1039.htm" TargetMode="External"/><Relationship Id="rId201" Type="http://schemas.openxmlformats.org/officeDocument/2006/relationships/hyperlink" Target="https://www.sec.gov/Archives/edgar/data/29905/000002990524000008/a20231231ex1038ssaragreeme.htm" TargetMode="External"/><Relationship Id="rId202" Type="http://schemas.openxmlformats.org/officeDocument/2006/relationships/hyperlink" Target="https://www.sec.gov/Archives/edgar/data/29905/000002990524000008/a20231231ex1039rsuagreemen.htm" TargetMode="External"/><Relationship Id="rId204" Type="http://schemas.openxmlformats.org/officeDocument/2006/relationships/hyperlink" Target="https://www.sec.gov/Archives/edgar/data/29905/000002990524000020/a2024033110-qexhibit102.htm" TargetMode="External"/><Relationship Id="rId206" Type="http://schemas.openxmlformats.org/officeDocument/2006/relationships/hyperlink" Target="https://www.sec.gov/Archives/edgar/data/29905/000002990525000006/a2024123110-kexhibit1037.htm" TargetMode="External"/><Relationship Id="rId207" Type="http://schemas.openxmlformats.org/officeDocument/2006/relationships/hyperlink" Target="https://www.sec.gov/Archives/edgar/data/29905/000002990525000006/a2024123110-kexhibit1038.htm" TargetMode="External"/><Relationship Id="rId209" Type="http://schemas.openxmlformats.org/officeDocument/2006/relationships/hyperlink" Target="https://www.sec.gov/Archives/edgar/data/29905/000002990525000006/a2024123110-kexhibit1039.htm" TargetMode="External"/><Relationship Id="rId213" Type="http://schemas.openxmlformats.org/officeDocument/2006/relationships/hyperlink" Target="https://www.sec.gov/Archives/edgar/data/29905/000119312518088722/d537879dex101.htm" TargetMode="External"/><Relationship Id="rId214" Type="http://schemas.openxmlformats.org/officeDocument/2006/relationships/hyperlink" Target="https://www.sec.gov/Archives/edgar/data/29905/000002990524000020/a2024033110-qexhibit101.htm" TargetMode="External"/><Relationship Id="rId215" Type="http://schemas.openxmlformats.org/officeDocument/2006/relationships/hyperlink" Target="https://www.sec.gov/Archives/edgar/data/29905/000002990525000006/a2024123110-kexhibit19.htm" TargetMode="External"/><Relationship Id="rId220" Type="http://schemas.openxmlformats.org/officeDocument/2006/relationships/hyperlink" Target="https://www.sec.gov/Archives/edgar/data/29905/000002990524000008/a20231231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2026-02-13T15:37:40Z</dcterms:created>
  <dcterms:modified xsi:type="dcterms:W3CDTF">2026-02-13T15:37:40Z</dcterms:modified>
</cp:coreProperties>
</file>