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ANNUAL REPORT PURSUANT TO SECTION 13 OR 15(d)</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 fiscal year ended December 31, 2024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Commission File Number: 1-4018</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Dover Corporation</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8455" w:type="dxa"/>
        <w:jc w:val="center"/>
        <w:tblInd w:w="0" w:type="dxa"/>
        <w:tblLayout w:type="fixed"/>
        <w:tblCellMar>
          <w:top w:w="28" w:type="dxa"/>
          <w:left w:w="28" w:type="dxa"/>
          <w:bottom w:w="28" w:type="dxa"/>
          <w:right w:w="28" w:type="dxa"/>
        </w:tblCellMar>
      </w:tblPr>
      <w:tblGrid>
        <w:gridCol w:w="1848"/>
        <w:gridCol w:w="1623"/>
        <w:gridCol w:w="1643"/>
        <w:gridCol w:w="109"/>
        <w:gridCol w:w="109"/>
        <w:gridCol w:w="109"/>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53-0257888</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3005 Highland Parkway</w:t>
            </w:r>
          </w:p>
        </w:tc>
      </w:tr>
      <w:tr>
        <w:trPr/>
        <w:tc>
          <w:tcPr>
            <w:tcW w:w="84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Downers Grove, Illinois 60515</w:t>
            </w:r>
          </w:p>
        </w:tc>
      </w:tr>
      <w:tr>
        <w:trPr/>
        <w:tc>
          <w:tcPr>
            <w:tcW w:w="8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Registrant's telephone number</w:t>
            </w:r>
            <w:r>
              <w:rPr>
                <w:rFonts w:ascii="Times New Roman;sans-serif" w:hAnsi="Times New Roman;sans-serif"/>
                <w:b w:val="false"/>
                <w:color w:val="000000"/>
                <w:sz w:val="20"/>
              </w:rPr>
              <w:t>: (630) 541-1540</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8249" w:type="dxa"/>
        <w:jc w:val="left"/>
        <w:tblInd w:w="0" w:type="dxa"/>
        <w:tblLayout w:type="fixed"/>
        <w:tblCellMar>
          <w:top w:w="28" w:type="dxa"/>
          <w:left w:w="28" w:type="dxa"/>
          <w:bottom w:w="28" w:type="dxa"/>
          <w:right w:w="28" w:type="dxa"/>
        </w:tblCellMar>
      </w:tblPr>
      <w:tblGrid>
        <w:gridCol w:w="899"/>
        <w:gridCol w:w="788"/>
        <w:gridCol w:w="788"/>
        <w:gridCol w:w="565"/>
        <w:gridCol w:w="565"/>
        <w:gridCol w:w="565"/>
        <w:gridCol w:w="1174"/>
        <w:gridCol w:w="1174"/>
        <w:gridCol w:w="1731"/>
      </w:tblGrid>
      <w:tr>
        <w:trPr/>
        <w:tc>
          <w:tcPr>
            <w:tcW w:w="89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8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$1</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 Notes due 2026</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 26</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0.750% Notes due 2027</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 27</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0" w:right="0" w:firstLine="180"/>
        <w:jc w:val="both"/>
        <w:rPr>
          <w:color w:val="000000"/>
        </w:rPr>
      </w:pPr>
      <w:r>
        <w:rPr>
          <w:color w:val="000000"/>
        </w:rPr>
        <w:t> </w:t>
      </w:r>
    </w:p>
    <w:tbl>
      <w:tblPr>
        <w:tblW w:w="861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554"/>
        <w:gridCol w:w="554"/>
        <w:gridCol w:w="556"/>
        <w:gridCol w:w="674"/>
        <w:gridCol w:w="674"/>
        <w:gridCol w:w="676"/>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Accelerated filer </w:t>
            </w:r>
            <w:r>
              <w:rPr>
                <w:rFonts w:ascii="Wingdings;sans-serif" w:hAnsi="Wingdings;sans-serif"/>
                <w:b w:val="false"/>
                <w:color w:val="000000"/>
                <w:sz w:val="20"/>
              </w:rPr>
              <w:t>o</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Non-accelerated filer </w:t>
            </w: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w:t>
      </w:r>
    </w:p>
    <w:p>
      <w:pPr>
        <w:pStyle w:val="TextBody"/>
        <w:bidi w:val="0"/>
        <w:spacing w:lineRule="auto" w:line="288" w:before="0" w:after="0"/>
        <w:jc w:val="both"/>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stock held by non-affiliates of the registrant as of the close of business on June 30, 2024 was $24,714,803,907. The registrant's closing price as reported on the New York Stock Exchange-Composite Transactions for June 28, 2024 (the last trading day in June) was $180.45 per share. The number of outstanding shares of the registrant's common stock as of February 3, 2025 was 137,225,409.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 Part III — Certain Portions of the Proxy Statement for Annual Meeting of Shareholders to be held on May 2, 2025 (the "2025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Special Note Regarding Forward-Looking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Item 1A, "Risk Factors" in this Annual Report on Form 10-K.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205" w:type="dxa"/>
        <w:jc w:val="center"/>
        <w:tblInd w:w="0" w:type="dxa"/>
        <w:tblLayout w:type="fixed"/>
        <w:tblCellMar>
          <w:top w:w="28" w:type="dxa"/>
          <w:left w:w="28" w:type="dxa"/>
          <w:bottom w:w="28" w:type="dxa"/>
          <w:right w:w="28" w:type="dxa"/>
        </w:tblCellMar>
      </w:tblPr>
      <w:tblGrid>
        <w:gridCol w:w="415"/>
        <w:gridCol w:w="363"/>
        <w:gridCol w:w="370"/>
        <w:gridCol w:w="2871"/>
        <w:gridCol w:w="2851"/>
        <w:gridCol w:w="2867"/>
        <w:gridCol w:w="136"/>
        <w:gridCol w:w="136"/>
        <w:gridCol w:w="196"/>
      </w:tblGrid>
      <w:tr>
        <w:trPr/>
        <w:tc>
          <w:tcPr>
            <w:tcW w:w="4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3">
              <w:r>
                <w:rPr>
                  <w:rStyle w:val="InternetLink"/>
                  <w:rFonts w:ascii="Times New Roman;sans-serif" w:hAnsi="Times New Roman;sans-serif"/>
                  <w:b/>
                  <w:color w:val="0000FF"/>
                  <w:sz w:val="20"/>
                  <w:u w:val="single"/>
                </w:rPr>
                <w:t>PART I</w:t>
              </w:r>
            </w:hyperlink>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16">
              <w:r>
                <w:rPr>
                  <w:rStyle w:val="InternetLink"/>
                  <w:rFonts w:ascii="Times New Roman;sans-serif" w:hAnsi="Times New Roman;sans-serif"/>
                  <w:b w:val="false"/>
                  <w:color w:val="0000FF"/>
                  <w:sz w:val="20"/>
                  <w:u w:val="single"/>
                </w:rPr>
                <w:t>Item 1.</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6">
              <w:r>
                <w:rPr>
                  <w:rStyle w:val="InternetLink"/>
                  <w:rFonts w:ascii="Times New Roman;sans-serif" w:hAnsi="Times New Roman;sans-serif"/>
                  <w:b w:val="false"/>
                  <w:color w:val="0000FF"/>
                  <w:sz w:val="20"/>
                  <w:u w:val="single"/>
                </w:rPr>
                <w:t>Business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16">
              <w:r>
                <w:rPr>
                  <w:rStyle w:val="InternetLink"/>
                  <w:rFonts w:ascii="Times New Roman;sans-serif" w:hAnsi="Times New Roman;sans-serif"/>
                  <w:b w:val="false"/>
                  <w:color w:val="0000FF"/>
                  <w:sz w:val="20"/>
                  <w:u w:val="single"/>
                </w:rPr>
                <w:t>4</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2">
              <w:r>
                <w:rPr>
                  <w:rStyle w:val="InternetLink"/>
                  <w:rFonts w:ascii="Times New Roman;sans-serif" w:hAnsi="Times New Roman;sans-serif"/>
                  <w:b w:val="false"/>
                  <w:color w:val="0000FF"/>
                  <w:sz w:val="20"/>
                  <w:u w:val="single"/>
                </w:rPr>
                <w:t>Item 1A.</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2">
              <w:r>
                <w:rPr>
                  <w:rStyle w:val="InternetLink"/>
                  <w:rFonts w:ascii="Times New Roman;sans-serif" w:hAnsi="Times New Roman;sans-serif"/>
                  <w:b w:val="false"/>
                  <w:color w:val="0000FF"/>
                  <w:sz w:val="20"/>
                  <w:u w:val="single"/>
                </w:rPr>
                <w:t>Risk Factors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2">
              <w:r>
                <w:rPr>
                  <w:rStyle w:val="InternetLink"/>
                  <w:rFonts w:ascii="Times New Roman;sans-serif" w:hAnsi="Times New Roman;sans-serif"/>
                  <w:b w:val="false"/>
                  <w:color w:val="0000FF"/>
                  <w:sz w:val="20"/>
                  <w:u w:val="single"/>
                </w:rPr>
                <w:t>17</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
              <w:r>
                <w:rPr>
                  <w:rStyle w:val="InternetLink"/>
                  <w:rFonts w:ascii="Times New Roman;sans-serif" w:hAnsi="Times New Roman;sans-serif"/>
                  <w:b w:val="false"/>
                  <w:color w:val="0000FF"/>
                  <w:sz w:val="20"/>
                  <w:u w:val="single"/>
                </w:rPr>
                <w:t>Item 1B.</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5">
              <w:r>
                <w:rPr>
                  <w:rStyle w:val="InternetLink"/>
                  <w:rFonts w:ascii="Times New Roman;sans-serif" w:hAnsi="Times New Roman;sans-serif"/>
                  <w:b w:val="false"/>
                  <w:color w:val="0000FF"/>
                  <w:sz w:val="20"/>
                  <w:u w:val="single"/>
                </w:rPr>
                <w:t>Unresolved Staff Comments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5">
              <w:r>
                <w:rPr>
                  <w:rStyle w:val="InternetLink"/>
                  <w:rFonts w:ascii="Times New Roman;sans-serif" w:hAnsi="Times New Roman;sans-serif"/>
                  <w:b w:val="false"/>
                  <w:color w:val="0000FF"/>
                  <w:sz w:val="20"/>
                  <w:u w:val="single"/>
                </w:rPr>
                <w:t>23</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
              <w:r>
                <w:rPr>
                  <w:rStyle w:val="InternetLink"/>
                  <w:rFonts w:ascii="Times New Roman;sans-serif" w:hAnsi="Times New Roman;sans-serif"/>
                  <w:b w:val="false"/>
                  <w:color w:val="0000FF"/>
                  <w:sz w:val="20"/>
                  <w:u w:val="single"/>
                </w:rPr>
                <w:t>Item 1C.</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8">
              <w:r>
                <w:rPr>
                  <w:rStyle w:val="InternetLink"/>
                  <w:rFonts w:ascii="Times New Roman;sans-serif" w:hAnsi="Times New Roman;sans-serif"/>
                  <w:b w:val="false"/>
                  <w:color w:val="0000FF"/>
                  <w:sz w:val="20"/>
                  <w:u w:val="single"/>
                </w:rPr>
                <w:t xml:space="preserve">Cybersecurity </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8">
              <w:r>
                <w:rPr>
                  <w:rStyle w:val="InternetLink"/>
                  <w:rFonts w:ascii="Times New Roman;sans-serif" w:hAnsi="Times New Roman;sans-serif"/>
                  <w:b w:val="false"/>
                  <w:color w:val="0000FF"/>
                  <w:sz w:val="20"/>
                  <w:u w:val="single"/>
                </w:rPr>
                <w:t>23</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31">
              <w:r>
                <w:rPr>
                  <w:rStyle w:val="InternetLink"/>
                  <w:rFonts w:ascii="Times New Roman;sans-serif" w:hAnsi="Times New Roman;sans-serif"/>
                  <w:b w:val="false"/>
                  <w:color w:val="0000FF"/>
                  <w:sz w:val="20"/>
                  <w:u w:val="single"/>
                </w:rPr>
                <w:t>Item 2.</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31">
              <w:r>
                <w:rPr>
                  <w:rStyle w:val="InternetLink"/>
                  <w:rFonts w:ascii="Times New Roman;sans-serif" w:hAnsi="Times New Roman;sans-serif"/>
                  <w:b w:val="false"/>
                  <w:color w:val="0000FF"/>
                  <w:sz w:val="20"/>
                  <w:u w:val="single"/>
                </w:rPr>
                <w:t>Properties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31">
              <w:r>
                <w:rPr>
                  <w:rStyle w:val="InternetLink"/>
                  <w:rFonts w:ascii="Times New Roman;sans-serif" w:hAnsi="Times New Roman;sans-serif"/>
                  <w:b w:val="false"/>
                  <w:color w:val="0000FF"/>
                  <w:sz w:val="20"/>
                  <w:u w:val="single"/>
                </w:rPr>
                <w:t>25</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34">
              <w:r>
                <w:rPr>
                  <w:rStyle w:val="InternetLink"/>
                  <w:rFonts w:ascii="Times New Roman;sans-serif" w:hAnsi="Times New Roman;sans-serif"/>
                  <w:b w:val="false"/>
                  <w:color w:val="0000FF"/>
                  <w:sz w:val="20"/>
                  <w:u w:val="single"/>
                </w:rPr>
                <w:t>Item 3.</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34">
              <w:r>
                <w:rPr>
                  <w:rStyle w:val="InternetLink"/>
                  <w:rFonts w:ascii="Times New Roman;sans-serif" w:hAnsi="Times New Roman;sans-serif"/>
                  <w:b w:val="false"/>
                  <w:color w:val="0000FF"/>
                  <w:sz w:val="20"/>
                  <w:u w:val="single"/>
                </w:rPr>
                <w:t>Legal Proceedings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34">
              <w:r>
                <w:rPr>
                  <w:rStyle w:val="InternetLink"/>
                  <w:rFonts w:ascii="Times New Roman;sans-serif" w:hAnsi="Times New Roman;sans-serif"/>
                  <w:b w:val="false"/>
                  <w:color w:val="0000FF"/>
                  <w:sz w:val="20"/>
                  <w:u w:val="single"/>
                </w:rPr>
                <w:t>25</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37">
              <w:r>
                <w:rPr>
                  <w:rStyle w:val="InternetLink"/>
                  <w:rFonts w:ascii="Times New Roman;sans-serif" w:hAnsi="Times New Roman;sans-serif"/>
                  <w:b w:val="false"/>
                  <w:color w:val="0000FF"/>
                  <w:sz w:val="20"/>
                  <w:u w:val="single"/>
                </w:rPr>
                <w:t>Item 4.</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37">
              <w:r>
                <w:rPr>
                  <w:rStyle w:val="InternetLink"/>
                  <w:rFonts w:ascii="Times New Roman;sans-serif" w:hAnsi="Times New Roman;sans-serif"/>
                  <w:b w:val="false"/>
                  <w:color w:val="0000FF"/>
                  <w:sz w:val="20"/>
                  <w:u w:val="single"/>
                </w:rPr>
                <w:t>Mine Safety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37">
              <w:r>
                <w:rPr>
                  <w:rStyle w:val="InternetLink"/>
                  <w:rFonts w:ascii="Times New Roman;sans-serif" w:hAnsi="Times New Roman;sans-serif"/>
                  <w:b w:val="false"/>
                  <w:color w:val="0000FF"/>
                  <w:sz w:val="20"/>
                  <w:u w:val="single"/>
                </w:rPr>
                <w:t>25</w:t>
              </w:r>
            </w:hyperlink>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40">
              <w:r>
                <w:rPr>
                  <w:rStyle w:val="InternetLink"/>
                  <w:rFonts w:ascii="Times New Roman;sans-serif" w:hAnsi="Times New Roman;sans-serif"/>
                  <w:b w:val="false"/>
                  <w:color w:val="0000FF"/>
                  <w:sz w:val="20"/>
                  <w:u w:val="single"/>
                </w:rPr>
                <w:t>Information About Our Executive Officers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40">
              <w:r>
                <w:rPr>
                  <w:rStyle w:val="InternetLink"/>
                  <w:rFonts w:ascii="Times New Roman;sans-serif" w:hAnsi="Times New Roman;sans-serif"/>
                  <w:b w:val="false"/>
                  <w:color w:val="0000FF"/>
                  <w:sz w:val="20"/>
                  <w:u w:val="single"/>
                </w:rPr>
                <w:t>26</w:t>
              </w:r>
            </w:hyperlink>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43">
              <w:r>
                <w:rPr>
                  <w:rStyle w:val="InternetLink"/>
                  <w:rFonts w:ascii="Times New Roman;sans-serif" w:hAnsi="Times New Roman;sans-serif"/>
                  <w:b/>
                  <w:color w:val="0000FF"/>
                  <w:sz w:val="20"/>
                  <w:u w:val="single"/>
                </w:rPr>
                <w:t>PART II</w:t>
              </w:r>
            </w:hyperlink>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46">
              <w:r>
                <w:rPr>
                  <w:rStyle w:val="InternetLink"/>
                  <w:rFonts w:ascii="Times New Roman;sans-serif" w:hAnsi="Times New Roman;sans-serif"/>
                  <w:b w:val="false"/>
                  <w:color w:val="0000FF"/>
                  <w:sz w:val="20"/>
                  <w:u w:val="single"/>
                </w:rPr>
                <w:t>Item 5.</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46">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46">
              <w:r>
                <w:rPr>
                  <w:rStyle w:val="InternetLink"/>
                  <w:rFonts w:ascii="Times New Roman;sans-serif" w:hAnsi="Times New Roman;sans-serif"/>
                  <w:b w:val="false"/>
                  <w:color w:val="0000FF"/>
                  <w:sz w:val="20"/>
                  <w:u w:val="single"/>
                </w:rPr>
                <w:t>27</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52">
              <w:r>
                <w:rPr>
                  <w:rStyle w:val="InternetLink"/>
                  <w:rFonts w:ascii="Times New Roman;sans-serif" w:hAnsi="Times New Roman;sans-serif"/>
                  <w:b w:val="false"/>
                  <w:color w:val="0000FF"/>
                  <w:sz w:val="20"/>
                  <w:u w:val="single"/>
                </w:rPr>
                <w:t>Item 6.</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52">
              <w:r>
                <w:rPr>
                  <w:rStyle w:val="InternetLink"/>
                  <w:rFonts w:ascii="Times New Roman;sans-serif" w:hAnsi="Times New Roman;sans-serif"/>
                  <w:b w:val="false"/>
                  <w:color w:val="0000FF"/>
                  <w:sz w:val="20"/>
                  <w:u w:val="single"/>
                </w:rPr>
                <w:t>[Reserved]</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52">
              <w:r>
                <w:rPr>
                  <w:rStyle w:val="InternetLink"/>
                  <w:rFonts w:ascii="Times New Roman;sans-serif" w:hAnsi="Times New Roman;sans-serif"/>
                  <w:b w:val="false"/>
                  <w:color w:val="0000FF"/>
                  <w:sz w:val="20"/>
                  <w:u w:val="single"/>
                </w:rPr>
                <w:t>28</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58">
              <w:r>
                <w:rPr>
                  <w:rStyle w:val="InternetLink"/>
                  <w:rFonts w:ascii="Times New Roman;sans-serif" w:hAnsi="Times New Roman;sans-serif"/>
                  <w:b w:val="false"/>
                  <w:color w:val="0000FF"/>
                  <w:sz w:val="20"/>
                  <w:u w:val="single"/>
                </w:rPr>
                <w:t>Item 7.</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5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58">
              <w:r>
                <w:rPr>
                  <w:rStyle w:val="InternetLink"/>
                  <w:rFonts w:ascii="Times New Roman;sans-serif" w:hAnsi="Times New Roman;sans-serif"/>
                  <w:b w:val="false"/>
                  <w:color w:val="0000FF"/>
                  <w:sz w:val="20"/>
                  <w:u w:val="single"/>
                </w:rPr>
                <w:t>29</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106">
              <w:r>
                <w:rPr>
                  <w:rStyle w:val="InternetLink"/>
                  <w:rFonts w:ascii="Times New Roman;sans-serif" w:hAnsi="Times New Roman;sans-serif"/>
                  <w:b w:val="false"/>
                  <w:color w:val="0000FF"/>
                  <w:sz w:val="20"/>
                  <w:u w:val="single"/>
                </w:rPr>
                <w:t>Item 7A.</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06">
              <w:r>
                <w:rPr>
                  <w:rStyle w:val="InternetLink"/>
                  <w:rFonts w:ascii="Times New Roman;sans-serif" w:hAnsi="Times New Roman;sans-serif"/>
                  <w:b w:val="false"/>
                  <w:color w:val="0000FF"/>
                  <w:sz w:val="20"/>
                  <w:u w:val="single"/>
                </w:rPr>
                <w:t>Quantitative and Qualitative Disclosures About Market Risk</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106">
              <w:r>
                <w:rPr>
                  <w:rStyle w:val="InternetLink"/>
                  <w:rFonts w:ascii="Times New Roman;sans-serif" w:hAnsi="Times New Roman;sans-serif"/>
                  <w:b w:val="false"/>
                  <w:color w:val="0000FF"/>
                  <w:sz w:val="20"/>
                  <w:u w:val="single"/>
                </w:rPr>
                <w:t>51</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109">
              <w:r>
                <w:rPr>
                  <w:rStyle w:val="InternetLink"/>
                  <w:rFonts w:ascii="Times New Roman;sans-serif" w:hAnsi="Times New Roman;sans-serif"/>
                  <w:b w:val="false"/>
                  <w:color w:val="0000FF"/>
                  <w:sz w:val="20"/>
                  <w:u w:val="single"/>
                </w:rPr>
                <w:t>Item 8.</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09">
              <w:r>
                <w:rPr>
                  <w:rStyle w:val="InternetLink"/>
                  <w:rFonts w:ascii="Times New Roman;sans-serif" w:hAnsi="Times New Roman;sans-serif"/>
                  <w:b w:val="false"/>
                  <w:color w:val="0000FF"/>
                  <w:sz w:val="20"/>
                  <w:u w:val="single"/>
                </w:rPr>
                <w:t>Financial Statements and Supplementary Data</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109">
              <w:r>
                <w:rPr>
                  <w:rStyle w:val="InternetLink"/>
                  <w:rFonts w:ascii="Times New Roman;sans-serif" w:hAnsi="Times New Roman;sans-serif"/>
                  <w:b w:val="false"/>
                  <w:color w:val="0000FF"/>
                  <w:sz w:val="20"/>
                  <w:u w:val="single"/>
                </w:rPr>
                <w:t>52</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0">
              <w:r>
                <w:rPr>
                  <w:rStyle w:val="InternetLink"/>
                  <w:rFonts w:ascii="Times New Roman;sans-serif" w:hAnsi="Times New Roman;sans-serif"/>
                  <w:b w:val="false"/>
                  <w:color w:val="0000FF"/>
                  <w:sz w:val="20"/>
                  <w:u w:val="single"/>
                </w:rPr>
                <w:t>Item 9.</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5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50">
              <w:r>
                <w:rPr>
                  <w:rStyle w:val="InternetLink"/>
                  <w:rFonts w:ascii="Times New Roman;sans-serif" w:hAnsi="Times New Roman;sans-serif"/>
                  <w:b w:val="false"/>
                  <w:color w:val="0000FF"/>
                  <w:sz w:val="20"/>
                  <w:u w:val="single"/>
                </w:rPr>
                <w:t>104</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3">
              <w:r>
                <w:rPr>
                  <w:rStyle w:val="InternetLink"/>
                  <w:rFonts w:ascii="Times New Roman;sans-serif" w:hAnsi="Times New Roman;sans-serif"/>
                  <w:b w:val="false"/>
                  <w:color w:val="0000FF"/>
                  <w:sz w:val="20"/>
                  <w:u w:val="single"/>
                </w:rPr>
                <w:t>Item 9A.</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53">
              <w:r>
                <w:rPr>
                  <w:rStyle w:val="InternetLink"/>
                  <w:rFonts w:ascii="Times New Roman;sans-serif" w:hAnsi="Times New Roman;sans-serif"/>
                  <w:b w:val="false"/>
                  <w:color w:val="0000FF"/>
                  <w:sz w:val="20"/>
                  <w:u w:val="single"/>
                </w:rPr>
                <w:t>Controls and Procedures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53">
              <w:r>
                <w:rPr>
                  <w:rStyle w:val="InternetLink"/>
                  <w:rFonts w:ascii="Times New Roman;sans-serif" w:hAnsi="Times New Roman;sans-serif"/>
                  <w:b w:val="false"/>
                  <w:color w:val="0000FF"/>
                  <w:sz w:val="20"/>
                  <w:u w:val="single"/>
                </w:rPr>
                <w:t>104</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6">
              <w:r>
                <w:rPr>
                  <w:rStyle w:val="InternetLink"/>
                  <w:rFonts w:ascii="Times New Roman;sans-serif" w:hAnsi="Times New Roman;sans-serif"/>
                  <w:b w:val="false"/>
                  <w:color w:val="0000FF"/>
                  <w:sz w:val="20"/>
                  <w:u w:val="single"/>
                </w:rPr>
                <w:t>Item 9B.</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56">
              <w:r>
                <w:rPr>
                  <w:rStyle w:val="InternetLink"/>
                  <w:rFonts w:ascii="Times New Roman;sans-serif" w:hAnsi="Times New Roman;sans-serif"/>
                  <w:b w:val="false"/>
                  <w:color w:val="0000FF"/>
                  <w:sz w:val="20"/>
                  <w:u w:val="single"/>
                </w:rPr>
                <w:t>Other Information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56">
              <w:r>
                <w:rPr>
                  <w:rStyle w:val="InternetLink"/>
                  <w:rFonts w:ascii="Times New Roman;sans-serif" w:hAnsi="Times New Roman;sans-serif"/>
                  <w:b w:val="false"/>
                  <w:color w:val="0000FF"/>
                  <w:sz w:val="20"/>
                  <w:u w:val="single"/>
                </w:rPr>
                <w:t>105</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59">
              <w:r>
                <w:rPr>
                  <w:rStyle w:val="InternetLink"/>
                  <w:rFonts w:ascii="Times New Roman;sans-serif" w:hAnsi="Times New Roman;sans-serif"/>
                  <w:b w:val="false"/>
                  <w:color w:val="0000FF"/>
                  <w:sz w:val="20"/>
                  <w:u w:val="single"/>
                </w:rPr>
                <w:t>Item 9C.</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59">
              <w:r>
                <w:rPr>
                  <w:rStyle w:val="InternetLink"/>
                  <w:rFonts w:ascii="Times New Roman;sans-serif" w:hAnsi="Times New Roman;sans-serif"/>
                  <w:b w:val="false"/>
                  <w:color w:val="0000FF"/>
                  <w:sz w:val="20"/>
                  <w:u w:val="single"/>
                </w:rPr>
                <w:t>Disclosure Regarding Foreign Jurisdictions that Prevent Inspections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59">
              <w:r>
                <w:rPr>
                  <w:rStyle w:val="InternetLink"/>
                  <w:rFonts w:ascii="Times New Roman;sans-serif" w:hAnsi="Times New Roman;sans-serif"/>
                  <w:b w:val="false"/>
                  <w:color w:val="0000FF"/>
                  <w:sz w:val="20"/>
                  <w:u w:val="single"/>
                </w:rPr>
                <w:t>105</w:t>
              </w:r>
            </w:hyperlink>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62">
              <w:r>
                <w:rPr>
                  <w:rStyle w:val="InternetLink"/>
                  <w:rFonts w:ascii="Times New Roman;sans-serif" w:hAnsi="Times New Roman;sans-serif"/>
                  <w:b/>
                  <w:color w:val="0000FF"/>
                  <w:sz w:val="20"/>
                  <w:u w:val="single"/>
                </w:rPr>
                <w:t>PART III</w:t>
              </w:r>
            </w:hyperlink>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65">
              <w:r>
                <w:rPr>
                  <w:rStyle w:val="InternetLink"/>
                  <w:rFonts w:ascii="Times New Roman;sans-serif" w:hAnsi="Times New Roman;sans-serif"/>
                  <w:b w:val="false"/>
                  <w:color w:val="0000FF"/>
                  <w:sz w:val="20"/>
                  <w:u w:val="single"/>
                </w:rPr>
                <w:t>Item 10.</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65">
              <w:r>
                <w:rPr>
                  <w:rStyle w:val="InternetLink"/>
                  <w:rFonts w:ascii="Times New Roman;sans-serif" w:hAnsi="Times New Roman;sans-serif"/>
                  <w:b w:val="false"/>
                  <w:color w:val="0000FF"/>
                  <w:sz w:val="20"/>
                  <w:u w:val="single"/>
                </w:rPr>
                <w:t>Directors and Executive Officers and Corporate Governance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65">
              <w:r>
                <w:rPr>
                  <w:rStyle w:val="InternetLink"/>
                  <w:rFonts w:ascii="Times New Roman;sans-serif" w:hAnsi="Times New Roman;sans-serif"/>
                  <w:b w:val="false"/>
                  <w:color w:val="0000FF"/>
                  <w:sz w:val="20"/>
                  <w:u w:val="single"/>
                </w:rPr>
                <w:t>106</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68">
              <w:r>
                <w:rPr>
                  <w:rStyle w:val="InternetLink"/>
                  <w:rFonts w:ascii="Times New Roman;sans-serif" w:hAnsi="Times New Roman;sans-serif"/>
                  <w:b w:val="false"/>
                  <w:color w:val="0000FF"/>
                  <w:sz w:val="20"/>
                  <w:u w:val="single"/>
                </w:rPr>
                <w:t>Item 11.</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68">
              <w:r>
                <w:rPr>
                  <w:rStyle w:val="InternetLink"/>
                  <w:rFonts w:ascii="Times New Roman;sans-serif" w:hAnsi="Times New Roman;sans-serif"/>
                  <w:b w:val="false"/>
                  <w:color w:val="0000FF"/>
                  <w:sz w:val="20"/>
                  <w:u w:val="single"/>
                </w:rPr>
                <w:t>Executive Compensation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68">
              <w:r>
                <w:rPr>
                  <w:rStyle w:val="InternetLink"/>
                  <w:rFonts w:ascii="Times New Roman;sans-serif" w:hAnsi="Times New Roman;sans-serif"/>
                  <w:b w:val="false"/>
                  <w:color w:val="0000FF"/>
                  <w:sz w:val="20"/>
                  <w:u w:val="single"/>
                </w:rPr>
                <w:t>107</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71">
              <w:r>
                <w:rPr>
                  <w:rStyle w:val="InternetLink"/>
                  <w:rFonts w:ascii="Times New Roman;sans-serif" w:hAnsi="Times New Roman;sans-serif"/>
                  <w:b w:val="false"/>
                  <w:color w:val="0000FF"/>
                  <w:sz w:val="20"/>
                  <w:u w:val="single"/>
                </w:rPr>
                <w:t>Item 12.</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71">
              <w:r>
                <w:rPr>
                  <w:rStyle w:val="InternetLink"/>
                  <w:rFonts w:ascii="Times New Roman;sans-serif" w:hAnsi="Times New Roman;sans-serif"/>
                  <w:b w:val="false"/>
                  <w:color w:val="0000FF"/>
                  <w:sz w:val="20"/>
                  <w:u w:val="single"/>
                </w:rPr>
                <w:t>Security Ownership of certain Beneficial Owners and Management and Related Shareholder Matters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71">
              <w:r>
                <w:rPr>
                  <w:rStyle w:val="InternetLink"/>
                  <w:rFonts w:ascii="Times New Roman;sans-serif" w:hAnsi="Times New Roman;sans-serif"/>
                  <w:b w:val="false"/>
                  <w:color w:val="0000FF"/>
                  <w:sz w:val="20"/>
                  <w:u w:val="single"/>
                </w:rPr>
                <w:t>107</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74">
              <w:r>
                <w:rPr>
                  <w:rStyle w:val="InternetLink"/>
                  <w:rFonts w:ascii="Times New Roman;sans-serif" w:hAnsi="Times New Roman;sans-serif"/>
                  <w:b w:val="false"/>
                  <w:color w:val="0000FF"/>
                  <w:sz w:val="20"/>
                  <w:u w:val="single"/>
                </w:rPr>
                <w:t>Item 13.</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7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74">
              <w:r>
                <w:rPr>
                  <w:rStyle w:val="InternetLink"/>
                  <w:rFonts w:ascii="Times New Roman;sans-serif" w:hAnsi="Times New Roman;sans-serif"/>
                  <w:b w:val="false"/>
                  <w:color w:val="0000FF"/>
                  <w:sz w:val="20"/>
                  <w:u w:val="single"/>
                </w:rPr>
                <w:t>108</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77">
              <w:r>
                <w:rPr>
                  <w:rStyle w:val="InternetLink"/>
                  <w:rFonts w:ascii="Times New Roman;sans-serif" w:hAnsi="Times New Roman;sans-serif"/>
                  <w:b w:val="false"/>
                  <w:color w:val="0000FF"/>
                  <w:sz w:val="20"/>
                  <w:u w:val="single"/>
                </w:rPr>
                <w:t>Item 14</w:t>
              </w:r>
            </w:hyperlink>
            <w:r>
              <w:rPr>
                <w:rFonts w:ascii="Times New Roman;sans-serif" w:hAnsi="Times New Roman;sans-serif"/>
                <w:b w:val="false"/>
                <w:color w:val="000000"/>
                <w:sz w:val="20"/>
                <w:u w:val="single"/>
              </w:rPr>
              <w:t>.</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77">
              <w:r>
                <w:rPr>
                  <w:rStyle w:val="InternetLink"/>
                  <w:rFonts w:ascii="Times New Roman;sans-serif" w:hAnsi="Times New Roman;sans-serif"/>
                  <w:b w:val="false"/>
                  <w:color w:val="0000FF"/>
                  <w:sz w:val="20"/>
                  <w:u w:val="single"/>
                </w:rPr>
                <w:t>Principal Accountant Fees and Services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77">
              <w:r>
                <w:rPr>
                  <w:rStyle w:val="InternetLink"/>
                  <w:rFonts w:ascii="Times New Roman;sans-serif" w:hAnsi="Times New Roman;sans-serif"/>
                  <w:b w:val="false"/>
                  <w:color w:val="0000FF"/>
                  <w:sz w:val="20"/>
                  <w:u w:val="single"/>
                </w:rPr>
                <w:t>108</w:t>
              </w:r>
            </w:hyperlink>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80">
              <w:r>
                <w:rPr>
                  <w:rStyle w:val="InternetLink"/>
                  <w:rFonts w:ascii="Times New Roman;sans-serif" w:hAnsi="Times New Roman;sans-serif"/>
                  <w:b/>
                  <w:color w:val="0000FF"/>
                  <w:sz w:val="20"/>
                  <w:u w:val="single"/>
                </w:rPr>
                <w:t>PART IV</w:t>
              </w:r>
            </w:hyperlink>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83">
              <w:r>
                <w:rPr>
                  <w:rStyle w:val="InternetLink"/>
                  <w:rFonts w:ascii="Times New Roman;sans-serif" w:hAnsi="Times New Roman;sans-serif"/>
                  <w:b w:val="false"/>
                  <w:color w:val="0000FF"/>
                  <w:sz w:val="20"/>
                  <w:u w:val="single"/>
                </w:rPr>
                <w:t>Item 15.</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83">
              <w:r>
                <w:rPr>
                  <w:rStyle w:val="InternetLink"/>
                  <w:rFonts w:ascii="Times New Roman;sans-serif" w:hAnsi="Times New Roman;sans-serif"/>
                  <w:b w:val="false"/>
                  <w:color w:val="0000FF"/>
                  <w:sz w:val="20"/>
                  <w:u w:val="single"/>
                </w:rPr>
                <w:t>Exhibits and Financial Statement Schedules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83">
              <w:r>
                <w:rPr>
                  <w:rStyle w:val="InternetLink"/>
                  <w:rFonts w:ascii="Times New Roman;sans-serif" w:hAnsi="Times New Roman;sans-serif"/>
                  <w:b w:val="false"/>
                  <w:color w:val="0000FF"/>
                  <w:sz w:val="20"/>
                  <w:u w:val="single"/>
                </w:rPr>
                <w:t>109</w:t>
              </w:r>
            </w:hyperlink>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86">
              <w:r>
                <w:rPr>
                  <w:rStyle w:val="InternetLink"/>
                  <w:rFonts w:ascii="Times New Roman;sans-serif" w:hAnsi="Times New Roman;sans-serif"/>
                  <w:b w:val="false"/>
                  <w:color w:val="0000FF"/>
                  <w:sz w:val="20"/>
                  <w:u w:val="single"/>
                </w:rPr>
                <w:t>Item 16.</w:t>
              </w:r>
            </w:hyperlink>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86">
              <w:r>
                <w:rPr>
                  <w:rStyle w:val="InternetLink"/>
                  <w:rFonts w:ascii="Times New Roman;sans-serif" w:hAnsi="Times New Roman;sans-serif"/>
                  <w:b w:val="false"/>
                  <w:color w:val="0000FF"/>
                  <w:sz w:val="20"/>
                  <w:u w:val="single"/>
                </w:rPr>
                <w:t>Form 10-K Summary</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86">
              <w:r>
                <w:rPr>
                  <w:rStyle w:val="InternetLink"/>
                  <w:rFonts w:ascii="Times New Roman;sans-serif" w:hAnsi="Times New Roman;sans-serif"/>
                  <w:b w:val="false"/>
                  <w:color w:val="0000FF"/>
                  <w:sz w:val="20"/>
                  <w:u w:val="single"/>
                </w:rPr>
                <w:t>113</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e22596fc410472ba847835082dbcad7_289">
              <w:r>
                <w:rPr>
                  <w:rStyle w:val="InternetLink"/>
                  <w:rFonts w:ascii="Times New Roman;sans-serif" w:hAnsi="Times New Roman;sans-serif"/>
                  <w:b w:val="false"/>
                  <w:color w:val="0000FF"/>
                  <w:sz w:val="20"/>
                  <w:u w:val="single"/>
                </w:rPr>
                <w:t>SIGNATURES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2596fc410472ba847835082dbcad7_289">
              <w:r>
                <w:rPr>
                  <w:rStyle w:val="InternetLink"/>
                  <w:rFonts w:ascii="Times New Roman;sans-serif" w:hAnsi="Times New Roman;sans-serif"/>
                  <w:b w:val="false"/>
                  <w:color w:val="0000FF"/>
                  <w:sz w:val="20"/>
                  <w:u w:val="single"/>
                </w:rPr>
                <w:t>114</w:t>
              </w:r>
            </w:hyperlink>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approximately 24,000 people worldwide.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Dover's five segments are structured around businesses with similar business models, go-to-market strategies, product categories, and manufacturing practices. This structure increases management efficiency and better aligns Dover's operations with its strategic initiatives and capital allocation priorities, and provides greater transparency about performance to external stakeholders. Dover's five operating and reportable segments are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Engineered Products segment provides a wide range of equipment, components, software, solutions and services to the vehicle aftermarket, aerospace and defense, industrial winch and hoist,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Climate &amp; Sustainability Technologies segment is a provider of innovative and energy-efficient equipment, components, solutions, services and parts for the commercial refrigeration, heating and cooling and beverage can-making equipment end-markets.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Discontinued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completed the sale of the Environmental Solutions Group ("ESG") business, an operating company within the Engineered Products segment, for total consideration, net of cash transferred, of $2.0 billion. As the disposal represented a strategic shift with a major effect on the Company's operations and financial results, the Company has classified ESG's results of operations prior to the sale as discontinued operations for all periods presented. The discussion throughout Item 1 of this Form 10-K, unless otherwise noted, relates solely to our continuing operations. For more details, see Note 4 — Discontinued and Disposed Operations in the consolidated financial statements in Item 8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Management Philosophy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 is committed to delivering shareholder value creation through a combination of sustained profitable growth, operational excellence, superior free cash flow generation and productive capital re-deployment while adhering to a conservative financial policy. Dover seeks to be a leader in a diverse set of growing markets where customers are loyal to trusted partners and suppliers, and value product performance and differentiation driven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structure of five business segments allows for a differentiated acquisition focus consistent with our portfolio and capital allocation priorities. We believe our business segment structure, coupled with value-creating functional expertise at our lean corporate center, presents opportunities to identify and capture operating synergies, such as global sourcing and supply chain integration, centralized shared services, cross-pollination of manufacturing best practices, and further advances the development of our executive talent. Our executive management team sets strategic direction, initiatives and goals, develops effective incentive structures, provides oversight of strategy execution and achievement of these goals for our business segments, and with oversight from our Board of Directors, makes capital allocation decisions, including with respect to organic investment initiatives, major capital projects, acquisitions, divestitures, and the return of capital to our shareholders.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foster an operating culture with high ethical and performance standards that values accountability, rigor, trust, inclusion, respect and open communications, designed to allow individual growth and operational effectiveness. We are also increasing our focus on maintaining sustainable business practices that reduce environmental impact, and developing products that help our customers meet their sustainability goals.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Company Goals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driving superior shareholder returns through three key tenets of our corporate strategy.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First</w:t>
      </w:r>
      <w:r>
        <w:rPr>
          <w:rFonts w:ascii="Times New Roman;sans-serif" w:hAnsi="Times New Roman;sans-serif"/>
          <w:b w:val="false"/>
          <w:color w:val="000000"/>
          <w:sz w:val="20"/>
        </w:rPr>
        <w:t xml:space="preserve">, we are committed to achieving organic sales growth above that of gross domestic product (4% to 6% annually on average) over a long-term business cycle, absent prolonged adverse economic conditions, complemented by growth through strategic acquisitions.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Second</w:t>
      </w:r>
      <w:r>
        <w:rPr>
          <w:rFonts w:ascii="Times New Roman;sans-serif" w:hAnsi="Times New Roman;sans-serif"/>
          <w:b w:val="false"/>
          <w:color w:val="000000"/>
          <w:sz w:val="20"/>
        </w:rPr>
        <w:t xml:space="preserve">, we continue to focus on improving returns on capital, as well as earnings margin, by enhancing our operational capabilities and making investments across the organization in growth capacity expansion, digital capabilities, automation, operations management, information technology ("IT"), shared services (including Dover Business Services and our India Innovation Center), and talent. We also focus on continuous, effective cost management and productivity initiatives, such as supply chain optimization, automation and productivity capital expenditures, e-commerce and digital go-to-market, restructuring, product complexity reduction, improved footprint utilization, strategic pricing and portfolio management.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Third</w:t>
      </w:r>
      <w:r>
        <w:rPr>
          <w:rFonts w:ascii="Times New Roman;sans-serif" w:hAnsi="Times New Roman;sans-serif"/>
          <w:b w:val="false"/>
          <w:color w:val="000000"/>
          <w:sz w:val="20"/>
        </w:rPr>
        <w:t xml:space="preserve">, we aim to generate growth in free cash flow and earnings per share through strong earnings performance, productivity improvements and active working capital management, which is enhanced by opportunistic divestitures allowing for concentration on growing our core platforms. Dover prioritizes deploying free cash flow toward high-return and high-confidence organic reinvestments aimed at growing, improving and strengthening our businesses, as well as through inorganic investments that synergistically enhance the quality of our portfolio. Dover's value creation strategy is supported by a financial policy that includes a prudent approach to financial leverage, and a disciplined approach to capital allocation that allows for a balance between reinvestment and return of capital to shareholders through growing dividends and opportunistic share repurchases.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support achievement of these goals by (1) aligning management compensation with strategic and financial objectives, (2) actively managing our portfolio to increase enterprise scale, improving business mix over time to markets with secular growth characteristics, and pursuing acquisitions that fit the characteristics of an ideal Dover business and (3) investing in talent development programs.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Characteristics of a Dover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over 70 years, Dover has successfully and profitably operated a diversified portfolio of high-quality businesses serving a wide variety of industrial and business-to-business end markets with different business models. We believe this diversity is a strength of our portfolio, providing Dover with multiple avenues for organic and inorganic growth, lower cyclicality, and the ability to extract synergies of common ownership. While we expect our portfolio to remain diversified, we also strive to shape the portfolio over time to increase common attractive attributes across our businesses.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Dover is adept at operating businesses within two core operating models: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Component Businesses</w:t>
      </w:r>
      <w:r>
        <w:rPr>
          <w:rFonts w:ascii="Times New Roman;sans-serif" w:hAnsi="Times New Roman;sans-serif"/>
          <w:b w:val="false"/>
          <w:color w:val="000000"/>
          <w:sz w:val="20"/>
        </w:rPr>
        <w:t xml:space="preserve">: Many of our businesses produce critical components that represent a small portion of a larger system by cost. For example, our industrial and biopharma pumps, biopharma connectors, engineered bearings and compression components, clean energy components, and heat exchangers are all part of larger systems built or employed by our customers. Such components typically serve demanding applications where value-in-use and costs and risks of switching far exceed the cost of the component itself. </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Equipment with Aftermarket Opportunity</w:t>
      </w:r>
      <w:r>
        <w:rPr>
          <w:rFonts w:ascii="Times New Roman;sans-serif" w:hAnsi="Times New Roman;sans-serif"/>
          <w:b w:val="false"/>
          <w:color w:val="000000"/>
          <w:sz w:val="20"/>
        </w:rPr>
        <w:t xml:space="preserve">: Many of our businesses produce complex and highly engineered equipment and systems that require a significant and predictable volume of parts, consumables, software and services over their life cycle. For example, our marking and coding equipment, plastics and polymer processing equipment and aluminum can-making equipment all derive a significant share of revenue and profits from sale of consumables, parts and services into their large installed base. Recurring demand, which includes parts, consumables, services and software, represents approximately 36% of our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see the following commonalities characterizing the majority of Dover businesses: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Attractive Markets</w:t>
      </w:r>
      <w:r>
        <w:rPr>
          <w:rFonts w:ascii="Times New Roman;sans-serif" w:hAnsi="Times New Roman;sans-serif"/>
          <w:b w:val="false"/>
          <w:color w:val="000000"/>
          <w:sz w:val="20"/>
        </w:rPr>
        <w:t>: Our businesses generally operate in strategically attractive niche industrial markets with proven and well-understood long-term growth trends, favorable customer and supplier landscapes, mature and incrementally improving technologies with opportunities for technological differentiation, and highly loyal customers, suppliers or channel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Leading Positions</w:t>
      </w:r>
      <w:r>
        <w:rPr>
          <w:rFonts w:ascii="Times New Roman;sans-serif" w:hAnsi="Times New Roman;sans-serif"/>
          <w:b w:val="false"/>
          <w:color w:val="000000"/>
          <w:sz w:val="20"/>
        </w:rPr>
        <w:t xml:space="preserve">: Our businesses are long-time leaders in their respective markets and have consistently enjoyed customer bases that choose products primarily based on their performance, track record, safety and compliance. </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Digital Opportunity</w:t>
      </w:r>
      <w:r>
        <w:rPr>
          <w:rFonts w:ascii="Times New Roman;sans-serif" w:hAnsi="Times New Roman;sans-serif"/>
          <w:b w:val="false"/>
          <w:color w:val="000000"/>
          <w:sz w:val="20"/>
        </w:rPr>
        <w:t>: Our equipment and components are often complemented by value-added digital applications, including connected products, sensors, digital controls and industry-specific software that create new sources of value for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u w:val="single"/>
        </w:rPr>
        <w:t>Attractive Financial Profile</w:t>
      </w:r>
      <w:r>
        <w:rPr>
          <w:rFonts w:ascii="Times New Roman;sans-serif" w:hAnsi="Times New Roman;sans-serif"/>
          <w:b w:val="false"/>
          <w:color w:val="000000"/>
          <w:sz w:val="20"/>
        </w:rPr>
        <w:t xml:space="preserve">: Our businesses exhibit attractive financial profiles, characterized by predictable, stable revenue, low capital intensity, strong cash-flow and sustainable returns on invested capital well in excess of our cost of capital.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Business Strategy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 seeks to create value for shareholders by combining the global scale and capabilities, as well as access to capital, of a diversified industrial enterprise with the agility and entrepreneurial dynamism of niche manufacturing businesses. We believe the centralized scale of the corporation provides a distinct competitive advantage to our individual operating businesses through (i) driving efficiency gains and economies of scale of shared global resources across the corporation, (ii) freeing management time and effort to focus on the most important aspects of their businesses, including servicing and addressing the critical needs of their customers, aligning their business to capitalize on key market trends and focusing on product excellence, and (iii) access to centralized talent and expertise that our individual operating businesses otherwise may not have on their own. To achieve our stated goals, we are focused on executing the following pillars of Dover's business strategy: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Capturing growth potential in our end-markets and adjacent market segments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Dover’s business segments are focused on building enduring competitive advantages and leadership positions in markets we believe are positioned for sustained future growth. We believe our businesses are among the top suppliers in most markets and niches we serve (as defined by customer applications, geographies or products), which positions us well to capture future growth. We capitalize on our engineering, intellectual property, technology and design expertise, and maintain an intense focus on meeting the needs of our customers and on adding significant, and often new, value to their operations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superior product performance, safety, reliability, and a commitment to aftermarket support. We cultivate and maintain an entrepreneurial culture to enable business agility, and continuously innovate to address our customers' needs, to help them win in the markets they serve.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our businesses are well-positioned to capitalize on: growing industrial manufacturing and trade volumes; an increased global focus on digitization and automation in industrial processes; increasing requirements for sustainability, safety, energy efficiency and consumer product safety; and growth of the middle class and consumption in emerging economies.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Engineered Products segment is capitalizing on global infrastructure investment, an increasing number of vehicles in operation, average car age and annual miles driven, increasing digitization and sensorization of modern vehicles, as well as growing defense spending related to signal intelligence and electronic warfare.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Clean Energy &amp; Fueling segment benefits from the worldwide growth in environmental safety and compliance regulations, new infrastructure build-out in emerging economies, transition to clean energy products such as liquefied natural gas and hydrogen, growth in demand for cryogenic gases and electric vehicle charging, consolidation in the convenience retail sector, increased digitization of convenience stores and fuel retailing, as well as secular growth in automated vehicle wash systems and solutions (over manual and do-it-yourself washing).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Imaging &amp; Identification segment leverages its unique product offering containing equipment, consumables, software and services to address market needs and requirements, including increased regulation for supply chain transparency in fast moving consumer goods, adoption of more stringent food safety regulations in emerging economies, and growing demand for product traceability and brand protection.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Pumps &amp; Process Solutions segment is focused on capturing growth in its installed base, in biological drug production and the shift toward single-use manufacturing processes. The segment's offerings address the increased demand for liquid cooling requirements for certain electronics (including in data center infrastructure), and investment in midstream energy and power generation infrastructure (including growing sophistication of fluid transfer and rotating machinery components, instrumentation, and digital controls). We also support virgin, recycled plastics, and polymers production and energy transition investments into wind power, hydrogen compression and carbon capture.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Climate &amp; Sustainability Technologies segment is responding to our customers' demand for increased energy efficiency and sustainability in food retail merchandising solutions, including refrigeration systems using CO</w:t>
      </w: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refrigerant, as well as increasing demand for sustainable heating and cooling solutions, including heat pumps, and sustainability-driven growing global demand for aluminum beverage cans.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capture growth by making organic investments in capacity expansion, automation and productivity improvement, research and development, developing new products and technologies, improving digital capabilities and expanding our geographic coverage. We pursue a disciplined and strategic approach to acquisitions aiming to enhance the quality and attractiveness of our portfolio over time and position Dover for long-term growth. We evaluate acquisition opportunities across the portfolio where we see the greatest runway for value-creating inorganic capital deployment. We continually evaluate how our assets and capabilities can position us to grow in markets adjacent to our core businesses (for example, new applications, geographies, product segments or adjacent technologies) where we can be advantaged.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product innovation, we aim to capture growth by developing digital technologies. Our Boston-based Dover Digital Labs serves as the company-wide hub for our digital initiative. We have continued to invest in this facility and our team of software developers, data scientists, and product managers to enhance our digital capabilities. The Digital Labs team is driving digital transformation across our businesses in four areas: (i) enhancing the customer experience through more efficient and streamlined digital customer interfaces that make it easy to do business with Dover companies; (ii) developing and improving acquired and organically built connected and software-as-a-service ("SaaS") products, that combine sensors, software, machine learning and artificial intelligence; (iii) driving increased efficiency, safety and quality in our manufacturing operations by employing cutting-edge automation through "connected factory" and "data quality" programs; and (iv) ensuring security of digital products. Many of our software solutions in the areas of product traceability, anti-counterfeiting, retail fueling station monitoring, vehicle damage analysis and measurement systems, and visual commerce have been certified as compliant under AICPA System and Organization Controls 2 ("SOC 2") audits. We believe the Digital Labs’ contributions in these areas enable us to add significant value to our products and to capture commercial growth opportunities. By leveraging a central resource for Commercial Excellence, Industry 4.0, Industrial Internet of Things ("IIoT") and our software products, we are able to capture efficiencies in our digital transformation efforts, improve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security, and offer better efficiency in providing support and engineering for our software and connected products to keep our projects cost-competitive.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Improving profitability and return on invested capital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are committed to generating sustainable returns on invested capital well above the cost of capital across all of our businesses. We continually evaluate and pursue opportunities to improve efficiency, margin and return on capital. We are intensely foc</w:t>
      </w:r>
      <w:r>
        <w:rPr>
          <w:rFonts w:ascii="Times New Roman;sans-serif" w:hAnsi="Times New Roman;sans-serif"/>
          <w:b w:val="false"/>
          <w:color w:val="000000"/>
          <w:sz w:val="20"/>
        </w:rPr>
        <w:t xml:space="preserve">used on driving operational excellence across our businesses. We have implemented numerous productivity initiatives to maximize our efficiency, such as supply chain integration, shared services, lean manufacturing principles and production automation, footprint optimization, and product complexity reduction, as well as workplace safety initiatives to help ensure the health and welfare of our employees. Our businesses place a strong emphasis on continual product quality improvement and new product development to better serve customers and to facilitate expansion into new products and geographic markets.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focus on margin expansion initiatives designed to reduce our selling, general and administrative cost base and optimize our manufacturing and supply chain operations across the portfolio. We continually expand initiatives to extract productivity gains across the businesses and realize savings. Our margin expansion initiatives are focused on four core enterprise capabilities: (1) leverage our Digital Labs team to enhance our internal and market-facing digital capabilities, (2) improve utilization and optimization of our manufacturing footprint through centralized resources and investment, (3) further centralize shared services under Dover Business Services, and (4) invest in our India Innovation Center shared services.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Dover Digital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Our Dover Digital Labs consists of a team of approximately 150 software developers, data scientists, manufacturing engineers and product managers who provide digital capabilities to enhance the customer experience, develop connected industrial products and artificial intelligence based models that are embedded in SaaS offerings provided to customers by our operating companies, drive automation and efficiency inside our factories through digital technologies and in our business processes and focus on the security of our digital products. Our Dover Digital Labs team has built common platforms which are being deployed on customer facing applications to make it easier to discover, find, configure, buy and obtain products and services from Dover companies, thereby optimizing our sales and support staff resources, driving pricing discipline, enabling reduction of product complexity and improving management of working capital. Our digital team has also deployed shared IIoT capability such that many of Dover's products are remotely configurable and monitored, enabling our businesses to sell aftermarket parts and offer remote diagnostic services.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Dover Operational Excellence</w:t>
      </w:r>
      <w:r>
        <w:rPr>
          <w:rFonts w:ascii="Times New Roman;sans-serif" w:hAnsi="Times New Roman;sans-serif"/>
          <w:b w:val="false"/>
          <w:color w:val="000000"/>
          <w:sz w:val="20"/>
        </w:rPr>
        <w:t>. Our corporate team is composed of functional experts in operational optimization, lean manufacturing, automation, Environment, Health and Safety ("EHS") and complex project management. This team works closely with our businesses to drive excellence in our manufacturing and supply chain processes, standards and measurement tools to identify, prioritize and monitor execution of operational improvement initiatives. We continue to focus on initiatives to improve operational performance and the continuous improvement programs embedded in our businesses' day-to-day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Dover Business Services</w:t>
      </w:r>
      <w:r>
        <w:rPr>
          <w:rFonts w:ascii="Times New Roman;sans-serif" w:hAnsi="Times New Roman;sans-serif"/>
          <w:b w:val="false"/>
          <w:color w:val="000000"/>
          <w:sz w:val="20"/>
        </w:rPr>
        <w:t>. We continue to invest in Dover Business Services shared service centers, consisting of a team of approximately 700 professionals, to provide important transactional and value-added services to our businesses. Our shared service model allows us to leverage scale across Dover, increase process efficiencies through technology and specialization, and reduce risk through centralized controls. Our shared service centers create value by freeing resources within our businesses that would otherwise be dedicated to transactional services and allowing them to focus on customers, markets and product excellence. We expect to continue driving efficiencies through Dover Business Services as we increase the level of service centralization across the portfolio.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India Innovation Center</w:t>
      </w:r>
      <w:r>
        <w:rPr>
          <w:rFonts w:ascii="Times New Roman;sans-serif" w:hAnsi="Times New Roman;sans-serif"/>
          <w:b w:val="false"/>
          <w:color w:val="000000"/>
          <w:sz w:val="20"/>
        </w:rPr>
        <w:t>. Our India Innovation Center has a team of approximately 800 engineers and IT professionals that our businesses rely on to leverage for product engineering, digital solutions development, data and information management, research and development and intellectual property services. The scale of this team allows our businesses to access resources with capabilities and expertise across many disciplines that would be more costly to them as stand-alone companies, and allows for concurrent engineering on time sensitive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steadily investing in the build out and deployment of the above four enterprise capabilities in the past several years, including organically investing and expanding the staff of experts and support personnel in key centers of excellence globally.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Disciplined capital allocation and continuous portfolio enhancement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the most efficient allocation of capital to maximize returns on investment. To do this, we utilize organic reinvestment to grow and strengthen our existing businesses. We plan to make average annual investments in capital spending of approximately 2% of revenue with a focus on internal projects designed to expand our market participation and manufacturing capacity, drive further adoption of e-commerce and digital capabilities, and improve productivity. In addition, we seek to deploy capital for acquisitions in attractive growth areas across our portfolio. Dover focuses primarily on bolt-on acquisitions, applying strict selection criteria of market attractiveness (including growth, market landscape, and performance-based competition), business fit (including sustained leading position, revenue visibility, and favorable customer value-add versus switching cost or risk) and financial return profile (including accretive growth and margins and double-digit return on invested capital). We opportunistically divest businesses where we see limited runway for future value creation relative to our aspirations, or where market and business fundamentals change and no longer suit our criteria of business attractiveness and portfolio fit. Finally, we have consistently returned cash to shareholders by paying dividends, which have increased annually over each of the last 69 years. We undertake opportunistic share repurchases as part of our capital allocation strategy. We employ a prudent financial policy to support our capital allocation strategy, which includes maintaining an investment grade credit rating.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Portfolio Development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Acquisitions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acquisition strategy aims to enhance our existing portfolio through value creating acquisitions within our priority growth platforms, with a focus on increasing our exposure to high organic growth and margin accretive businesses with significant synergy potential. We seek to acquire complementary add-on businesses with a strong fit with our existing platforms, increasing their reach and customer access, broadening their product mix, providing exposure to attractive end market adjacencies, or enhancing technological capabilities and customer value-add. With all our acquisitions, we seek businesses that are leaders in their respective markets or niches, have a strong track record for innovation, offer differentiated solutions, and have attractive and sustainable returns with significant synergy potential. We aim to generate double-digit return on capital within three or four years after an acquisition is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three years (2022 through 2024), we have spent approximately $1.5 billion, net of cash acquired and including contingent consideration, to purchase thirteen businesses. For more details, see Note 3 — Acquisitions in the consolidated financial statements in Item 8 of this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in large part on finding and acquiring successful businesses that expand the scope of our offerings and make us an even more important supplier to our customers. While we expect to generate annual organic revenue growth above that of gross domestic product (4% to 6% annually on average) over a long-term business cycle absent extraordinary adverse economic conditions, our success in consistently growing the portfolio is also dependent on the ability to acquire and integrate businesses within our existing structure. To track post-merger integration and accountability, we utilize an internal scorecard and well-defined processes to help ensure expected synergies are realized and value is created.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Dispositions</w:t>
      </w:r>
      <w:r>
        <w:rPr>
          <w:color w:val="EE2724"/>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sold or divested some of our businesses based on changes in specific market outlook, structural changes in financial performance, value-creation potential, or for other strategic considerations, which include an effort to reduce our exposure to cyclical and capital intensive markets and, therefore, focus on our higher margin and higher growth spaces.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Going forward, we recognize that some businesses in Dover's portfolio may have a greater value-creation potential if owned by another parent with a larger presence and focus on a given niche. We pragmatically consider such opportunities as part of our ongoing portfolio management and review processes, and execute divestitures if the value created by the divestiture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determined to be at an appropriate premium to the value of such business to Dover and the divestitures allow Dover shareholders to participate in the future value-creation potential from a change in ownership, including through the redeployment of divestiture proceeds into attractive add-on businesses in higher priority end-markets or through opportunistic return of capital to shareholders.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and 2023, there were no material dispositions.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2024, the Company completed the sale of the De-Sta-Co business, an operating company within the Engineered Products segment, for total consideration, net of cash transferred, of $675.9 million. The sale did not meet the criteria to be classified as a discontinued operation, as it did not represent a strategic shift that would have a major effect on operations and financial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completed the sale of the ESG business, an operating company within the Engineered Products segment, for total consideration, net of cash transferred, of $2.0 billion, subject to standard working capital adjustments. As the disposal represented a strategic shift with a major effect on the Company's operations and financial results, the sale met the criteria to be classified as a discontinued operation. For more details, see Note 4 — Discontinued and Disposed Operations in the consolidated financial statements in Item 8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Business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previously, Dover's five segments are structured around businesses with similar business models, go-to-market strategies and manufacturing practices and product categories which increases management efficiency and better aligns Dover's operations with its strategic initiatives and capital allocation priorities, and provides greater transparency about performance to external stakeholders. Dover's five operating and reportable segments are as follows: Engineered Products, Clean Energy &amp; Fueling, Imaging &amp; Identification, Pumps &amp; Process Solutions and Climate &amp; Sustainability Technologies. For financial information about our segments and geographic areas, see Note 19 — Segment Information in the consolidated financial statements in Item 8 of this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Engineered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Engineered Products segment provides a wide range of equipment, components, software, solutions and services that have broad customer applications across a number of markets, including: aftermarket vehicle service, aerospace and defense, industrial winch and hoist, and fluid dispensing. Our vehicle service business provides equipment, software solutions and services used primarily in vehicle repair and maintenance, including light and heavy-duty vehicle lifts, wheel service equipment, vehicle diagnostics and vehicle collision repair solutions. Our industrial winch and hoist business provides a range of winches, hoists, bearings, drives, and electric monitoring systems for infrastructure and other industrial markets. Our aerospace and defense business supplies radio frequency and microwave filters and switches, as well as signals intelligence and other integrated solutions, to enable secure communications in aerospace and defense applications. The segment also includes bench top soldering and fluid dispensing solutions in electronics and industrial product assembly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Engineered Products segment's products are manufactured primarily in North America, Europe and Asia and are sold throughout the world directly and through a network of distributors.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Clean Energy &amp; Fueling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Clean Energy &amp; Fueling segment provides components, equipment and software, and service solutions enabling safe storage, transport, handling and dispensing of clean and traditional fuels, cryogenic gases and other hazardous fluids, as well as safe and efficient operation of retail fueling and vehicle wash establishments across the globe. Among solutions supplied by the segment are dispensing equipment and components for gasoline, compressed natural gas (CNG), liquefied natural gas (LNG) and hydrogen (H2) fueling sites, electric vehicle charging stations, payment systems, hardware and underground containment systems, vehicle wash systems, as well as asset tracking, monitoring and operational optimization software.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Clean Energy &amp; Fueling segment's products are manufactured primarily in North America, Europe, Asia, and South America and are sold throughout the world directly and through a network of distributors.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Imaging &amp; Identification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companies in our Imaging &amp; Identification segment are global suppliers of precision marking and coding, product traceability, brand protection, and digital textile printing equipment and solutions, as well as related consumables, software and services. Our marking and coding businesses primarily design and manufacture equipment and consumables used for printing variable information (such as bar codes, dates, and serial numbers) on fast-moving consumer goods, provide serialization solutions for pharmaceutical customers, and develop supply chain traceability solutions capitalizing on expanding food and product safety, supply chain traceability and brand protection requirements.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businesses serving the digital printing market develop, manufacture and sell equipment, software, consumables and service solutions used in textile, apparel, soft signage and specialty materials markets. Businesses within this segment leverage digital printing capabilities and operate business models that involve initial equipment and software sales followed by significant consumable, software and service aftermarket revenue streams.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Imaging &amp; Identification segment's products are manufactured primarily in North America, Europe and Asia and are sold throughout the world directly and through a network of distributors.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Pumps &amp; Process Solutions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businesses in our Pumps &amp; Process Solutions segment manufacture specialty pumps, single-use pumps, connectors and flow meters, plastics and polymers processing equipment and highly-engineered components, specialized instrumentation and digital controls for rotating and reciprocating machinery. The segment's products are used in a wide variety of markets, including biopharma, thermal management (including liquid cooling of server racks and chips in data centers), plastics and polymers processing, chemicals production, food/sanitary, medical, transportation, petroleum refining, natural gas compression, power generation and general industrial applications. The products in this segment are generally used in demanding and specialized operating environments with high performance requirements. Businesses within this segment share the following commonalities: their products are predominantly components or parts of larger equipment and production systems with our products often specified by end customers or regulations, they participate in markets with a diverse and fragmented customer base and where there is a significant demand for aftermarket equipment and parts from a large installed base, and the route-to-market is a mix of distribution and direct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Pumps &amp; Process Solutions segment's products are manufactured primarily in North America, Europe, and Asia and are sold throughout the world directly and through a network of distributors and original equipment manufacturers.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Climate &amp; Sustainability Technologies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Climate &amp; Sustainability Technologies segment is a provider of innovative and energy-efficient equipment, systems and solutions that serve the commercial refrigeration, heating and cooling, and aluminum can-making equipment end-markets. Our refrigeration business manufactures refrigeration systems (including environmentally friendly systems like CO</w:t>
      </w: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 refrigeration display cases and commercial glass refrigerator and freezer doors for food retail and industrial applications. Our heat exchanger business manufactures energy-efficient brazed plate heat exchangers used for residential climate control applications, including heat pumps, as well as industrial heating and cooling applications, including an increasing opportunity in data center cooling applications. The other business in this segment designs and manufactures machinery and associated spare parts used for aluminum can-making, along with providing turnkey can line solutions. The majority of the products that are manufactured or serviced by the Climate &amp; Sustainability Technologies segment are used by the retail food industry, including supermarkets, "big-box" retail and convenience stores, the commercial/industrial refrigeration and HVAC industry, food production markets and beverage can-making industries.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Climate &amp; Sustainability Technologies segment's products are manufactured primarily in North America, Europe and Asia and are sold globally, directly and through a network of distributors.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Raw Materials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wide variety of raw materials, primarily metals and semi-processed or finished components, which are generally available from a number of sources. As a result, the loss of any single supplier has not had, and is not likely to have, a material impact on operating profits at the consolidated level.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 fluctuations. We attempt to control such costs through index-based contracts with suppliers and customers and various other programs, such as our global supply chain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Markets for multiple raw materials saw significant volatility and supply chain disruptions throughout 2021 into 2023. Although most commodity and logistics costs have returned to historical norms, volatility is still a risk due to economic uncertainties and supply side dynamics. These situations could still negatively impact profitability of some businesses as we were required to seek alternative sources of supply at higher costs or interrupt our normal manufacturing process flow leading to less efficient output and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invest to develop innovative new products, as well as to upgrade and improve existing products, to satisfy customer needs, including demand for energy-efficient products designed to help customers meet sustainability goals, expand revenue opportunities geographically, maintain or extend competitive advantages, improve product reliability and reduce production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Imaging &amp; Identification segment expends significant effort in research and development because the rate of product development by their customers is often quite high. Our businesses that develop product identification, printing equipment and software solutions believe their customers expect a continuing rate of product innovation, performance improvement and reduction in total cost of ownership. The result has been downward pricing trends that can only be mitigated with the continuous introduction of innovative product solutions in a market where product life cycles generally average less than seven years.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Clean Energy &amp; Fueling</w:t>
      </w:r>
      <w:r>
        <w:rPr>
          <w:color w:val="000000"/>
          <w:shd w:fill="FFFFFF" w:val="clear"/>
        </w:rPr>
        <w:t xml:space="preserve"> </w:t>
      </w:r>
      <w:r>
        <w:rPr>
          <w:rFonts w:ascii="Times New Roman;sans-serif" w:hAnsi="Times New Roman;sans-serif"/>
          <w:b w:val="false"/>
          <w:color w:val="000000"/>
          <w:sz w:val="20"/>
          <w:shd w:fill="FFFFFF" w:val="clear"/>
        </w:rPr>
        <w:t>segment invests in research and development to advance innovative traditional and alternative fuel dispensing equipment and components, payment platforms, fuel site asset management and connectivity solutions, IIoT-enabled cloud-based connected solutions for retail and commercial fleet fueling settings, components for high-criticality cryogenic gas storage and transportation applications, including hydrogen and liquefied natural gas. These technology investments align with our customer's needs and our commitment to delivering to our customers opportunities for operational cost reductions, increased sales, and an enhanced customer experience for their customers through a combination of intelligent fueling and retail solutions.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Pumps &amp; Process Solutions segment invests in research and development for new product introduction and custom solutions to drive volume and share in both existing markets and newer/faster growth markets – such as single-use biopharmaceutical manufacturing and liquid cooling of high performance electronics. These investments will allow us to take advantage of existing growth trends such as in cell and gene therapy applications, and data center cooling applications supporting investments in artificial intelligence.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businesses are also involved in important product improvement initiatives. These businesses concentrate on working closely with customers on specific applications, expanding product lines and market applications and continuously improving manufacturing processes. Some of these businesses experience a much more rapid rate of change requiring higher product development capability and new product introduction.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Similarly, our businesses invest in research and development to pursue digital strategies based on customer needs and leverage the capabilities of the Dover Digital Labs to deliver on those digital strategies. For example, OPW, an operating company within the Clean Energy &amp; Fueling segment, announced the launch of its RegO Presto-Link</w:t>
      </w:r>
      <w:r>
        <w:rPr>
          <w:rFonts w:ascii="Times New Roman;sans-serif" w:hAnsi="Times New Roman;sans-serif"/>
          <w:b w:val="false"/>
          <w:color w:val="4D5156"/>
          <w:sz w:val="13"/>
        </w:rPr>
        <w:t xml:space="preserve">© </w:t>
      </w:r>
      <w:r>
        <w:rPr>
          <w:rFonts w:ascii="Times New Roman;sans-serif" w:hAnsi="Times New Roman;sans-serif"/>
          <w:b w:val="false"/>
          <w:color w:val="000000"/>
          <w:sz w:val="20"/>
        </w:rPr>
        <w:t xml:space="preserve">device and RegO application integration during 2024. This application streamlines testing processes and enhances safety measures for on-site personnel performing the liquefied petroleum gas container and regulator testing. The RegO application is integrated with the Presto-Link Bluetooth device, which communicates with RegO Presto-Tap products placed on propane-system components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requiring testing. This connection enables swift and precise leak detection and pressure readings, eliminating the need for manual recording of results and mitigating the risks associated with human error.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Our employees are our most valuable asset and are critical to our ability to deliver on our strategic plans. Our success in delivering high quality and innovative products and solutions for our customers and driving operational excellence is only achievable through the talent, expertise, and dedication of our global team. We had approximately 24,000 employees worldwide as of</w:t>
      </w:r>
      <w:r>
        <w:rPr>
          <w:color w:val="000000"/>
        </w:rPr>
        <w:t xml:space="preserve"> </w:t>
      </w:r>
      <w:r>
        <w:rPr>
          <w:rFonts w:ascii="Times New Roman;sans-serif" w:hAnsi="Times New Roman;sans-serif"/>
          <w:b w:val="false"/>
          <w:color w:val="000000"/>
          <w:sz w:val="20"/>
        </w:rPr>
        <w:t xml:space="preserve">December 31, 2024.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Attraction, Development, and Retention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attracting, developing and retaining skilled talent and promoting a work environment that is professional and inclusive are essential to maintaining our leadership positions in the markets we serve. While our operating companies are the hubs of these activities — an effective model that puts ownership in the businesses and cultures that are the source of opportunities for employees — we are increasingly leveraging the corporate center to drive talent recruitment and development and consistent human capital management practices across our businesses. This center-led focus is enabling us to make development opportunities available across our enterprise which we believe promotes employee advancement, engagement and retention. We offer employees resources to continuously improve their skills and performance with the goal of further cultivating entrepreneurial talent with a range of perspectives, backgrounds, skills, and experiences inside our global businesses to fill key positions. We seek people who are proactive and dedicated, demonstrate an ownership mindset and share our commitment to the pursuit of operational excellence. We continue to make significant investments in talent development and recognize that the growth and development of our employees is essential for our continued success.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Workplace Environment and Inclusion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we are committed to maintaining a work environment that is professional, inclusive, and free from discrimination and harassment. That includes ensuring equal opportunity in our hiring practices and in our treatment of employees regardless of their race, color, religion, disability, national origin, gender, sexual orientation, gender identity and expression, marital status, family responsibility, age, or other characteristic protected by law. Our Code of Conduct lays out guidelines to maintain a fair and safe workplace.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build teams that fully leverage individuals’ capabilities and the breadth of skills, perspectives and experiences represented in our workforce. We believe this motivates our employees to be engaged and productive, enables us to attract new talent, helps us effectively serve our customers, and advances innovation from ideas contributed as a result of the variety of backgrounds, experiences, and perspectives of our employees. To that end, we partner with human resources and leadership teams across our portfolio of companies on talent outreach action plans to identify and recruit qualified candidates with a variety of backgrounds, skills, and experiences. We aim to cultivate an inclusive culture that enables employees to feel connected to our business objectives and valued for their contributions.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Health and Safety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achieving our vision of a zero-harm workplace and continue to prioritize health and safety compliance, risk mitigation, and process improvement across the organization. We utilize a global EHS information management system designed to measure and track key metrics and actions pertinent to our health and safety programs. This software supports our strategy to proactively reduce hazards thereby further enhancing shop floor safety. Through our efforts, we have reduced our total recordable injury rate substantially since 2019.</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Human Capital Investments Related to Strategic Priorities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line with our strategic priorities, we have additionally invested in the following aspects of human capital resource management, among other areas: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Dover Digital Labs – We are continuing to leverage our Digital Labs team to improve our digital capabilities. Our team of software developers, data scientists, manufacturing engineers, and product managers drive digital transformation across our businesses by enhancing customer experience, developing connected industrial products, enabling digital manufacturing and securing our digital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Operational management – Our operations teams, including our management team at the corporate center, focuses on improving operational efficiency, such as implementing production automation.</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Shared services – We are continuing to further centralize shared services under Dover Business Services and our India Innovation Center. Our shared services capabilities include a wide range of functional areas including transactional support, human resources, IT, finance and accounting, engineering and product development. These services enable increased productivity and growth as well as free up resources within our operating companies to focus on customers, markets and product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Intellectual Property and Intangible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own many patents, trademarks, licenses and other forms of intellectual property, which have been created, registered or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of these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Customers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thousands of customers, none of which accounted for more than 10% of our consolidated revenue in 2024. Given our diversity of served markets, customer concentrations are not significant. Businesses supplying the defense and commercial refrigeration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 aforementioned seasonality patterns. Our food retail refrigeration business tends to face higher levels of demand in the second and third quarters as retailers avoid construction and remodeling activity during fall/winter holidays.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Competition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tbl>
      <w:tblPr>
        <w:tblW w:w="10205" w:type="dxa"/>
        <w:jc w:val="left"/>
        <w:tblInd w:w="0" w:type="dxa"/>
        <w:tblLayout w:type="fixed"/>
        <w:tblCellMar>
          <w:top w:w="28" w:type="dxa"/>
          <w:left w:w="28" w:type="dxa"/>
          <w:bottom w:w="28" w:type="dxa"/>
          <w:right w:w="28" w:type="dxa"/>
        </w:tblCellMar>
      </w:tblPr>
      <w:tblGrid>
        <w:gridCol w:w="907"/>
        <w:gridCol w:w="551"/>
        <w:gridCol w:w="558"/>
        <w:gridCol w:w="109"/>
        <w:gridCol w:w="109"/>
        <w:gridCol w:w="109"/>
        <w:gridCol w:w="2346"/>
        <w:gridCol w:w="2273"/>
        <w:gridCol w:w="3243"/>
      </w:tblGrid>
      <w:tr>
        <w:trPr/>
        <w:tc>
          <w:tcPr>
            <w:tcW w:w="90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Key Competitors</w:t>
            </w:r>
          </w:p>
        </w:tc>
      </w:tr>
      <w:tr>
        <w:trPr/>
        <w:tc>
          <w:tcPr>
            <w:tcW w:w="2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Snap-On Inc. (Challenger Lifts, Car-O-Liner), The COATS Company, Arrowhead Winch, Teledyne, Nordson Corporation</w:t>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Vontier (Gilbarco Veeder-Root, DRB), Tatsuno, Verifone, Franklin Electric, Elaflex, Ingersoll Rand (Emco Wheaton), Crane Company (Cryoflo), Dixon Valve &amp; Coupling Company, PDI Technologies, Inc., Salco, Sonny's Enterprises LLC, National Carwash Solutions, Washtec AG</w:t>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Veralto Corporation (Videojet), Brother Industries, Ltd. (Domino Printing), Electronics for Imaging (Reggiani), SPG Prints, Konica Minolta, Kornit Digital Ltd.</w:t>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IDEX Corporation, Ingersoll Rand, Millipore, Danaher Corporation (Pall), Avantor (Masterflex), Nordson Corporation, ITT, SPX Flow Inc. (Waukesha), Spirax Sarco (Watson Marlow), Kingsbury, Seko, Ecolab, Hoerbiger Holdings AG, Miba AG, Hillenbrand Inc. (Coperion)</w:t>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Panasonic (Hussman Corp.), Alfa Laval, Danfoss, Stolle Machinery, Crown Holdings</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International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our strategic focus on positioning our businesses for growth, we aim to grow our revenue in international markets, particularly in developing economies in Asia, the Middle East, Eastern Europe and South America.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non-U.S. subsidiaries and affiliates are currently based in China, France, Germany, Italy, Sweden, Switzerland, the United Kingdom, and other locations including Australia, Brazil, Canada, India, Mexico, and the Netherlands.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annual revenue derived from customers outside the U.S. as a percentage of total annual revenue for each of the last three years, by segment and in total:</w:t>
      </w:r>
    </w:p>
    <w:tbl>
      <w:tblPr>
        <w:tblW w:w="9698" w:type="dxa"/>
        <w:jc w:val="left"/>
        <w:tblInd w:w="0" w:type="dxa"/>
        <w:tblLayout w:type="fixed"/>
        <w:tblCellMar>
          <w:top w:w="28" w:type="dxa"/>
          <w:left w:w="28" w:type="dxa"/>
          <w:bottom w:w="28" w:type="dxa"/>
          <w:right w:w="28" w:type="dxa"/>
        </w:tblCellMar>
      </w:tblPr>
      <w:tblGrid>
        <w:gridCol w:w="2391"/>
        <w:gridCol w:w="2098"/>
        <w:gridCol w:w="2110"/>
        <w:gridCol w:w="205"/>
        <w:gridCol w:w="156"/>
        <w:gridCol w:w="362"/>
        <w:gridCol w:w="145"/>
        <w:gridCol w:w="145"/>
        <w:gridCol w:w="145"/>
        <w:gridCol w:w="205"/>
        <w:gridCol w:w="156"/>
        <w:gridCol w:w="362"/>
        <w:gridCol w:w="145"/>
        <w:gridCol w:w="145"/>
        <w:gridCol w:w="145"/>
        <w:gridCol w:w="205"/>
        <w:gridCol w:w="156"/>
        <w:gridCol w:w="422"/>
      </w:tblGrid>
      <w:tr>
        <w:trPr/>
        <w:tc>
          <w:tcPr>
            <w:tcW w:w="239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Percentage of Non-U.S. Revenue </w:t>
              <w:br/>
              <w:t>by Segment</w:t>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percentage of revenue derived from customers outside of the United States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certain risks, such as price and exchange rate fluctuations and non-U.S. governmental restrictions, which are discussed further in Item 1A. "Risk Factors." For additional details regarding our non-U.S. revenue, impact of foreign currency exchange rates, and the geographic allocation of the assets, see Management's Discussion and Analysis of Financial Condition and Results of Operations and Note 19 — Segment Information to the consolidated financial statements in Items 7 and 8, respectively, of this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Sustainability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creating economic value for shareholders by developing products designed to help our customers meet their sustainability goals, run their operations more efficiently and satisfy evolving regulatory and environmental standards. We believe that sustainability-driven innovation in response to customer demand helps us contribute positively to enhanced resource efficiency and waste reduction while presenting a valuable growth opportunity. Aligned with this commitment, in 2021, we announced science-based targets to reduce our greenhouse gas emissions. These targets include an absolute reduction of scope 1 and scope 2 market-based greenhouse gas emissions of 30 percent by 2030, from a 2019 baseline year, and an absolute reduction of scope 3 greenhouse gas emissions of 15 percent by 2030, from a 2019 baseline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highlight key initiatives and performance metrics about our sustainability activities under the "Sustainability" tab on our website, www.dovercorporation.com.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 impacts associated with climate change regulation would be primarily indirect and would result in "pass-through" costs from energy suppliers, suppliers of raw materials and other services related to our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contents of our website are not intended to be incorporated by reference into this Form 10-K, and any reference to our website is intended to be inactive textual references only.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businesses, including our results of operations, liquidity and financial condition.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and Operational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Recessions, adverse market conditions or downturns in the markets we serve could adversely affect our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our operations have been exposed to volatility due to changes in general economic conditions or consumer preferences, recessions or adverse conditions in the markets we serve. In the future, similar changes could adversely impact overall sales, operating results (including potential impairment charges for goodwill or other long-lived assets) and cash flows. Moreover, during economic downturns we may undertake more extensive restructuring actions, including workforce reductions, global facility consolidations, centralization of certain business support activities, and other cost reduction initiatives, and incur higher costs. As these plans and actions can be complex, the anticipated operational improvements, efficiencies and other benefits might be delayed or not realized. We are unable to determine the impact that recessions, adverse market conditions or downturns will have on our financial position, operating results and cash flows in future periods.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Increases in labor costs, potential labor disputes and work stoppages or an inability to hire skilled personnel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collective bargaining units in the U.S. and various collective labor arrangements outside the U.S. We are subject to potential work stoppages, union and works council campaigns and other labor disputes, any of which could adversely impact our productivity, reputation, results of operations,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competition for skilled personnel is often intense in the regions in which our manufacturing facilities are located. A sustained labor shortage or increased turnover rates within our employee base, increases in the salaries and wages paid by competing employers,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reputation, ability to do business and results of operations may be impaired by improper conduct by any of our employees, agents, or business partners.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strive to maintain high standards, we cannot provide assurance that our internal controls and compliance systems will always protect us from acts committed by our employees, agents, or business partners that would violate the laws of the jurisdictions where we do business, including the laws governing payments to government officials, bribery, fraud, anti-kickback and false claims, competition, export and import compliance, environmental compliance, money laundering and data privacy, as well as the improper use of proprietary information or social media. Any such violations of law or improper actions could: subject us to civil or criminal investigations; lead to substantial civil or criminal, monetary and non-monetary penalties and related shareholder lawsuits; lead to increased costs of compliance; and damage our reputation, our consolidated results of operations, financial condition and cash flows.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We are subject to risks relating to our existing international operations and expansion into new geographical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46% and 48% of our revenues for 2024 and 2023, respectively, were derived outside the United States and we expect international sales to continue to represent a significant portion of our revenues given our global growth strategy. As a result of our international operations and our global expansion strategy, we are subject to various risks,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6"/>
        <w:gridCol w:w="2862"/>
        <w:gridCol w:w="40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social and economic instability and disruptions;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import and export controls, economic sanctions, embargoes or trade restrictions;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imposition of duties and tariffs and other trade barriers and retaliatory countermeasures;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on ownership and dividend of earnings;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delays and interruptions;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to theft of proprietary information and/or intellectual property;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unrest and current and changing regulatory environments;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o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widespread public health crises, such as a pandemic or epidemic;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compliance costs, including costs associated with disclosure requirements and related due diligence;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loss of a single-source manufacturing facility;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difficulties in staffing and managing multi-national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limitations on our ability to enforce legal rights and remedies;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o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adverse tax consequences;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access to or control of networks and confidential information due to local government controls and vulnerability of local networks to cyber risks.</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businesses or operations may be adversely affected by natural or human-induced disasters, acts of war, terrorism, international conflicts, and public health crises.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or operations may be adversely affected by natural or human-induced disasters including, but not limited to, earthquakes; tsunamis; floods; hurricanes, cyclones or typhoons; fires; other extreme weather conditions; power or water shortages; telecommunications failures; materials scarcity; terrorist acts, civil unrest, conflicts or wars; and health epidemics or pandemics. The occurrence of any such event, and the measures taken in response thereto, may disrupt the global economy and adversely impact our operations, including demand for our products across multiple end-markets as well as our supply chain and operations. Existing insurance coverage may not provide protection for all of the costs that may arise from such events. Additionally, concerns over the economic impact of such events could cause increased volatility in financial and other capital markets, adversely impacting our stock price, our ability to access the capital markets, and our ability to fund liquidity needs.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impacts of any such unexpected event are difficult to predict but could have a material adverse effect on our businesses, financial condition, or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operations, businesses, products and business strategy are subject to cybersecurity risks.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Although we have processes and procedures in place designed to manage and mitigate cybersecurity risk, our business is still subject to certain risks.</w:t>
      </w:r>
      <w:r>
        <w:rPr>
          <w:color w:val="000000"/>
        </w:rPr>
        <w:t xml:space="preserve"> </w:t>
      </w:r>
      <w:r>
        <w:rPr>
          <w:rFonts w:ascii="Times New Roman;sans-serif" w:hAnsi="Times New Roman;sans-serif"/>
          <w:b w:val="false"/>
          <w:color w:val="000000"/>
          <w:sz w:val="20"/>
        </w:rPr>
        <w:t xml:space="preserve">We depend on our own and third party information systems, including cloud-based systems and managed service providers, to store, process and protect our information and support our business activities. We also use third party systems to support employee data processing for our global workforce and to support customer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such as transmitting payment information, providing mobile monitoring services, and capturing operational data. Additionally, some of our products contain integrated hardware and software and offer the ability to connect to networks. While we have measures in place that are designed to protect our systems and provide oversight for third party system cybersecurity risks, these systems have been and are expected to continue to be the target of cyber attacks. Although we conduct security assessments and periodic re-assessments of third party partners and other service providers, these systems have in the past and may in the future experience vulnerabilities, including from third-party or open source software code that may be incorporated into our own or our vendors’ systems. Any prolonged system disruption in our systems or third-party services could negatively impact the coordination of our sales, planning, and manufacturing activities, which could harm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has both an increasing reliance on systems and an increasing digital footprint as a result of changing technologies, connected devices and digital offerings, as well as expanded remote work policies.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ransomware, or other intrusions, misuse or malicious use of artificial intelligence,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legal claims or legal proceedings, including regulatory investigations, actions and fines; and damage to our reputation. We regularly assess our threat landscape and monitor our systems and other technical security controls, maintain information security policies and procedures, including a breach response plan, ensure maintenance of backup and protective systems, and have a team of security personnel managing our efforts and initiatives. However, there has been a rise in the number of cyberattacks targeting confidential business information generally and in the manufacturing industry specifically, as well as an increase in cyberattacks targeting managed service providers, by both state-sponsored and criminal organizations. Moreover, there has been a rise in the number of cyberattacks that depend on human error or manipulation, including phishing attacks or schemes that use social engineering to gain access to systems or perpetuate wire transfer or other frauds.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trends increase the likelihood of such events occurring as well as the costs associated with protecting against such events. It is possible for vulnerabilities in our systems to remain undetected for an extended period of time up to and including several years. We attempt to mitigate these risks by employing a number of measures, including employee training, systems monitoring and other technical security controls, vulnerability scanning, risk assessments, a breach response plan, maintenance of backup and protective systems, and security personnel. Notwithstanding those measures, our systems, networks, products and services remain potentially vulnerable to known or unknown cybersecurity attacks and other threats, any of which could have a material adverse effect on our consolidated results of operations, financial condition and cash flows. We continuously monitor and develop our systems to protect our technology infrastructure and data from misappropriation or corruption. However,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 increased online connectivity within our information systems and through more Internet-enabled products and offerings, we expect to expend additional resources to continue to build out our compliance programs, strengthen our information security, data protection and business continuity measures, and investigate and remediate vulnerabilities. For additional information on our cybersecurity risk management, strategy and governance, see Item 1C. "Cybersecurity."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Unforeseen developments in contingencies such as litigation and product recalls could adversely affect our consolidated results of operations,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revenue, operating profits and cash flows could be adversely affected if our businesses are unable to protect or obtain patent and other intellectual property rights.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their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We could be negatively impacted by environmental, social and governance (ESG) and sustainability matters.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Governments, shareholders, customers, employees and other stakeholders are increasingly focusing on corporate ESG practices and disclosures, and expectations in this area continue to evolve and may diverge. Moreover, there are increasing government efforts, domestically and internationally, pertaining to mandatory sustainability reporting. These evolving expectations and reporting requirements may require us to expend substantial resources, could result in reduced demand for certain of our products and services, and could adversely impact our reputation, business, financial condition and results of operations if we are unable to respond to them effectively.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Industry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Increasing product, service and price competition by international and domestic competitors, including new entrants, and our inability to introduce new and competitive products could cause our businesses to generate lower revenue, operating profits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If our businesses are unable to anticipate their competitors' developments or identify customer needs and preferences on a timely basis, successfully introduce new products, digital solutions and support services in response to such competitive factors, or adopt to market changes relating to climate change related policies, they could lose customers to competitors. If our businesses do not compete effectively, we may experience lower revenue, operating profits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operating results depend in part on the timely development and commercialization, and customer acceptance, of new and enhanced products, digital solutions and support services based on technological innovation.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to provide adequate data security and privacy protections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We could lose customers or generate lower revenue, operating profits and cash flows if there are significant increases in the cost of our raw materials or components, or if suppliers are not able to meet our quality and delivery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raw materials, sub-assemblies and components for use in our manufacturing operations. Factors such as freight costs, transportation availability, inventory levels, the level of imports, the imposition of duties, tariffs and other trade barriers and general economic conditions may affect the price of these raw materials, sub-assemblies and components. Significant price increases for certain commodities, other raw materials or components could adversely affect operating profits of our businesses. While we generally attempt to mitigate the impact of increased raw material prices by hedging or passing along the increased costs to customers, there may be a time delay between the increased raw material prices and the ability to increase the prices of products, or we may be unable to increase the prices of products due to a competitor's pricing pressure or other factors.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a wide range of raw materials and components in our manufacturing operations that come from numerous suppliers. While we believe that sources of supply for raw materials and components are generally adequate, it is difficult to predict what effects of extended lead times or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The disruption of our global supply chain for any reason, including for issues such as COVID-19 or other health epidemics or pandemics, labor disputes, loss of single source or limited source supplier, inability to procure sufficient raw materials, quality control issues, ethical sourcing issues, discontinuity or disruption in our internal information and data systems or those of our suppliers, cybersecurity incidents including but not limited to ransomware attacks, misuse of artificial intelligence and machine learning technologies, a supplier's financial distress, natural disasters, looting, vandalism or acts of war or terrorism, trade sanctions or other external factors over which we have no control, could interrupt product supply and, if not effectively managed and remedied, have a material adverse impact on our business operations,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Legal and Regulatory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sustainability regulations,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Any of these factors could adversely affect customer demand, our relationships with customers and suppliers, and our business and financial position.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businesses have sales or operations in countries, including Brazil,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impacted by the mix of earnings among countries with differing statutory tax rates, changes in the valuation allowance of deferred tax assets and changes in income tax laws. The amount of income taxes and other taxes paid can be adversely impacted by changes in statutory tax rates and laws and are subject to ongoing audits by governmental authorities. If these audits result in assessments different from amounts estimated, then our consolidated results of operations, financial position and cash flows may be adversely affected by unfavorable tax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Financial and Strategic Risks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Our exposure to exchange rate fluctuations on cross-border transactions and the translation of local currency results into U.S. dollars could negatively impact our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Danish krone, and Canadian dollar, could cause fluctuations in the reported results of our businesses' operations that could negatively affect our results of operations. Additionally, the strengthening of certain currencies such as the euro and 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450"/>
        <w:jc w:val="both"/>
        <w:rPr/>
      </w:pPr>
      <w:r>
        <w:rPr>
          <w:color w:val="000000"/>
        </w:rPr>
        <w:t>•</w:t>
      </w:r>
      <w:r>
        <w:rPr>
          <w:rFonts w:ascii="Times New Roman;sans-serif" w:hAnsi="Times New Roman;sans-serif"/>
          <w:b/>
          <w:i/>
          <w:color w:val="000000"/>
          <w:sz w:val="20"/>
        </w:rPr>
        <w:t xml:space="preserve">Our growth and results of operations may be adversely affected if we are unsuccessful in our capital allocation and acquisition program. </w:t>
      </w:r>
    </w:p>
    <w:p>
      <w:pPr>
        <w:pStyle w:val="TextBody"/>
        <w:bidi w:val="0"/>
        <w:spacing w:before="0" w:after="0"/>
        <w:ind w:left="0" w:right="0" w:hanging="90"/>
        <w:jc w:val="both"/>
        <w:rPr/>
      </w:pPr>
      <w:r>
        <w:rPr/>
      </w:r>
    </w:p>
    <w:p>
      <w:pPr>
        <w:pStyle w:val="TextBody"/>
        <w:bidi w:val="0"/>
        <w:spacing w:lineRule="auto" w:line="288" w:before="0" w:after="0"/>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The indemnification provisions of acquisition and disposition agreements by which we have acquired or sold or disposed of companies may not fully protect us and may result in unexpected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 through indemnifications made to the buyers of businesses we have sold or disposed against known and unknown contingent liabilities such as tax liabilities and environmental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Management and Strategy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face significant and persistent cybersecurity risks and our business has both an increasing reliance on systems and an increasing digital footprint as a result of changing technologies, connected devices and digital offerings, as well as expanded remote work policies. We regularly assess our threat landscape and monitor our systems and other technical security controls, maintain information security policies and procedures, including a breach response plan, take steps to ensure maintenance of backup and protective systems, and have a team of security personnel managing our efforts and initiatives. We regularly review our policies, practices, and plans with assistance from third party experts and advisors for certification purposes, including with respect to SOC 2 certifications and Payment Card Industry Data Security Standard (PCI-DSS) certifications where relevant, and leverage third party resources to support our cyber risk defense, monitoring and response processes. We conduct security assessments and periodic re-assessments on key third party partners and other service providers with access to information assets of Dover. We review independent audit reports from key third party partners and other service providers with access to information assets at least annually. In addition, our online employees are required to participate in cyber, information security, and privacy training at least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an operational perspective, we use vulnerability scanning tools to assess potential data security risks. We correlate the results and prioritize any key actions based on threat modeling analysis and monitor any such actions in-progress with the system owners based on assigned timelines for remediation. However, patch and vulnerability management, including for products and information assets, remains a complex and key risk that has in the past led to and may in the future lead to exploits, security breaches and service disruption. We also integrate security measures into our digital products and services, although product security risks will continue to evolve and grow more complex.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security efforts are informed in part by key tenants of various industry security standards such as ISA 62443, UL 2000-1, and certain standards from the National Institute of Standards &amp; Technology ("NIST"). As part of our efforts, we conduct risk assessments and prioritize security validation for certain of our products. For example, we conduct security testing and remediation on a risk-based prioritized basis prior to releasing certain products into the market, as well as periodically post-release to discover potential issues in code, firmware, and protocols and to consider potential security patches or future version updates. We have received SOC 2 certifications for some of our products and software offerings and continue to strive to meet similar requirements for other digital offerings.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enterprise risk management program, led by a team of senior executives, includes the performance of an annual risk assessment made at the corporate center and operating company levels, and is designed to identify enterprise level risks we may face, including cybersecurity risk at a high level. Each quarter, this team reassesses the identified enterprise risks, the severity of these risks, and the status of efforts to mitigate them. We also engage consultants and other third parties for periodic risk and vulnerability testing and assessment.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insurance coverage that is intended to address certain aspects of cybersecurity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of these measures, our systems, networks, products and services remain potentially vulnerable to known or unknown cybersecurity attacks and other threats, any of which could have a material adverse effect on our consolidated results of operations, financial condition and cash flows. We have experienced, and will continue to experience, cyber incidents in the normal course of our business. As of the date of this report, we have not identified any specific risks from cybersecurity threats, including those from any previous cybersecurity incidents, that have materially affected us, our business strategy, results of operation or financial condition. However, there can be no assurances that a cybersecurity threat or incident that could have a material impact on us will not occur in the future. For additional information on the risks we face from cyber security threats, please see the risk factor titled, "Our operations, businesses, products, and business strategy are subject to cybersecurity risks,"in Item 1A. "Risk Factors."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established a risk management process to identify and manage material risks at the enterprise level, including the potential impact of key cybersecurity threats. The full Board meets with the Senior Vice President &amp; Chief Digital Officer (CDO) and our Chief Information Security Officer (CISO) on at least an annual basis to discuss our cybersecurity posture. The Board also periodically receives targeted briefings related to cybersecurity and reviews our incident response capabilities.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CDO and CISO work to protect the Company’s information systems from cybersecurity threats and to promptly assist in coordinating a response to any cybersecurity incidents in accordance with the Company’s cybersecurity incident response and recovery plans and processes as described above. The CDO is responsible for corporate-wide data security, and the CISO is responsible for developing, implementing and enforcing security policies at the corporate level and providing guidance for the operating companies to manage our overall cybersecurity risks. The CDO and CISO are informed about and monitor the prevention, mitigation, detection, and remediation of cybersecurity incidents through their management of the cybersecurity incident response and recovery plans and processes, as described above. The CDO and CISO also periodically meet with certain corporate officers, such as the Company’s Chief Financial Officer and General Counsel to review and discuss cybersecurity issues.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CDO has over 30 years of information technology experience, including at several Fortune 500 companies and including experience with cybersecurity initiatives that address governance, operational practices, cyber-awareness and technology. The CISO has over 25 years of cybersecurity and risk management experience, specializing in strategy, architecture, and operational practices at multiple Fortune 500 companies. The CDO holds an undergraduate degree in electrical and electronics engineering, a master’s degree in computer science and a master’s degree in business administration. The CISO holds an undergraduate degree in political science and a master's degree in information security, along with Certified Information Systems Security Professional (CISSP) and Information Systems Security Management Professional (ISSMP) certifications.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CDO and CISO annually brief our full Board of Directors on enterprise-wide cybersecurity risk management and our overall cybersecurity risk environment.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type, location and size of the properties used by our operations as of December 31, 2024 are shown in the following charts, by segment:</w:t>
      </w:r>
    </w:p>
    <w:tbl>
      <w:tblPr>
        <w:tblW w:w="10205" w:type="dxa"/>
        <w:jc w:val="left"/>
        <w:tblInd w:w="0" w:type="dxa"/>
        <w:tblLayout w:type="fixed"/>
        <w:tblCellMar>
          <w:top w:w="28" w:type="dxa"/>
          <w:left w:w="28" w:type="dxa"/>
          <w:bottom w:w="28" w:type="dxa"/>
          <w:right w:w="28" w:type="dxa"/>
        </w:tblCellMar>
      </w:tblPr>
      <w:tblGrid>
        <w:gridCol w:w="997"/>
        <w:gridCol w:w="702"/>
        <w:gridCol w:w="706"/>
        <w:gridCol w:w="460"/>
        <w:gridCol w:w="460"/>
        <w:gridCol w:w="461"/>
        <w:gridCol w:w="119"/>
        <w:gridCol w:w="119"/>
        <w:gridCol w:w="119"/>
        <w:gridCol w:w="355"/>
        <w:gridCol w:w="355"/>
        <w:gridCol w:w="356"/>
        <w:gridCol w:w="119"/>
        <w:gridCol w:w="119"/>
        <w:gridCol w:w="119"/>
        <w:gridCol w:w="362"/>
        <w:gridCol w:w="362"/>
        <w:gridCol w:w="363"/>
        <w:gridCol w:w="119"/>
        <w:gridCol w:w="119"/>
        <w:gridCol w:w="119"/>
        <w:gridCol w:w="190"/>
        <w:gridCol w:w="190"/>
        <w:gridCol w:w="191"/>
        <w:gridCol w:w="109"/>
        <w:gridCol w:w="109"/>
        <w:gridCol w:w="109"/>
        <w:gridCol w:w="308"/>
        <w:gridCol w:w="308"/>
        <w:gridCol w:w="229"/>
        <w:gridCol w:w="172"/>
        <w:gridCol w:w="172"/>
        <w:gridCol w:w="172"/>
        <w:gridCol w:w="308"/>
        <w:gridCol w:w="308"/>
        <w:gridCol w:w="320"/>
      </w:tblGrid>
      <w:tr>
        <w:trPr/>
        <w:tc>
          <w:tcPr>
            <w:tcW w:w="9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and nature of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Square footage (in 000s)</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Manufacturing</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Warehouse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 / Service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Leased</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1"/>
        <w:gridCol w:w="605"/>
        <w:gridCol w:w="608"/>
        <w:gridCol w:w="347"/>
        <w:gridCol w:w="347"/>
        <w:gridCol w:w="349"/>
        <w:gridCol w:w="109"/>
        <w:gridCol w:w="109"/>
        <w:gridCol w:w="109"/>
        <w:gridCol w:w="245"/>
        <w:gridCol w:w="245"/>
        <w:gridCol w:w="246"/>
        <w:gridCol w:w="109"/>
        <w:gridCol w:w="109"/>
        <w:gridCol w:w="109"/>
        <w:gridCol w:w="180"/>
        <w:gridCol w:w="181"/>
        <w:gridCol w:w="161"/>
        <w:gridCol w:w="109"/>
        <w:gridCol w:w="109"/>
        <w:gridCol w:w="109"/>
        <w:gridCol w:w="200"/>
        <w:gridCol w:w="200"/>
        <w:gridCol w:w="201"/>
        <w:gridCol w:w="109"/>
        <w:gridCol w:w="109"/>
        <w:gridCol w:w="109"/>
        <w:gridCol w:w="190"/>
        <w:gridCol w:w="190"/>
        <w:gridCol w:w="191"/>
        <w:gridCol w:w="109"/>
        <w:gridCol w:w="109"/>
        <w:gridCol w:w="109"/>
        <w:gridCol w:w="416"/>
        <w:gridCol w:w="416"/>
        <w:gridCol w:w="228"/>
        <w:gridCol w:w="228"/>
        <w:gridCol w:w="228"/>
        <w:gridCol w:w="228"/>
        <w:gridCol w:w="416"/>
        <w:gridCol w:w="416"/>
        <w:gridCol w:w="367"/>
      </w:tblGrid>
      <w:tr>
        <w:trPr/>
        <w:tc>
          <w:tcPr>
            <w:tcW w:w="9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dates of leased facilities (in years)</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owned and leased facilities are well-maintained and suitable for our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 Commitments and Contingent Liabilities in the consolidated financial statements in Item 8 of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INFORMATION ABOUT OUR EXECUTIVE OFFICERS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officers are elected annually at the first meeting of the Board of Directors following our annual meeting of shareholders, and are subject to removal at any time by the Board of Directors. Our executive officers as of February 14, 2025, and their positions with Dover (and, where relevant, prior business experience) for the past five years, are as follows:</w:t>
      </w:r>
    </w:p>
    <w:tbl>
      <w:tblPr>
        <w:tblW w:w="10205" w:type="dxa"/>
        <w:jc w:val="center"/>
        <w:tblInd w:w="0" w:type="dxa"/>
        <w:tblLayout w:type="fixed"/>
        <w:tblCellMar>
          <w:top w:w="28" w:type="dxa"/>
          <w:left w:w="28" w:type="dxa"/>
          <w:bottom w:w="28" w:type="dxa"/>
          <w:right w:w="28" w:type="dxa"/>
        </w:tblCellMar>
      </w:tblPr>
      <w:tblGrid>
        <w:gridCol w:w="565"/>
        <w:gridCol w:w="305"/>
        <w:gridCol w:w="310"/>
        <w:gridCol w:w="109"/>
        <w:gridCol w:w="109"/>
        <w:gridCol w:w="109"/>
        <w:gridCol w:w="135"/>
        <w:gridCol w:w="135"/>
        <w:gridCol w:w="136"/>
        <w:gridCol w:w="109"/>
        <w:gridCol w:w="109"/>
        <w:gridCol w:w="109"/>
        <w:gridCol w:w="2827"/>
        <w:gridCol w:w="2125"/>
        <w:gridCol w:w="3013"/>
      </w:tblGrid>
      <w:tr>
        <w:trPr/>
        <w:tc>
          <w:tcPr>
            <w:tcW w:w="56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Positions Held and Prior Business Experience</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Richard J. Tobin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 (since May 2018) and Director (since August 2016) of Dover; prior thereto Chief Executive Officer (from 2013 to 2018) of CNH Industrial NV.</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Jeffrey Yehle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Human Resources Officer (since July 2024) of Dover; prior thereto Executive Vice President, Chicago Market Leader of Gallagher (from September 2020 to July 2024); prior thereto Regional Vice President of Sharecare (from August 2019 to September 2020).</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Ivonne M. Cabrera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Senior Vice President, General Counsel and Secretary (since January 2013) of Dover.</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B. Woenker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Financial Officer (since January 31, 2025) of Dover; prior thereto Segment Chief Financial Officer (from June 2017 to January 2025) of Dover.</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Girish Juneja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Digital Officer (since May 2017) of Dover; prior thereto Senior Vice President/Chief Technology Officer and General Manager of the Marketplace Solutions Business of Altisource (from January 2014 to April 2017).</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5"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James M. Moran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Vice President, Treasurer (since November 2015) of Dover; prior thereto Senior Vice President and Treasurer (from June 2013 to August 2015) of Navistar International Corporation ("NIC"); prior thereto Vice President and Treasurer (from 2008 to June 2013) of NIC; also served as Senior Vice President and Treasurer of Navistar, Inc. (from June 2013 to August 2015).</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Ryan W. Paulson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Vice President and Controller (since July 2019) of Dover; prior thereto Assistant Controller, Global Consolidations and Operations Accounting (from August 2017 to July 2019); prior thereto partner at PricewaterhouseCoopers LLP (from July 2012 to June 2017).</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Brad M. Cerepak, who was formerly Senior Vice President and Chief Financial Officer (since May 2011) of Dover, retired as of January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 and Dividends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market in which Dover common stock is traded is the New York Stock Exchange.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Holders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2025, there were 1,078 holders of record of Dover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Securities Authorized for Issuance Under Equity Compensation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relating to securities authorized for issuance under our equity compensation plans is contained in Part III, Item 12 of this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Recent Sales of Unregistered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Company's Board of Directors approved a standing share repurchase authorization whereby the Company may repurchase up to 20 million shares beginning on January 1, 2024 through December 31, 2026. There were no share repurchases during the fourth quarter of 2024. As of December 31, 2024, 17,130,718 shares remained authorized for repurchase under the August 2023 share repurchase authorization.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i/>
          <w:color w:val="000000"/>
          <w:sz w:val="20"/>
        </w:rPr>
        <w:t xml:space="preserve">Comparison of Five-Year Cumulative Total Return </w:t>
      </w:r>
      <w:r>
        <w:rPr>
          <w:rFonts w:ascii="Times New Roman;sans-serif" w:hAnsi="Times New Roman;sans-serif"/>
          <w:b/>
          <w:i/>
          <w:color w:val="000000"/>
          <w:sz w:val="13"/>
        </w:rPr>
        <w:t>+</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Dover Corporation, S&amp;P 500 Index, S&amp;P 500 Industrials Index</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 Shareholder Returns</w:t>
      </w:r>
    </w:p>
    <w:p>
      <w:pPr>
        <w:pStyle w:val="TextBody"/>
        <w:bidi w:val="0"/>
        <w:spacing w:before="0" w:after="0"/>
        <w:jc w:val="center"/>
        <w:rPr/>
      </w:pPr>
      <w:r>
        <w:rPr/>
      </w:r>
    </w:p>
    <w:p>
      <w:pPr>
        <w:pStyle w:val="TextBody"/>
        <w:bidi w:val="0"/>
        <w:spacing w:before="0" w:after="0"/>
        <w:jc w:val="center"/>
        <w:rPr/>
      </w:pPr>
      <w:r>
        <w:rPr/>
        <w:drawing>
          <wp:inline distT="0" distB="0" distL="0" distR="0">
            <wp:extent cx="5495925" cy="33623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5495925" cy="3362325"/>
                    </a:xfrm>
                    <a:prstGeom prst="rect">
                      <a:avLst/>
                    </a:prstGeom>
                  </pic:spPr>
                </pic:pic>
              </a:graphicData>
            </a:graphic>
          </wp:inline>
        </w:drawing>
      </w:r>
    </w:p>
    <w:p>
      <w:pPr>
        <w:pStyle w:val="TextBody"/>
        <w:bidi w:val="0"/>
        <w:spacing w:before="0" w:after="0"/>
        <w:jc w:val="center"/>
        <w:rPr/>
      </w:pPr>
      <w:r>
        <w:rPr/>
      </w:r>
    </w:p>
    <w:p>
      <w:pPr>
        <w:pStyle w:val="TextBody"/>
        <w:bidi w:val="0"/>
        <w:spacing w:before="0" w:after="12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Source: Research Data Group, Inc.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 </w:t>
      </w:r>
    </w:p>
    <w:p>
      <w:pPr>
        <w:pStyle w:val="TextBody"/>
        <w:bidi w:val="0"/>
        <w:spacing w:lineRule="auto" w:line="288" w:before="100" w:after="100"/>
        <w:jc w:val="both"/>
        <w:rPr/>
      </w:pPr>
      <w:r>
        <w:rPr>
          <w:rFonts w:ascii="Times New Roman;sans-serif" w:hAnsi="Times New Roman;sans-serif"/>
          <w:b w:val="false"/>
          <w:color w:val="000000"/>
          <w:sz w:val="13"/>
        </w:rPr>
        <w:t>+</w:t>
      </w:r>
      <w:r>
        <w:rPr>
          <w:rFonts w:ascii="Times New Roman;sans-serif" w:hAnsi="Times New Roman;sans-serif"/>
          <w:b w:val="false"/>
          <w:color w:val="000000"/>
          <w:sz w:val="20"/>
        </w:rPr>
        <w:t xml:space="preserve">Total return assumes reinvestment of dividends.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graph assumes $100 invested on December 31, 2019 in Dover common stock, the S&amp;P 500 Index and the S&amp;P 500 Industrials Index.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is intended to help the reader understand our results of operations and financial condition for the year ended December 31, 2024, 2023 and 2022.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 Corporation is a diversified global manufacturer and solutions provider delivering innovative equipment and components, consumable supplies, aftermarket parts, software and digital solutions and support services.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consolidated revenue was $7.7 billion, an increase of $61.4 million or 0.8%, as compared to the prior year. The increase is driven by acquisition-related growth of 3.0%, partially offset by a disposition-related decline of 2.0% and an unfavorable impact from foreign currency translation of 0.2%. The results were driven by acquisitions, solid demand across most end markets and strategic pricing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Organic revenue remained flat due to increases of 8.2%, 2.6%, 2.4%, and 1.4% in our Engineered Products, Clean Energy &amp; Fueling, Imaging &amp; Identification, and Pumps &amp; Process Solutions segments, respectively, offset by the Climate &amp; Sustainability Technologies segment which declined 11.2%. For further information, see "Segment Results of Operations" within this Item 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a geographic perspective, organic revenue for the U.S., our largest market, grew 3.8% as compared to the prior year, driven by broad-based growth primarily in our Engineered Products and Clean Energy &amp; Fueling segments. Revenue in Asia and Europe declined 7.1% and 3.1%, respectively, while revenue in Other Americas grew 5.6%. All other geographic markets declined 17.4% organically year over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Bookings increased 7.3% over the prior year to $7.7 billion for the year ended December 31, 2024. This included organic bookings growth of 6.5% and acquisition-related growth of 3.2%, partially offset by a disposition-related decline of 2.1% and an unfavorable impact from foreign currency translation of 0.3%.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costs of $85.0 million included restructuring charges of $69.8 million and other costs of $15.2 million. Restructuring and other costs were primarily related to headcount reductions and product line and other exit costs in the Clean Energy &amp; Fueling and Climate &amp; Sustainability Technologies segments. Other costs (benefits) were primarily due to non-cash asset impairment charges and reorganization costs in the Climate &amp; Sustainability Technologies and Imaging &amp; Identification segments, respectively. For further discussion related to our restructuring and other costs, see "Restructuring and Other Costs (Benefits)," within this Item 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During the year ended December 31, 2024, the Company completed eight business acquisitions for approx</w:t>
      </w:r>
      <w:r>
        <w:rPr>
          <w:rFonts w:ascii="Times New Roman;sans-serif" w:hAnsi="Times New Roman;sans-serif"/>
          <w:b w:val="false"/>
          <w:color w:val="000000"/>
          <w:sz w:val="20"/>
        </w:rPr>
        <w:t>imately $674.0 million, net of cash acquired and inclusive of measurement period adjustments and contingent consideration. See Note 3 — Acquisitions in the consolidated financial statements in Item 8 of this Form 10-K for further details regarding the businesses acquired during the year.</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2024, the Company completed the sale of the De-Sta-Co business, an operating company within the Engineered Products segment, for total consideration, net of cash transferred of $675.9 million. This sale resulted in a pre-tax gain on disposition of $530.3 million, included within the consolidated statements of earnings for the year ended December 31, 2024. See Note 4 — Discontinued and Disposed Operations in the consolidated financial statements in Item 8 of this Form 10-K for further details.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2024, a minority owned equity method investment held within the Climate &amp; Sustainability Technologies segment was sold and the Company received its proportionate share of the proceeds amounting to $93.0 million. The sale resulted in a preliminary pre-tax gain of $67.4 million, included within the consolidated statements of earnings for the year ended December 31, 2024. See Note 4 — Discontinued and Disposed Operations in the consolidated financial statements in Item 8 of this Form 10-K for further details.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completed the sale of the Environmental Solutions Group ("ESG") business, an operating company within the Engineered Products segment, for total consideration, net of cash transferred, of $2.0 billion. This sale resulted in a preliminary pre-tax gain on disposition of $1.6 billion, included within earnings from discontinued operations, net in the consolidated statements of earnings for the year ended December 31, 2024. For all periods presented, the results of ESG prior to the sale are classified as discontinued operations as the disposal represented a strategic shift with a major impact on our operations and financial results. See Note 4 — Discontinued and Disposed Operations in the consolidated financial statements in Item 8 of this Form 10-K for further details. The discussion within this MD&amp;A, unless otherwise noted, relates solely to our continuing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 received a total of 2,869,282 shares upon completion of a $500 million accelerated repurchase program (the "ASR Program"). The total number of shares ultimately repurchased under the ASR Program was based on the volume-weighted average share price of Dover's common stock during the calculation period of the accelerated share repurchase program, less a discount, which was $174.26 over the term of the ASR Program. During the year ended December 31, 2024, exclusive of the ASR Program, there were no share repurchases.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CONSOLIDATED RESULTS OF OPERATIONS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77"/>
        <w:gridCol w:w="653"/>
        <w:gridCol w:w="658"/>
        <w:gridCol w:w="109"/>
        <w:gridCol w:w="109"/>
        <w:gridCol w:w="109"/>
        <w:gridCol w:w="211"/>
        <w:gridCol w:w="646"/>
        <w:gridCol w:w="285"/>
        <w:gridCol w:w="109"/>
        <w:gridCol w:w="109"/>
        <w:gridCol w:w="109"/>
        <w:gridCol w:w="211"/>
        <w:gridCol w:w="608"/>
        <w:gridCol w:w="323"/>
        <w:gridCol w:w="109"/>
        <w:gridCol w:w="109"/>
        <w:gridCol w:w="109"/>
        <w:gridCol w:w="211"/>
        <w:gridCol w:w="608"/>
        <w:gridCol w:w="323"/>
        <w:gridCol w:w="109"/>
        <w:gridCol w:w="109"/>
        <w:gridCol w:w="109"/>
        <w:gridCol w:w="337"/>
        <w:gridCol w:w="279"/>
        <w:gridCol w:w="366"/>
        <w:gridCol w:w="121"/>
        <w:gridCol w:w="121"/>
        <w:gridCol w:w="121"/>
        <w:gridCol w:w="121"/>
        <w:gridCol w:w="121"/>
        <w:gridCol w:w="109"/>
        <w:gridCol w:w="109"/>
        <w:gridCol w:w="109"/>
        <w:gridCol w:w="337"/>
        <w:gridCol w:w="279"/>
        <w:gridCol w:w="383"/>
        <w:gridCol w:w="109"/>
        <w:gridCol w:w="161"/>
      </w:tblGrid>
      <w:tr>
        <w:trPr/>
        <w:tc>
          <w:tcPr>
            <w:tcW w:w="97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figures)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37.3 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37.0 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0.30 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as a 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21.4 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20.7 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0.70 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before provision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16.0 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(0.8)</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from continuing operations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ans-serif" w:hAnsi="Times New Roman;sans-serif"/>
          <w:b w:val="false"/>
          <w:color w:val="000000"/>
          <w:sz w:val="13"/>
        </w:rPr>
        <w:t>*nm: not meaningful</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year ended December 31, 2024 increased $61.4 million, or 0.8% to $7.7 billion compared with 2023. Organic revenue remained flat as pricing actions and broad-based demand across most of the portfolio were offset by lower shipments of beverage can-making equipment, polymer processing equipment, and European heat exchangers. The increase in revenue was driven by acquisition-related growth of 3.0% primarily in our Clean Energy &amp; Fueling and Pumps &amp; Process Solutions segments, partially offset by a disposition-related decline of 2.0% in our Engineered Products segment and an unfavorable impact from foreign currency translation of 0.2%. Customer pricing favorably impacted revenue in 2024 by approximately 1.6% and by 3.8%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year ended December 31, 2023 decreased $159.7 million, or 2.0% to $7.7 billion compared with 2022. Organic revenue decline of 2.8% was primarily due to general reduction in our customers' and distribution channels' inventory levels that resulted from lead time normalization and higher inventory carrying costs driven by interest rate increases. Acquisition-related growth increased by 1.0% primarily driven by our Pumps &amp; Process Solutions segment, offset by an unfavorable impact from foreign currency translation of 0.2%. Customer pricing favorably impacted revenue in 2023 by approximately 3.8% and by 6.7%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year ended December 31, 2024, increased $91.1 million, or 3.2%, to $3.0 billion compared with 2023, primarily driven by positive product mix, pricing and productivity actions. Gross profit margin increased 90 basis points to 38.2% as compared to the prior year driven by benefits from mix, pricing, price versus cost dynamics and productivity initiatives, partially offset by inflationary headwinds, acquisition integration costs and lower volumes across some of the Company's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year ended December 31, 2023, decreased $37.4 million, or 1.3%, to $2.9 billion compared with 2022, primarily due to lower volumes across some end markets, partially offset by positive market conditions in certain secular growth-exposed businesses, as well as pricing, productivity initiatives and restructuring actions. Gross profit margin increased 30 basis points to 37.3% as compared to the prior year driven by benefits from pricing, productivity and restructuring actions, partially offset by lower volumes across some of the Company's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2024 increased $104.1 million, or 6.3% to $1.8 billion compared with 2023, primarily driven by increased employee compensation and benefits and acquisition-related amortization. As a percentage of revenue, selling, general and administrative expenses increased 120 basis points to 22.6%, reflecting an increase in expense which exceeded the increase in the revenue base.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2023 increased $22.9 million, or 1.4% to $1.6 billion compared with 2022, primarily driven by increased restructuring, employee compensation and benefits and acquisition-related transaction and integration costs, partially offset by lower contract labor costs. As a percentage of revenue, selling, general and administrative expenses increased 70 basis points to 21.4%, reflecting a decrease in the revenue base.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including qualifying engineering costs, are expensed when incurred and amounted to $149.6 million, $139.1 million and $151.4 million for the years ended December 31, 2024, 2023 and 2022, respectively. These costs as a percent of revenue were 1.9%, 1.8% and 1.9% for the years December 31, 2024,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Non-Operating Items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interest expense, net of interest income, decreased $23.8 million, or 20.2%, to $94.0 million compared with 2023 primarily due to interest income generated by the proceeds from the sale of ESG held in highly liquid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interest expense, net of interest income, increased $5.8 million, or 5.2%, to $117.8 million compared with 2022 primarily driven by increased higher average interest rates since the prior year, partially offset by decreased commercial paper borrowings.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Gain on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dispositions of $597.8 million for the year ended December 31, 2024 was driven by the sale of the De-Sta-Co business on March 31, 2024, and the sale of a minority owned equity method investment on September 30, 2024. See Note 4 — Discontinued and Disposed Operations in the consolidated financial statements in Item 8 of this Form 10-K 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dispositions in the years ended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Income,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non-service pension benefit, deferred compensation plan investments gain or loss, earnings or charges from equity method investments, foreign exchange gain or loss, and various other items. Other income, net for the years ended December 31, 2024, 2023 and 2022 was $46.9 million, $21.5 million and $22.6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other income increased compared to 2023 primarily driven by increased non-service pension benefit and increased deferred compensation plan investment gain. For the year ended December 31, 2023, other income decreased compared to 2022 due to the decrease in non-service pension benefit, partially offset by increased non-operational income and increased earnings from our equity method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have a global presence with 35.8%, 45.8% 46.7% of our pre-tax earnings in 2024, 2023 and 2022, respectively, generated in foreign jurisdictions. Foreign earnings are generally subject to local country tax rates that differ from the 21.0% U.S. statutory tax rate.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was 20.3% for the year ended December 31, 2024, compared to 16.0% and 16.8% for the years ended December 31, 2023 and December 31, 2022, respectively. The 2024 tax rate was primarily driven by gains on dispositions. The 2023 rate was primarily driven by the release of a valuation allowance against non-U.S. tax loss carryforwards mainly related to an internal reorganization, partially offset by accrual of withholding taxes on current and future repatriation of certain foreign earnings.The 2022 rate was primarily driven by favorable audit resolutions, including a reduction to income taxes previously recorded related to the Tax Cut and Jobs Act.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 Income Taxes in the consolidated financial statements in Item 8 of this Form 10-K for additional details.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Earnings from Continuing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earnings from continuing operations increased $456.1 million, or 48.3%, to $1.4 billion, or $10.09 per diluted share, compared with earnings from continuing operations of $943.9 million, or $6.71 per diluted share, for the year ended December 31, 2023. Earnings from continuing operations increased primarily from gain on dispositions, pricing actions and benefits from productivity initiatives, partially offset by lower volumes across some of the Company's businesses, and increased selling, general and administrative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For the year ended December 31, 2023, earnings from continuing operations decreased $46.0 million, or 4.7% to $943.9 million or $6.71 per diluted share compared with earnings from continuing operations of $989.9 million or $6.89 per diluted share, for the year ended December 31, 2022. Earnings from continuing operations decreased primarily due to lower volumes across some of the Company's businesses and increased selling, general and administrative expenses, partially offset by customer </w:t>
      </w:r>
      <w:r>
        <w:rPr>
          <w:rFonts w:ascii="Times New Roman;sans-serif" w:hAnsi="Times New Roman;sans-serif"/>
          <w:b w:val="false"/>
          <w:color w:val="000000"/>
          <w:sz w:val="20"/>
          <w:shd w:fill="FFFFFF" w:val="clear"/>
        </w:rPr>
        <w:t>pricing actions and benefits from productivity initiatives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 historical results of ESG were presented as discontinued operations as the sale represented a strategic shift that will have a major impact on our operations and financials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earnings from discontinued operations, net were $1.3 billion, $113.0 million and $75.5 million respectively. Refer to Note 4 — Discontinued and Disposed Operations in Item 8 of this form 10-K for additional information on discontinued and disposed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19 — Segment Information in the consolidated financial statements in Item 8 of this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use the following operational metrics in monitoring the performance of the business. We believe the operational metrics are useful to investors and other users of our financial information in assessing the performance of our segments: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Bookings represent total orders received from customers in the current reporting period and exclude de-bookings related to orders received in prior periods, if any. This metric is an important measure of performance and an indicator of revenue order trends.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Organic bookings represent bookings excluding the impact of foreign currency exchange rates and the impact of acquisitions and dispositions. This metric is an important measure of performance and an indicator of revenue order trends.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Book-to-bill is a ratio of the amount of bookings received from customers during a period divided by the amount of revenue recorded during that same period. This metric is a useful indicator of demand.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Engineered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Engineered Products segment provides a wide range of equipment, components, software, solutions and services to the vehicle aftermarket, aerospace and defense, industrial winch and hoist, and fluid dispensing end-markets.</w:t>
      </w:r>
    </w:p>
    <w:tbl>
      <w:tblPr>
        <w:tblW w:w="10205" w:type="dxa"/>
        <w:jc w:val="left"/>
        <w:tblInd w:w="0" w:type="dxa"/>
        <w:tblLayout w:type="fixed"/>
        <w:tblCellMar>
          <w:top w:w="28" w:type="dxa"/>
          <w:left w:w="28" w:type="dxa"/>
          <w:bottom w:w="28" w:type="dxa"/>
          <w:right w:w="28" w:type="dxa"/>
        </w:tblCellMar>
      </w:tblPr>
      <w:tblGrid>
        <w:gridCol w:w="858"/>
        <w:gridCol w:w="657"/>
        <w:gridCol w:w="659"/>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85"/>
        <w:gridCol w:w="266"/>
        <w:gridCol w:w="469"/>
        <w:gridCol w:w="109"/>
        <w:gridCol w:w="109"/>
        <w:gridCol w:w="109"/>
        <w:gridCol w:w="265"/>
        <w:gridCol w:w="203"/>
        <w:gridCol w:w="534"/>
      </w:tblGrid>
      <w:tr>
        <w:trPr/>
        <w:tc>
          <w:tcPr>
            <w:tcW w:w="85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Versus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Engineered Products revenue for the year ended December 31, 2024 decreased $48.5 million, or 3.9%, compared to the prior year due to a disposition-related decline of 12.2% and an unfavorable impact from foreign currency translation of 0.1%, partially offset by organic revenue growth of 8.2% and acquisition-related growth of 0.2%. The disposition-related decline was due to the divestiture of De-Sta-Co in the first quarter of 2024. Customer pricing favorably impacted revenue in 2024 by approximately 0.7%.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primarily driven by improved production performance and increased demand in our vehicle service business, along with favorable demand trends in our aerospace &amp; defense business. We expect positive organic growth in 2025, driven by favorable demand trends in several of our key end markets, most notably in our aerospace and defense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Engineered Products segment earnings for the year ended December 31, 2024 increased $7.2 million, or 3.2%, compared to the prior year. The increase was primarily driven by organic volume increases and favorable price versus cost dynamics, partially offset by disposition impacts. Segment margin increased to 19.2% from 17.9% in the prior year.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for the year ended December 31, 2024 declined 7.7% compared to the prior year primarily due to a disposition-related decline of 11.7%, partially offset by broad-based organic growth of 3.5% and a favorable impact from acquisitions of 0.5%. Segment book-to-bill was 0.97.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2023 Versus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Engineered Products revenue for the year ended December 31, 2023 decreased $128.6 million, or a 9.3% organic revenue decline. Customer pricing favorably impacted revenue in 2023 by approximately 1.7%.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organic revenue decline was primarily due to lower volumes in our vehicle service business in Europe and Asia, as well as transient disruptions in our vehicle service business in North America from an ERP upgrade that reduced volumes in the second and third quarter. Our other businesses in the segment saw robust demand increases, includi</w:t>
      </w:r>
      <w:r>
        <w:rPr>
          <w:rFonts w:ascii="Times New Roman;sans-serif" w:hAnsi="Times New Roman;sans-serif"/>
          <w:b w:val="false"/>
          <w:color w:val="000000"/>
          <w:sz w:val="20"/>
        </w:rPr>
        <w:t>ng from key customers in both</w:t>
      </w:r>
      <w:r>
        <w:rPr>
          <w:color w:val="000000"/>
          <w:shd w:fill="FFFFFF" w:val="clear"/>
        </w:rPr>
        <w:t xml:space="preserve"> </w:t>
      </w:r>
      <w:r>
        <w:rPr>
          <w:rFonts w:ascii="Times New Roman;sans-serif" w:hAnsi="Times New Roman;sans-serif"/>
          <w:b w:val="false"/>
          <w:color w:val="000000"/>
          <w:sz w:val="20"/>
          <w:shd w:fill="FFFFFF" w:val="clear"/>
        </w:rPr>
        <w:t xml:space="preserve">our aerospace and defense business, and our industrial winch and hoist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Engineered Products segment earnings for the year ended December 31, 2023 decreased $16.4 million, or 6.8%, compared to the prior year. The decrease was due to lower volumes and increased material and labor costs, partially offset by customer pricing actions, productivity and cost reduction initiatives. Segment margin increased to 17.9% from 17.4% in the prior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Clean Energy &amp; Fueling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tbl>
      <w:tblPr>
        <w:tblW w:w="10205" w:type="dxa"/>
        <w:jc w:val="left"/>
        <w:tblInd w:w="0" w:type="dxa"/>
        <w:tblLayout w:type="fixed"/>
        <w:tblCellMar>
          <w:top w:w="28" w:type="dxa"/>
          <w:left w:w="28" w:type="dxa"/>
          <w:bottom w:w="28" w:type="dxa"/>
          <w:right w:w="28" w:type="dxa"/>
        </w:tblCellMar>
      </w:tblPr>
      <w:tblGrid>
        <w:gridCol w:w="862"/>
        <w:gridCol w:w="662"/>
        <w:gridCol w:w="664"/>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80"/>
        <w:gridCol w:w="252"/>
        <w:gridCol w:w="472"/>
        <w:gridCol w:w="109"/>
        <w:gridCol w:w="109"/>
        <w:gridCol w:w="109"/>
        <w:gridCol w:w="265"/>
        <w:gridCol w:w="204"/>
        <w:gridCol w:w="535"/>
      </w:tblGrid>
      <w:tr>
        <w:trPr/>
        <w:tc>
          <w:tcPr>
            <w:tcW w:w="8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1,878,507 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Versus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lean Energy &amp; Fueling revenue for the year ended December 31, 2024 increased $148.5 million, or 8.3%, compared to the prior year, attributable to acquisition-related growth of 6.0% and organic growth of 2.6%, partially offset by an unfavorable impact from foreign currency translation of 0.3%. Customer pricing favorably impacted revenue in 2024 by approximately 2.5%</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primarily driven by pricing actions and growth in clean energy solutions and North American above-ground retail fueling equipment, partially offset by lower volumes in fluid transfer solutions and vehicle wash solutions due to temporary macro-driven market headwinds impacting customer demand. We expect positive organic growth in 2025 driven by a favorable outlook across each major end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Clean Energy &amp; Fueling segment earnings for the year ended December 31, 2024 increased $31.4 million, or 9.6%, compared to the prior year. The increase was primarily driven by strategic pricing and the favorable impact of acquisitions, partially offset by inflationary headwinds and integration costs in clean energy solutions. Segment margin increased to 18.6% from 18.4%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for the year ended December 31, 2024 increased 11.1% compared to the prior year, driven by organic growth of 5.8% and acquisition-related growth of 5.6%, partially offset by an unfavorable impact from foreign currency translation of 0.3%. The organic bookings growth was primarily driven by increased demand for North America above-ground retail fueling equipment and favorable demand trends across our clean energy platform. Segment book-to-bill was 1.00.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Versus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Clean Energy &amp; Fueling revenue for the year ended December 31, 2023 decreased $90.2 million, or 4.8%, compared to the prior year, attributable to an organic decline of 4.0% and an unfavorable impact from foreign currency translation of 0.8%. Customer pricing favorably impacted revenue in 2023 by approximately 4.3%.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organic revenue decline was primarily due to reduced year-over-year demand in above ground retail fueling equipment, due to the expected roll-off of EMV-related demand in the first half of the year, as well as general reduction in our customers' inventory across our distribution channels, as higher interest rates increased its carrying costs. This was partially offset by pricing actions aimed at mitigating material cost inflation and strong demand in our fluid transfer solutions and hydrogen and liquefied natural gas clean energy businesses.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Clean Energy &amp; Fueling segment earnings for the year ended December 31, 2023 decreased $24.4 million, or 6.9%, compared to the prior year. The decrease was primarily due to reduced organic volumes, unfavorable foreign currency translation, and increased material, logistics and labor costs, partially offset by pricing, productivity initiatives, and the benefits from restructuring actions. Segment margin decreased to 18.4% from 18.8% 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Imaging &amp; Identification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tbl>
      <w:tblPr>
        <w:tblW w:w="10205" w:type="dxa"/>
        <w:jc w:val="center"/>
        <w:tblInd w:w="0" w:type="dxa"/>
        <w:tblLayout w:type="fixed"/>
        <w:tblCellMar>
          <w:top w:w="28" w:type="dxa"/>
          <w:left w:w="28" w:type="dxa"/>
          <w:bottom w:w="28" w:type="dxa"/>
          <w:right w:w="28" w:type="dxa"/>
        </w:tblCellMar>
      </w:tblPr>
      <w:tblGrid>
        <w:gridCol w:w="862"/>
        <w:gridCol w:w="662"/>
        <w:gridCol w:w="664"/>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80"/>
        <w:gridCol w:w="252"/>
        <w:gridCol w:w="472"/>
        <w:gridCol w:w="109"/>
        <w:gridCol w:w="109"/>
        <w:gridCol w:w="109"/>
        <w:gridCol w:w="265"/>
        <w:gridCol w:w="204"/>
        <w:gridCol w:w="535"/>
      </w:tblGrid>
      <w:tr>
        <w:trPr/>
        <w:tc>
          <w:tcPr>
            <w:tcW w:w="8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Versus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Imaging &amp; Identification rev</w:t>
      </w:r>
      <w:r>
        <w:rPr>
          <w:rFonts w:ascii="Times New Roman;sans-serif" w:hAnsi="Times New Roman;sans-serif"/>
          <w:b w:val="false"/>
          <w:color w:val="000000"/>
          <w:sz w:val="20"/>
          <w:shd w:fill="FFFFFF" w:val="clear"/>
        </w:rPr>
        <w:t xml:space="preserve">enue for the year ended December 31, 2024 increased $20.4 million, or 1.8% compared to the prior year, comprised of organic growth of 2.4% and acquisition-related growth of 0.7%, partially offset by an unfavorable impact from foreign currency translation of 1.3%. Customer pricing favorably impacted revenue in 2024 by approximately 2.8%.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primarily driven by pricing initiatives and increased demand for marking and coding consumables, partially offset by softer demand in our digital textile printing business. We expect positive organic growth in 2025 primarily driven by favorable demand trends in our marking and coding business across regions, particularly in North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Imaging &amp; Identification segment earnings for the year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increased $29.2 million, or 10.7%, compared to the prior year. This increase was primarily driven by favorable product mix, pricing and productivity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partially offset by an unfavorable impact from foreign currency translation. Segment margin increased to 26.5% from 24.4%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Overall bookings for the year ended December 31, 2024</w:t>
      </w:r>
      <w:r>
        <w:rPr>
          <w:color w:val="000000"/>
          <w:shd w:fill="FFFFFF" w:val="clear"/>
        </w:rPr>
        <w:t xml:space="preserve"> </w:t>
      </w:r>
      <w:r>
        <w:rPr>
          <w:rFonts w:ascii="Times New Roman;sans-serif" w:hAnsi="Times New Roman;sans-serif"/>
          <w:b w:val="false"/>
          <w:color w:val="000000"/>
          <w:sz w:val="20"/>
          <w:shd w:fill="FFFFFF" w:val="clear"/>
        </w:rPr>
        <w:t>increased 2.0%, comprised of an organic growth of 2.6% and acquisition-related growth of 0.8%, partially offset by an unfavorable impact from foreign currency translation of 1.4%. The organic bookings growth was primarily driven by favorable demand trends in our marking and coding businesses. Segment book-to-bill was 1.01.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Versus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Imaging &amp; Identification revenue for the year ended December 31, 2023 decreased $7.1 million, or 0.6% compared to the prior year, comprised of an unfavorable impact from foreign currency translation of 0.8%, partially offset by organic growth of 0.2%. Customer pricing favorably impacted revenue in 2023 by approximately 5.0%.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primarily driven by customer pricing and growth in serialization software, partially offset by reduced customer investments in new marking and coding equipment, along with lower textile printer shipments caused by high energy prices and macro uncertainty in textile producing regions.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 segment earnings for the year ended December 31, 2023 increased $4.4 million, or 1.7%, compared to the prior year. This increase was primarily driven by pricing initiatives and productivity actions, partially offset by an unfavorable impact from foreign currency translation, organic volume reductions, and material and labor cost inflation. Segment margin increased to 24.4% from 23.9% 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Pumps &amp; Process Solutions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 </w:t>
      </w:r>
    </w:p>
    <w:tbl>
      <w:tblPr>
        <w:tblW w:w="10205" w:type="dxa"/>
        <w:jc w:val="left"/>
        <w:tblInd w:w="0" w:type="dxa"/>
        <w:tblLayout w:type="fixed"/>
        <w:tblCellMar>
          <w:top w:w="28" w:type="dxa"/>
          <w:left w:w="28" w:type="dxa"/>
          <w:bottom w:w="28" w:type="dxa"/>
          <w:right w:w="28" w:type="dxa"/>
        </w:tblCellMar>
      </w:tblPr>
      <w:tblGrid>
        <w:gridCol w:w="862"/>
        <w:gridCol w:w="662"/>
        <w:gridCol w:w="664"/>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80"/>
        <w:gridCol w:w="252"/>
        <w:gridCol w:w="472"/>
        <w:gridCol w:w="109"/>
        <w:gridCol w:w="109"/>
        <w:gridCol w:w="109"/>
        <w:gridCol w:w="265"/>
        <w:gridCol w:w="204"/>
        <w:gridCol w:w="535"/>
      </w:tblGrid>
      <w:tr>
        <w:trPr/>
        <w:tc>
          <w:tcPr>
            <w:tcW w:w="8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1,894,566 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1,856,680 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Versus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Pumps &amp; Process Solutions revenue for the year ended December 31, 2024 increased $138.9 million, or 7.9%, compared to the prior year, attributable to acquisition-related growth of 6.3%, organic growth of 1.4% and a favorable impact from foreign currency translation of 0.2%. Acquisition-related growth was driven by the acquisition of the FW Murphy Production Controls business in the fourth quarter of 2023. Customer pricing favorably impacted revenue by approximately 1.7% in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driven by robust shipment rates of single-use biopharma components and connectors used in liquid cooling of high performance computers and in data centers, as well as solid growth in precision components, partially offset by expected revenue declines in our plastics and polymer processing solutions business due to customers shifting focus to optimizing the significant capacity investments made over the last several years. We expect continued organic growth in 2025 primarily due to continued positive demand trends across most businesses and stable volumes in polymer processing.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 segment earnings for the year ended December 31, 2024 increased $52.2 million, or 10.8%, compared to the prior year. The increase was primarily driven by the favorable impact from the FW Murphy acquisition, the positive impact from pricing initiatives and productivity actions, and a favorable shift in product mix. Segment margin increased to 28.3% from 27.6%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for the year ended December 31, 2024 increased 10.7% as compared to the prior year, driven by acquisition-related growth of 6.8%, organic growth of 3.7% and a favorable impact from foreign currency translation of 0.2%. The organic bookings growth was driven by positive demand trends in connectors, supported by improving customer sentiment in bioprocessing and growth in high performance computing and data center applications. Segment book-to-bill was 0.98.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Versus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 revenue for the year ended December 31, 2023 increased $27.5 million, or 1.6%, compared to the prior year, attributable to acquisition-related growth of 4.4% and a favorable impact from foreign currency translation of 0.5%, partially offset by an organic decline of 3.3%. Acquisition-related growth was driven by the acquisitions of Witte Pumps &amp; Technology GmbH, Malema Engineering Corporation, and AMN DPI in 2022. Customer pricing favorably impacted revenue by approximately 4.1% in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organic revenue decline was due to reduced shipments for single-use components used in biopharmaceutical manufacturing, as well as a decline in connector demand in core medical and industrial end markets, due to channel and end customer focus on inventory reductions. This was partially offset by customer pricing, along with continued demand strength in thermal connectors, hygienic dosing systems, plastics and polymer processing solutions equipment, and bearings and compression components.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 segment earnings for the year ended December 31, 2023 decreased $48.6 million, or 9.1%, compared to the prior year. The decrease was primarily due to the unfavorable volume and product mix impact of reduced revenues relating to biopharmaceutical components along with labor and material cost increases, partially offset by pricing initiatives and productivity and cost reduction actions. Segment margin decreased to 27.6% from 30.8% 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Climate &amp; Sustainability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Climate &amp; Sustainability Technologies segment is a provider of innovative and energy-efficient equipment, components, solutions, services and parts for the commercial refrigeration, heating and cooling and beverage can-making equipment end-markets.</w:t>
      </w:r>
    </w:p>
    <w:tbl>
      <w:tblPr>
        <w:tblW w:w="10205" w:type="dxa"/>
        <w:jc w:val="left"/>
        <w:tblInd w:w="0" w:type="dxa"/>
        <w:tblLayout w:type="fixed"/>
        <w:tblCellMar>
          <w:top w:w="28" w:type="dxa"/>
          <w:left w:w="28" w:type="dxa"/>
          <w:bottom w:w="28" w:type="dxa"/>
          <w:right w:w="28" w:type="dxa"/>
        </w:tblCellMar>
      </w:tblPr>
      <w:tblGrid>
        <w:gridCol w:w="840"/>
        <w:gridCol w:w="637"/>
        <w:gridCol w:w="639"/>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85"/>
        <w:gridCol w:w="265"/>
        <w:gridCol w:w="459"/>
        <w:gridCol w:w="109"/>
        <w:gridCol w:w="109"/>
        <w:gridCol w:w="109"/>
        <w:gridCol w:w="276"/>
        <w:gridCol w:w="274"/>
        <w:gridCol w:w="521"/>
      </w:tblGrid>
      <w:tr>
        <w:trPr/>
        <w:tc>
          <w:tcPr>
            <w:tcW w:w="84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(decline)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(decline)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(decline)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6304"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Versus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 revenue for the year ended December 31, 2024 decreased $198.9 million, or 11.2%, compared to the prior year, reflecting an organic revenue decline of 11.2% and an unfavorable impact from foreign currency translation of 0.3%, partially offset by acquisition-related growth of 0.3%. Customer pricing favorably impacted revenue in 2024 by approximately 0.4%.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organic revenue decline was primarily due to reduced shipments of heat exchangers in Europe due to HVAC OEM's efforts to reduce component inventories, as well as continued headwinds in new beverage can-making equipment sales as customers pivot from new equipment investment to scaling production and expanding utilization of recent capacity additions. This was partially offset by increased demand for retail refrigeration equipment and services, including the growing demand for low-global warming potential ("GWP") CO</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refrigerant systems. We expect a return to positive organic growth in 2025 as solid equipment demand in retail refrigeration continues, demand for heat exchangers in data center cooling applications accelerate, and demand headwinds in both beverage can-making equipment and European heat exchangers abate.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 segment earnings for the year ended December 31, 2024 decreased $54.5 million, or 17.8%, compared to the prior year. The segment earnings decrease was primarily due to the negative impact from lower volumes in heat exchangers and beverage can-making equipment, partially offset by increased retail refrigeration volumes, productivity initiatives and cost reduction actions. Segment margin decreased to 15.9% from 17.2%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Overall, bookings for the year ended December 31, 2024 increased 16.5% compared to the prior year, reflecting organic growth of 16.7% and an unfavorable impact from foreign currency translation of 0.2%. The organic bookings growth was primarily driven by favorable demand trends across retail refrigeration, including continued strong demand for low-GWP CO</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refrigerant system, along with a recovery in order intake for beverage can-making equipment. Segment book-to-bill was 0.99.</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Versus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Climate &amp; Sustainability Technologies</w:t>
      </w:r>
      <w:r>
        <w:rPr>
          <w:color w:val="000000"/>
          <w:shd w:fill="FFFFFF" w:val="clear"/>
        </w:rPr>
        <w:t xml:space="preserve"> </w:t>
      </w:r>
      <w:r>
        <w:rPr>
          <w:rFonts w:ascii="Times New Roman;sans-serif" w:hAnsi="Times New Roman;sans-serif"/>
          <w:b w:val="false"/>
          <w:color w:val="000000"/>
          <w:sz w:val="20"/>
          <w:shd w:fill="FFFFFF" w:val="clear"/>
        </w:rPr>
        <w:t>revenue for the year ended December 31, 2023 increased $40.9 million, or 2.4%, compared to the prior year, reflecting an organic revenue growth of 2.4% and acquisition-related growth of 0.2%, partially offset by an unfavorable impact from foreign currency translation of 0.2%. Customer pricing favorably impacted revenue in 2023 by approximately 3.7%.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organic revenue growth </w:t>
      </w:r>
      <w:r>
        <w:rPr>
          <w:rFonts w:ascii="Times New Roman;sans-serif" w:hAnsi="Times New Roman;sans-serif"/>
          <w:b w:val="false"/>
          <w:color w:val="000000"/>
          <w:sz w:val="20"/>
          <w:shd w:fill="FFFFFF" w:val="clear"/>
        </w:rPr>
        <w:t>was principally driven by strong demand and pricing initiatives in most markets. Our heat exchanger business grew in U.S. commercial HVAC and industrial markets, and growth in European shipments for heat pumps. Retail refrigeration revenue also increased from the prior year, driven by customer pricing actions, large system refurbishment programs and growing demand for low-GWP CO</w:t>
      </w:r>
      <w:r>
        <w:rPr>
          <w:rFonts w:ascii="Times New Roman;sans-serif" w:hAnsi="Times New Roman;sans-serif"/>
          <w:b w:val="false"/>
          <w:color w:val="000000"/>
          <w:sz w:val="13"/>
          <w:shd w:fill="FFFFFF" w:val="clear"/>
        </w:rPr>
        <w:t xml:space="preserve">2 </w:t>
      </w:r>
      <w:r>
        <w:rPr>
          <w:rFonts w:ascii="Times New Roman;sans-serif" w:hAnsi="Times New Roman;sans-serif"/>
          <w:b w:val="false"/>
          <w:color w:val="000000"/>
          <w:sz w:val="20"/>
          <w:shd w:fill="FFFFFF" w:val="clear"/>
        </w:rPr>
        <w:t>refrigerant systems, partially offset by lower shipments in the interest rate sensitive convenience store market. Beverage can-making business revenues modestly decreased from the prior year due to expected year over year revenue reductions beginning in the fourth quarter driven by reduced orders for new beverage can-making equipment as large can-maker customers focused on scaling production and growing utilization of recent capacity additions.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Climate &amp; Sustainability Technologies segment earnings for the year ended</w:t>
      </w:r>
      <w:r>
        <w:rPr>
          <w:color w:val="000000"/>
        </w:rPr>
        <w:t xml:space="preserve"> </w:t>
      </w:r>
      <w:r>
        <w:rPr>
          <w:rFonts w:ascii="Times New Roman;sans-serif" w:hAnsi="Times New Roman;sans-serif"/>
          <w:b w:val="false"/>
          <w:color w:val="000000"/>
          <w:sz w:val="20"/>
        </w:rPr>
        <w:t>December 31, 2023 increased $50.9 million, or 20.0%, compared to the prior y</w:t>
      </w:r>
      <w:r>
        <w:rPr>
          <w:rFonts w:ascii="Times New Roman;sans-serif" w:hAnsi="Times New Roman;sans-serif"/>
          <w:b w:val="false"/>
          <w:color w:val="000000"/>
          <w:sz w:val="20"/>
          <w:shd w:fill="FFFFFF" w:val="clear"/>
        </w:rPr>
        <w:t xml:space="preserve">ear. The segment earnings increase was driven by customer pricing actions, product mix and significant benefits from productivity initiatives, partially offset by higher labor costs. Segment </w:t>
      </w:r>
      <w:r>
        <w:rPr>
          <w:rFonts w:ascii="Times New Roman;sans-serif" w:hAnsi="Times New Roman;sans-serif"/>
          <w:b w:val="false"/>
          <w:color w:val="000000"/>
          <w:sz w:val="20"/>
        </w:rPr>
        <w:t xml:space="preserve">margin increased to 17.2% from 14.6% </w:t>
      </w:r>
      <w:r>
        <w:rPr>
          <w:rFonts w:ascii="Times New Roman;sans-serif" w:hAnsi="Times New Roman;sans-serif"/>
          <w:b w:val="false"/>
          <w:color w:val="000000"/>
          <w:sz w:val="20"/>
          <w:shd w:fill="FFFFFF" w:val="clear"/>
        </w:rPr>
        <w:t>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Reconciliation of Segment Earnings to Earnings from Continuing Operations</w:t>
      </w:r>
    </w:p>
    <w:tbl>
      <w:tblPr>
        <w:tblW w:w="832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earnings: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accounting expenses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and other costs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Disposition costs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loss on dispositions </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expense / other </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Purchase accounting expenses are primarily comprised of amortization of intangible assets.</w:t>
      </w:r>
    </w:p>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Restructuring and other costs relate to actions taken for headcount reductions, facility consolidations and site closures, product line exits, and other asset charges.</w:t>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Disposition costs related to the sale of De-Sta-Co in our Engineered Products segment.</w:t>
      </w:r>
    </w:p>
    <w:p>
      <w:pPr>
        <w:pStyle w:val="TextBody"/>
        <w:bidi w:val="0"/>
        <w:spacing w:lineRule="auto" w:line="288" w:before="0" w:after="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 xml:space="preserve">(Gain) loss on dispositions includes post-closing adjustments; see Note 4 — Discontinued and Disposed Operations in the consolidated financial statements in Item 8 of this Form 10-K for further details. </w:t>
      </w:r>
    </w:p>
    <w:p>
      <w:pPr>
        <w:pStyle w:val="TextBody"/>
        <w:bidi w:val="0"/>
        <w:spacing w:lineRule="auto" w:line="288"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and Other Costs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costs are not presented in our segment earnings because these costs are excluded from the segment operating performance measure reviewed by management. During the year ended December 31, 2024, restructuring charges of $69.8 million were primarily related to headcount reductions and product line and other exit costs in the Clean Energy &amp; Fueling and Climate &amp; Sustainability Technologies segments. These restructuring programs were initiated in 2023 and 2024 and were undertaken in light of current market conditions. The Company will continue to make proactive adjustments to its cost structure to align with current demand trends. Other costs, net of $15.2 million, were primarily due to non-cash asset impairment charges and reorganization costs in the Climate &amp; Sustainability Technologies and Imaging &amp; Identification segments, respectively. These restructuring and other charges were primarily recorded in cost of goods and services and selling, general and administrative expenses in the consolidated statement of earnings. Additional programs beyond the scope of the announced programs may be implemented during 2025 with related restructuring charges.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the following restructuring and other costs for the year ended December 31, 2024:</w:t>
      </w:r>
    </w:p>
    <w:p>
      <w:pPr>
        <w:pStyle w:val="TextBody"/>
        <w:bidi w:val="0"/>
        <w:spacing w:before="0" w:after="0"/>
        <w:jc w:val="both"/>
        <w:rPr/>
      </w:pPr>
      <w:r>
        <w:rPr/>
      </w:r>
    </w:p>
    <w:tbl>
      <w:tblPr>
        <w:tblW w:w="10440" w:type="dxa"/>
        <w:jc w:val="left"/>
        <w:tblInd w:w="0" w:type="dxa"/>
        <w:tblLayout w:type="fixed"/>
        <w:tblCellMar>
          <w:top w:w="28" w:type="dxa"/>
          <w:left w:w="28" w:type="dxa"/>
          <w:bottom w:w="28" w:type="dxa"/>
          <w:right w:w="28" w:type="dxa"/>
        </w:tblCellMar>
      </w:tblPr>
      <w:tblGrid>
        <w:gridCol w:w="535"/>
        <w:gridCol w:w="272"/>
        <w:gridCol w:w="274"/>
        <w:gridCol w:w="222"/>
        <w:gridCol w:w="630"/>
        <w:gridCol w:w="124"/>
        <w:gridCol w:w="109"/>
        <w:gridCol w:w="109"/>
        <w:gridCol w:w="109"/>
        <w:gridCol w:w="196"/>
        <w:gridCol w:w="646"/>
        <w:gridCol w:w="109"/>
        <w:gridCol w:w="109"/>
        <w:gridCol w:w="109"/>
        <w:gridCol w:w="109"/>
        <w:gridCol w:w="275"/>
        <w:gridCol w:w="907"/>
        <w:gridCol w:w="154"/>
        <w:gridCol w:w="109"/>
        <w:gridCol w:w="109"/>
        <w:gridCol w:w="109"/>
        <w:gridCol w:w="198"/>
        <w:gridCol w:w="562"/>
        <w:gridCol w:w="111"/>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2024</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restructuring charges of $49.9 million were primarily related to headcount reductions and exit costs in the Clean Energy &amp; Fueling, Engineered Products and Pumps &amp; Process Solutions segments. These restructuring programs were initiated in 2022 and 2023 and were undertaken in light of market conditions. Other costs, net of $13.0 million were primarily due to an asset impairment in our Climate &amp; Sustainability Technologies segment and product line rationalization and footprint reduction in our Clean Energy &amp; Fueling segment. These restructuring and other charges were recorded in cost of goods and services and selling, general and administrative expenses in the consolidated statement of earnings.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recorded the following restructuring and other costs for the year</w:t>
      </w:r>
      <w:r>
        <w:rPr>
          <w:color w:val="000000"/>
          <w:shd w:fill="FFFFFF" w:val="clear"/>
        </w:rPr>
        <w:t xml:space="preserve"> </w:t>
      </w:r>
      <w:r>
        <w:rPr>
          <w:rFonts w:ascii="Times New Roman;sans-serif" w:hAnsi="Times New Roman;sans-serif"/>
          <w:b w:val="false"/>
          <w:color w:val="000000"/>
          <w:sz w:val="20"/>
          <w:shd w:fill="FFFFFF" w:val="clear"/>
        </w:rPr>
        <w:t>ended December 31, 2023</w:t>
      </w:r>
      <w:r>
        <w:rPr>
          <w:rFonts w:ascii="Times New Roman;sans-serif" w:hAnsi="Times New Roman;sans-serif"/>
          <w:b w:val="false"/>
          <w:color w:val="000000"/>
          <w:sz w:val="20"/>
        </w:rPr>
        <w:t>:</w:t>
      </w:r>
    </w:p>
    <w:p>
      <w:pPr>
        <w:pStyle w:val="TextBody"/>
        <w:bidi w:val="0"/>
        <w:spacing w:before="0" w:after="0"/>
        <w:jc w:val="both"/>
        <w:rPr/>
      </w:pPr>
      <w:r>
        <w:rPr/>
      </w:r>
    </w:p>
    <w:tbl>
      <w:tblPr>
        <w:tblW w:w="10440" w:type="dxa"/>
        <w:jc w:val="left"/>
        <w:tblInd w:w="0" w:type="dxa"/>
        <w:tblLayout w:type="fixed"/>
        <w:tblCellMar>
          <w:top w:w="28" w:type="dxa"/>
          <w:left w:w="28" w:type="dxa"/>
          <w:bottom w:w="28" w:type="dxa"/>
          <w:right w:w="28" w:type="dxa"/>
        </w:tblCellMar>
      </w:tblPr>
      <w:tblGrid>
        <w:gridCol w:w="535"/>
        <w:gridCol w:w="272"/>
        <w:gridCol w:w="274"/>
        <w:gridCol w:w="222"/>
        <w:gridCol w:w="630"/>
        <w:gridCol w:w="124"/>
        <w:gridCol w:w="109"/>
        <w:gridCol w:w="109"/>
        <w:gridCol w:w="109"/>
        <w:gridCol w:w="196"/>
        <w:gridCol w:w="646"/>
        <w:gridCol w:w="109"/>
        <w:gridCol w:w="109"/>
        <w:gridCol w:w="109"/>
        <w:gridCol w:w="109"/>
        <w:gridCol w:w="304"/>
        <w:gridCol w:w="862"/>
        <w:gridCol w:w="170"/>
        <w:gridCol w:w="109"/>
        <w:gridCol w:w="109"/>
        <w:gridCol w:w="109"/>
        <w:gridCol w:w="198"/>
        <w:gridCol w:w="562"/>
        <w:gridCol w:w="111"/>
        <w:gridCol w:w="109"/>
        <w:gridCol w:w="109"/>
        <w:gridCol w:w="109"/>
        <w:gridCol w:w="310"/>
        <w:gridCol w:w="882"/>
        <w:gridCol w:w="174"/>
        <w:gridCol w:w="109"/>
        <w:gridCol w:w="109"/>
        <w:gridCol w:w="109"/>
        <w:gridCol w:w="205"/>
        <w:gridCol w:w="581"/>
        <w:gridCol w:w="115"/>
        <w:gridCol w:w="109"/>
        <w:gridCol w:w="109"/>
        <w:gridCol w:w="109"/>
        <w:gridCol w:w="196"/>
        <w:gridCol w:w="64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restructuring charges of $30.5 million were primarily due to headcount reductions and facility consolidations resulting from restructuring programs initiated in 2021 and 2022, including non-cash foreign currency translation losses due to substantial liquidation of businesses. Other costs (benefits), net of $5.7 million, were primarily due to write-off of assets in connection with an exit from certain Latin America countries in our Climate &amp; Sustainability Technologies segment. These restructuring and other charges were recorded in cost of goods and services and selling, general and administrative expenses in the consolidated statement of earnings.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recorded the following restructuring and other costs for the year</w:t>
      </w:r>
      <w:r>
        <w:rPr>
          <w:color w:val="000000"/>
          <w:shd w:fill="FFFFFF" w:val="clear"/>
        </w:rPr>
        <w:t xml:space="preserve"> </w:t>
      </w:r>
      <w:r>
        <w:rPr>
          <w:rFonts w:ascii="Times New Roman;sans-serif" w:hAnsi="Times New Roman;sans-serif"/>
          <w:b w:val="false"/>
          <w:color w:val="000000"/>
          <w:sz w:val="20"/>
          <w:shd w:fill="FFFFFF" w:val="clear"/>
        </w:rPr>
        <w:t xml:space="preserve">ended </w:t>
      </w:r>
      <w:r>
        <w:rPr>
          <w:rFonts w:ascii="Times New Roman;sans-serif" w:hAnsi="Times New Roman;sans-serif"/>
          <w:b w:val="false"/>
          <w:color w:val="000000"/>
          <w:sz w:val="20"/>
        </w:rPr>
        <w:t>December 31, 2022:</w:t>
      </w:r>
    </w:p>
    <w:p>
      <w:pPr>
        <w:pStyle w:val="TextBody"/>
        <w:bidi w:val="0"/>
        <w:spacing w:before="0" w:after="0"/>
        <w:jc w:val="both"/>
        <w:rPr/>
      </w:pPr>
      <w:r>
        <w:rPr/>
      </w:r>
    </w:p>
    <w:tbl>
      <w:tblPr>
        <w:tblW w:w="10360" w:type="dxa"/>
        <w:jc w:val="left"/>
        <w:tblInd w:w="0" w:type="dxa"/>
        <w:tblLayout w:type="fixed"/>
        <w:tblCellMar>
          <w:top w:w="28" w:type="dxa"/>
          <w:left w:w="28" w:type="dxa"/>
          <w:bottom w:w="28" w:type="dxa"/>
          <w:right w:w="28" w:type="dxa"/>
        </w:tblCellMar>
      </w:tblPr>
      <w:tblGrid>
        <w:gridCol w:w="535"/>
        <w:gridCol w:w="272"/>
        <w:gridCol w:w="274"/>
        <w:gridCol w:w="222"/>
        <w:gridCol w:w="630"/>
        <w:gridCol w:w="124"/>
        <w:gridCol w:w="109"/>
        <w:gridCol w:w="109"/>
        <w:gridCol w:w="109"/>
        <w:gridCol w:w="198"/>
        <w:gridCol w:w="562"/>
        <w:gridCol w:w="111"/>
        <w:gridCol w:w="109"/>
        <w:gridCol w:w="109"/>
        <w:gridCol w:w="109"/>
        <w:gridCol w:w="304"/>
        <w:gridCol w:w="862"/>
        <w:gridCol w:w="170"/>
        <w:gridCol w:w="109"/>
        <w:gridCol w:w="109"/>
        <w:gridCol w:w="109"/>
        <w:gridCol w:w="198"/>
        <w:gridCol w:w="562"/>
        <w:gridCol w:w="111"/>
        <w:gridCol w:w="109"/>
        <w:gridCol w:w="109"/>
        <w:gridCol w:w="109"/>
        <w:gridCol w:w="310"/>
        <w:gridCol w:w="882"/>
        <w:gridCol w:w="174"/>
        <w:gridCol w:w="109"/>
        <w:gridCol w:w="109"/>
        <w:gridCol w:w="109"/>
        <w:gridCol w:w="205"/>
        <w:gridCol w:w="581"/>
        <w:gridCol w:w="115"/>
        <w:gridCol w:w="109"/>
        <w:gridCol w:w="109"/>
        <w:gridCol w:w="109"/>
        <w:gridCol w:w="196"/>
        <w:gridCol w:w="64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(benefits),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Restructuring Activities in the consolidated financial statements in Item 8 of this Form 10-K for additional details regarding our recent restructuring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Purchase Accounting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accounting expenses primarily relate to amortization of acquired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tbl>
      <w:tblPr>
        <w:tblW w:w="10205" w:type="dxa"/>
        <w:jc w:val="left"/>
        <w:tblInd w:w="0" w:type="dxa"/>
        <w:tblLayout w:type="fixed"/>
        <w:tblCellMar>
          <w:top w:w="28" w:type="dxa"/>
          <w:left w:w="28" w:type="dxa"/>
          <w:bottom w:w="28" w:type="dxa"/>
          <w:right w:w="28" w:type="dxa"/>
        </w:tblCellMar>
      </w:tblPr>
      <w:tblGrid>
        <w:gridCol w:w="1757"/>
        <w:gridCol w:w="1124"/>
        <w:gridCol w:w="1133"/>
        <w:gridCol w:w="180"/>
        <w:gridCol w:w="180"/>
        <w:gridCol w:w="180"/>
        <w:gridCol w:w="180"/>
        <w:gridCol w:w="180"/>
        <w:gridCol w:w="180"/>
        <w:gridCol w:w="349"/>
        <w:gridCol w:w="1369"/>
        <w:gridCol w:w="180"/>
        <w:gridCol w:w="180"/>
        <w:gridCol w:w="180"/>
        <w:gridCol w:w="180"/>
        <w:gridCol w:w="211"/>
        <w:gridCol w:w="826"/>
        <w:gridCol w:w="109"/>
        <w:gridCol w:w="109"/>
        <w:gridCol w:w="109"/>
        <w:gridCol w:w="109"/>
        <w:gridCol w:w="211"/>
        <w:gridCol w:w="826"/>
        <w:gridCol w:w="163"/>
      </w:tblGrid>
      <w:tr>
        <w:trPr/>
        <w:tc>
          <w:tcPr>
            <w:tcW w:w="175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27" w:type="dxa"/>
            <w:gridSpan w:val="6"/>
            <w:tcBorders/>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accounting expenses</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Clean Energy &amp; Fueling </w:t>
            </w:r>
            <w:r>
              <w:rPr>
                <w:rFonts w:ascii="Times New Roman;sans-serif" w:hAnsi="Times New Roman;sans-serif"/>
                <w:b w:val="false"/>
                <w:color w:val="000000"/>
                <w:sz w:val="13"/>
              </w:rPr>
              <w:t>(1)</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15"/>
            <w:tcBorders/>
            <w:shd w:fill="FFFFFF" w:val="clear"/>
            <w:tcMar>
              <w:top w:w="0" w:type="dxa"/>
              <w:left w:w="0" w:type="dxa"/>
              <w:bottom w:w="0" w:type="dxa"/>
              <w:right w:w="0" w:type="dxa"/>
            </w:tcMar>
            <w:vAlign w:val="center"/>
          </w:tcPr>
          <w:p>
            <w:pPr>
              <w:pStyle w:val="TableContents"/>
              <w:bidi w:val="0"/>
              <w:spacing w:lineRule="auto" w:line="240" w:before="40" w:after="283"/>
              <w:jc w:val="both"/>
              <w:rPr/>
            </w:pPr>
            <w:r>
              <w:rPr>
                <w:rFonts w:ascii="Times New Roman;sans-serif" w:hAnsi="Times New Roman;sans-serif"/>
                <w:b w:val="false"/>
                <w:color w:val="000000"/>
                <w:sz w:val="12"/>
                <w:shd w:fill="FFFFFF" w:val="clear"/>
              </w:rPr>
              <w:t xml:space="preserve">(1) </w:t>
            </w:r>
            <w:r>
              <w:rPr>
                <w:rFonts w:ascii="Times New Roman;sans-serif" w:hAnsi="Times New Roman;sans-serif"/>
                <w:b w:val="false"/>
                <w:color w:val="000000"/>
                <w:sz w:val="18"/>
                <w:shd w:fill="FFFFFF" w:val="clear"/>
              </w:rPr>
              <w:t>Purchase accounting expenses in our Clean Energy &amp; Fueling segment decreased by $18,394 for the year ended December 31, 2023 from the prior year comparable period, which included $18,995 of charges related to fair value step-ups for inventory from the Q4 2021 acquisition of RegO and Acme Cryogenics.</w:t>
            </w:r>
          </w:p>
        </w:tc>
        <w:tc>
          <w:tcPr>
            <w:tcW w:w="2673"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upcoming debt maturities and for reinvestment in existing businesses and strategic acquisitions.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derived from our consolidated statements of cash flows:</w:t>
      </w:r>
    </w:p>
    <w:tbl>
      <w:tblPr>
        <w:tblW w:w="8201" w:type="dxa"/>
        <w:jc w:val="left"/>
        <w:tblInd w:w="0" w:type="dxa"/>
        <w:tblLayout w:type="fixed"/>
        <w:tblCellMar>
          <w:top w:w="28" w:type="dxa"/>
          <w:left w:w="28" w:type="dxa"/>
          <w:bottom w:w="28" w:type="dxa"/>
          <w:right w:w="28" w:type="dxa"/>
        </w:tblCellMar>
      </w:tblPr>
      <w:tblGrid>
        <w:gridCol w:w="1363"/>
        <w:gridCol w:w="1197"/>
        <w:gridCol w:w="1204"/>
        <w:gridCol w:w="211"/>
        <w:gridCol w:w="976"/>
        <w:gridCol w:w="109"/>
        <w:gridCol w:w="109"/>
        <w:gridCol w:w="109"/>
        <w:gridCol w:w="109"/>
        <w:gridCol w:w="211"/>
        <w:gridCol w:w="976"/>
        <w:gridCol w:w="109"/>
        <w:gridCol w:w="109"/>
        <w:gridCol w:w="109"/>
        <w:gridCol w:w="109"/>
        <w:gridCol w:w="211"/>
        <w:gridCol w:w="82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Cash Flows from Operations</w:t>
            </w:r>
            <w:r>
              <w:rPr>
                <w:color w:val="000000"/>
              </w:rPr>
              <w:t xml:space="preserve"> </w:t>
            </w:r>
            <w:r>
              <w:rPr>
                <w:rFonts w:ascii="Times New Roman;sans-serif" w:hAnsi="Times New Roman;sans-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for the year ended December 31, 2024 decreased by $131.7 million compared to 2023. This decrease was primarily due to tax payments of $103.4 million and $20.4 million related to gains from the sales of De-Sta-Co and a minority owned equity method investment, respectively, during the year ended December 31, 2024. Cash flow from operating activities for the year ended December 31, 2023 increased by $472.8 million compared to 2022. This increase was primarily driven by improvements in the management of working capital.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Adjusted Working Capital: </w:t>
      </w:r>
      <w:r>
        <w:rPr>
          <w:rFonts w:ascii="Times New Roman;sans-serif" w:hAnsi="Times New Roman;sans-serif"/>
          <w:b w:val="false"/>
          <w:color w:val="000000"/>
          <w:sz w:val="20"/>
        </w:rPr>
        <w:t xml:space="preserve">We believe adjusted working capital (a non-GAAP measure calculated as accounts receivable, plus inventory, less accounts payable) provides a meaningful measure of liquidity by showing changes caused by operational results. The following table provides a calculation of adjusted working capital: </w:t>
      </w:r>
    </w:p>
    <w:p>
      <w:pPr>
        <w:pStyle w:val="TextBody"/>
        <w:bidi w:val="0"/>
        <w:spacing w:before="0" w:after="0"/>
        <w:jc w:val="both"/>
        <w:rPr/>
      </w:pPr>
      <w:r>
        <w:rPr/>
      </w:r>
    </w:p>
    <w:tbl>
      <w:tblPr>
        <w:tblW w:w="7921" w:type="dxa"/>
        <w:jc w:val="left"/>
        <w:tblInd w:w="0" w:type="dxa"/>
        <w:tblLayout w:type="fixed"/>
        <w:tblCellMar>
          <w:top w:w="28" w:type="dxa"/>
          <w:left w:w="28" w:type="dxa"/>
          <w:bottom w:w="28" w:type="dxa"/>
          <w:right w:w="28" w:type="dxa"/>
        </w:tblCellMar>
      </w:tblPr>
      <w:tblGrid>
        <w:gridCol w:w="1287"/>
        <w:gridCol w:w="1132"/>
        <w:gridCol w:w="1135"/>
        <w:gridCol w:w="109"/>
        <w:gridCol w:w="109"/>
        <w:gridCol w:w="109"/>
        <w:gridCol w:w="281"/>
        <w:gridCol w:w="1299"/>
        <w:gridCol w:w="145"/>
        <w:gridCol w:w="109"/>
        <w:gridCol w:w="109"/>
        <w:gridCol w:w="109"/>
        <w:gridCol w:w="281"/>
        <w:gridCol w:w="1299"/>
        <w:gridCol w:w="145"/>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Adjusted Working Capital </w:t>
            </w:r>
            <w:r>
              <w:rPr>
                <w:rFonts w:ascii="Times New Roman;sans-serif" w:hAnsi="Times New Roman;sans-serif"/>
                <w:b w:val="false"/>
                <w:color w:val="000000"/>
                <w:sz w:val="20"/>
              </w:rPr>
              <w:t>(</w:t>
            </w: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1,354,225 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1,651,057 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1,610,731 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Adjusted working capital increased by $40.3 million, or 2.5%, to $1.7 billion at December 31, 2024, which reflected an increase in accounts receivable of $33.1 million, an increase in inventory of $0.7 million and a decrease in accounts payable of $6.5 million. </w:t>
      </w:r>
      <w:r>
        <w:rPr>
          <w:rFonts w:ascii="Times New Roman;sans-serif" w:hAnsi="Times New Roman;sans-serif"/>
          <w:b w:val="false"/>
          <w:color w:val="000000"/>
          <w:sz w:val="20"/>
          <w:shd w:fill="FFFFFF" w:val="clear"/>
        </w:rPr>
        <w:t>These amounts include the effects of acquisitions, dispositions and foreign currency translation.</w:t>
      </w:r>
      <w:r>
        <w:rPr>
          <w:color w:val="000000"/>
        </w:rPr>
        <w:t xml:space="preserve"> </w:t>
      </w:r>
      <w:r>
        <w:rPr>
          <w:rFonts w:ascii="Times New Roman;sans-serif" w:hAnsi="Times New Roman;sans-serif"/>
          <w:b w:val="false"/>
          <w:color w:val="000000"/>
          <w:sz w:val="20"/>
        </w:rPr>
        <w:t>The increase in adjusted working capital versus year-end 2023 is primarily a result of collections timing driving higher year-end accounts receivable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 is derived from cash inflows from proceeds from dispositions, offset by cash outflows for acquisitions and capital expenditures. The majority of the activity in investing activities was comprised of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Proceeds from dispositions</w:t>
      </w:r>
      <w:r>
        <w:rPr>
          <w:rFonts w:ascii="Times New Roman;sans-serif" w:hAnsi="Times New Roman;sans-serif"/>
          <w:b w:val="false"/>
          <w:color w:val="000000"/>
          <w:sz w:val="20"/>
        </w:rPr>
        <w:t>: In 2024, we received net proceeds of $768.8 million from the sales of De-Sta-Co, an operating company within the Engineered Products segment, and a minority owned equity method investment within Climate &amp; Sustainability Technologies segment. See Note 4 — Discontinued and Disposed Operations in the consolidated financial statements in Item 8 of this Form 10-K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In 2024, we deployed $635.3 million, net of cash acquired to acquire eight businesses. In comparison, we acquired two businesses in 2023 for total consideration of $533.6 million, net of cash acquired. Total acquisition spend in 2022 was $312.9 million, net of cash acquired and was comprised of three businesses. See Note 3 — Acquisitions in the consolidated financial statements in Item 8 of this Form 10-K for additional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Capital spending:</w:t>
      </w:r>
      <w:r>
        <w:rPr>
          <w:color w:val="000000"/>
        </w:rPr>
        <w:t xml:space="preserve"> </w:t>
      </w:r>
      <w:r>
        <w:rPr>
          <w:rFonts w:ascii="Times New Roman;sans-serif" w:hAnsi="Times New Roman;sans-serif"/>
          <w:b w:val="false"/>
          <w:color w:val="000000"/>
          <w:sz w:val="20"/>
        </w:rPr>
        <w:t xml:space="preserve">Capital expenditures, primarily to support growth initiatives, productivity and new product launches, were $167.5 million in 2024, $183.4 million in 2023, and $211.1 million in 2022. Our capital expenditures decreased $15.9 million and $27.7 million in 2024 and 2023, respectively, in line with our planned expenditures for the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capital expenditures and any additional acquisitions we make in 2025 will be funded from available cash and internally generated funds and, if necessary, through the issuance of commercial paper, or by accessing the public debt or equity markets. We estimate capital expenditures in 2025 to range from $170.0 million to $190.0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Cash flow from financing activities generally relat</w:t>
      </w:r>
      <w:r>
        <w:rPr>
          <w:rFonts w:ascii="Times New Roman;sans-serif" w:hAnsi="Times New Roman;sans-serif"/>
          <w:b w:val="false"/>
          <w:color w:val="000000"/>
          <w:sz w:val="20"/>
          <w:shd w:fill="FFFFFF" w:val="clear"/>
        </w:rPr>
        <w:t>es to the use of cash for purchases of our common stock and payment of dividends, offset by net borrowing activity. The majority of financing activity was attributed to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i/>
          <w:color w:val="000000"/>
          <w:sz w:val="20"/>
        </w:rPr>
        <w:t xml:space="preserve">Repurchase of common stock, including accelerated share repurchase program: </w:t>
      </w:r>
      <w:r>
        <w:rPr>
          <w:rFonts w:ascii="Times New Roman;sans-serif" w:hAnsi="Times New Roman;sans-serif"/>
          <w:b w:val="false"/>
          <w:color w:val="000000"/>
          <w:sz w:val="20"/>
        </w:rPr>
        <w:t>During 2024, the Company received a total of 2,869,282 shares upon completion of the 2024 ASR Program for $500.0 million. During the year ended December 31, 2023, the Company repurchased no shares. During the year ended December 31, 2022, the Company received a total of 3,892,295 shares upon completion of the 2022 ASR Program for $500.0 million, and exclusive of the 2022 ASR Program, repurchased 641,428 shares of common stock at a total cost of $85.0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i/>
          <w:color w:val="000000"/>
          <w:sz w:val="20"/>
        </w:rPr>
        <w:t>Commercial paper and other short-term borrowings, net:</w:t>
      </w:r>
      <w:r>
        <w:rPr>
          <w:color w:val="000000"/>
        </w:rPr>
        <w:t xml:space="preserve"> </w:t>
      </w:r>
      <w:r>
        <w:rPr>
          <w:rFonts w:ascii="Times New Roman;sans-serif" w:hAnsi="Times New Roman;sans-serif"/>
          <w:b w:val="false"/>
          <w:color w:val="000000"/>
          <w:sz w:val="20"/>
        </w:rPr>
        <w:t>During 2024 and 2023, we used $467.6 million and $267.5 million, respectively, to pay off primarily commercial paper borrowings. During 2022, we received net proceeds of $629.9 million from commercial paper and other short-term borrowings used to partially fund our accelerated share repurchase transaction and the acquisition of Malema.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i/>
          <w:color w:val="000000"/>
          <w:sz w:val="20"/>
        </w:rPr>
        <w:t>Dividend payments:</w:t>
      </w:r>
      <w:r>
        <w:rPr>
          <w:color w:val="000000"/>
        </w:rPr>
        <w:t xml:space="preserve"> </w:t>
      </w:r>
      <w:r>
        <w:rPr>
          <w:rFonts w:ascii="Times New Roman;sans-serif" w:hAnsi="Times New Roman;sans-serif"/>
          <w:b w:val="false"/>
          <w:color w:val="000000"/>
          <w:sz w:val="20"/>
        </w:rPr>
        <w:t>Total dividend payments to common shareholders were $283.1 million in 2024, $284.3 million in 2023 and $287.6 million 2022. Our dividends paid per common share increased 1% to $2.05 per share in 2024 compared to $2.03 per share in 2023. The number of common shares outstanding decreased from 2023 to 2024, as share repurchases exceeded share issuances.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 from Discontinued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discontinued operations generated $1.6 billion, $107.9 million and $38.9 million for the years ended December 31, 2024, 2023 and 2022, respectively, and represents the results of ESG during the periods presented. The cash flows from discontinued operations generated for 2024 primarily relate to cash provided by investing activities of $2.0 billion, which is comprised primarily of proceeds from the sale of ESG and partially offset by cash used by operating activities of $339.5 million, comprised of $439.9 million in tax payments made related to the gain on disposition, partially offset by cash flows from ESG's operating results. Cash flows generated for 2023 primarily relate to cash provided by operating activities of $116.8 million, partially offset by capital expenditures of $8.9 million. Cash flows generated for 2022 primarily relate to cash provided by operations of $59.0 million, partially offset by cash paid for an asset acquisition of $10.2 million and capital expenditures of $9.9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 divided by earnings from continuing operations.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free cash flow to cash flow provided by operating activities:</w:t>
      </w:r>
    </w:p>
    <w:tbl>
      <w:tblPr>
        <w:tblW w:w="10205" w:type="dxa"/>
        <w:jc w:val="left"/>
        <w:tblInd w:w="0" w:type="dxa"/>
        <w:tblLayout w:type="fixed"/>
        <w:tblCellMar>
          <w:top w:w="28" w:type="dxa"/>
          <w:left w:w="28" w:type="dxa"/>
          <w:bottom w:w="28" w:type="dxa"/>
          <w:right w:w="28" w:type="dxa"/>
        </w:tblCellMar>
      </w:tblPr>
      <w:tblGrid>
        <w:gridCol w:w="2124"/>
        <w:gridCol w:w="1819"/>
        <w:gridCol w:w="1823"/>
        <w:gridCol w:w="211"/>
        <w:gridCol w:w="976"/>
        <w:gridCol w:w="109"/>
        <w:gridCol w:w="109"/>
        <w:gridCol w:w="109"/>
        <w:gridCol w:w="109"/>
        <w:gridCol w:w="211"/>
        <w:gridCol w:w="976"/>
        <w:gridCol w:w="109"/>
        <w:gridCol w:w="109"/>
        <w:gridCol w:w="109"/>
        <w:gridCol w:w="109"/>
        <w:gridCol w:w="211"/>
        <w:gridCol w:w="826"/>
        <w:gridCol w:w="156"/>
      </w:tblGrid>
      <w:tr>
        <w:trPr/>
        <w:tc>
          <w:tcPr>
            <w:tcW w:w="212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i/>
                <w:color w:val="000000"/>
                <w:sz w:val="20"/>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as a percentage of revenue</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as a percentage of earnings from continuing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a percentage of revenue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a percentage of earnings from continuing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for the year ended December 31, 2024 decreased by $115.8 million compared to 2023 primarily due to tax payments made for the gain on sale of De-Sta-Co and a minority owned equity method investment totaling $123.8 million, partially offset by lower capital expenditures. The decreases in cash flow from operating activities and free cash flow as percentages of earnings from continuing operations are primarily due to the gain on sale of De-Sta-Co and a minority owned equity method investment. Free cash flow for the year ended December 31, 2023 increased by $500.5 million compared to 2022 driven by higher operating cash flow, primarily as a result of improvements in cash flows related to working capital and a decrease in capital expenditures compared to the prior year. Additionally, the year ended December 31, 2022 includes a $43.5 million income tax payment related to the gain on sale of Unified Brands in the fourth quarter of 2021 and a $13.4 million tax payment in 2022 related to an internal reorganization.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commercial paper borrowings for general corporate purposes, including the funding of acquisitions and the repurchase of our common stock. As of December 31, 2024, we maintained $1.0 billion five-year and $500.0 million 364-day unsecured revolving credit facilities (together, the "Credit Agreements") with a syndicate of banks which expire April 6, 2028 and April 3, 2025, respectively. We may elect to extend the maturity date of any loans under the 364-day credit facility until April 3, 2026, subject to conditions specified therein. The Credit Agreements are designated as a liquidity back-stop for the Company's commercial paper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 The Company was in compliance with all covenants in the Credit Agreements and other long-term debt covenants at December 31, 2024 and had an interest coverage ratio of consolidated EBITDA to consolidated net interest expense of 42.5 to 1. We are not aware of any potential impairment to our liquidity and expect to remain in compliance with all of our debt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cash and cash equivalents totaled $1.8 billion, of which approximately $300.5 million was held outside the United States. At December 31, 2023, our cash and cash equivalents, including cash held for sale, totaled $415.9 million, of which $286.9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net debt to net capitalization calculation (a non-GAAP measure) to assess our overall financial leverage and capacity and believe the calculation is useful to investors for the same reason. Net debt represents total debt minus cash and cash equivalents, including cash held for sale. Net capitalization represents net debt plus stockholders' equity. The following table provides a calculation of net debt to net capitalization from the most directly comparable GAAP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53"/>
        <w:gridCol w:w="1259"/>
        <w:gridCol w:w="1265"/>
        <w:gridCol w:w="109"/>
        <w:gridCol w:w="109"/>
        <w:gridCol w:w="109"/>
        <w:gridCol w:w="235"/>
        <w:gridCol w:w="1090"/>
        <w:gridCol w:w="302"/>
        <w:gridCol w:w="109"/>
        <w:gridCol w:w="109"/>
        <w:gridCol w:w="109"/>
        <w:gridCol w:w="235"/>
        <w:gridCol w:w="1090"/>
        <w:gridCol w:w="302"/>
        <w:gridCol w:w="109"/>
        <w:gridCol w:w="109"/>
        <w:gridCol w:w="109"/>
        <w:gridCol w:w="109"/>
        <w:gridCol w:w="235"/>
        <w:gridCol w:w="1090"/>
        <w:gridCol w:w="302"/>
        <w:gridCol w:w="157"/>
      </w:tblGrid>
      <w:tr>
        <w:trPr/>
        <w:tc>
          <w:tcPr>
            <w:tcW w:w="155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Debt to Net Capitalization Ratio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467,600 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 and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400,056 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468,282 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2,529,346 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2,991,759 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2,942,513 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2,929,402 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3,460,041 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3,678,285 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 including cash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(1,844,877)</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(415,861)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1,084,525 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3,044,180 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3,297,417 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6,953,996 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5,106,605 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4,286,366 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8,038,521 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8,150,785 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7,583,783 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to net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debt to net capitalization ratio decreased to 13.5% at December 31, 2024 compared to 37.3% at December 31, 2023. Net debt decreased $2.0 billion during the period primarily due to increased cash and cash equivalents from the disposition of the ESG business. Stockholders' equity increased for the period as a result of current earnings of $2.7 billion, partially offset by share repurchases under the ASR Program and dividends paid during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debt to net capitalization ratio decreased to 37.3% at December 31, 2023 compared to 43.5% at December 31, 2022. Net debt decreased $253.2 million primarily due to a decrease in commercial paper borrowings and greater cash and cash equivalents, including cash held for sale. Stockholder's equity increased for the period as a result of earnings of $1.1 billion offset by $284.3 million of dividends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debt financing at comparable risk-based interest rates is partly a function of our existing cash flow-to-debt and debt-to-capitalization levels as well as our current credit standing. Set forth below are our credit ratings, as of December 31, 2024, which were independently developed by the respective credit agencies. The Moody's rating and outlook were issued in December 2018, and the Standard &amp; Poor's rating was issued in December 2017 and the outlook was most recently revised in May 2021. The ratings and outlooks from both agencies were affirmed in 2024.</w:t>
      </w:r>
    </w:p>
    <w:p>
      <w:pPr>
        <w:pStyle w:val="TextBody"/>
        <w:bidi w:val="0"/>
        <w:spacing w:before="0" w:after="0"/>
        <w:jc w:val="both"/>
        <w:rPr/>
      </w:pPr>
      <w:r>
        <w:rPr/>
      </w:r>
    </w:p>
    <w:tbl>
      <w:tblPr>
        <w:tblW w:w="6488" w:type="dxa"/>
        <w:jc w:val="center"/>
        <w:tblInd w:w="0" w:type="dxa"/>
        <w:tblLayout w:type="fixed"/>
        <w:tblCellMar>
          <w:top w:w="28" w:type="dxa"/>
          <w:left w:w="28" w:type="dxa"/>
          <w:bottom w:w="28" w:type="dxa"/>
          <w:right w:w="28" w:type="dxa"/>
        </w:tblCellMar>
      </w:tblPr>
      <w:tblGrid>
        <w:gridCol w:w="564"/>
        <w:gridCol w:w="495"/>
        <w:gridCol w:w="501"/>
        <w:gridCol w:w="574"/>
        <w:gridCol w:w="574"/>
        <w:gridCol w:w="576"/>
        <w:gridCol w:w="109"/>
        <w:gridCol w:w="109"/>
        <w:gridCol w:w="109"/>
        <w:gridCol w:w="569"/>
        <w:gridCol w:w="569"/>
        <w:gridCol w:w="571"/>
        <w:gridCol w:w="109"/>
        <w:gridCol w:w="109"/>
        <w:gridCol w:w="109"/>
        <w:gridCol w:w="246"/>
        <w:gridCol w:w="246"/>
        <w:gridCol w:w="349"/>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Short-Term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As of December 31, 2024, we had approximately </w:t>
      </w:r>
      <w:r>
        <w:rPr>
          <w:rFonts w:ascii="Times New Roman;sans-serif" w:hAnsi="Times New Roman;sans-serif"/>
          <w:b w:val="false"/>
          <w:color w:val="000000"/>
          <w:sz w:val="20"/>
        </w:rPr>
        <w:t>$160.0 million</w:t>
      </w:r>
      <w:r>
        <w:rPr>
          <w:color w:val="000000"/>
          <w:shd w:fill="FFFFFF" w:val="clear"/>
        </w:rPr>
        <w:t xml:space="preserve"> </w:t>
      </w:r>
      <w:r>
        <w:rPr>
          <w:rFonts w:ascii="Times New Roman;sans-serif" w:hAnsi="Times New Roman;sans-serif"/>
          <w:b w:val="false"/>
          <w:color w:val="000000"/>
          <w:sz w:val="20"/>
          <w:shd w:fill="FFFFFF" w:val="clear"/>
        </w:rPr>
        <w:t xml:space="preserve">outstanding in letters of credit, surety bonds, and performance and other guarantees which primarily expire on various dates through </w:t>
      </w:r>
      <w:r>
        <w:rPr>
          <w:rFonts w:ascii="Times New Roman;sans-serif" w:hAnsi="Times New Roman;sans-serif"/>
          <w:b w:val="false"/>
          <w:color w:val="000000"/>
          <w:sz w:val="20"/>
        </w:rPr>
        <w:t>2035</w:t>
      </w:r>
      <w:r>
        <w:rPr>
          <w:rFonts w:ascii="Times New Roman;sans-serif" w:hAnsi="Times New Roman;sans-serif"/>
          <w:b w:val="false"/>
          <w:color w:val="000000"/>
          <w:sz w:val="20"/>
          <w:shd w:fill="FFFFFF" w:val="clear"/>
        </w:rPr>
        <w:t>.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estimate of future interest payments on long-term debt is </w:t>
      </w:r>
      <w:r>
        <w:rPr>
          <w:rFonts w:ascii="Times New Roman;sans-serif" w:hAnsi="Times New Roman;sans-serif"/>
          <w:b w:val="false"/>
          <w:color w:val="000000"/>
          <w:sz w:val="20"/>
        </w:rPr>
        <w:t>$841.2 million</w:t>
      </w:r>
      <w:r>
        <w:rPr>
          <w:color w:val="000000"/>
          <w:shd w:fill="FFFFFF" w:val="clear"/>
        </w:rPr>
        <w:t xml:space="preserve"> </w:t>
      </w:r>
      <w:r>
        <w:rPr>
          <w:rFonts w:ascii="Times New Roman;sans-serif" w:hAnsi="Times New Roman;sans-serif"/>
          <w:b w:val="false"/>
          <w:color w:val="000000"/>
          <w:sz w:val="20"/>
          <w:shd w:fill="FFFFFF" w:val="clear"/>
        </w:rPr>
        <w:t>based on the interest rates in effect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cash flow and access to capital markets are expected to satisfy our various cash flow requirements, including acquisitions, capital expenditures, purchase obligations, debt maturities and lease obligations. Acquisition spending and/or share repurchases could potentially increase our debt.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existing sources of liquidity are adequate to meet anticipated funding needs at current risk-based interest rates for the foreseeable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Financial Instruments and Risk Management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diverse nature of our businesses' activities necessitates the management of various financial and market risks, including those related to changes in interest rates, foreign currency exchange rates and commodity prices. We periodically use 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Exposure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for the years ended December 31, 2024, 2023 and 2022,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our current risk related to market fluctuations in interest rates to be minimal since our debt is largely long-term and fixed rate in nature. Generally, the fair market value of fixed-interest rate debt will increase as interest rates fall and decrease as interest rates rise. A 100 basis point increase in market interest rates would decrease the 2024 year-end fair value of our long-term debt by approximately $129.1 million. However, since we have no plans to repurchase our outstanding fixed-rate instruments before their maturities, the impact of market interest rate fluctuations on our long-term debt does not affect our results of operations or financial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Currency Exposure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financial instruments to offset such risks, when it is believed that the exposure will not be limited by our normal operating and financing activities. We have formal policies to mitigate risk in this area by using fair value and/or cash flow hedging programs.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have designated the €600 million and €500 million of euro-denominated notes issued November 9, 2016 and November 4, 2019, respectively, as a hedge of our net investment in euro-denominated operations.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pre-tax gain of $66.8 million, and $80.3 million in other comprehensive (loss) earnings for the years ended December 31, 2024, and 2022, respectively and a pre-tax loss of $45.8 million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Commodity Price Exposure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In some cases, we maintain longer-term index-based contracts on raw materials and component parts and centrally drive an ongoing effort to minimize risk proactively. However, we are prone to exposure as these contracts expire.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revenue is generated through the manufacture and sale of a broad range of specialized products and components, with revenue recognized upon transfer of title and risk of loss, which is generally upon shipment. In limited cases, our revenue arrangements with customers require delivery, installation, testing, certification, or other promises to deliver goods or services that may impact the timing or pattern of revenue recognized. The remainder of our revenue is recognized over time, which is primarily related to services performed and specialized goods manufactured.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Judgments and uncertainties involved in the estimate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level of judgment is involved in the identification of performance obligations for contracts with multiple-element arrangements and the allocation of the transaction price based on the relative stand-alone selling price. The identification requires judgment to identify all distinct goods or services and also the appropriate timing of revenue recognition for each distinct good or service based on the transfer of control to the customer. We estimate the relative stand-alone selling price for performance obligations if not directly observable. A significant level of judgment is also involved in the selection of the appropriate method to recognize revenue over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judgments and estimates used or the method selected to recognize revenue over time differ or change in a future period, a change to revenue and the related assets and liabilities could impact our financial position or results of operations. The judgments, estimates, and methods used have been applied consistently over the last three fiscal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Valuation of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represent a significant portion of our consolidated balance sheet as a result of current and past acquisitions. Intangible assets primarily include customer intangibles, trademarks, unpatented technologies, and patents. The fair value of acquired intangible assets is determined using widely accepted valuation techniques, and the Company may engage third-party appraisal firms to assist with the determination of fair values of significant intangible assets. The valuation of intangible assets is performed at the time of acquisition and may change during the acquisition measurement period until the valuation is finalized. The fair value of finite-lived intangible assets is subsequently amortized over the estimated useful life.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Judgments and uncertainties involved in the estimate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used in the valuation of customer intangibles include future cash flows, customer attrition rate, and discount rate. The significant assumptions for the valuation of trademarks include future revenues, royalty rate, and discount rate. The significant assumptions for the valuation of unpatented technologies and patents include future revenues, obsolescence rate, royalty rate, and discount rate. The assumptions and estimates used in the valuation of these intangible assets are based on several factors, including historical experience with similar businesses and industries and information obtained from operating company management.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 assumptions used in our valuation of intangible assets are reasonable and representative of expected results, actual results may differ from these assumptions. While the assumptions used for each acquisition are dependent on the acquired company, the assumptions have been applied using a consistent methodology over the last three fiscal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Goodwill Impairment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the difference between the consideration transferred and the fair value of net assets acquired. Goodwill is tested for impairment on an annual basis during the fourth quarter, or more frequently when indicators of impairment exist, or when a change in the composition of reporting units for goodwill occurs for other reasons, such as a disposition or a change in segments. The impairment test involves a comparison of the fair value of each reporting unit with its carrying value. Fair value reflects the price a potential market participant would be willing to pay for the reporting unit in an arms-length transaction.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Judgments and uncertainties involved in the estimate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in the fair value analysis of goodwill are the estimated future cash flows and the discount rate. The determination of future cash flows involves significant judgment and is primarily driven by forecasted revenue growth rates and EBITDA margins for the reporting unit. These assumptions are developed based on the reporting unit’s expected future performance, which considers historical performance. We use a discount rate commensurate with the inherent risks in our internally developed forecasts of future cash flows. The discount rate may also fluctuate due to market conditions such as rising interest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 assumptions used in our annual impairment analysis are reasonable and representative of expected results and reflective of a market participant, actual results may differ from these assumptions. The methodology used for the goodwill impairment test has remained consistent over the last three fiscal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Valuation of Pension Benefit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pension benefit obligation is actuarially determined in accordance with GAAP and is impacted by assumptions used to estimate the obligation, namely the discount rate. Annually, we review the actuarial assumptions used and compare the assumptions to third-party benchmarks to ensure that the selected assumptions accurately account for our future pension benefit obligations.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Judgments and uncertainties involved in the estimate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discount rate assumptions are determined by developing a yield curve based on high quality corporate bonds with maturities matching the plans’ expected benefit payment streams. The plans’ expected cash flows are then discounted by the resulting year-by-year discount rates. The 2024 weighted-average discount rate used to measure our pension benefit obligations for non-US plans decreased to 2.64% from 2.80% in 2023 due to a decrease in interest rates. The U.S. Plan discount rate increased to 5.70% from 5.20% in 2023 due to increases in corporate bond yields over this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25-basis point decrease in the discount rates used for these plans would have increased pension benefit obligations by approximately $15.3 million from the amount recorded at December 31, 2024. The methodology used for the valuation of the pension benefit obligation has remained consistent over the last three fiscal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Recoverability of Deferred Income Tax Assets and Unrecognized Tax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and are subject to income taxes in various jurisdictions and are subject to ongoing audits by federal, state, and non-U.S. tax authorities. Significant judgment is required in determining the realizability of deferred tax assets and evaluating unrecognized tax benefits.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amounts of deferred tax assets that are evaluated for recoverability and valued accordingly. Management evaluates the realizability of deferred income tax assets for each jurisdiction in which the Company operates. We record valuation allowances to reduce the carrying value of deferred tax assets to amounts that we expect are more likely than not to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unrecognized tax benefits provides a recognition threshold and measurement attribute for determining the financial statement tax benefits taken or expected to be taken in a tax return and disclosure requirements regarding uncertainties in income tax positions. The tax position is measured at the largest amount of benefit that is greater than 50% likely of being realized upon ultimate settlement.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Judgments and uncertainties involved in the estimate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adequacy of a recorded valuation allowance, we consider all positive and negative evidence, including the scheduled reversal of deferred tax liabilities, historical and projected future taxable income, and tax planning strategies. Additionally, significant judgment is required in the identification and measurement of unrecognized tax benefits. Our liability for unrecognized tax benefits contains uncertainties because management is required to make assumptions and to apply judgment to estimate the exposures associated with our various filing positions.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judgments and estimates are reasonable, actual results could differ and result in additional tax expense or benefit. If we determine a valuation allowance should be recognized to reduce the carrying value of a deferred tax asset or a liability for an unrecognized tax benefit needs to be recorded, the adjustment would result in a change to tax expense in the period such determination is made. We have not made any material changes in the process we use to assess valuation allowances and unrecognized tax benefits over the last three fiscal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are established for environmental and legal contingencies at both the business and corporate levels. A significant amount of judgment and the use of estimates are required to quantify our ultimate exposure in these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Judgments and uncertainties involved in the estimate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Estimates used in the valuations include the probable outcome of such proceedings, the costs and expenses reasonably expected to be incurred and currently accrued to-date and consider the availability and extent of insurance coverage. Such liability balances contain uncertainties due to new developments regarding the facts and circumstances of each proceeding, changes in applicable laws and regulations, and other future events and decisions by third parties that may impact the ultimate resolution of a proceeding.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if actual results differ from assumptions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the amount accrued to-date is adequate, future changes in circumstances could impact these determinations, and we may be exposed to a material loss. For example, to the extent we prevail in matters for which a liability has been established or are required to pay amounts in excess of our established liability, our contingent liability in a given financial statement period could be materially affected. However, the Company does not believe that it is currently involved in any legal proceedings which, individually or in the aggregate, could have a material effect on its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 Description of Business and Summary of Significant Accounting Policies in the consolidated financial statements in Item 8 of this Form 10-K for a discussion of recent accounting pronouncements and recently adopted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We believe that reporting adjusted working capital provides a meaningful measure of liquidity by showing changes caused by operational results. We believe that reporting organic revenue growth provides a useful comparison of our revenue performance and trends between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Reconciliations and comparisons to non-GAAP measures can be found above in this Item 7, MD&amp;A.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section is incorporated by reference to the section, "Financial Instruments and Risk Management", included within the MD&amp;A in Item 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7305" w:type="dxa"/>
        <w:jc w:val="center"/>
        <w:tblInd w:w="0" w:type="dxa"/>
        <w:tblLayout w:type="fixed"/>
        <w:tblCellMar>
          <w:top w:w="28" w:type="dxa"/>
          <w:left w:w="28" w:type="dxa"/>
          <w:bottom w:w="28" w:type="dxa"/>
          <w:right w:w="28" w:type="dxa"/>
        </w:tblCellMar>
      </w:tblPr>
      <w:tblGrid>
        <w:gridCol w:w="196"/>
        <w:gridCol w:w="172"/>
        <w:gridCol w:w="173"/>
        <w:gridCol w:w="1981"/>
        <w:gridCol w:w="1981"/>
        <w:gridCol w:w="280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12">
              <w:r>
                <w:rPr>
                  <w:rStyle w:val="InternetLink"/>
                  <w:rFonts w:ascii="Times New Roman;sans-serif" w:hAnsi="Times New Roman;sans-serif"/>
                  <w:b w:val="false"/>
                  <w:color w:val="0000FF"/>
                  <w:sz w:val="20"/>
                  <w:u w:val="single"/>
                </w:rPr>
                <w:t>53</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12">
              <w:r>
                <w:rPr>
                  <w:rStyle w:val="InternetLink"/>
                  <w:rFonts w:ascii="Times New Roman;sans-serif" w:hAnsi="Times New Roman;sans-serif"/>
                  <w:b w:val="false"/>
                  <w:color w:val="0000FF"/>
                  <w:sz w:val="20"/>
                  <w:u w:val="single"/>
                </w:rPr>
                <w:t>Management's Report on Internal Control Over Financial Reporting</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15">
              <w:r>
                <w:rPr>
                  <w:rStyle w:val="InternetLink"/>
                  <w:rFonts w:ascii="Times New Roman;sans-serif" w:hAnsi="Times New Roman;sans-serif"/>
                  <w:b w:val="false"/>
                  <w:color w:val="0000FF"/>
                  <w:sz w:val="20"/>
                  <w:u w:val="single"/>
                </w:rPr>
                <w:t>54</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15">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E32E1"/>
                <w:sz w:val="20"/>
                <w:u w:val="single"/>
              </w:rPr>
              <w:t>238</w:t>
            </w:r>
            <w:hyperlink w:anchor="i5e22596fc410472ba847835082dbcad7_115">
              <w:r>
                <w:rPr>
                  <w:rStyle w:val="InternetLink"/>
                  <w:rFonts w:ascii="Times New Roman;sans-serif" w:hAnsi="Times New Roman;sans-serif"/>
                  <w:b w:val="false"/>
                  <w:color w:val="0000FF"/>
                  <w:sz w:val="20"/>
                  <w:u w:val="single"/>
                </w:rPr>
                <w:t>)</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18">
              <w:r>
                <w:rPr>
                  <w:rStyle w:val="InternetLink"/>
                  <w:rFonts w:ascii="Times New Roman;sans-serif" w:hAnsi="Times New Roman;sans-serif"/>
                  <w:b w:val="false"/>
                  <w:color w:val="0000FF"/>
                  <w:sz w:val="20"/>
                  <w:u w:val="single"/>
                </w:rPr>
                <w:t>56</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18">
              <w:r>
                <w:rPr>
                  <w:rStyle w:val="InternetLink"/>
                  <w:rFonts w:ascii="Times New Roman;sans-serif" w:hAnsi="Times New Roman;sans-serif"/>
                  <w:b w:val="false"/>
                  <w:color w:val="0000FF"/>
                  <w:sz w:val="20"/>
                  <w:u w:val="single"/>
                </w:rPr>
                <w:t>Consolidated Statements of Earnings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21">
              <w:r>
                <w:rPr>
                  <w:rStyle w:val="InternetLink"/>
                  <w:rFonts w:ascii="Times New Roman;sans-serif" w:hAnsi="Times New Roman;sans-serif"/>
                  <w:b w:val="false"/>
                  <w:color w:val="0000FF"/>
                  <w:sz w:val="20"/>
                  <w:u w:val="single"/>
                </w:rPr>
                <w:t>57</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21">
              <w:r>
                <w:rPr>
                  <w:rStyle w:val="InternetLink"/>
                  <w:rFonts w:ascii="Times New Roman;sans-serif" w:hAnsi="Times New Roman;sans-serif"/>
                  <w:b w:val="false"/>
                  <w:color w:val="0000FF"/>
                  <w:sz w:val="20"/>
                  <w:u w:val="single"/>
                </w:rPr>
                <w:t>Consolidated Statements of Comprehensive Earnings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24">
              <w:r>
                <w:rPr>
                  <w:rStyle w:val="InternetLink"/>
                  <w:rFonts w:ascii="Times New Roman;sans-serif" w:hAnsi="Times New Roman;sans-serif"/>
                  <w:b w:val="false"/>
                  <w:color w:val="0000FF"/>
                  <w:sz w:val="20"/>
                  <w:u w:val="single"/>
                </w:rPr>
                <w:t>58</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24">
              <w:r>
                <w:rPr>
                  <w:rStyle w:val="InternetLink"/>
                  <w:rFonts w:ascii="Times New Roman;sans-serif" w:hAnsi="Times New Roman;sans-serif"/>
                  <w:b w:val="false"/>
                  <w:color w:val="0000FF"/>
                  <w:sz w:val="20"/>
                  <w:u w:val="single"/>
                </w:rPr>
                <w:t>Consolidated Balance Sheets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27">
              <w:r>
                <w:rPr>
                  <w:rStyle w:val="InternetLink"/>
                  <w:rFonts w:ascii="Times New Roman;sans-serif" w:hAnsi="Times New Roman;sans-serif"/>
                  <w:b w:val="false"/>
                  <w:color w:val="0000FF"/>
                  <w:sz w:val="20"/>
                  <w:u w:val="single"/>
                </w:rPr>
                <w:t>59</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27">
              <w:r>
                <w:rPr>
                  <w:rStyle w:val="InternetLink"/>
                  <w:rFonts w:ascii="Times New Roman;sans-serif" w:hAnsi="Times New Roman;sans-serif"/>
                  <w:b w:val="false"/>
                  <w:color w:val="0000FF"/>
                  <w:sz w:val="20"/>
                  <w:u w:val="single"/>
                </w:rPr>
                <w:t>Consolidated Statements of Stockholders' Equity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30">
              <w:r>
                <w:rPr>
                  <w:rStyle w:val="InternetLink"/>
                  <w:rFonts w:ascii="Times New Roman;sans-serif" w:hAnsi="Times New Roman;sans-serif"/>
                  <w:b w:val="false"/>
                  <w:color w:val="0000FF"/>
                  <w:sz w:val="20"/>
                  <w:u w:val="single"/>
                </w:rPr>
                <w:t>60</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30">
              <w:r>
                <w:rPr>
                  <w:rStyle w:val="InternetLink"/>
                  <w:rFonts w:ascii="Times New Roman;sans-serif" w:hAnsi="Times New Roman;sans-serif"/>
                  <w:b w:val="false"/>
                  <w:color w:val="0000FF"/>
                  <w:sz w:val="20"/>
                  <w:u w:val="single"/>
                </w:rPr>
                <w:t>Consolidated Statements of Cash Flows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36">
              <w:r>
                <w:rPr>
                  <w:rStyle w:val="InternetLink"/>
                  <w:rFonts w:ascii="Times New Roman;sans-serif" w:hAnsi="Times New Roman;sans-serif"/>
                  <w:b w:val="false"/>
                  <w:color w:val="0000FF"/>
                  <w:sz w:val="20"/>
                  <w:u w:val="single"/>
                </w:rPr>
                <w:t>61</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36">
              <w:r>
                <w:rPr>
                  <w:rStyle w:val="InternetLink"/>
                  <w:rFonts w:ascii="Times New Roman;sans-serif" w:hAnsi="Times New Roman;sans-serif"/>
                  <w:b w:val="false"/>
                  <w:color w:val="0000FF"/>
                  <w:sz w:val="20"/>
                  <w:u w:val="single"/>
                </w:rPr>
                <w:t>Notes to Consolidated Financial Statements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36">
              <w:r>
                <w:rPr>
                  <w:rStyle w:val="InternetLink"/>
                  <w:rFonts w:ascii="Times New Roman;sans-serif" w:hAnsi="Times New Roman;sans-serif"/>
                  <w:b w:val="false"/>
                  <w:color w:val="0000FF"/>
                  <w:sz w:val="20"/>
                  <w:u w:val="single"/>
                </w:rPr>
                <w:t>61</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39">
              <w:r>
                <w:rPr>
                  <w:rStyle w:val="InternetLink"/>
                  <w:rFonts w:ascii="Times New Roman;sans-serif" w:hAnsi="Times New Roman;sans-serif"/>
                  <w:b w:val="false"/>
                  <w:color w:val="0000FF"/>
                  <w:sz w:val="20"/>
                  <w:u w:val="single"/>
                </w:rPr>
                <w:t>Note 1 - Description of Business and Summary of Significant Accounting Policies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48">
              <w:r>
                <w:rPr>
                  <w:rStyle w:val="InternetLink"/>
                  <w:rFonts w:ascii="Times New Roman;sans-serif" w:hAnsi="Times New Roman;sans-serif"/>
                  <w:b w:val="false"/>
                  <w:color w:val="0000FF"/>
                  <w:sz w:val="20"/>
                  <w:u w:val="single"/>
                </w:rPr>
                <w:t>66</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48">
              <w:r>
                <w:rPr>
                  <w:rStyle w:val="InternetLink"/>
                  <w:rFonts w:ascii="Times New Roman;sans-serif" w:hAnsi="Times New Roman;sans-serif"/>
                  <w:b w:val="false"/>
                  <w:color w:val="0000FF"/>
                  <w:sz w:val="20"/>
                  <w:u w:val="single"/>
                </w:rPr>
                <w:t>Note 2 - Revenue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57">
              <w:r>
                <w:rPr>
                  <w:rStyle w:val="InternetLink"/>
                  <w:rFonts w:ascii="Times New Roman;sans-serif" w:hAnsi="Times New Roman;sans-serif"/>
                  <w:b w:val="false"/>
                  <w:color w:val="0000FF"/>
                  <w:sz w:val="20"/>
                  <w:u w:val="single"/>
                </w:rPr>
                <w:t>68</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57">
              <w:r>
                <w:rPr>
                  <w:rStyle w:val="InternetLink"/>
                  <w:rFonts w:ascii="Times New Roman;sans-serif" w:hAnsi="Times New Roman;sans-serif"/>
                  <w:b w:val="false"/>
                  <w:color w:val="0000FF"/>
                  <w:sz w:val="20"/>
                  <w:u w:val="single"/>
                </w:rPr>
                <w:t>Note 3 - Acquisitions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66">
              <w:r>
                <w:rPr>
                  <w:rStyle w:val="InternetLink"/>
                  <w:rFonts w:ascii="Times New Roman;sans-serif" w:hAnsi="Times New Roman;sans-serif"/>
                  <w:b w:val="false"/>
                  <w:color w:val="0000FF"/>
                  <w:sz w:val="20"/>
                  <w:u w:val="single"/>
                </w:rPr>
                <w:t>73</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66">
              <w:r>
                <w:rPr>
                  <w:rStyle w:val="InternetLink"/>
                  <w:rFonts w:ascii="Times New Roman;sans-serif" w:hAnsi="Times New Roman;sans-serif"/>
                  <w:b w:val="false"/>
                  <w:color w:val="0000FF"/>
                  <w:sz w:val="20"/>
                  <w:u w:val="single"/>
                </w:rPr>
                <w:t>Note 4 - Discontinued and Disposed Operations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69">
              <w:r>
                <w:rPr>
                  <w:rStyle w:val="InternetLink"/>
                  <w:rFonts w:ascii="Times New Roman;sans-serif" w:hAnsi="Times New Roman;sans-serif"/>
                  <w:b w:val="false"/>
                  <w:color w:val="0000FF"/>
                  <w:sz w:val="20"/>
                  <w:u w:val="single"/>
                </w:rPr>
                <w:t>75</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69">
              <w:r>
                <w:rPr>
                  <w:rStyle w:val="InternetLink"/>
                  <w:rFonts w:ascii="Times New Roman;sans-serif" w:hAnsi="Times New Roman;sans-serif"/>
                  <w:b w:val="false"/>
                  <w:color w:val="0000FF"/>
                  <w:sz w:val="20"/>
                  <w:u w:val="single"/>
                </w:rPr>
                <w:t>Note 5 - Inventories, net</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72">
              <w:r>
                <w:rPr>
                  <w:rStyle w:val="InternetLink"/>
                  <w:rFonts w:ascii="Times New Roman;sans-serif" w:hAnsi="Times New Roman;sans-serif"/>
                  <w:b w:val="false"/>
                  <w:color w:val="0000FF"/>
                  <w:sz w:val="20"/>
                  <w:u w:val="single"/>
                </w:rPr>
                <w:t>75</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72">
              <w:r>
                <w:rPr>
                  <w:rStyle w:val="InternetLink"/>
                  <w:rFonts w:ascii="Times New Roman;sans-serif" w:hAnsi="Times New Roman;sans-serif"/>
                  <w:b w:val="false"/>
                  <w:color w:val="0000FF"/>
                  <w:sz w:val="20"/>
                  <w:u w:val="single"/>
                </w:rPr>
                <w:t>Note 6 - Property, Plant and Equipment, net</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75">
              <w:r>
                <w:rPr>
                  <w:rStyle w:val="InternetLink"/>
                  <w:rFonts w:ascii="Times New Roman;sans-serif" w:hAnsi="Times New Roman;sans-serif"/>
                  <w:b w:val="false"/>
                  <w:color w:val="0000FF"/>
                  <w:sz w:val="20"/>
                  <w:u w:val="single"/>
                </w:rPr>
                <w:t>75</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75">
              <w:r>
                <w:rPr>
                  <w:rStyle w:val="InternetLink"/>
                  <w:rFonts w:ascii="Times New Roman;sans-serif" w:hAnsi="Times New Roman;sans-serif"/>
                  <w:b w:val="false"/>
                  <w:color w:val="0000FF"/>
                  <w:sz w:val="20"/>
                  <w:u w:val="single"/>
                </w:rPr>
                <w:t>Note 7 - Leases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78">
              <w:r>
                <w:rPr>
                  <w:rStyle w:val="InternetLink"/>
                  <w:rFonts w:ascii="Times New Roman;sans-serif" w:hAnsi="Times New Roman;sans-serif"/>
                  <w:b w:val="false"/>
                  <w:color w:val="0000FF"/>
                  <w:sz w:val="20"/>
                  <w:u w:val="single"/>
                </w:rPr>
                <w:t>77</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78">
              <w:r>
                <w:rPr>
                  <w:rStyle w:val="InternetLink"/>
                  <w:rFonts w:ascii="Times New Roman;sans-serif" w:hAnsi="Times New Roman;sans-serif"/>
                  <w:b w:val="false"/>
                  <w:color w:val="0000FF"/>
                  <w:sz w:val="20"/>
                  <w:u w:val="single"/>
                </w:rPr>
                <w:t>Note 8 - Credit Losses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81">
              <w:r>
                <w:rPr>
                  <w:rStyle w:val="InternetLink"/>
                  <w:rFonts w:ascii="Times New Roman;sans-serif" w:hAnsi="Times New Roman;sans-serif"/>
                  <w:b w:val="false"/>
                  <w:color w:val="0000FF"/>
                  <w:sz w:val="20"/>
                  <w:u w:val="single"/>
                </w:rPr>
                <w:t>78</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81">
              <w:r>
                <w:rPr>
                  <w:rStyle w:val="InternetLink"/>
                  <w:rFonts w:ascii="Times New Roman;sans-serif" w:hAnsi="Times New Roman;sans-serif"/>
                  <w:b w:val="false"/>
                  <w:color w:val="0000FF"/>
                  <w:sz w:val="20"/>
                  <w:u w:val="single"/>
                </w:rPr>
                <w:t>Note 9 - Goodwill and Other Intangible Assets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87">
              <w:r>
                <w:rPr>
                  <w:rStyle w:val="InternetLink"/>
                  <w:rFonts w:ascii="Times New Roman;sans-serif" w:hAnsi="Times New Roman;sans-serif"/>
                  <w:b w:val="false"/>
                  <w:color w:val="0000FF"/>
                  <w:sz w:val="20"/>
                  <w:u w:val="single"/>
                </w:rPr>
                <w:t>79</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87">
              <w:r>
                <w:rPr>
                  <w:rStyle w:val="InternetLink"/>
                  <w:rFonts w:ascii="Times New Roman;sans-serif" w:hAnsi="Times New Roman;sans-serif"/>
                  <w:b w:val="false"/>
                  <w:color w:val="0000FF"/>
                  <w:sz w:val="20"/>
                  <w:u w:val="single"/>
                </w:rPr>
                <w:t>Note 10 - Other Accrued Expenses and Other Liabilities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90">
              <w:r>
                <w:rPr>
                  <w:rStyle w:val="InternetLink"/>
                  <w:rFonts w:ascii="Times New Roman;sans-serif" w:hAnsi="Times New Roman;sans-serif"/>
                  <w:b w:val="false"/>
                  <w:color w:val="0000FF"/>
                  <w:sz w:val="20"/>
                  <w:u w:val="single"/>
                </w:rPr>
                <w:t>80</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90">
              <w:r>
                <w:rPr>
                  <w:rStyle w:val="InternetLink"/>
                  <w:rFonts w:ascii="Times New Roman;sans-serif" w:hAnsi="Times New Roman;sans-serif"/>
                  <w:b w:val="false"/>
                  <w:color w:val="0000FF"/>
                  <w:sz w:val="20"/>
                  <w:u w:val="single"/>
                </w:rPr>
                <w:t>Note 11 - Restructuring Activities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196">
              <w:r>
                <w:rPr>
                  <w:rStyle w:val="InternetLink"/>
                  <w:rFonts w:ascii="Times New Roman;sans-serif" w:hAnsi="Times New Roman;sans-serif"/>
                  <w:b w:val="false"/>
                  <w:color w:val="0000FF"/>
                  <w:sz w:val="20"/>
                  <w:u w:val="single"/>
                </w:rPr>
                <w:t>81</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196">
              <w:r>
                <w:rPr>
                  <w:rStyle w:val="InternetLink"/>
                  <w:rFonts w:ascii="Times New Roman;sans-serif" w:hAnsi="Times New Roman;sans-serif"/>
                  <w:b w:val="false"/>
                  <w:color w:val="0000FF"/>
                  <w:sz w:val="20"/>
                  <w:u w:val="single"/>
                </w:rPr>
                <w:t>Note 12 - Borrowings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02">
              <w:r>
                <w:rPr>
                  <w:rStyle w:val="InternetLink"/>
                  <w:rFonts w:ascii="Times New Roman;sans-serif" w:hAnsi="Times New Roman;sans-serif"/>
                  <w:b w:val="false"/>
                  <w:color w:val="0000FF"/>
                  <w:sz w:val="20"/>
                  <w:u w:val="single"/>
                </w:rPr>
                <w:t>82</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02">
              <w:r>
                <w:rPr>
                  <w:rStyle w:val="InternetLink"/>
                  <w:rFonts w:ascii="Times New Roman;sans-serif" w:hAnsi="Times New Roman;sans-serif"/>
                  <w:b w:val="false"/>
                  <w:color w:val="0000FF"/>
                  <w:sz w:val="20"/>
                  <w:u w:val="single"/>
                </w:rPr>
                <w:t>Note 13 - Financial Instruments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05">
              <w:r>
                <w:rPr>
                  <w:rStyle w:val="InternetLink"/>
                  <w:rFonts w:ascii="Times New Roman;sans-serif" w:hAnsi="Times New Roman;sans-serif"/>
                  <w:b w:val="false"/>
                  <w:color w:val="0000FF"/>
                  <w:sz w:val="20"/>
                  <w:u w:val="single"/>
                </w:rPr>
                <w:t>84</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05">
              <w:r>
                <w:rPr>
                  <w:rStyle w:val="InternetLink"/>
                  <w:rFonts w:ascii="Times New Roman;sans-serif" w:hAnsi="Times New Roman;sans-serif"/>
                  <w:b w:val="false"/>
                  <w:color w:val="0000FF"/>
                  <w:sz w:val="20"/>
                  <w:u w:val="single"/>
                </w:rPr>
                <w:t>Note 14 - Income Taxes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08">
              <w:r>
                <w:rPr>
                  <w:rStyle w:val="InternetLink"/>
                  <w:rFonts w:ascii="Times New Roman;sans-serif" w:hAnsi="Times New Roman;sans-serif"/>
                  <w:b w:val="false"/>
                  <w:color w:val="0000FF"/>
                  <w:sz w:val="20"/>
                  <w:u w:val="single"/>
                </w:rPr>
                <w:t>87</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08">
              <w:r>
                <w:rPr>
                  <w:rStyle w:val="InternetLink"/>
                  <w:rFonts w:ascii="Times New Roman;sans-serif" w:hAnsi="Times New Roman;sans-serif"/>
                  <w:b w:val="false"/>
                  <w:color w:val="0000FF"/>
                  <w:sz w:val="20"/>
                  <w:u w:val="single"/>
                </w:rPr>
                <w:t>Note 15 - Equity and Cash Incentive Program</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14">
              <w:r>
                <w:rPr>
                  <w:rStyle w:val="InternetLink"/>
                  <w:rFonts w:ascii="Times New Roman;sans-serif" w:hAnsi="Times New Roman;sans-serif"/>
                  <w:b w:val="false"/>
                  <w:color w:val="0000FF"/>
                  <w:sz w:val="20"/>
                  <w:u w:val="single"/>
                </w:rPr>
                <w:t>90</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14">
              <w:r>
                <w:rPr>
                  <w:rStyle w:val="InternetLink"/>
                  <w:rFonts w:ascii="Times New Roman;sans-serif" w:hAnsi="Times New Roman;sans-serif"/>
                  <w:b w:val="false"/>
                  <w:color w:val="0000FF"/>
                  <w:sz w:val="20"/>
                  <w:u w:val="single"/>
                </w:rPr>
                <w:t>Note 16 - Commitments and Contingent Liabilities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17">
              <w:r>
                <w:rPr>
                  <w:rStyle w:val="InternetLink"/>
                  <w:rFonts w:ascii="Times New Roman;sans-serif" w:hAnsi="Times New Roman;sans-serif"/>
                  <w:b w:val="false"/>
                  <w:color w:val="0000FF"/>
                  <w:sz w:val="20"/>
                  <w:u w:val="single"/>
                </w:rPr>
                <w:t>91</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17">
              <w:r>
                <w:rPr>
                  <w:rStyle w:val="InternetLink"/>
                  <w:rFonts w:ascii="Times New Roman;sans-serif" w:hAnsi="Times New Roman;sans-serif"/>
                  <w:b w:val="false"/>
                  <w:color w:val="0000FF"/>
                  <w:sz w:val="20"/>
                  <w:u w:val="single"/>
                </w:rPr>
                <w:t>Note 17 - Employee Benefit Plans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23">
              <w:r>
                <w:rPr>
                  <w:rStyle w:val="InternetLink"/>
                  <w:rFonts w:ascii="Times New Roman;sans-serif" w:hAnsi="Times New Roman;sans-serif"/>
                  <w:b w:val="false"/>
                  <w:color w:val="0000FF"/>
                  <w:sz w:val="20"/>
                  <w:u w:val="single"/>
                </w:rPr>
                <w:t>97</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23">
              <w:r>
                <w:rPr>
                  <w:rStyle w:val="InternetLink"/>
                  <w:rFonts w:ascii="Times New Roman;sans-serif" w:hAnsi="Times New Roman;sans-serif"/>
                  <w:b w:val="false"/>
                  <w:color w:val="0000FF"/>
                  <w:sz w:val="20"/>
                  <w:u w:val="single"/>
                </w:rPr>
                <w:t>Note 18 - Accumulated Other Comprehensive Earnings (Loss)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26">
              <w:r>
                <w:rPr>
                  <w:rStyle w:val="InternetLink"/>
                  <w:rFonts w:ascii="Times New Roman;sans-serif" w:hAnsi="Times New Roman;sans-serif"/>
                  <w:b w:val="false"/>
                  <w:color w:val="0000FF"/>
                  <w:sz w:val="20"/>
                  <w:u w:val="single"/>
                </w:rPr>
                <w:t>98</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26">
              <w:r>
                <w:rPr>
                  <w:rStyle w:val="InternetLink"/>
                  <w:rFonts w:ascii="Times New Roman;sans-serif" w:hAnsi="Times New Roman;sans-serif"/>
                  <w:b w:val="false"/>
                  <w:color w:val="0000FF"/>
                  <w:sz w:val="20"/>
                  <w:u w:val="single"/>
                </w:rPr>
                <w:t>Note 19 - Segment Information</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29">
              <w:r>
                <w:rPr>
                  <w:rStyle w:val="InternetLink"/>
                  <w:rFonts w:ascii="Times New Roman;sans-serif" w:hAnsi="Times New Roman;sans-serif"/>
                  <w:b w:val="false"/>
                  <w:color w:val="0000FF"/>
                  <w:sz w:val="20"/>
                  <w:u w:val="single"/>
                </w:rPr>
                <w:t>102</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29">
              <w:r>
                <w:rPr>
                  <w:rStyle w:val="InternetLink"/>
                  <w:rFonts w:ascii="Times New Roman;sans-serif" w:hAnsi="Times New Roman;sans-serif"/>
                  <w:b w:val="false"/>
                  <w:color w:val="0000FF"/>
                  <w:sz w:val="20"/>
                  <w:u w:val="single"/>
                </w:rPr>
                <w:t>Note 20 - Earnings per Share</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32">
              <w:r>
                <w:rPr>
                  <w:rStyle w:val="InternetLink"/>
                  <w:rFonts w:ascii="Times New Roman;sans-serif" w:hAnsi="Times New Roman;sans-serif"/>
                  <w:b w:val="false"/>
                  <w:color w:val="0000FF"/>
                  <w:sz w:val="20"/>
                  <w:u w:val="single"/>
                </w:rPr>
                <w:t>102</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32">
              <w:r>
                <w:rPr>
                  <w:rStyle w:val="InternetLink"/>
                  <w:rFonts w:ascii="Times New Roman;sans-serif" w:hAnsi="Times New Roman;sans-serif"/>
                  <w:b w:val="false"/>
                  <w:color w:val="0000FF"/>
                  <w:sz w:val="20"/>
                  <w:u w:val="single"/>
                </w:rPr>
                <w:t>Note 21 - Stockholders' Equity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22596fc410472ba847835082dbcad7_241">
              <w:r>
                <w:rPr>
                  <w:rStyle w:val="InternetLink"/>
                  <w:rFonts w:ascii="Times New Roman;sans-serif" w:hAnsi="Times New Roman;sans-serif"/>
                  <w:b w:val="false"/>
                  <w:color w:val="0000FF"/>
                  <w:sz w:val="20"/>
                  <w:u w:val="single"/>
                </w:rPr>
                <w:t>103</w:t>
              </w:r>
            </w:hyperlink>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22596fc410472ba847835082dbcad7_241">
              <w:r>
                <w:rPr>
                  <w:rStyle w:val="InternetLink"/>
                  <w:rFonts w:ascii="Times New Roman;sans-serif" w:hAnsi="Times New Roman;sans-serif"/>
                  <w:b w:val="false"/>
                  <w:color w:val="000080"/>
                  <w:sz w:val="20"/>
                  <w:u w:val="single"/>
                </w:rPr>
                <w:t>Note 22 - Subsequent Events</w:t>
              </w:r>
            </w:hyperlink>
            <w:hyperlink w:anchor="i5e22596fc410472ba847835082dbcad7_241">
              <w:r>
                <w:rPr>
                  <w:rStyle w:val="InternetLink"/>
                  <w:rFonts w:ascii="Times New Roman;sans-serif" w:hAnsi="Times New Roman;sans-serif"/>
                  <w:b w:val="false"/>
                  <w:color w:val="000080"/>
                  <w:sz w:val="20"/>
                  <w:u w:val="single"/>
                </w:rPr>
                <w:t xml:space="preserve"> </w:t>
              </w:r>
            </w:hyperlink>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67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(All other schedules are not required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the Company is responsible for establishing and maintaining adequate internal control over financial reporting, as such term is defined in Exchange Act Rule 13a-15(f).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management assessed the effectiveness of the Company's internal control over financial reporting as of December 31, 2024. In making this assessment, the Company's management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Based on its assessment under the criteria set forth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management concluded that, as of December 31, 2024, the Company's internal control over financial reporting was effective to provide reasonable assurance regarding the reliability of financial reporting and the preparation of financial statements for external purposes in accordance with U.S.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2024 has been audited by PricewaterhouseCoopers LLP, an independent registered public accounting firm, as stated in their report which appears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Dover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accompanying consolidated balance sheets of Dover Corporation and its subsidiaries (the "Company") as of December 31, 2024 and 2023, and the related consolidated statements of earnings, of comprehensive earnings,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Test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1 and 9 to the consolidated financial statements, the Company’s consolidated goodwill balance was $4.906 billion as of December 31, 2024. Management performs a goodwill impairment test annually in the fourth quarter, or more frequently if events or circumstances indicate that goodwill may be impaired, when some portion but not all of a reporting unit is disposed of or classified as assets held for sale, or when a change in the composition of reporting units occurs for other reasons. The quantitative test compares the fair value of a reporting unit with its carrying amount, including goodwill. Management uses an income-based valuation method, determining the present value of estimated future cash flows, to estimate the fair value of a reporting unit. As disclosed by management, the significant assumptions in the fair value analysis of goodwill are the estimated future cash flows, which are primarily driven by forecasted revenue growth rates, EBITDA margins, and the discount rate. These assumptions are developed by management based on the reporting unit’s expected future performance, which considers historical performance.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goodwill impairment test is a critical audit matter are (i) the significant judgment by management when developing the fair value estimate of the reporting units and (ii) a high degree of auditor judgment, subjectivity, and effort in performing procedures and evaluating management’s significant assumption related to forecasted revenue growth rates for certain reporting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valuation of the reporting units. These procedures also included, among others (i) testing management’s process for developing the fair value estimate of the reporting units; (ii) evaluating the appropriateness of the income-based valuation method; (iii) testing the completeness and accuracy of underlying data used in the income-based valuation method; and (iv) evaluating the reasonableness of the significant assumption used by management related to forecasted revenue growth rates for certain reporting units. Evaluating the reasonableness of management’s assumption related to forecasted revenue growth rates for certain reporting units involved considering (i) the current and prior period performance of those reporting units and (ii) the consistency of those forecasted revenue growth rates with external market and/or industry data.</w:t>
      </w:r>
    </w:p>
    <w:p>
      <w:pPr>
        <w:pStyle w:val="TextBody"/>
        <w:bidi w:val="0"/>
        <w:spacing w:before="0" w:after="0"/>
        <w:jc w:val="left"/>
        <w:rPr/>
      </w:pPr>
      <w:r>
        <w:rPr/>
      </w:r>
    </w:p>
    <w:tbl>
      <w:tblPr>
        <w:tblW w:w="2895" w:type="dxa"/>
        <w:jc w:val="left"/>
        <w:tblInd w:w="0" w:type="dxa"/>
        <w:tblLayout w:type="fixed"/>
        <w:tblCellMar>
          <w:top w:w="28" w:type="dxa"/>
          <w:left w:w="28" w:type="dxa"/>
          <w:bottom w:w="28" w:type="dxa"/>
          <w:right w:w="28" w:type="dxa"/>
        </w:tblCellMar>
      </w:tblPr>
      <w:tblGrid>
        <w:gridCol w:w="130"/>
        <w:gridCol w:w="115"/>
        <w:gridCol w:w="115"/>
        <w:gridCol w:w="742"/>
        <w:gridCol w:w="742"/>
        <w:gridCol w:w="105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w:t>
            </w:r>
          </w:p>
        </w:tc>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PricewaterhouseCoopers LLP</w:t>
            </w:r>
          </w:p>
        </w:tc>
      </w:tr>
      <w:tr>
        <w:trPr/>
        <w:tc>
          <w:tcPr>
            <w:tcW w:w="2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tc>
      </w:tr>
      <w:tr>
        <w:trPr/>
        <w:tc>
          <w:tcPr>
            <w:tcW w:w="2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EARNINGS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907" w:type="dxa"/>
        <w:jc w:val="left"/>
        <w:tblInd w:w="0" w:type="dxa"/>
        <w:tblLayout w:type="fixed"/>
        <w:tblCellMar>
          <w:top w:w="28" w:type="dxa"/>
          <w:left w:w="28" w:type="dxa"/>
          <w:bottom w:w="28" w:type="dxa"/>
          <w:right w:w="28" w:type="dxa"/>
        </w:tblCellMar>
      </w:tblPr>
      <w:tblGrid>
        <w:gridCol w:w="1562"/>
        <w:gridCol w:w="1376"/>
        <w:gridCol w:w="1382"/>
        <w:gridCol w:w="211"/>
        <w:gridCol w:w="976"/>
        <w:gridCol w:w="109"/>
        <w:gridCol w:w="109"/>
        <w:gridCol w:w="109"/>
        <w:gridCol w:w="109"/>
        <w:gridCol w:w="211"/>
        <w:gridCol w:w="976"/>
        <w:gridCol w:w="109"/>
        <w:gridCol w:w="109"/>
        <w:gridCol w:w="109"/>
        <w:gridCol w:w="109"/>
        <w:gridCol w:w="211"/>
        <w:gridCol w:w="97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earnings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from continuing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from continuing operations: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 from discontinued operations: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EARNINGS</w:t>
      </w:r>
    </w:p>
    <w:p>
      <w:pPr>
        <w:pStyle w:val="TextBody"/>
        <w:bidi w:val="0"/>
        <w:spacing w:lineRule="auto" w:line="28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047"/>
        <w:gridCol w:w="1775"/>
        <w:gridCol w:w="1795"/>
        <w:gridCol w:w="211"/>
        <w:gridCol w:w="976"/>
        <w:gridCol w:w="109"/>
        <w:gridCol w:w="109"/>
        <w:gridCol w:w="109"/>
        <w:gridCol w:w="109"/>
        <w:gridCol w:w="211"/>
        <w:gridCol w:w="976"/>
        <w:gridCol w:w="109"/>
        <w:gridCol w:w="109"/>
        <w:gridCol w:w="109"/>
        <w:gridCol w:w="109"/>
        <w:gridCol w:w="211"/>
        <w:gridCol w:w="976"/>
        <w:gridCol w:w="155"/>
      </w:tblGrid>
      <w:tr>
        <w:trPr/>
        <w:tc>
          <w:tcPr>
            <w:tcW w:w="2047"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comprehensive (loss) earnings, net of tax</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(losses) gains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of foreign currency translation losses to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currency translation adjustments (net of $(14,996), $10,438 and $(17,824) tax (provision) benefit, respectively)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(gains) losses included in net periodic pension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 costs included in net periodic pension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and curtailment impact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and other post-retirement benefit plans (net of $1,134, $3,569 and $(2,230) tax benefit (provision), respectively)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cash flow hedges: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(losses) arising during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reclassified into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flow hedges (net of $(111), $(778) and $1,217 tax (provision) benefit, respectively)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net of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557"/>
        <w:gridCol w:w="2069"/>
        <w:gridCol w:w="2060"/>
        <w:gridCol w:w="236"/>
        <w:gridCol w:w="1213"/>
        <w:gridCol w:w="122"/>
        <w:gridCol w:w="109"/>
        <w:gridCol w:w="109"/>
        <w:gridCol w:w="109"/>
        <w:gridCol w:w="235"/>
        <w:gridCol w:w="1209"/>
        <w:gridCol w:w="177"/>
      </w:tblGrid>
      <w:tr>
        <w:trPr/>
        <w:tc>
          <w:tcPr>
            <w:tcW w:w="2557"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of discontinued operations - current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 current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4,484,497 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3,390,235 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987,924 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978,472 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4,905,702 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4,637,564 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 and deferred charges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 of discontinued operations - non-current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12,509,160 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11,348,513 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other income taxes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of discontinued operations - current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 - current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2,413,770 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2,529,346 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2,991,759 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Non-current income tax payable</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 of discontinued operations - non-current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$100 par value; 100,000 shares authorized; none issued</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$1 par value; 500,000,000 shares authorized; 260,031,000 and 259,841,534 shares issued at December 31, 2024 and 2023</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10,995,624 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122,814,553 and 119,945,271 shares at December 31, 2024 and 2023</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(6,797,685)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6,953,996 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5,106,605 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12,509,160 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11,348,513 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r>
        <w:rPr>
          <w:color w:val="0000FF"/>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666"/>
        <w:gridCol w:w="328"/>
        <w:gridCol w:w="329"/>
        <w:gridCol w:w="202"/>
        <w:gridCol w:w="760"/>
        <w:gridCol w:w="112"/>
        <w:gridCol w:w="109"/>
        <w:gridCol w:w="109"/>
        <w:gridCol w:w="109"/>
        <w:gridCol w:w="201"/>
        <w:gridCol w:w="757"/>
        <w:gridCol w:w="112"/>
        <w:gridCol w:w="109"/>
        <w:gridCol w:w="109"/>
        <w:gridCol w:w="109"/>
        <w:gridCol w:w="197"/>
        <w:gridCol w:w="966"/>
        <w:gridCol w:w="109"/>
        <w:gridCol w:w="109"/>
        <w:gridCol w:w="109"/>
        <w:gridCol w:w="109"/>
        <w:gridCol w:w="256"/>
        <w:gridCol w:w="982"/>
        <w:gridCol w:w="143"/>
        <w:gridCol w:w="109"/>
        <w:gridCol w:w="109"/>
        <w:gridCol w:w="109"/>
        <w:gridCol w:w="196"/>
        <w:gridCol w:w="888"/>
        <w:gridCol w:w="109"/>
        <w:gridCol w:w="109"/>
        <w:gridCol w:w="109"/>
        <w:gridCol w:w="109"/>
        <w:gridCol w:w="200"/>
        <w:gridCol w:w="890"/>
        <w:gridCol w:w="167"/>
      </w:tblGrid>
      <w:tr>
        <w:trPr/>
        <w:tc>
          <w:tcPr>
            <w:tcW w:w="6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(154,052)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(6,218,758)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4,189,528 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($2.01 per share)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for the exercise of share-based awards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acquired, including accelerated share repurchase program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(112,171)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(112,171)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(266,223)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4,286,366 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1,056,828 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($2.03 per share)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for the exercise of share-based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886,690 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(237,866)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5,106,605 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2,697,126 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2,697,126 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($2.05 per share)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for the exercise of share-based awards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acquired, including accelerated share repurchase program and excise tax</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260,031 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892,686 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13,409,633 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(327,776)</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(7,280,578)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6,953,996 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shd w:fill="FFFFFF" w:val="clear"/>
          </w:rPr>
          <w:t>Table of Contents</w:t>
        </w:r>
      </w:hyperlink>
      <w:r>
        <w:rPr>
          <w:color w:val="0000FF"/>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DOVER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10205" w:type="dxa"/>
        <w:jc w:val="center"/>
        <w:tblInd w:w="0" w:type="dxa"/>
        <w:tblLayout w:type="fixed"/>
        <w:tblCellMar>
          <w:top w:w="28" w:type="dxa"/>
          <w:left w:w="28" w:type="dxa"/>
          <w:bottom w:w="28" w:type="dxa"/>
          <w:right w:w="28" w:type="dxa"/>
        </w:tblCellMar>
      </w:tblPr>
      <w:tblGrid>
        <w:gridCol w:w="2267"/>
        <w:gridCol w:w="1853"/>
        <w:gridCol w:w="1856"/>
        <w:gridCol w:w="196"/>
        <w:gridCol w:w="871"/>
        <w:gridCol w:w="109"/>
        <w:gridCol w:w="109"/>
        <w:gridCol w:w="109"/>
        <w:gridCol w:w="109"/>
        <w:gridCol w:w="196"/>
        <w:gridCol w:w="871"/>
        <w:gridCol w:w="109"/>
        <w:gridCol w:w="109"/>
        <w:gridCol w:w="109"/>
        <w:gridCol w:w="109"/>
        <w:gridCol w:w="196"/>
        <w:gridCol w:w="871"/>
        <w:gridCol w:w="156"/>
      </w:tblGrid>
      <w:tr>
        <w:trPr/>
        <w:tc>
          <w:tcPr>
            <w:tcW w:w="2267"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discontinued operations,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losses on accounts receivable (net of recoveries)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Employee benefit plan (benefit)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effect of changes in assets and liabilities (excluding effects of acquisitions, dispositions and foreign exchange):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employee benefit plans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and cash equivalents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dispositions, net of cash transferred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(520,844)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commercial paper and other short-term borrowings,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 including payment under accelerated share repurchase program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settle employee tax obligations on exercise of share-based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Discontinued Operations: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provided by discontinued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 including cash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Cash and cash equivalents at beginning of year, including cash held for sale </w:t>
            </w:r>
            <w:r>
              <w:rPr>
                <w:rFonts w:ascii="Times New Roman;sans-serif" w:hAnsi="Times New Roman;sans-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Cash and cash equivalents at end of year, including cash held for sale </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Supplemental information - cash paid during the year for: </w:t>
            </w:r>
            <w:r>
              <w:rPr>
                <w:rFonts w:ascii="Times New Roman;sans-serif" w:hAnsi="Times New Roman;sans-serif"/>
                <w:b/>
                <w:color w:val="000000"/>
                <w:sz w:val="12"/>
              </w:rPr>
              <w:t>(2)</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shd w:fill="FFFFFF" w:val="clear"/>
        </w:rPr>
      </w:pPr>
      <w:r>
        <w:rPr>
          <w:rFonts w:ascii="Times New Roman;sans-serif" w:hAnsi="Times New Roman;sans-serif"/>
          <w:b w:val="false"/>
          <w:color w:val="000000"/>
          <w:sz w:val="10"/>
          <w:shd w:fill="FFFFFF" w:val="clear"/>
        </w:rPr>
        <w:t xml:space="preserve">(1) </w:t>
      </w:r>
      <w:r>
        <w:rPr>
          <w:rFonts w:ascii="Times New Roman;sans-serif" w:hAnsi="Times New Roman;sans-serif"/>
          <w:b w:val="false"/>
          <w:color w:val="000000"/>
          <w:sz w:val="16"/>
          <w:shd w:fill="FFFFFF" w:val="clear"/>
        </w:rPr>
        <w:t>Cash held for sale as of December 31, 2023 totaled $17,300. There was no cash held for sale as of December 31, 2024, 2022 and 2021.</w:t>
      </w:r>
    </w:p>
    <w:p>
      <w:pPr>
        <w:pStyle w:val="TextBody"/>
        <w:bidi w:val="0"/>
        <w:spacing w:lineRule="auto" w:line="288" w:before="0" w:after="0"/>
        <w:jc w:val="left"/>
        <w:rPr>
          <w:shd w:fill="FFFFFF" w:val="clear"/>
        </w:rPr>
      </w:pPr>
      <w:r>
        <w:rPr>
          <w:rFonts w:ascii="Times New Roman;sans-serif" w:hAnsi="Times New Roman;sans-serif"/>
          <w:b w:val="false"/>
          <w:color w:val="000000"/>
          <w:sz w:val="10"/>
          <w:shd w:fill="FFFFFF" w:val="clear"/>
        </w:rPr>
        <w:t xml:space="preserve">(2) </w:t>
      </w:r>
      <w:r>
        <w:rPr>
          <w:rFonts w:ascii="Times New Roman;sans-serif" w:hAnsi="Times New Roman;sans-serif"/>
          <w:b w:val="false"/>
          <w:color w:val="000000"/>
          <w:sz w:val="16"/>
          <w:shd w:fill="FFFFFF" w:val="clear"/>
        </w:rPr>
        <w:t>Supplemental information includes cash paid as part of continuing and discontinued operations.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 Description of Business and Summary of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The Company operates through five business segments that are structured around businesses with similar business models, go-to market strategies, product categories and manufacturing practices: Engineered Products, Clean Energy &amp; Fueling, Imaging &amp; Identification, Pumps &amp; Process Solutions and Climate &amp; Sustainability Technologies. For additional information on the Company's segments, see Note 19 — Segment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its wholly owned subsidiaries. Intercompany accounts and transactions have been eliminated in consolidation. The results of operations of acquired businesses are included from the dates of acquisitions.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Environmental Solutions Group ("ESG") business, an operating company within the Engineered Products segment, was sold during the fourth quarter of 2024 and reported as discontinued operations. Therefore, the Company has classified the results of operations prior to the sale as discontinued operations in the consolidated statements of earnings and the consolidated statements of cash flows and classified the assets and liabilities prior to the sale as discontinued operations in the consolidated balance sheets for all periods presented. The discussion in the notes to these consolidated financial statements, unless otherwise noted, relates solely to our continuing operations. See Note 4 — Discontinued and Disposed Operations for further details.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Use of Estimates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including finite-lived intangibles, future cash flows associated with impairment testing for goodwill, indefinite-lived intangible assets and other long-lived assets, deferred tax assets, unrecognized tax benefits, contingencies and purchase price allocations. Actual results may differ from these estimates, although management does not believe such differences would materially affect the consolidated financial statements in any individual year. Estimates and assumptions are periodically reviewed and the effects of changes in these estimates and assumptions are reflected in the consolidated financial statements in the period that they are determined.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Cash and Cash Equivalents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demand deposits and short-term investments, which are highly liquid in nature and have original maturities at the time of purchase of three months or less. The carrying value of cash and cash equivalents approximates fair value.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Accounts Receivable and Allowance for Credit Losses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face amounts less an allowance for credit losses. The allowance is an estimate based on historical collection experience, current and future economic and market conditions and a review of the current status of each customer's trade accounts receivable. Management evaluates the aging of the accounts receivable balances and the financial condition of its customers and all other forward-looking information that is reasonably available to estimate the amount of accounts receivable that may not be collected in the future and records the appropriate provision. See Note 8 — Credit Losses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determined on the first-in, first-out ("FIFO") basis, or net realizable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third quarter of 2023, approximately 4% of inventories, comprised entirely of ESG inventories, were stated at the lower of cost, determined on the last-in, first-out ("LIFO") basis, or market. During the fourth quarter of 2023, the Company changed the method of accounting for these remaining LIFO inventories to FIFO. The cumulative effect of the change resulted in a fourth quarter of 2023 pre-tax benefit of $14,448 ($10,796 after-tax) recognized as an increase to earnings from discontinued operations, net within the consolidated statement of earnings for the year ended December 31, 2023 and a corresponding increase in assets of discontinued operations within the consolidated balance sheet as of December 31, 2023. The Company believed the FIFO method was preferable because it better reflected the current value of inventories in the consolidated balance sheet and resulted in a uniform method across its businesses, which in turn provided more useful financial information to the Company's investors and creditors.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includes the historical cost of land, buildings, machinery and equipment, purchased and internally developed software, finance lease assets and significant improvements to existing plant and equipment or, in the case of acquisitions, the fair value of acquired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financial instruments to hedge its exposures to various risks, including foreign currency exchange rate risk.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 Based on its current organizational structure, the Company identified reporting units for which cash flows are determinable and to which goodwill was allocated.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its goodwill impairment test annually in the fourth quarter. 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analysis and reflective of market participant assumptions. These forecasts are based on historical performance and future estimated results. The discount rates utilized are based on a capital asset pricing model and published relevant industry rates, which take into consideration the risks and uncertainties inherent to the reporting units and in the internally developed forecasts. See Note 9 — Goodwill and Other Intangible Assets for further discussion of the Company's annual goodwill impairment test and results. No impairment of goodwill was required for the years ended December 31, 2024, 2023, or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 impairment loss. No impairment of indefinite-lived intangible assets was required for the years ended December 31, 2024, 2023, or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with determinable lives primarily consist of customer intangibles, unpatented technologies, patents and trademarks. The other intangible assets are amortized over their estimated useful lives, ranging from 5 to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prepared and compared to its carrying value. If an asset group is determined to be impaired, the loss is measured by the excess of the carrying amount of the asset group over its fair value, as determined by an estimate of discounted future cash flows.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i/>
          <w:color w:val="000000"/>
          <w:sz w:val="20"/>
        </w:rPr>
        <w:t>Leases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inception of a contract. The Company has operating and finance leases for corporate offices, manufacturing plants, research and development facilities, shared services facilities, vehicle fleets and certain office and manufacturing equipment. Operating lease right-of-use ("ROU") assets are included in other assets and deferred charges and operating lease liabilities are included in other accrued expenses and other liabilities in the consolidated balance sheet. Finance lease ROU assets are included in property, plant and equipment, and the related lease liabilities are included in other accrued expenses and other liabilities in the consolidated balance sheet. Leases with an initial term of 12 months or less are not recorded in the balance sheet.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based on changes in index rates or usage, are not included in the ROU assets or lease liabilities. These are expensed as incurred and recorded as variable lease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ROU assets represent the Company's right to use an underlying asset during the lease term and lease liabilities represent the Company's obligation to make lease payments arising from the lease. ROU assets and lease liabilities are recognized at the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the commencement date in determining the present value of lease payments. Finance lease agreements include an interest rate that is used to determine the present value of future lease payments. Fixed operating lease expense and finance lease depreciation expense are recognized on a straight-line basis over the lease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Supply Chain Financing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the collection of receivables due from the Company.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 supplier. The agreement between the Company and the SCF financial institution does not require the Company to provide assets pledged as security or other forms of guarantees.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payments related to the SCF program are recorded within accounts payable in our consolidated balance sheets. Amounts due to the SCF financial institutions as of December 31, 2024 and 2023, and the rollforward of our outstanding obligations under the SCF program for the year ended December 31, 2024 are as follows: </w:t>
      </w:r>
    </w:p>
    <w:p>
      <w:pPr>
        <w:pStyle w:val="TextBody"/>
        <w:bidi w:val="0"/>
        <w:spacing w:before="0" w:after="0"/>
        <w:jc w:val="both"/>
        <w:rPr/>
      </w:pPr>
      <w:r>
        <w:rPr/>
      </w:r>
    </w:p>
    <w:tbl>
      <w:tblPr>
        <w:tblW w:w="4775" w:type="dxa"/>
        <w:jc w:val="left"/>
        <w:tblInd w:w="0" w:type="dxa"/>
        <w:tblLayout w:type="fixed"/>
        <w:tblCellMar>
          <w:top w:w="28" w:type="dxa"/>
          <w:left w:w="28" w:type="dxa"/>
          <w:bottom w:w="28" w:type="dxa"/>
          <w:right w:w="28" w:type="dxa"/>
        </w:tblCellMar>
      </w:tblPr>
      <w:tblGrid>
        <w:gridCol w:w="1297"/>
        <w:gridCol w:w="1141"/>
        <w:gridCol w:w="1146"/>
        <w:gridCol w:w="211"/>
        <w:gridCol w:w="82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Invoices confirmed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Confirmed invoices paid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Accruals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actions to reduce headcount, close facilities, or otherwise exit operations.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non-U.S. subsidiaries, where the functional currency is not the U.S. dollar, have been translated at year-end exchange rates and profit and loss accounts have been translated using weighted-average monthly exchange 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where applicable.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generated through the manufacture and sale of a broad range of specialized products and components, with revenue recognized upon transfer of control, title and risk of loss, which is generally upon shipment. Service revenue represents approximately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awards issued under the Company's stock-based compensation plans include non-qualified stock appreciation rights ("SARs"), restricted stock units ("RSUs") and performance share awards ("PSAs"). The cost for such awards is measured at the grant date based on the fair value of the award. At the time of grant, the Company estimates forfeitures,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historical experience, in order to estimate the portion of the award that will ultimately vest. The value of the portion of the award that is expected to ultimately vest is recognized as expense on a straight-line basis, generally over the explicit 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15 — Equity and Cash Incentive Program for additional information related to the Company's stock-based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of the deferred tax benefit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including qualifying engineering costs, are expensed when incurred and amounted to $149,601 in 2024, $139,058 in 2023 and $151,351 in 2022. These costs as a percent of revenue were 1.9% in 2024, 1.8% in 2023 and 1.9% in 2022. Research and development costs are reported within selling, general and administrative expenses in the consolidated statements of earnings.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when incurred and amounted to $23,166 in 2024, $22,112 in 2023 and $24,421 in 2022. Advertising costs are reported within selling, general and administrative expenses in the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 Retention, Insurance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insurance policies with deductibles for claims and liabilities related primarily to workers' compensation, health and welfare claims, general liability, product and automobile liability, cybersecurity risks, property damage and business interruption resulting from certain events. The Company accrues for claim exposures that are probable of occurrence and can be reasonably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accounting standards updates ("ASU"), issued by the Financial Accounting Standards Board ("FASB"), will, or are expected to, result in a change in practice and/or have a financial impact to the Company's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Early adoption is permitted. The Company is currently evaluating this ASU to determine its impact on the Company's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was adopted when it became effective January 1, 2024. The adoption did not have a material impact on the Company's consolidated financial statements. See required disclosure within the Supply Chain Financing section of Note 1 — Description of Business and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The amendment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amendments are effective for fiscal years beginning after December 15, 2023, and for interim periods within fiscal years beginning after December 15, 2024. The Company adopted the guidance during the fourth quarter of 2024. See Note 19 — Segment Information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u w:val="single"/>
        </w:rPr>
        <w:t>2. Revenue</w:t>
      </w:r>
      <w:r>
        <w:rPr>
          <w:color w:val="000000"/>
        </w:rPr>
        <w:t xml:space="preserve"> </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 is disaggregated by segment and geographic location, as they best depict the nature and amount of the Company's revenue. See Note 19 — Segment Information for further details.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These contracts require judgment in determining the number of performance obligations.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Transaction Price Allocated to the Remaining Performance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we estimated that $186,829 in revenue is expected to be recognized in the future related to performance obligations that are unsatisfied (or partially unsatisfied) at the end of the reporting period. We expect to recognize approximately 53.6% of the Company's unsatisfied (or partially unsatisfied) performance obligations as revenue in 2025, 22.0% in 2026, with the remaining balance to be recognized in 2027 and thereafter.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consideration, including variable consideration, from contracts with customers is included in the amounts presented in the preceding paragraph and pertains to contracts with multiple performance obligations, extended warranties on products and multi-year agreements, which are typically recognized as the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8944"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349"/>
        <w:gridCol w:w="1195"/>
        <w:gridCol w:w="180"/>
        <w:gridCol w:w="109"/>
        <w:gridCol w:w="109"/>
        <w:gridCol w:w="109"/>
        <w:gridCol w:w="349"/>
        <w:gridCol w:w="1195"/>
        <w:gridCol w:w="180"/>
        <w:gridCol w:w="109"/>
        <w:gridCol w:w="109"/>
        <w:gridCol w:w="109"/>
        <w:gridCol w:w="344"/>
        <w:gridCol w:w="1175"/>
        <w:gridCol w:w="251"/>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relate to the Company's right to consideration for work completed but not billed at the reporting date and are recorded in prepaid and other current assets in the consolidated balance sheets. Contract assets are transferred to receivables when the right to consideration becomes unconditional. Contract liabilities relate to advance consideration received from customers or advance billings for which revenue has not been recognized. Current contract liabilities are recorded in deferred revenue and non-current contract liabilities are recorded in other liabilities in the consolidated balance sheets. Contract liabilities are reduced when the associated revenue from the contract is recognized.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2024 and 2023 that was included in the contract liabilities at the beginning of the respective periods amounted to $182,846 and $224,355,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consolidated statements of earnings.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3. Acquisitions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 acquired eight businesses in separate transactions for total consideration of $674,005, net of cash acquired and inclusive of measurement period adjustments and contingent consideration of $38,736 (a non-cash financing activity). These businesses were acquired to complement and expand upon existing operations within the Clean Energy &amp; Fueling, Engineered Products, Imaging &amp; Identification and Pumps and Process Solutions segments. The goodwill recorded as a result of these acquisitions represents the economic benefits expected to be derived from product line expansions and operational synergies. Goodwill of $14,188 is deductible for income tax purposes and $323,063 is non-deductible for income tax purposes for these acquisitions.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19, 2024, the Company acquired 100% of the equity interests in the Marshall Excelsior Company ("MEC"), a supplier of highly-engineered flow control components for transportation, storage, and use in liquefied petroleum gas and other industrial gases, for $395,809, net of cash acquired and inclusive of measurement period adjustments. The MEC acquisition expands the Company's critical flow control capabilities in the Clean Energy &amp; Fueling segment. In connection with this acquisition, the Company recorded goodwill of $187,923 and intangible assets of $194,100, primarily related to customer intangibles.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preliminary allocation of purchase price to the assets acquired and liabilities assumed, for the MEC acquisition, based on the estimated fair values at acquisition date:</w:t>
      </w:r>
    </w:p>
    <w:tbl>
      <w:tblPr>
        <w:tblW w:w="4473" w:type="dxa"/>
        <w:jc w:val="left"/>
        <w:tblInd w:w="0" w:type="dxa"/>
        <w:tblLayout w:type="fixed"/>
        <w:tblCellMar>
          <w:top w:w="28" w:type="dxa"/>
          <w:left w:w="28" w:type="dxa"/>
          <w:bottom w:w="28" w:type="dxa"/>
          <w:right w:w="28" w:type="dxa"/>
        </w:tblCellMar>
      </w:tblPr>
      <w:tblGrid>
        <w:gridCol w:w="1070"/>
        <w:gridCol w:w="941"/>
        <w:gridCol w:w="944"/>
        <w:gridCol w:w="211"/>
        <w:gridCol w:w="826"/>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2024, the Company acquired 100% of the equity interests in the Transchem Group ("Transchem"), a supplier of car wash chemicals and associated solutions, for $48,241, net of cash acquired and inclusive of contingent consideration and measurement period adjustments.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$25,132 and intangible assets of $26,309, primarily related to customer intangibles.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2024, the Company acquired 100% of the equity interests in Bulloch Technologies, Inc. ("Bulloch"), a provider of point-of-sale ("POS"), forecourt controller and electronic payment server solutions to the convenience retail industry, for $121,917, net of cash acquired and inclusive of contingent consideration and measurement period adjustments. The acquisition of Bulloch expands the Company's offering in North America with highly complementary POS and forecourt solutions within the Clean Energy &amp; Fueling segment. In connection with this acquisition, the Company recorded goodwill of $73,850 and intangible assets of $62,417, primarily related to customer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18, 2024, the Company acquired 100% of the equity interests in Demaco Holland B.V. ("Demaco"), a provider of critical flow control components for cryogenic applications used in a wide range of end markets, for $42,556, net of cash acquired and inclusive of contingent consideration. The acquisition of Demaco expands the Company's offering within the Clean Energy &amp; Fueling segment. In connection with this acquisition, the Company recorded goodwill of $23,788 and intangible assets of $20,159, primarily related to customer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2024, the Company acquired 100% of the equity interest in Criteria Labs, Inc. ("Criteria Labs"), a provider of radio frequency devices and microelectronic engineering solutions tailored for high-reliability applications, for $14,737, net of cash acquired and inclusive of contingent consideration and measurement period adjustments. The acquisition of Criteria Labs expands the Company's offerings within the Engineered Products segment. In connection with this acquisition, the Company recorded goodwill of $7,252 and intangible assets of $7,900, primarily related to unpatented technologies.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2024, the Company acquired 100% of the equity interest in SPS Cryogenics B.V. and Special Gas Systems B.V ("SPS Cryogenics"), a designer, manufacturer, and supplier of vacuum-insulated piping systems for a wide variety of liquefied gases, for $11,080, net of cash acquired and inclusive of measurement period adjustments. The acquisition of SPS Cryogenics expands the Company's presence in Europe with highly complementary offerings within the Clean Energy &amp; Fueling segment. In connection with this acquisition, the Company recorded goodwill of $5,118 and intangible assets of $5,677, primarily related to customer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2024, the Company acquired certain assets from Carter Day International, Inc.'s petrochemical division for $33,968, inclusive of contingent consideration. The acquisition of these assets expands the Company's pelletizing-system portfolio of dewatering and drying equipment and includes complementary high-volume dryer technology to offerings in the Pumps &amp; Process Solutions segment. In connection with this acquisition, the Company recorded goodwill of $14,188 and intangible assets of $19,780, primarily related to unpatented technologies and customer intangibles.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other immaterial acquisition was completed during the year ended December 31, 2024, within the Imaging &amp; Identification segment. The acquisition is highly complementary to our existing track and trace solutions business, grows our presence in the European market and adds complementary offerings to our portfolio.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for the seven acquisitions other than MEC, the preliminary allocation of purchase price to the assets acquired and liabilities assumed, based on their estimated fair values at acquisition date:</w:t>
      </w:r>
    </w:p>
    <w:tbl>
      <w:tblPr>
        <w:tblW w:w="4473" w:type="dxa"/>
        <w:jc w:val="left"/>
        <w:tblInd w:w="0" w:type="dxa"/>
        <w:tblLayout w:type="fixed"/>
        <w:tblCellMar>
          <w:top w:w="28" w:type="dxa"/>
          <w:left w:w="28" w:type="dxa"/>
          <w:bottom w:w="28" w:type="dxa"/>
          <w:right w:w="28" w:type="dxa"/>
        </w:tblCellMar>
      </w:tblPr>
      <w:tblGrid>
        <w:gridCol w:w="1070"/>
        <w:gridCol w:w="941"/>
        <w:gridCol w:w="944"/>
        <w:gridCol w:w="211"/>
        <w:gridCol w:w="826"/>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assigned to goodwill and major intangible asset classifications for all 2024 acquisitions were as follows:</w:t>
      </w:r>
    </w:p>
    <w:p>
      <w:pPr>
        <w:pStyle w:val="TextBody"/>
        <w:bidi w:val="0"/>
        <w:spacing w:before="0" w:after="0"/>
        <w:jc w:val="both"/>
        <w:rPr/>
      </w:pPr>
      <w:r>
        <w:rPr/>
      </w:r>
    </w:p>
    <w:tbl>
      <w:tblPr>
        <w:tblW w:w="7762" w:type="dxa"/>
        <w:jc w:val="left"/>
        <w:tblInd w:w="0" w:type="dxa"/>
        <w:tblLayout w:type="fixed"/>
        <w:tblCellMar>
          <w:top w:w="28" w:type="dxa"/>
          <w:left w:w="28" w:type="dxa"/>
          <w:bottom w:w="28" w:type="dxa"/>
          <w:right w:w="28" w:type="dxa"/>
        </w:tblCellMar>
      </w:tblPr>
      <w:tblGrid>
        <w:gridCol w:w="826"/>
        <w:gridCol w:w="725"/>
        <w:gridCol w:w="728"/>
        <w:gridCol w:w="301"/>
        <w:gridCol w:w="1179"/>
        <w:gridCol w:w="155"/>
        <w:gridCol w:w="109"/>
        <w:gridCol w:w="109"/>
        <w:gridCol w:w="109"/>
        <w:gridCol w:w="374"/>
        <w:gridCol w:w="374"/>
        <w:gridCol w:w="374"/>
        <w:gridCol w:w="374"/>
        <w:gridCol w:w="374"/>
        <w:gridCol w:w="374"/>
        <w:gridCol w:w="374"/>
        <w:gridCol w:w="374"/>
        <w:gridCol w:w="52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 deductible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non-deductible</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intangibles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technologies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acquired two businesses in separate transactions for total consideration of $535,290, net of cash acquired and inclusive of contingent consideration. These businesses were acquired to complement and expand upon existing operations within the Pumps &amp; Process Solutions and Climate &amp; Sustainability Technologies segments. The goodwill recorded as a result of these acquisitions represents the economic benefits expected to be derived from product line expansions and operational synergies. Goodwill of $224,771 is deductible for income tax purposes and $2,990 is non-deductible for income tax purposes for these acquisitions.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FW Murphy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4, 2023, the Company acquired 100% of the assets, and assumed certain liabilities, of the FW Murphy Production Controls business ("FW Murphy"), a provider of control and optimization solutions for the reciprocating compression industry, for $526,457. The FW Murphy acquisition strengthens the Company's position in compression technologies for natural gas and clean energy applications, and adds complementary offerings within the Pumps &amp; Process Solutions segment. In connection with this acquisition, the Company recorded goodwill of $224,771 and intangible assets of $254,000 for customer intangibles, $11,100 for unpatented technology and $10,400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During the year ended December 31, 2024, the Company recorded measurement period adjustments resulting in an increase to the goodwill disclosed above of $227 and a decrease to the purchase price disclosed above of $288.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allocation of purchase price to the assets acquired and liabilities assumed in the FW Murphy acquisition, based on their estimated fair values at acquisition date:</w:t>
      </w:r>
    </w:p>
    <w:p>
      <w:pPr>
        <w:pStyle w:val="TextBody"/>
        <w:bidi w:val="0"/>
        <w:spacing w:before="0" w:after="0"/>
        <w:jc w:val="both"/>
        <w:rPr/>
      </w:pPr>
      <w:r>
        <w:rPr/>
      </w:r>
    </w:p>
    <w:tbl>
      <w:tblPr>
        <w:tblW w:w="4307" w:type="dxa"/>
        <w:jc w:val="left"/>
        <w:tblInd w:w="0" w:type="dxa"/>
        <w:tblLayout w:type="fixed"/>
        <w:tblCellMar>
          <w:top w:w="28" w:type="dxa"/>
          <w:left w:w="28" w:type="dxa"/>
          <w:bottom w:w="28" w:type="dxa"/>
          <w:right w:w="28" w:type="dxa"/>
        </w:tblCellMar>
      </w:tblPr>
      <w:tblGrid>
        <w:gridCol w:w="1008"/>
        <w:gridCol w:w="887"/>
        <w:gridCol w:w="894"/>
        <w:gridCol w:w="211"/>
        <w:gridCol w:w="826"/>
        <w:gridCol w:w="10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2023, the Company acquired 100% of the equity interest in the Arc Pacific group ("Arc Pacific"), a global supplier of can washers, dry-off, pin and internal bake ovens for the metal packaging industry, for $8,833, net of cash acquired and inclusive of contingent consideration. The Arc Pacific acquisition extends the Company's reach into can processing equipment production within the Climate &amp; Sustainability Technologies segment. In connection with this acquisition, the Company recorded goodwill of $2,990 and intangible assets of $7,670, primarily related to customer intangibles. During the year ended December 31, 2024, the Company recorded measurement period adjustments resulting in an increase to the goodwill and purchase price disclosed above of $371 and $250,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assigned to goodwill and major intangible asset classifications for all 2023 acquisitions were as follows:</w:t>
      </w:r>
    </w:p>
    <w:p>
      <w:pPr>
        <w:pStyle w:val="TextBody"/>
        <w:bidi w:val="0"/>
        <w:spacing w:before="0" w:after="0"/>
        <w:jc w:val="both"/>
        <w:rPr/>
      </w:pPr>
      <w:r>
        <w:rPr/>
      </w:r>
    </w:p>
    <w:tbl>
      <w:tblPr>
        <w:tblW w:w="7762" w:type="dxa"/>
        <w:jc w:val="left"/>
        <w:tblInd w:w="0" w:type="dxa"/>
        <w:tblLayout w:type="fixed"/>
        <w:tblCellMar>
          <w:top w:w="28" w:type="dxa"/>
          <w:left w:w="28" w:type="dxa"/>
          <w:bottom w:w="28" w:type="dxa"/>
          <w:right w:w="28" w:type="dxa"/>
        </w:tblCellMar>
      </w:tblPr>
      <w:tblGrid>
        <w:gridCol w:w="826"/>
        <w:gridCol w:w="725"/>
        <w:gridCol w:w="728"/>
        <w:gridCol w:w="301"/>
        <w:gridCol w:w="1179"/>
        <w:gridCol w:w="155"/>
        <w:gridCol w:w="109"/>
        <w:gridCol w:w="109"/>
        <w:gridCol w:w="109"/>
        <w:gridCol w:w="374"/>
        <w:gridCol w:w="374"/>
        <w:gridCol w:w="374"/>
        <w:gridCol w:w="374"/>
        <w:gridCol w:w="374"/>
        <w:gridCol w:w="374"/>
        <w:gridCol w:w="374"/>
        <w:gridCol w:w="374"/>
        <w:gridCol w:w="52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 deductible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non-deductible</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intangibles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acquired three businesses in separate transactions for total consideration of $309,504, net of cash acquired and inclusive of measurement period adjustments. Of these transactions, one included additional consideration contingent on achieving certain financial performance targets.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The goodwill is non-deductible for income tax purposes for these acquisitions.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Malema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2022, the Company acquired 99.7% of the equity interests in Malema Engineering Corporation and its related foreign entities ("Malema"), a designer and manufacturer of flow measurement and control instruments serving customers in the biopharmaceutical, semiconductor and industrial sectors, for $223,462, net of cash acquired and inclusive of the impact of measurement period adjustments discussed below, subject to contingent consideration. During the fourth quarter of 2022, the Company acquired the remaining 0.3% of equity interests in Malema. The Malema acquisition expands the Company's biopharma single-use production offering within the Pumps &amp; Process Solutions segment. No value was attributed to the contingent consideration, which had a maximum potential payout of $50,000 and was based upon meeting certain financial performance targets by March 31, 2024, which were not met. In connection with this acquisition, the Company recorded goodwill of $153,082 and intangible assets of $64,000 for customer intangibles, $16,000 for patents, and $4,000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During the year ended December 31, 2023, the Company recorded measurement period adjustments primarily related to its treatment of certain liabilities. These adjustments are based on facts and circumstances that existed, but were not known, as of the acquisition date which resulted in an increase in goodwill of $1,381.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allocation of purchase price to the assets acquired and liabilities assumed under the Malema acquisition, based on their estimated fair values at acquisition date:</w:t>
      </w:r>
    </w:p>
    <w:p>
      <w:pPr>
        <w:pStyle w:val="TextBody"/>
        <w:bidi w:val="0"/>
        <w:spacing w:before="0" w:after="0"/>
        <w:jc w:val="both"/>
        <w:rPr/>
      </w:pPr>
      <w:r>
        <w:rPr/>
      </w:r>
    </w:p>
    <w:tbl>
      <w:tblPr>
        <w:tblW w:w="4473" w:type="dxa"/>
        <w:jc w:val="left"/>
        <w:tblInd w:w="0" w:type="dxa"/>
        <w:tblLayout w:type="fixed"/>
        <w:tblCellMar>
          <w:top w:w="28" w:type="dxa"/>
          <w:left w:w="28" w:type="dxa"/>
          <w:bottom w:w="28" w:type="dxa"/>
          <w:right w:w="28" w:type="dxa"/>
        </w:tblCellMar>
      </w:tblPr>
      <w:tblGrid>
        <w:gridCol w:w="1070"/>
        <w:gridCol w:w="941"/>
        <w:gridCol w:w="944"/>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net of cash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2022, the Company acquired 100% of the equity interests in Witte Pumps &amp; Technology GmbH ("Witte"), a manufacturer of precision gear pumps, for $77,942, net of cash acquired. The Witte acquisition expands the Company's reach into gear pump manufacturing and associated spare parts and services for the chemical, plastics and polymer processing, food and beverage, and pharmaceutical industries within the Pumps &amp; Process Solutions segment. In connection with this acquisition, the Company recorded goodwill of $41,779 and intangible assets of $34,812, primarily related to customer intangibles. The Company recorded measurement period adjustments primarily related to current assets. These adjustments are based on facts and circumstances that existed, but were not known, as of the acquisition date which resulted in a decrease in goodwill of $3,749.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2022, the Company acquired 100% of the equity interests in AMN DPI ("AMN"), a designer and manufacturer of polymer pelletizing tools, for $8,100, net of cash acquired. The AMN acquisition extends the Company's reach into polymer processing equipment production within the Pumps &amp; Process Solutions segment. In connection with this acquisition, the Company recorded goodwill of $1,903 and intangible assets of $5,625, primarily related to customer intangibles.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for the two acquisitions other than Malema, the allocation of purchase price to the assets acquired and liabilities assumed, based on their estimated fair values at acquisition date:</w:t>
      </w:r>
    </w:p>
    <w:tbl>
      <w:tblPr>
        <w:tblW w:w="4368" w:type="dxa"/>
        <w:jc w:val="left"/>
        <w:tblInd w:w="0" w:type="dxa"/>
        <w:tblLayout w:type="fixed"/>
        <w:tblCellMar>
          <w:top w:w="28" w:type="dxa"/>
          <w:left w:w="28" w:type="dxa"/>
          <w:bottom w:w="28" w:type="dxa"/>
          <w:right w:w="28" w:type="dxa"/>
        </w:tblCellMar>
      </w:tblPr>
      <w:tblGrid>
        <w:gridCol w:w="1070"/>
        <w:gridCol w:w="941"/>
        <w:gridCol w:w="944"/>
        <w:gridCol w:w="211"/>
        <w:gridCol w:w="721"/>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assigned to goodwill and major intangible asset classifications for all 2022 acquisitions were as follows:</w:t>
      </w:r>
    </w:p>
    <w:tbl>
      <w:tblPr>
        <w:tblW w:w="7762" w:type="dxa"/>
        <w:jc w:val="left"/>
        <w:tblInd w:w="0" w:type="dxa"/>
        <w:tblLayout w:type="fixed"/>
        <w:tblCellMar>
          <w:top w:w="28" w:type="dxa"/>
          <w:left w:w="28" w:type="dxa"/>
          <w:bottom w:w="28" w:type="dxa"/>
          <w:right w:w="28" w:type="dxa"/>
        </w:tblCellMar>
      </w:tblPr>
      <w:tblGrid>
        <w:gridCol w:w="826"/>
        <w:gridCol w:w="725"/>
        <w:gridCol w:w="728"/>
        <w:gridCol w:w="301"/>
        <w:gridCol w:w="1179"/>
        <w:gridCol w:w="155"/>
        <w:gridCol w:w="109"/>
        <w:gridCol w:w="109"/>
        <w:gridCol w:w="109"/>
        <w:gridCol w:w="374"/>
        <w:gridCol w:w="374"/>
        <w:gridCol w:w="374"/>
        <w:gridCol w:w="374"/>
        <w:gridCol w:w="374"/>
        <w:gridCol w:w="374"/>
        <w:gridCol w:w="374"/>
        <w:gridCol w:w="374"/>
        <w:gridCol w:w="52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Useful Life (in years)</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non-deductible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intangibles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4. Discontinued and Disposed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Dover's businesses periodically for their strategic fit within its operations and may from time to time sell or discontinue certain operations for various reasons.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completed the sale of the ESG business, an operating company within the Engineered Products segment, to Terex Corporation for total consideration, net of cash transferred, of $2.0 billion, an investing activity of discontinued operations within the consolidated statements of cash flows for the year ended December 31, 2024. This sale resulted in a preliminary pre-tax gain on disposition of $1.6 billion ($1.2 billion after-tax), included within earnings from discontinued operations, net in the consolidated statements of earnings for the year ended December 31, 2024. The preliminary total consideration and preliminary pre-tax gain on disposition are subject to standard working capital adjustments. The ESG sale qualifies for discontinued operations reporting because its disposal represented a strategic shift with a major effect on the Company's operations and financial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results of the Company's discontinued operations are as follows:</w:t>
      </w:r>
    </w:p>
    <w:tbl>
      <w:tblPr>
        <w:tblW w:w="10205" w:type="dxa"/>
        <w:jc w:val="left"/>
        <w:tblInd w:w="0" w:type="dxa"/>
        <w:tblLayout w:type="fixed"/>
        <w:tblCellMar>
          <w:top w:w="28" w:type="dxa"/>
          <w:left w:w="28" w:type="dxa"/>
          <w:bottom w:w="28" w:type="dxa"/>
          <w:right w:w="28" w:type="dxa"/>
        </w:tblCellMar>
      </w:tblPr>
      <w:tblGrid>
        <w:gridCol w:w="2028"/>
        <w:gridCol w:w="1723"/>
        <w:gridCol w:w="1730"/>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55"/>
      </w:tblGrid>
      <w:tr>
        <w:trPr/>
        <w:tc>
          <w:tcPr>
            <w:tcW w:w="202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2024 </w:t>
            </w:r>
            <w:r>
              <w:rPr>
                <w:rFonts w:ascii="Times New Roman;sans-serif" w:hAnsi="Times New Roman;sans-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from discontinued operations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from 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Reflects the operating results of the ESG business through the date of disposition on October 8th, 2024.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classified as discontinued operations are summarized below:</w:t>
      </w:r>
    </w:p>
    <w:tbl>
      <w:tblPr>
        <w:tblW w:w="5895" w:type="dxa"/>
        <w:jc w:val="left"/>
        <w:tblInd w:w="0" w:type="dxa"/>
        <w:tblLayout w:type="fixed"/>
        <w:tblCellMar>
          <w:top w:w="28" w:type="dxa"/>
          <w:left w:w="28" w:type="dxa"/>
          <w:bottom w:w="28" w:type="dxa"/>
          <w:right w:w="28" w:type="dxa"/>
        </w:tblCellMar>
      </w:tblPr>
      <w:tblGrid>
        <w:gridCol w:w="1337"/>
        <w:gridCol w:w="1173"/>
        <w:gridCol w:w="1180"/>
        <w:gridCol w:w="109"/>
        <w:gridCol w:w="109"/>
        <w:gridCol w:w="109"/>
        <w:gridCol w:w="109"/>
        <w:gridCol w:w="313"/>
        <w:gridCol w:w="1228"/>
        <w:gridCol w:w="228"/>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2205" w:type="dxa"/>
            <w:gridSpan w:val="7"/>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536,440 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2205" w:type="dxa"/>
            <w:gridSpan w:val="7"/>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no assets or liabilities were classified as discontinued operations. As of December 31, 2023, current assets and liabilities of discontinued operations of $194,486 and $153,013, respectively, and non-current assets and liabilities of discontinued operations of $341,954 and $35,058, respectively, are presented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completed the sale of the De-Sta-Co business, an operating company within the Engineered Products segment, for total consideration, net of cash transferred, of $675,885. Of the total consideration, $63,000 was received upon finalization of closing activities in India and China, which occurred during the second quarter. This sale resulted in a pre-tax gain on disposition of $530,349 ($415,376 after-tax) included within the consolidated statements of earnings for the year ended December 31, 2024. The sale did not meet the criteria to be classified as a discontinued operation, as it did not represent a strategic shift that would have a major effect on operations and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De-Sta-Co met the criteria to be classified as held for sale beginning September 30, 2023. As of December 31, 2023, current assets and liabilities held for sale of $192,644 and $64,568, respectively, are presented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2024, a minority owned equity method investment held within the Climate &amp; Sustainability Technologies segment was sold and the Company received its proportionate share of the proceeds amounting to $92,962. The sale resulted in a preliminary pre-tax gain of $67,449 ($47,008 after-tax), subject to customary post-closing adjustments and included within the consolidated statements of earnings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one immaterial disposition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Dispositions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one immaterial disposition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5. Inventories, net</w:t>
      </w:r>
    </w:p>
    <w:tbl>
      <w:tblPr>
        <w:tblW w:w="5320" w:type="dxa"/>
        <w:jc w:val="left"/>
        <w:tblInd w:w="0" w:type="dxa"/>
        <w:tblLayout w:type="fixed"/>
        <w:tblCellMar>
          <w:top w:w="28" w:type="dxa"/>
          <w:left w:w="28" w:type="dxa"/>
          <w:bottom w:w="28" w:type="dxa"/>
          <w:right w:w="28" w:type="dxa"/>
        </w:tblCellMar>
      </w:tblPr>
      <w:tblGrid>
        <w:gridCol w:w="543"/>
        <w:gridCol w:w="476"/>
        <w:gridCol w:w="480"/>
        <w:gridCol w:w="281"/>
        <w:gridCol w:w="1299"/>
        <w:gridCol w:w="145"/>
        <w:gridCol w:w="109"/>
        <w:gridCol w:w="109"/>
        <w:gridCol w:w="109"/>
        <w:gridCol w:w="278"/>
        <w:gridCol w:w="1288"/>
        <w:gridCol w:w="203"/>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233,544 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1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1,274,162 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1,259,447 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reserves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1,144,838 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1,144,089 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6. Property, Plant and Equipment, net</w:t>
      </w:r>
    </w:p>
    <w:tbl>
      <w:tblPr>
        <w:tblW w:w="7061" w:type="dxa"/>
        <w:jc w:val="left"/>
        <w:tblInd w:w="0" w:type="dxa"/>
        <w:tblLayout w:type="fixed"/>
        <w:tblCellMar>
          <w:top w:w="28" w:type="dxa"/>
          <w:left w:w="28" w:type="dxa"/>
          <w:bottom w:w="28" w:type="dxa"/>
          <w:right w:w="28" w:type="dxa"/>
        </w:tblCellMar>
      </w:tblPr>
      <w:tblGrid>
        <w:gridCol w:w="1174"/>
        <w:gridCol w:w="1028"/>
        <w:gridCol w:w="1038"/>
        <w:gridCol w:w="317"/>
        <w:gridCol w:w="1244"/>
        <w:gridCol w:w="164"/>
        <w:gridCol w:w="109"/>
        <w:gridCol w:w="109"/>
        <w:gridCol w:w="109"/>
        <w:gridCol w:w="313"/>
        <w:gridCol w:w="1228"/>
        <w:gridCol w:w="228"/>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626,075 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592,136 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and 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1,860,315 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gross</w:t>
            </w:r>
          </w:p>
        </w:tc>
        <w:tc>
          <w:tcPr>
            <w:tcW w:w="15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2,633,824 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2,517,173 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(1,538,701)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987,924 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978,472 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totaled $154,449, $151,271 and $143,722 for the years ended December 31,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7.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ROU assets and lease liabilities are discussed in detail in Note 1 — Description of Business and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w:t>
      </w:r>
    </w:p>
    <w:tbl>
      <w:tblPr>
        <w:tblW w:w="5816" w:type="dxa"/>
        <w:jc w:val="left"/>
        <w:tblInd w:w="0" w:type="dxa"/>
        <w:tblLayout w:type="fixed"/>
        <w:tblCellMar>
          <w:top w:w="28" w:type="dxa"/>
          <w:left w:w="28" w:type="dxa"/>
          <w:bottom w:w="28" w:type="dxa"/>
          <w:right w:w="28" w:type="dxa"/>
        </w:tblCellMar>
      </w:tblPr>
      <w:tblGrid>
        <w:gridCol w:w="722"/>
        <w:gridCol w:w="634"/>
        <w:gridCol w:w="638"/>
        <w:gridCol w:w="211"/>
        <w:gridCol w:w="721"/>
        <w:gridCol w:w="109"/>
        <w:gridCol w:w="109"/>
        <w:gridCol w:w="109"/>
        <w:gridCol w:w="109"/>
        <w:gridCol w:w="211"/>
        <w:gridCol w:w="721"/>
        <w:gridCol w:w="109"/>
        <w:gridCol w:w="109"/>
        <w:gridCol w:w="109"/>
        <w:gridCol w:w="109"/>
        <w:gridCol w:w="211"/>
        <w:gridCol w:w="72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w:t>
            </w:r>
            <w:r>
              <w:rPr>
                <w:rFonts w:ascii="Times New Roman;sans-serif" w:hAnsi="Times New Roman;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4" w:type="dxa"/>
            <w:gridSpan w:val="9"/>
            <w:tcBorders/>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Finance lease cost and sublease income were immaterial.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were as follows:</w:t>
      </w:r>
    </w:p>
    <w:tbl>
      <w:tblPr>
        <w:tblW w:w="9686"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Supplemental balance sheet information related to leases were as follows</w:t>
      </w:r>
      <w:r>
        <w:rPr>
          <w:rFonts w:ascii="Arial;sans-serif" w:hAnsi="Arial;sans-serif"/>
          <w:b w:val="false"/>
          <w:color w:val="000000"/>
          <w:sz w:val="20"/>
        </w:rPr>
        <w:t>:</w:t>
      </w:r>
    </w:p>
    <w:tbl>
      <w:tblPr>
        <w:tblW w:w="6955" w:type="dxa"/>
        <w:jc w:val="left"/>
        <w:tblInd w:w="0" w:type="dxa"/>
        <w:tblLayout w:type="fixed"/>
        <w:tblCellMar>
          <w:top w:w="28" w:type="dxa"/>
          <w:left w:w="28" w:type="dxa"/>
          <w:bottom w:w="28" w:type="dxa"/>
          <w:right w:w="28" w:type="dxa"/>
        </w:tblCellMar>
      </w:tblPr>
      <w:tblGrid>
        <w:gridCol w:w="1135"/>
        <w:gridCol w:w="997"/>
        <w:gridCol w:w="1002"/>
        <w:gridCol w:w="317"/>
        <w:gridCol w:w="1244"/>
        <w:gridCol w:w="164"/>
        <w:gridCol w:w="109"/>
        <w:gridCol w:w="109"/>
        <w:gridCol w:w="109"/>
        <w:gridCol w:w="313"/>
        <w:gridCol w:w="1228"/>
        <w:gridCol w:w="22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assets and deferred charges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accrued expenses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224,551 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net </w:t>
            </w:r>
            <w:r>
              <w:rPr>
                <w:rFonts w:ascii="Times New Roman;sans-serif" w:hAnsi="Times New Roman;sans-serif"/>
                <w:b w:val="false"/>
                <w:color w:val="000000"/>
                <w:sz w:val="13"/>
              </w:rPr>
              <w:t>(1)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accrued expenses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Finance lease right-of-use assets are recorded net of accumulated depreciation of $12,378 and $10,206 for the years ended December 31,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and finance leases as of December 31, 2024 were as follows:</w:t>
      </w:r>
    </w:p>
    <w:tbl>
      <w:tblPr>
        <w:tblW w:w="5138" w:type="dxa"/>
        <w:jc w:val="left"/>
        <w:tblInd w:w="0" w:type="dxa"/>
        <w:tblLayout w:type="fixed"/>
        <w:tblCellMar>
          <w:top w:w="28" w:type="dxa"/>
          <w:left w:w="28" w:type="dxa"/>
          <w:bottom w:w="28" w:type="dxa"/>
          <w:right w:w="28" w:type="dxa"/>
        </w:tblCellMar>
      </w:tblPr>
      <w:tblGrid>
        <w:gridCol w:w="970"/>
        <w:gridCol w:w="851"/>
        <w:gridCol w:w="863"/>
        <w:gridCol w:w="211"/>
        <w:gridCol w:w="826"/>
        <w:gridCol w:w="109"/>
        <w:gridCol w:w="109"/>
        <w:gridCol w:w="109"/>
        <w:gridCol w:w="10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9788" w:type="dxa"/>
        <w:jc w:val="left"/>
        <w:tblInd w:w="0" w:type="dxa"/>
        <w:tblLayout w:type="fixed"/>
        <w:tblCellMar>
          <w:top w:w="28" w:type="dxa"/>
          <w:left w:w="28" w:type="dxa"/>
          <w:bottom w:w="28" w:type="dxa"/>
          <w:right w:w="28" w:type="dxa"/>
        </w:tblCellMar>
      </w:tblPr>
      <w:tblGrid>
        <w:gridCol w:w="1419"/>
        <w:gridCol w:w="1246"/>
        <w:gridCol w:w="1250"/>
        <w:gridCol w:w="384"/>
        <w:gridCol w:w="384"/>
        <w:gridCol w:w="957"/>
        <w:gridCol w:w="109"/>
        <w:gridCol w:w="109"/>
        <w:gridCol w:w="109"/>
        <w:gridCol w:w="384"/>
        <w:gridCol w:w="384"/>
        <w:gridCol w:w="957"/>
        <w:gridCol w:w="109"/>
        <w:gridCol w:w="109"/>
        <w:gridCol w:w="109"/>
        <w:gridCol w:w="360"/>
        <w:gridCol w:w="360"/>
        <w:gridCol w:w="1049"/>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8.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credit losses primarily through sales of products and services. Due to the short-term nature of such receivables, the estimated amount of accounts receivable that may not be collected is based on aging of the accounts receivable balances and other historical and forward-looking information on the financial condition of the customers. Balances are written off when determined to be uncollectible.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Estimates are used to determine the allowance, based on assessment of anticipated payment and all other historical, current and forward-looking information that is reasonably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roll-forward of the allowance for credit losses that is deducted from the amortized cost basis of accounts receivable to present the net amount expected to be collected. </w:t>
      </w:r>
    </w:p>
    <w:tbl>
      <w:tblPr>
        <w:tblW w:w="8952" w:type="dxa"/>
        <w:jc w:val="left"/>
        <w:tblInd w:w="0" w:type="dxa"/>
        <w:tblLayout w:type="fixed"/>
        <w:tblCellMar>
          <w:top w:w="28" w:type="dxa"/>
          <w:left w:w="28" w:type="dxa"/>
          <w:bottom w:w="28" w:type="dxa"/>
          <w:right w:w="28" w:type="dxa"/>
        </w:tblCellMar>
      </w:tblPr>
      <w:tblGrid>
        <w:gridCol w:w="1855"/>
        <w:gridCol w:w="1633"/>
        <w:gridCol w:w="1642"/>
        <w:gridCol w:w="211"/>
        <w:gridCol w:w="721"/>
        <w:gridCol w:w="109"/>
        <w:gridCol w:w="109"/>
        <w:gridCol w:w="109"/>
        <w:gridCol w:w="109"/>
        <w:gridCol w:w="211"/>
        <w:gridCol w:w="721"/>
        <w:gridCol w:w="109"/>
        <w:gridCol w:w="109"/>
        <w:gridCol w:w="109"/>
        <w:gridCol w:w="109"/>
        <w:gridCol w:w="211"/>
        <w:gridCol w:w="721"/>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written off charged against the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dispositions and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9. Goodwill and Other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carrying value of goodwill by reportable operating segments were as follows: </w:t>
      </w:r>
    </w:p>
    <w:tbl>
      <w:tblPr>
        <w:tblW w:w="10692" w:type="dxa"/>
        <w:jc w:val="left"/>
        <w:tblInd w:w="0" w:type="dxa"/>
        <w:tblLayout w:type="fixed"/>
        <w:tblCellMar>
          <w:top w:w="28" w:type="dxa"/>
          <w:left w:w="28" w:type="dxa"/>
          <w:bottom w:w="28" w:type="dxa"/>
          <w:right w:w="28" w:type="dxa"/>
        </w:tblCellMar>
      </w:tblPr>
      <w:tblGrid>
        <w:gridCol w:w="510"/>
        <w:gridCol w:w="382"/>
        <w:gridCol w:w="384"/>
        <w:gridCol w:w="211"/>
        <w:gridCol w:w="826"/>
        <w:gridCol w:w="109"/>
        <w:gridCol w:w="109"/>
        <w:gridCol w:w="109"/>
        <w:gridCol w:w="109"/>
        <w:gridCol w:w="211"/>
        <w:gridCol w:w="976"/>
        <w:gridCol w:w="109"/>
        <w:gridCol w:w="109"/>
        <w:gridCol w:w="109"/>
        <w:gridCol w:w="109"/>
        <w:gridCol w:w="217"/>
        <w:gridCol w:w="1006"/>
        <w:gridCol w:w="113"/>
        <w:gridCol w:w="109"/>
        <w:gridCol w:w="109"/>
        <w:gridCol w:w="109"/>
        <w:gridCol w:w="211"/>
        <w:gridCol w:w="976"/>
        <w:gridCol w:w="109"/>
        <w:gridCol w:w="109"/>
        <w:gridCol w:w="109"/>
        <w:gridCol w:w="109"/>
        <w:gridCol w:w="251"/>
        <w:gridCol w:w="984"/>
        <w:gridCol w:w="131"/>
        <w:gridCol w:w="109"/>
        <w:gridCol w:w="109"/>
        <w:gridCol w:w="109"/>
        <w:gridCol w:w="211"/>
        <w:gridCol w:w="97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Accumulated impairment loss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511,473 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510,968 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4,905,702 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Accumulated impairment loss as of December 31, 2024 is not subject to foreign currency translation.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and 2023, the Company recognized additions of $337,251 and $227,761, respectively, to goodwill as a result of acquisitions as discussed in Note 3 — Acquisitions.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disposed of goodwill related to the disposition of De-Sta-Co that was previously classified as held for sale as of December 31, 2023. See Note 4 — Discontinued and Disposed Operations for further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Annual impairment testing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annually in the fourth quarter of each year, whenever events or circumstances indicate an impairment may have occurred, or when a change in the composition of reporting units occurs for other reasons, such as a change in segments.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performed its annual goodwill impairment test during the fourth quarter of 2024 using a discounted cash flow analysis as discussed in Note 1 — Description of Business and Summary of Significant Accounting Policies. The Company performed a quantitative goodwill impairment test for each of its reporting units, concluding that the fair values of all of its reporting units were in excess of their carrying values. No impairment of goodwill was required. The discounted cash flow analysis includes management's current assumptions as to future cash flows and long-term growth rates. The discount rates utilized are based on a capital asset pricing model and published relevant industry rates, which take into consideration the risks and uncertainties inherent to the reporting units and in the internally developed forecasts. The discount rate used in the 2024 reporting unit valuations was 10.1%.</w:t>
      </w:r>
      <w:r>
        <w:rPr>
          <w:color w:val="000000"/>
          <w:shd w:fill="FFFFFF" w:val="clear"/>
        </w:rPr>
        <w:t xml:space="preserve"> </w:t>
      </w:r>
      <w:r>
        <w:rPr>
          <w:rFonts w:ascii="Times New Roman;sans-serif" w:hAnsi="Times New Roman;sans-serif"/>
          <w:b w:val="false"/>
          <w:color w:val="000000"/>
          <w:sz w:val="20"/>
          <w:shd w:fill="FFFFFF" w:val="clear"/>
        </w:rPr>
        <w:t xml:space="preserve">Further, the Company assessed the current market capitalization, forecasts and the amount of headroom in the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impairment test.</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the assumptions used in the 2024 impairment analysis are reasonable and representative of expected results, actual results may differ from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definite-lived and indefinite-lived intangible assets by major asset class were as follows: </w:t>
      </w:r>
    </w:p>
    <w:tbl>
      <w:tblPr>
        <w:tblW w:w="10687" w:type="dxa"/>
        <w:jc w:val="left"/>
        <w:tblInd w:w="0" w:type="dxa"/>
        <w:tblLayout w:type="fixed"/>
        <w:tblCellMar>
          <w:top w:w="28" w:type="dxa"/>
          <w:left w:w="28" w:type="dxa"/>
          <w:bottom w:w="28" w:type="dxa"/>
          <w:right w:w="28" w:type="dxa"/>
        </w:tblCellMar>
      </w:tblPr>
      <w:tblGrid>
        <w:gridCol w:w="580"/>
        <w:gridCol w:w="325"/>
        <w:gridCol w:w="32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Amortized intangible 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relationships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Unamortized intangible 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$340,238 of acquired intangible assets in 2024. See Note 3 — Acquisitions for further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amortization expense was $183,393, $153,775 and $151,938 respectively. Amortization expense is primarily comprised of acquisition-related intangible amortization.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related to intangible assets held at December 31, 2024 for the next five years is as follows:</w:t>
      </w:r>
    </w:p>
    <w:tbl>
      <w:tblPr>
        <w:tblW w:w="2730" w:type="dxa"/>
        <w:jc w:val="left"/>
        <w:tblInd w:w="0" w:type="dxa"/>
        <w:tblLayout w:type="fixed"/>
        <w:tblCellMar>
          <w:top w:w="28" w:type="dxa"/>
          <w:left w:w="28" w:type="dxa"/>
          <w:bottom w:w="28" w:type="dxa"/>
          <w:right w:w="28" w:type="dxa"/>
        </w:tblCellMar>
      </w:tblPr>
      <w:tblGrid>
        <w:gridCol w:w="196"/>
        <w:gridCol w:w="172"/>
        <w:gridCol w:w="173"/>
        <w:gridCol w:w="386"/>
        <w:gridCol w:w="1518"/>
        <w:gridCol w:w="2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Amortization</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188,976 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180,521 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10. Other Accrued Expenses and Other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major components of other accrued expenses:</w:t>
      </w:r>
    </w:p>
    <w:tbl>
      <w:tblPr>
        <w:tblW w:w="7105" w:type="dxa"/>
        <w:jc w:val="left"/>
        <w:tblInd w:w="0" w:type="dxa"/>
        <w:tblLayout w:type="fixed"/>
        <w:tblCellMar>
          <w:top w:w="28" w:type="dxa"/>
          <w:left w:w="28" w:type="dxa"/>
          <w:bottom w:w="28" w:type="dxa"/>
          <w:right w:w="28" w:type="dxa"/>
        </w:tblCellMar>
      </w:tblPr>
      <w:tblGrid>
        <w:gridCol w:w="1188"/>
        <w:gridCol w:w="1046"/>
        <w:gridCol w:w="1050"/>
        <w:gridCol w:w="317"/>
        <w:gridCol w:w="1244"/>
        <w:gridCol w:w="164"/>
        <w:gridCol w:w="109"/>
        <w:gridCol w:w="109"/>
        <w:gridCol w:w="109"/>
        <w:gridCol w:w="313"/>
        <w:gridCol w:w="1228"/>
        <w:gridCol w:w="228"/>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rebates and volume discounts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exit costs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 (non-employee)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expenses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296,895 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details the major components of other liabilities (non-current): </w:t>
      </w:r>
    </w:p>
    <w:tbl>
      <w:tblPr>
        <w:tblW w:w="8320" w:type="dxa"/>
        <w:jc w:val="left"/>
        <w:tblInd w:w="0" w:type="dxa"/>
        <w:tblLayout w:type="fixed"/>
        <w:tblCellMar>
          <w:top w:w="28" w:type="dxa"/>
          <w:left w:w="28" w:type="dxa"/>
          <w:bottom w:w="28" w:type="dxa"/>
          <w:right w:w="28" w:type="dxa"/>
        </w:tblCellMar>
      </w:tblPr>
      <w:tblGrid>
        <w:gridCol w:w="1628"/>
        <w:gridCol w:w="1430"/>
        <w:gridCol w:w="1441"/>
        <w:gridCol w:w="317"/>
        <w:gridCol w:w="1244"/>
        <w:gridCol w:w="164"/>
        <w:gridCol w:w="109"/>
        <w:gridCol w:w="109"/>
        <w:gridCol w:w="109"/>
        <w:gridCol w:w="313"/>
        <w:gridCol w:w="1228"/>
        <w:gridCol w:w="228"/>
      </w:tblGrid>
      <w:tr>
        <w:trPr/>
        <w:tc>
          <w:tcPr>
            <w:tcW w:w="162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and other postretirement benefit plans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environmental</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471,127 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426,914 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Warranty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warranty program claims are provided for at the time of sale. Amounts provided for are based on historical costs and adjusted for new claims. The changes in the carrying amount of product warranties were as follows:</w:t>
      </w:r>
    </w:p>
    <w:tbl>
      <w:tblPr>
        <w:tblW w:w="9342" w:type="dxa"/>
        <w:jc w:val="left"/>
        <w:tblInd w:w="0" w:type="dxa"/>
        <w:tblLayout w:type="fixed"/>
        <w:tblCellMar>
          <w:top w:w="28" w:type="dxa"/>
          <w:left w:w="28" w:type="dxa"/>
          <w:bottom w:w="28" w:type="dxa"/>
          <w:right w:w="28" w:type="dxa"/>
        </w:tblCellMar>
      </w:tblPr>
      <w:tblGrid>
        <w:gridCol w:w="1994"/>
        <w:gridCol w:w="1759"/>
        <w:gridCol w:w="1767"/>
        <w:gridCol w:w="211"/>
        <w:gridCol w:w="721"/>
        <w:gridCol w:w="109"/>
        <w:gridCol w:w="109"/>
        <w:gridCol w:w="109"/>
        <w:gridCol w:w="109"/>
        <w:gridCol w:w="211"/>
        <w:gridCol w:w="721"/>
        <w:gridCol w:w="109"/>
        <w:gridCol w:w="109"/>
        <w:gridCol w:w="109"/>
        <w:gridCol w:w="109"/>
        <w:gridCol w:w="211"/>
        <w:gridCol w:w="721"/>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including acquisitions and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11. Restructuring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by segment were as follows:</w:t>
      </w:r>
    </w:p>
    <w:tbl>
      <w:tblPr>
        <w:tblW w:w="7556" w:type="dxa"/>
        <w:jc w:val="left"/>
        <w:tblInd w:w="0" w:type="dxa"/>
        <w:tblLayout w:type="fixed"/>
        <w:tblCellMar>
          <w:top w:w="28" w:type="dxa"/>
          <w:left w:w="28" w:type="dxa"/>
          <w:bottom w:w="28" w:type="dxa"/>
          <w:right w:w="28" w:type="dxa"/>
        </w:tblCellMar>
      </w:tblPr>
      <w:tblGrid>
        <w:gridCol w:w="1353"/>
        <w:gridCol w:w="1187"/>
        <w:gridCol w:w="1194"/>
        <w:gridCol w:w="211"/>
        <w:gridCol w:w="721"/>
        <w:gridCol w:w="109"/>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amounts are classified in the consolidated statements of earnings as follows: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expenses of $69,810 incurred during the year ended December 31, 2024 were primarily related to headcount reductions and product line and other exit costs in the Clean Energy &amp; Fueling and Climate &amp; Sustainability Technologies segments. These restructuring programs were initiated in 2023 and 2024 and were undertaken in light of current market conditions. The expected costs related to these announced restructuring programs have been incurred primarily through 2024. However, the Company will continue to make proactive adjustments to its cost structure to align with current demand trends and additional programs, beyond the scope of the announced programs, may be implemented during 2025 with related restructuring charges.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expenses incurred in 2023 and 2022 also included headcount reductions, exit costs, and substantial liquidation of businesses in certain Latin America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severance and exit accrual activities were as follows:</w:t>
      </w:r>
    </w:p>
    <w:tbl>
      <w:tblPr>
        <w:tblW w:w="7467" w:type="dxa"/>
        <w:jc w:val="left"/>
        <w:tblInd w:w="0" w:type="dxa"/>
        <w:tblLayout w:type="fixed"/>
        <w:tblCellMar>
          <w:top w:w="28" w:type="dxa"/>
          <w:left w:w="28" w:type="dxa"/>
          <w:bottom w:w="28" w:type="dxa"/>
          <w:right w:w="28" w:type="dxa"/>
        </w:tblCellMar>
      </w:tblPr>
      <w:tblGrid>
        <w:gridCol w:w="1356"/>
        <w:gridCol w:w="1195"/>
        <w:gridCol w:w="1199"/>
        <w:gridCol w:w="211"/>
        <w:gridCol w:w="721"/>
        <w:gridCol w:w="109"/>
        <w:gridCol w:w="109"/>
        <w:gridCol w:w="109"/>
        <w:gridCol w:w="109"/>
        <w:gridCol w:w="211"/>
        <w:gridCol w:w="616"/>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2"/>
        </w:rPr>
        <w:t>(</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Exit reserves activity includes non-cash asset charges related to a product line exit within the Climate &amp; Sustainability Technologies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accrual balances at December 31, 2024 primarily reflect restructuring plans initiated during the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12.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consist of the following:</w:t>
      </w:r>
    </w:p>
    <w:tbl>
      <w:tblPr>
        <w:tblW w:w="9100" w:type="dxa"/>
        <w:jc w:val="left"/>
        <w:tblInd w:w="0" w:type="dxa"/>
        <w:tblLayout w:type="fixed"/>
        <w:tblCellMar>
          <w:top w:w="28" w:type="dxa"/>
          <w:left w:w="28" w:type="dxa"/>
          <w:bottom w:w="28" w:type="dxa"/>
          <w:right w:w="28" w:type="dxa"/>
        </w:tblCellMar>
      </w:tblPr>
      <w:tblGrid>
        <w:gridCol w:w="1914"/>
        <w:gridCol w:w="1678"/>
        <w:gridCol w:w="1687"/>
        <w:gridCol w:w="317"/>
        <w:gridCol w:w="1244"/>
        <w:gridCol w:w="164"/>
        <w:gridCol w:w="109"/>
        <w:gridCol w:w="109"/>
        <w:gridCol w:w="109"/>
        <w:gridCol w:w="313"/>
        <w:gridCol w:w="1228"/>
        <w:gridCol w:w="228"/>
      </w:tblGrid>
      <w:tr>
        <w:trPr/>
        <w:tc>
          <w:tcPr>
            <w:tcW w:w="1914"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Short-term</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Short-term borrowings and current portion of long-term debt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400,056 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468,282 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annual interest rate for borrowings outstanding under the commercial paper program as of December 31, 2023 was 5.51%.</w:t>
      </w:r>
    </w:p>
    <w:tbl>
      <w:tblPr>
        <w:tblW w:w="10205" w:type="dxa"/>
        <w:jc w:val="left"/>
        <w:tblInd w:w="0" w:type="dxa"/>
        <w:tblLayout w:type="fixed"/>
        <w:tblCellMar>
          <w:top w:w="28" w:type="dxa"/>
          <w:left w:w="28" w:type="dxa"/>
          <w:bottom w:w="28" w:type="dxa"/>
          <w:right w:w="28" w:type="dxa"/>
        </w:tblCellMar>
      </w:tblPr>
      <w:tblGrid>
        <w:gridCol w:w="1824"/>
        <w:gridCol w:w="1570"/>
        <w:gridCol w:w="1582"/>
        <w:gridCol w:w="226"/>
        <w:gridCol w:w="826"/>
        <w:gridCol w:w="109"/>
        <w:gridCol w:w="109"/>
        <w:gridCol w:w="109"/>
        <w:gridCol w:w="109"/>
        <w:gridCol w:w="274"/>
        <w:gridCol w:w="1268"/>
        <w:gridCol w:w="141"/>
        <w:gridCol w:w="109"/>
        <w:gridCol w:w="109"/>
        <w:gridCol w:w="109"/>
        <w:gridCol w:w="271"/>
        <w:gridCol w:w="1258"/>
        <w:gridCol w:w="202"/>
      </w:tblGrid>
      <w:tr>
        <w:trPr/>
        <w:tc>
          <w:tcPr>
            <w:tcW w:w="182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Carrying amount </w:t>
            </w:r>
            <w:r>
              <w:rPr>
                <w:rFonts w:ascii="Times New Roman;sans-serif" w:hAnsi="Times New Roman;sans-serif"/>
                <w:b/>
                <w:color w:val="000000"/>
                <w:sz w:val="13"/>
              </w:rPr>
              <w:t>(1)</w:t>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Long-term</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3.15% 10-year notes due November 15, 2025</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 10-year notes due November 9, 2026 (euro-denominated)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657,628 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0.750% 8-year notes due November 4, 2027 (euro denominated)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547,342 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6.65% 30-year debentures due June 1, 2028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2.950% 10-year notes due November 4, 2029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30-year debentures due October 15, 2035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6.60% 30-year notes due March 15, 2038</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30-year notes due March 1, 2041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2,928,757 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2,991,759 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(399,411)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 debt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2,529,346 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2,991,759 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Carrying amount is net of unamortized debt discount and deferred debt issuance costs. Total unamortized debt discounts were $8.5 million and $10.9 million as of December 31, 2024 and December 31, 2023, respectively. Total deferred debt issuance costs were $6.8 million and $8.9 million as of December 31, 2024 and December 31,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entered into new $1.0 billion five-year unsecured revolving credit facility and on April 4, 2024, the Company entered into a new $500.0 million 364-day unsecured revolving credit facility (together, the "Credit Agreements") with a syndicate of banks. The current 364-day credit facility replaced the previous $500.0 million 364-day credit facility, which expired on April 4, 2024. The lenders' commitments under the Credit Agreements will terminate and any outstanding loans under the Credit Agreements will mature on April 6, 2028 and April 3, 2025, respectively. The Company may elect to extend the maturity date of any loans under the new 364-day credit facility until April 3, 2026,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December 31, 2024 and December 31, 2023, there were no outstanding borrowings under the five-year, current or previous 364-day credit facilities.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covenants in the Credit Agreements and other long-term debt covenants at December 31, 2024 and had an interest coverage ratio of consolidated EBITDA to consolidated net interest expense of 42.5 to 1.</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future maturities of long-term debt were as follows:</w:t>
      </w:r>
    </w:p>
    <w:tbl>
      <w:tblPr>
        <w:tblW w:w="3343" w:type="dxa"/>
        <w:jc w:val="left"/>
        <w:tblInd w:w="0" w:type="dxa"/>
        <w:tblLayout w:type="fixed"/>
        <w:tblCellMar>
          <w:top w:w="28" w:type="dxa"/>
          <w:left w:w="28" w:type="dxa"/>
          <w:bottom w:w="28" w:type="dxa"/>
          <w:right w:w="28" w:type="dxa"/>
        </w:tblCellMar>
      </w:tblPr>
      <w:tblGrid>
        <w:gridCol w:w="612"/>
        <w:gridCol w:w="537"/>
        <w:gridCol w:w="545"/>
        <w:gridCol w:w="259"/>
        <w:gridCol w:w="1201"/>
        <w:gridCol w:w="189"/>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Future Maturities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and thereafter</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2,944,641 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Letters of Credit and other Guarantees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approximately $160.0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13. Financial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2024 and 2023, the Company had contracts with total notional amounts of $142,835 and $171,425, respectively, to exchange currencies, principally euro, pound sterling, Swedish krona, Canadian dollar, Chinese yuan, and Swiss franc. The Company believes it is probable that all forecasted cash flow transactions will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had outstanding contracts with a total notional amount of $75,784 and $84,867 as of December 31, 2024 and December 31, 2023, respectively, that are not designated as hedging instruments. These instruments are used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reduce the Company's exposure for operating receivables and payables that are denominated in non-functional currencies. Gains and losses on these contracts are recorded in other income, net in the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values of derivative instruments held by the Company as of December 31, 2024 and 2023 and the balance sheet lines in which they are recorded:</w:t>
      </w:r>
    </w:p>
    <w:tbl>
      <w:tblPr>
        <w:tblW w:w="8993" w:type="dxa"/>
        <w:jc w:val="left"/>
        <w:tblInd w:w="0" w:type="dxa"/>
        <w:tblLayout w:type="fixed"/>
        <w:tblCellMar>
          <w:top w:w="28" w:type="dxa"/>
          <w:left w:w="28" w:type="dxa"/>
          <w:bottom w:w="28" w:type="dxa"/>
          <w:right w:w="28" w:type="dxa"/>
        </w:tblCellMar>
      </w:tblPr>
      <w:tblGrid>
        <w:gridCol w:w="782"/>
        <w:gridCol w:w="688"/>
        <w:gridCol w:w="690"/>
        <w:gridCol w:w="388"/>
        <w:gridCol w:w="1137"/>
        <w:gridCol w:w="200"/>
        <w:gridCol w:w="119"/>
        <w:gridCol w:w="119"/>
        <w:gridCol w:w="119"/>
        <w:gridCol w:w="388"/>
        <w:gridCol w:w="1137"/>
        <w:gridCol w:w="200"/>
        <w:gridCol w:w="109"/>
        <w:gridCol w:w="109"/>
        <w:gridCol w:w="109"/>
        <w:gridCol w:w="789"/>
        <w:gridCol w:w="789"/>
        <w:gridCol w:w="112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Caption</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cash flow hedge, the change in estimated fair value of a hedging instrument is recorded in accumulated other comprehensive earnings (loss), net of tax as a separate component of the consolidated statements of stockholders' equity and is reclassified into revenues or cost of goods and services in the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in other comprehensive earnings for the gains (losses) on net investment hedges were as follows:</w:t>
      </w:r>
    </w:p>
    <w:tbl>
      <w:tblPr>
        <w:tblW w:w="8157" w:type="dxa"/>
        <w:jc w:val="left"/>
        <w:tblInd w:w="0" w:type="dxa"/>
        <w:tblLayout w:type="fixed"/>
        <w:tblCellMar>
          <w:top w:w="28" w:type="dxa"/>
          <w:left w:w="28" w:type="dxa"/>
          <w:bottom w:w="28" w:type="dxa"/>
          <w:right w:w="28" w:type="dxa"/>
        </w:tblCellMar>
      </w:tblPr>
      <w:tblGrid>
        <w:gridCol w:w="1543"/>
        <w:gridCol w:w="1356"/>
        <w:gridCol w:w="1361"/>
        <w:gridCol w:w="211"/>
        <w:gridCol w:w="721"/>
        <w:gridCol w:w="109"/>
        <w:gridCol w:w="109"/>
        <w:gridCol w:w="109"/>
        <w:gridCol w:w="109"/>
        <w:gridCol w:w="211"/>
        <w:gridCol w:w="796"/>
        <w:gridCol w:w="109"/>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euro-denominated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net investment hedges,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inputs are quoted prices (unadjusted) in active markets for identical assets or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unobservable inputs in which little or no market data exists, therefore requiring an entity to develop its own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assets and liabilities measured at fair value on a recurring basis as of December 31, 2024 and 2023:</w:t>
      </w:r>
    </w:p>
    <w:tbl>
      <w:tblPr>
        <w:tblW w:w="8445" w:type="dxa"/>
        <w:jc w:val="left"/>
        <w:tblInd w:w="0" w:type="dxa"/>
        <w:tblLayout w:type="fixed"/>
        <w:tblCellMar>
          <w:top w:w="28" w:type="dxa"/>
          <w:left w:w="28" w:type="dxa"/>
          <w:bottom w:w="28" w:type="dxa"/>
          <w:right w:w="28" w:type="dxa"/>
        </w:tblCellMar>
      </w:tblPr>
      <w:tblGrid>
        <w:gridCol w:w="1055"/>
        <w:gridCol w:w="931"/>
        <w:gridCol w:w="938"/>
        <w:gridCol w:w="109"/>
        <w:gridCol w:w="109"/>
        <w:gridCol w:w="387"/>
        <w:gridCol w:w="1135"/>
        <w:gridCol w:w="202"/>
        <w:gridCol w:w="109"/>
        <w:gridCol w:w="109"/>
        <w:gridCol w:w="109"/>
        <w:gridCol w:w="109"/>
        <w:gridCol w:w="109"/>
        <w:gridCol w:w="1726"/>
        <w:gridCol w:w="109"/>
        <w:gridCol w:w="211"/>
        <w:gridCol w:w="616"/>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30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derivative contracts are measured at fair value using models based on observable market inputs such as foreign currency exchange rates and interest rates; therefore, they are classified within Level 2 of the fair value hierarchy.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fair value disclosure requirements related to financial instruments carried at fair value, accounting standards require disclosures regarding the fair value of all of the Company's financial instruments.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long-term debt at December 31, 2024 and 2023 was $2,492,535 and $2,950,401, respectively. The estimated fair value of long-term debt is based on quoted market prices for similar instruments and is, therefore, classified as Level 2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trade receivables, accounts payable, short-term borrowings and current portion of long-term debt approximate their fair values as of December 31, 2024 and 2023 due to the short-term nature of these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14.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based on the following components of earnings before provision for income taxes and discontinued operations in the consolidated statements of earnings:</w:t>
      </w:r>
    </w:p>
    <w:tbl>
      <w:tblPr>
        <w:tblW w:w="5473" w:type="dxa"/>
        <w:jc w:val="left"/>
        <w:tblInd w:w="0" w:type="dxa"/>
        <w:tblLayout w:type="fixed"/>
        <w:tblCellMar>
          <w:top w:w="28" w:type="dxa"/>
          <w:left w:w="28" w:type="dxa"/>
          <w:bottom w:w="28" w:type="dxa"/>
          <w:right w:w="28" w:type="dxa"/>
        </w:tblCellMar>
      </w:tblPr>
      <w:tblGrid>
        <w:gridCol w:w="321"/>
        <w:gridCol w:w="282"/>
        <w:gridCol w:w="283"/>
        <w:gridCol w:w="211"/>
        <w:gridCol w:w="976"/>
        <w:gridCol w:w="109"/>
        <w:gridCol w:w="109"/>
        <w:gridCol w:w="109"/>
        <w:gridCol w:w="109"/>
        <w:gridCol w:w="211"/>
        <w:gridCol w:w="976"/>
        <w:gridCol w:w="109"/>
        <w:gridCol w:w="109"/>
        <w:gridCol w:w="109"/>
        <w:gridCol w:w="109"/>
        <w:gridCol w:w="211"/>
        <w:gridCol w:w="97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related to continuing operations for the years ended December 31, 2024, 2023 and 2022 is comprised of the following:</w:t>
      </w:r>
    </w:p>
    <w:p>
      <w:pPr>
        <w:pStyle w:val="TextBody"/>
        <w:bidi w:val="0"/>
        <w:spacing w:before="0" w:after="0"/>
        <w:jc w:val="both"/>
        <w:rPr/>
      </w:pPr>
      <w:r>
        <w:rPr/>
      </w:r>
    </w:p>
    <w:tbl>
      <w:tblPr>
        <w:tblW w:w="6417" w:type="dxa"/>
        <w:jc w:val="left"/>
        <w:tblInd w:w="0" w:type="dxa"/>
        <w:tblLayout w:type="fixed"/>
        <w:tblCellMar>
          <w:top w:w="28" w:type="dxa"/>
          <w:left w:w="28" w:type="dxa"/>
          <w:bottom w:w="28" w:type="dxa"/>
          <w:right w:w="28" w:type="dxa"/>
        </w:tblCellMar>
      </w:tblPr>
      <w:tblGrid>
        <w:gridCol w:w="823"/>
        <w:gridCol w:w="726"/>
        <w:gridCol w:w="731"/>
        <w:gridCol w:w="211"/>
        <w:gridCol w:w="826"/>
        <w:gridCol w:w="109"/>
        <w:gridCol w:w="109"/>
        <w:gridCol w:w="109"/>
        <w:gridCol w:w="109"/>
        <w:gridCol w:w="211"/>
        <w:gridCol w:w="826"/>
        <w:gridCol w:w="109"/>
        <w:gridCol w:w="109"/>
        <w:gridCol w:w="109"/>
        <w:gridCol w:w="109"/>
        <w:gridCol w:w="211"/>
        <w:gridCol w:w="82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Differences between the effective income tax rate and the U.S. federal income statutory tax rate are as follows:</w:t>
      </w:r>
    </w:p>
    <w:tbl>
      <w:tblPr>
        <w:tblW w:w="7727" w:type="dxa"/>
        <w:jc w:val="left"/>
        <w:tblInd w:w="0" w:type="dxa"/>
        <w:tblLayout w:type="fixed"/>
        <w:tblCellMar>
          <w:top w:w="28" w:type="dxa"/>
          <w:left w:w="28" w:type="dxa"/>
          <w:bottom w:w="28" w:type="dxa"/>
          <w:right w:w="28" w:type="dxa"/>
        </w:tblCellMar>
      </w:tblPr>
      <w:tblGrid>
        <w:gridCol w:w="1629"/>
        <w:gridCol w:w="1429"/>
        <w:gridCol w:w="1442"/>
        <w:gridCol w:w="255"/>
        <w:gridCol w:w="256"/>
        <w:gridCol w:w="304"/>
        <w:gridCol w:w="122"/>
        <w:gridCol w:w="122"/>
        <w:gridCol w:w="122"/>
        <w:gridCol w:w="255"/>
        <w:gridCol w:w="256"/>
        <w:gridCol w:w="304"/>
        <w:gridCol w:w="122"/>
        <w:gridCol w:w="122"/>
        <w:gridCol w:w="122"/>
        <w:gridCol w:w="255"/>
        <w:gridCol w:w="256"/>
        <w:gridCol w:w="354"/>
      </w:tblGrid>
      <w:tr>
        <w:trPr/>
        <w:tc>
          <w:tcPr>
            <w:tcW w:w="16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taxes, net of federal income tax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 tax effect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awards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resolutions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deferred tax assets and liabilities are as follows:</w:t>
      </w:r>
    </w:p>
    <w:tbl>
      <w:tblPr>
        <w:tblW w:w="9401" w:type="dxa"/>
        <w:jc w:val="left"/>
        <w:tblInd w:w="0" w:type="dxa"/>
        <w:tblLayout w:type="fixed"/>
        <w:tblCellMar>
          <w:top w:w="28" w:type="dxa"/>
          <w:left w:w="28" w:type="dxa"/>
          <w:bottom w:w="28" w:type="dxa"/>
          <w:right w:w="28" w:type="dxa"/>
        </w:tblCellMar>
      </w:tblPr>
      <w:tblGrid>
        <w:gridCol w:w="2019"/>
        <w:gridCol w:w="1774"/>
        <w:gridCol w:w="1786"/>
        <w:gridCol w:w="298"/>
        <w:gridCol w:w="1273"/>
        <w:gridCol w:w="154"/>
        <w:gridCol w:w="109"/>
        <w:gridCol w:w="109"/>
        <w:gridCol w:w="109"/>
        <w:gridCol w:w="295"/>
        <w:gridCol w:w="1260"/>
        <w:gridCol w:w="215"/>
      </w:tblGrid>
      <w:tr>
        <w:trPr/>
        <w:tc>
          <w:tcPr>
            <w:tcW w:w="201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postretirement and other employee benefits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other carryforwards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326,437 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 warranty and environmental costs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(571,583)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(235,978)</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Classified as follows in the Consolidated Balance Sheets: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(235,978)</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$263,742 of deferred tax assets recorded related to non-U.S. tax loss carryforwards primarily resulting from non-operating activities and tax credit carryforwards. The non-U.S. losses and credits as of December 31, 2024 are available to be carried forward, with $112,438 expiring during the years 2025 through 2044, and the remaining $151,304 carried forward indefinitely.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$47,301 of deferred tax assets recorded related to U.S. federal and state tax loss and tax credit carryforwards. The U.S. federal and state tax losses and credits as of December 31, 2024 are available to be carried forward, with $41,840 expiring during the years 2025 through 2044, and the remaining $5,461 carried forward indefinitely.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valuation allowances by jurisdiction against the deferred tax assets related to certain of these carryforwards for which it is more likely than not that some portion or all will not be realized. The following table is a reconciliation of the beginning and ending balances of the Company's valuation allowance on deferred tax assets:</w:t>
      </w:r>
    </w:p>
    <w:tbl>
      <w:tblPr>
        <w:tblW w:w="3876" w:type="dxa"/>
        <w:jc w:val="left"/>
        <w:tblInd w:w="0" w:type="dxa"/>
        <w:tblLayout w:type="fixed"/>
        <w:tblCellMar>
          <w:top w:w="28" w:type="dxa"/>
          <w:left w:w="28" w:type="dxa"/>
          <w:bottom w:w="28" w:type="dxa"/>
          <w:right w:w="28" w:type="dxa"/>
        </w:tblCellMar>
      </w:tblPr>
      <w:tblGrid>
        <w:gridCol w:w="971"/>
        <w:gridCol w:w="855"/>
        <w:gridCol w:w="85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U.S federal, state, local and non-U.S.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Due to the potential for resolution of U.S federal, state and non-U.S. examinations, and the expiration of various statutes of limitation, the Company's gross unrecognized tax benefits balance may change within the next twelve months by a range of zero to $3,699. All significant U.S. federal, state, local and non-U.S. matters have been concluded through 2021. The Company believes adequate provision has been made for all income tax uncertainties.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beginning and ending balances of the Company's unrecognized tax benefits:</w:t>
      </w:r>
    </w:p>
    <w:tbl>
      <w:tblPr>
        <w:tblW w:w="6426" w:type="dxa"/>
        <w:jc w:val="left"/>
        <w:tblInd w:w="0" w:type="dxa"/>
        <w:tblLayout w:type="fixed"/>
        <w:tblCellMar>
          <w:top w:w="28" w:type="dxa"/>
          <w:left w:w="28" w:type="dxa"/>
          <w:bottom w:w="28" w:type="dxa"/>
          <w:right w:w="28" w:type="dxa"/>
        </w:tblCellMar>
      </w:tblPr>
      <w:tblGrid>
        <w:gridCol w:w="1778"/>
        <w:gridCol w:w="1561"/>
        <w:gridCol w:w="1565"/>
        <w:gridCol w:w="109"/>
        <w:gridCol w:w="109"/>
        <w:gridCol w:w="109"/>
        <w:gridCol w:w="109"/>
        <w:gridCol w:w="211"/>
        <w:gridCol w:w="72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tax benefits at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Unrecognized tax benefits at December 31, 2022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Unrecognized tax benefits at December 31, 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Reductions for tax positions of prior years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Unrecognized tax benefits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recognized, the net amount of potential tax benefits as of December 31, 2024 that would impact the Company's effective tax rate is $42,913. During the years ended December 31, 2024, 2023 and 2022, the Company recorded income of $617, $1,378 and $8,931, respectively, as a component of provision for income taxes related to the accrued interest and penalties on net reductions to unrecognized tax benefits. The Company had accrued interest and penalties of $4,181 at December 31, 2024 and $4,798 at December 31, 2023, which are not included in the unrecognized tax benefits table above.</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15. Equity and Cash Incentive Program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makes its annual grants of equity awards pursuant to actions taken by the Compensation Committee of the Board of Directors at its regularly scheduled first quarter meeting. For the years presented herein, employee awards were made pursuant to the terms of the Company's 2021 Omnibus Incentive Plan (the "2021 Plan") and 2012 Equity and Cash Incentive Plan (the "2012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2021, the shareholders approved the 2021 Plan, to replace the 2012 Plan, which otherwise would have terminated according to its terms on May 3, 2022. Upon approval of the 2021 Plan, no additional awards could be granted under the 2012 Plan, and the remaining 4,888,197 shares available for additional award grant purposes became available for issuance under the 2021 Plan. The 2021 Plan provides for stock options and SARs, RSUs, PSAs, cash performance awards, directors' shares and deferred stock units. Under the 2021 Plan, a total of 8,300,000 newly authorized shares of common stock are reserved for issuance, resulting in a total of 13,188,197 authorized shares available for issuance. These shares are subject to adjustments resulting from stock dividends, stock splits, recapitalizations, reorganizations and other similar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Officers and other key employees, as well as non-employee directors, are eligible to participate in the 2021 Plan, and were also eligible under the 2012 Plan which had a ten-year term between May 3, 2012 to May 3,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costs are reported within selling, general and administrative expenses in the consolidated statements of earnings. The following table summarizes the Company's compensation expense relating to all stock-based incentive plans:</w:t>
      </w:r>
    </w:p>
    <w:tbl>
      <w:tblPr>
        <w:tblW w:w="8127" w:type="dxa"/>
        <w:jc w:val="left"/>
        <w:tblInd w:w="0" w:type="dxa"/>
        <w:tblLayout w:type="fixed"/>
        <w:tblCellMar>
          <w:top w:w="28" w:type="dxa"/>
          <w:left w:w="28" w:type="dxa"/>
          <w:bottom w:w="28" w:type="dxa"/>
          <w:right w:w="28" w:type="dxa"/>
        </w:tblCellMar>
      </w:tblPr>
      <w:tblGrid>
        <w:gridCol w:w="1560"/>
        <w:gridCol w:w="1369"/>
        <w:gridCol w:w="1376"/>
        <w:gridCol w:w="211"/>
        <w:gridCol w:w="721"/>
        <w:gridCol w:w="109"/>
        <w:gridCol w:w="109"/>
        <w:gridCol w:w="109"/>
        <w:gridCol w:w="109"/>
        <w:gridCol w:w="211"/>
        <w:gridCol w:w="721"/>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Pre-tax stock-based compensation expense attributable to discontinued operations was $673, $699 and $746 for the years ended December 31, 2024, 2023 and 2022, respectively. These expenses are included within stock-based compensation expense in the consolidated statements of stockholders' equity. See Note 4 — Discontinued and Disposed Operations 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2024, 2023 and 2022, the Company issued SARs covering 355,685, 359,715 and 335,285 shares, respectively. The fair value of each SAR grant was estimated on the date of grant using a Black-Scholes option-pricing model with the following assumptions:</w:t>
      </w:r>
    </w:p>
    <w:tbl>
      <w:tblPr>
        <w:tblW w:w="6379"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 price </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relating to SARs granted under the 2021 Plan and the 2012 Plan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661"/>
        <w:gridCol w:w="580"/>
        <w:gridCol w:w="583"/>
        <w:gridCol w:w="539"/>
        <w:gridCol w:w="476"/>
        <w:gridCol w:w="372"/>
        <w:gridCol w:w="109"/>
        <w:gridCol w:w="109"/>
        <w:gridCol w:w="109"/>
        <w:gridCol w:w="360"/>
        <w:gridCol w:w="1232"/>
        <w:gridCol w:w="186"/>
        <w:gridCol w:w="109"/>
        <w:gridCol w:w="109"/>
        <w:gridCol w:w="109"/>
        <w:gridCol w:w="859"/>
        <w:gridCol w:w="859"/>
        <w:gridCol w:w="862"/>
        <w:gridCol w:w="109"/>
        <w:gridCol w:w="109"/>
        <w:gridCol w:w="109"/>
        <w:gridCol w:w="292"/>
        <w:gridCol w:w="1145"/>
        <w:gridCol w:w="218"/>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Aggregate Intrinsic Value </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355,685 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expired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(309,760)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2,401,646 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101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1,468,033 </w:t>
            </w:r>
          </w:p>
        </w:tc>
        <w:tc>
          <w:tcPr>
            <w:tcW w:w="3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related to SARs not yet exercisable was $8,387 at December 31, 2024. This cost is expected to be recognized over a weighted average period of 1.3 years.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information regarding the exercise of SARs is listed below: </w:t>
      </w:r>
    </w:p>
    <w:tbl>
      <w:tblPr>
        <w:tblW w:w="7196" w:type="dxa"/>
        <w:jc w:val="left"/>
        <w:tblInd w:w="0" w:type="dxa"/>
        <w:tblLayout w:type="fixed"/>
        <w:tblCellMar>
          <w:top w:w="28" w:type="dxa"/>
          <w:left w:w="28" w:type="dxa"/>
          <w:bottom w:w="28" w:type="dxa"/>
          <w:right w:w="28" w:type="dxa"/>
        </w:tblCellMar>
      </w:tblPr>
      <w:tblGrid>
        <w:gridCol w:w="1335"/>
        <w:gridCol w:w="1175"/>
        <w:gridCol w:w="1179"/>
        <w:gridCol w:w="211"/>
        <w:gridCol w:w="616"/>
        <w:gridCol w:w="109"/>
        <w:gridCol w:w="109"/>
        <w:gridCol w:w="109"/>
        <w:gridCol w:w="109"/>
        <w:gridCol w:w="211"/>
        <w:gridCol w:w="616"/>
        <w:gridCol w:w="109"/>
        <w:gridCol w:w="109"/>
        <w:gridCol w:w="109"/>
        <w:gridCol w:w="109"/>
        <w:gridCol w:w="211"/>
        <w:gridCol w:w="61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SARs that became exercisable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of SARs exercised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PSAs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PSAs granted are expensed over the three-year requisite performance and service period. Awards become vested if (1) the Company achieves certain conditions, discussed below, and (2) the employee remains continuously employed by the Company during the performance period. Partial vesting may occur after separation from service in the case of certain terminations not for cause and for retirements.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2023 and 2022, the Company issued PSAs covering 43,602, 43,656 and 40,087 shares,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PSAs granted in 2024 vest based on the attainment of two equally weighted measures: (i) Dover’s performance relative to established internal metrics (performance condition) and (ii) Dover's performance relative to its peer group (companies listed under the S&amp;P 500 Industrials sector; market condition). The PSAs granted in 2023 and 2022 vest solely on the attainment of Dover's performance relative to its peer group (same aforementioned market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fair value per share at the date of grant for the 2024 performance condition portion is $177.19.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grant date fair value of the 2024 market condition portion, and all 2023 and 2022 PSAs,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r>
        <w:rPr>
          <w:color w:val="000000"/>
        </w:rPr>
        <w:t xml:space="preserve"> </w:t>
      </w:r>
    </w:p>
    <w:p>
      <w:pPr>
        <w:pStyle w:val="TextBody"/>
        <w:bidi w:val="0"/>
        <w:spacing w:before="0" w:after="0"/>
        <w:jc w:val="both"/>
        <w:rPr/>
      </w:pPr>
      <w:r>
        <w:rPr/>
      </w:r>
    </w:p>
    <w:tbl>
      <w:tblPr>
        <w:tblW w:w="6379"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for PSAs for the year ended December 31, 2024 is as follows:</w:t>
      </w:r>
    </w:p>
    <w:tbl>
      <w:tblPr>
        <w:tblW w:w="6371" w:type="dxa"/>
        <w:jc w:val="left"/>
        <w:tblInd w:w="0" w:type="dxa"/>
        <w:tblLayout w:type="fixed"/>
        <w:tblCellMar>
          <w:top w:w="28" w:type="dxa"/>
          <w:left w:w="28" w:type="dxa"/>
          <w:bottom w:w="28" w:type="dxa"/>
          <w:right w:w="28" w:type="dxa"/>
        </w:tblCellMar>
      </w:tblPr>
      <w:tblGrid>
        <w:gridCol w:w="979"/>
        <w:gridCol w:w="859"/>
        <w:gridCol w:w="862"/>
        <w:gridCol w:w="539"/>
        <w:gridCol w:w="539"/>
        <w:gridCol w:w="541"/>
        <w:gridCol w:w="109"/>
        <w:gridCol w:w="109"/>
        <w:gridCol w:w="109"/>
        <w:gridCol w:w="334"/>
        <w:gridCol w:w="1144"/>
        <w:gridCol w:w="247"/>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Grant-Date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related to unvested PSAs as of December 31, 2024 was $10,235, which will be recognized over a weighted average period of 1.7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restricted stock authorized for grant. Common stock of the Company may be granted at no cost to certain officers and key employees. In general, restrictions limit the sale or transfer of these shares during a three-year period, and restrictions lapse proportionately over the three-year period. The Company granted 94,307, 91,439 and 79,556 of RSUs in 2024, 2023 and 2022, respectively. The fair value of these awards was determined using Dover's closing stock price on the date of grant, which was $160.11, $153.25, and $160.21 in 2024, 2023 and 2022,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for RSUs for the year ended December 31, 2024 is as follows:</w:t>
      </w:r>
    </w:p>
    <w:tbl>
      <w:tblPr>
        <w:tblW w:w="6371" w:type="dxa"/>
        <w:jc w:val="left"/>
        <w:tblInd w:w="0" w:type="dxa"/>
        <w:tblLayout w:type="fixed"/>
        <w:tblCellMar>
          <w:top w:w="28" w:type="dxa"/>
          <w:left w:w="28" w:type="dxa"/>
          <w:bottom w:w="28" w:type="dxa"/>
          <w:right w:w="28" w:type="dxa"/>
        </w:tblCellMar>
      </w:tblPr>
      <w:tblGrid>
        <w:gridCol w:w="979"/>
        <w:gridCol w:w="859"/>
        <w:gridCol w:w="862"/>
        <w:gridCol w:w="539"/>
        <w:gridCol w:w="539"/>
        <w:gridCol w:w="541"/>
        <w:gridCol w:w="109"/>
        <w:gridCol w:w="109"/>
        <w:gridCol w:w="109"/>
        <w:gridCol w:w="334"/>
        <w:gridCol w:w="1144"/>
        <w:gridCol w:w="247"/>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Grant-Date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relating to unvested RSUs as of December 31, 2024 was $10,609, which will be recognized over a weighted average period of 1.5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Directors'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the following shares to its non-employee directors as partial compensation for serving as directors of the Company:</w:t>
      </w:r>
    </w:p>
    <w:tbl>
      <w:tblPr>
        <w:tblW w:w="5805" w:type="dxa"/>
        <w:jc w:val="left"/>
        <w:tblInd w:w="0" w:type="dxa"/>
        <w:tblLayout w:type="fixed"/>
        <w:tblCellMar>
          <w:top w:w="28" w:type="dxa"/>
          <w:left w:w="28" w:type="dxa"/>
          <w:bottom w:w="28" w:type="dxa"/>
          <w:right w:w="28" w:type="dxa"/>
        </w:tblCellMar>
      </w:tblPr>
      <w:tblGrid>
        <w:gridCol w:w="782"/>
        <w:gridCol w:w="688"/>
        <w:gridCol w:w="690"/>
        <w:gridCol w:w="344"/>
        <w:gridCol w:w="346"/>
        <w:gridCol w:w="176"/>
        <w:gridCol w:w="154"/>
        <w:gridCol w:w="154"/>
        <w:gridCol w:w="154"/>
        <w:gridCol w:w="360"/>
        <w:gridCol w:w="361"/>
        <w:gridCol w:w="176"/>
        <w:gridCol w:w="154"/>
        <w:gridCol w:w="154"/>
        <w:gridCol w:w="154"/>
        <w:gridCol w:w="360"/>
        <w:gridCol w:w="361"/>
        <w:gridCol w:w="237"/>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shares granted</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stock units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shares issued</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16. 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December 31, 2024 and December 31, 2023, these estimated liabilities for environmental and other matters, including private party claims for exposure to hazardous substances that are probable and estimable, were not significant. See Note 10 — Other Accrued Expenses and Other Liabilities for additional details.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December 31, 2024 and 2023,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17. Employee Benefit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defined contribution retirement plans which cover the majority of its U.S. employees, as well as employees in certain other countries. The Company’s expense relating to defined contribution plans was $61,384, $56,597 and $53,508 for the years ended December 31, 2024,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qualified and non-qualified defined benefit plans were closed to new employees after December 31, 2013. All pension-eligible employees as of December 31, 2013 continued to earn a pension benefit through December 31, 2023 as long as they remained employed by the Company participating in the impacted plans. Effective January 1, 2024, the plans have been frozen for any future benefit accruals.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other post-retirement benefit plans. These plans are closed to new entrants and are not considered to be significant. The supplemental and other post-retirement benefit plans are supported by the general assets of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Obligations and Funded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 in benefit obligations, change in plan assets, and funded status associated with the Company's significant defined benefit plans and the amounts recognized in the consolidated balance sheets at December 31, 2024 and 2023:</w:t>
      </w:r>
    </w:p>
    <w:tbl>
      <w:tblPr>
        <w:tblW w:w="10205" w:type="dxa"/>
        <w:jc w:val="left"/>
        <w:tblInd w:w="0" w:type="dxa"/>
        <w:tblLayout w:type="fixed"/>
        <w:tblCellMar>
          <w:top w:w="28" w:type="dxa"/>
          <w:left w:w="28" w:type="dxa"/>
          <w:bottom w:w="28" w:type="dxa"/>
          <w:right w:w="28" w:type="dxa"/>
        </w:tblCellMar>
      </w:tblPr>
      <w:tblGrid>
        <w:gridCol w:w="835"/>
        <w:gridCol w:w="516"/>
        <w:gridCol w:w="51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4"/>
        <w:gridCol w:w="702"/>
        <w:gridCol w:w="113"/>
        <w:gridCol w:w="113"/>
        <w:gridCol w:w="113"/>
        <w:gridCol w:w="113"/>
        <w:gridCol w:w="204"/>
        <w:gridCol w:w="702"/>
        <w:gridCol w:w="113"/>
        <w:gridCol w:w="109"/>
        <w:gridCol w:w="109"/>
        <w:gridCol w:w="109"/>
        <w:gridCol w:w="160"/>
      </w:tblGrid>
      <w:tr>
        <w:trPr/>
        <w:tc>
          <w:tcPr>
            <w:tcW w:w="83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Qualified Defined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Non-Qualified Supplemental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benefit obligation:</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participants'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Actuarial loss (gain)</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Disposition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 and curtailments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 at end of year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plan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plan assets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Actual return 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participants'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 and curtailments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plan assets at end of year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Funded (unfunded) status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Amounts recognized in the consolidated balance sheets consist of:</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deferred charges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Liabilities held for sale </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Defined benefit and other post-retirement benefit plans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(earnings):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actuarial losses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(earnings),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amount recognized at December 31,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benefit obligations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23,042 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actuarial loss (gain) were primarily due to discount rate fluctuations and plan experience.</w:t>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De-Sta-Co assets and liabilities are classified as held for sale as of December 31, 2023. See Note 4 — Discontinued and Disposed Operations for further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unfunded status at December 31, 2024 and 2023 includes net liabilities of $65,201 and $74,264, respectively, relating to the Company's significant international qualified plans, some in locations where it is not economically advantageous to pre-fund the plans due to local regulations. The majority of the international obligations relate to defined pension plans operated by the Company's businesses in Germany, France, the United Kingdom, Switzerland and Canada.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for all defined benefit pension plans was $547,719 and $591,114 at December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Non-U.S. pension plans with accumulated benefit obligations in excess of plan assets consist of the following at December 31, 2024 and 2023:</w:t>
      </w:r>
    </w:p>
    <w:tbl>
      <w:tblPr>
        <w:tblW w:w="5378" w:type="dxa"/>
        <w:jc w:val="left"/>
        <w:tblInd w:w="0" w:type="dxa"/>
        <w:tblLayout w:type="fixed"/>
        <w:tblCellMar>
          <w:top w:w="28" w:type="dxa"/>
          <w:left w:w="28" w:type="dxa"/>
          <w:bottom w:w="28" w:type="dxa"/>
          <w:right w:w="28" w:type="dxa"/>
        </w:tblCellMar>
      </w:tblPr>
      <w:tblGrid>
        <w:gridCol w:w="983"/>
        <w:gridCol w:w="863"/>
        <w:gridCol w:w="868"/>
        <w:gridCol w:w="211"/>
        <w:gridCol w:w="826"/>
        <w:gridCol w:w="109"/>
        <w:gridCol w:w="109"/>
        <w:gridCol w:w="109"/>
        <w:gridCol w:w="109"/>
        <w:gridCol w:w="211"/>
        <w:gridCol w:w="82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Non-U.S. pension plans with projected benefit obligations in excess of plan assets consist of the following at December 31, 2024 and 2023:</w:t>
      </w:r>
    </w:p>
    <w:tbl>
      <w:tblPr>
        <w:tblW w:w="5064" w:type="dxa"/>
        <w:jc w:val="left"/>
        <w:tblInd w:w="0" w:type="dxa"/>
        <w:tblLayout w:type="fixed"/>
        <w:tblCellMar>
          <w:top w:w="28" w:type="dxa"/>
          <w:left w:w="28" w:type="dxa"/>
          <w:bottom w:w="28" w:type="dxa"/>
          <w:right w:w="28" w:type="dxa"/>
        </w:tblCellMar>
      </w:tblPr>
      <w:tblGrid>
        <w:gridCol w:w="868"/>
        <w:gridCol w:w="765"/>
        <w:gridCol w:w="767"/>
        <w:gridCol w:w="211"/>
        <w:gridCol w:w="826"/>
        <w:gridCol w:w="109"/>
        <w:gridCol w:w="109"/>
        <w:gridCol w:w="109"/>
        <w:gridCol w:w="109"/>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Net Periodic Benefit Cost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expense component of net periodic benefit cost (service cost) is reported with similar compensation costs in the Company's consolidated statement of earnings. The non-operating components (all other components of net periodic benefit cost, including interest cost, amortization of prior service cost, curtailments and settlements, etc.) are reported outside of operating income in other income, net in the consolidated statement of earnings.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net periodic benefit cost were as follows: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Defined Benefit Plans</w:t>
      </w:r>
    </w:p>
    <w:tbl>
      <w:tblPr>
        <w:tblW w:w="11596" w:type="dxa"/>
        <w:jc w:val="left"/>
        <w:tblInd w:w="0" w:type="dxa"/>
        <w:tblLayout w:type="fixed"/>
        <w:tblCellMar>
          <w:top w:w="28" w:type="dxa"/>
          <w:left w:w="28" w:type="dxa"/>
          <w:bottom w:w="28" w:type="dxa"/>
          <w:right w:w="28" w:type="dxa"/>
        </w:tblCellMar>
      </w:tblPr>
      <w:tblGrid>
        <w:gridCol w:w="638"/>
        <w:gridCol w:w="206"/>
        <w:gridCol w:w="207"/>
        <w:gridCol w:w="196"/>
        <w:gridCol w:w="661"/>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Qualified Defined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Non-Qualified Supplemental Benefits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 (credit)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(gain)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and curtailment loss (gain)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(benefit)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Assumptions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actuarial assumptions on an annual basis. The weighted average assumptions used in determining the benefit obligations were as follows:</w:t>
      </w:r>
    </w:p>
    <w:tbl>
      <w:tblPr>
        <w:tblW w:w="9404" w:type="dxa"/>
        <w:jc w:val="left"/>
        <w:tblInd w:w="0" w:type="dxa"/>
        <w:tblLayout w:type="fixed"/>
        <w:tblCellMar>
          <w:top w:w="28" w:type="dxa"/>
          <w:left w:w="28" w:type="dxa"/>
          <w:bottom w:w="28" w:type="dxa"/>
          <w:right w:w="28" w:type="dxa"/>
        </w:tblCellMar>
      </w:tblPr>
      <w:tblGrid>
        <w:gridCol w:w="635"/>
        <w:gridCol w:w="559"/>
        <w:gridCol w:w="561"/>
        <w:gridCol w:w="233"/>
        <w:gridCol w:w="233"/>
        <w:gridCol w:w="256"/>
        <w:gridCol w:w="109"/>
        <w:gridCol w:w="109"/>
        <w:gridCol w:w="109"/>
        <w:gridCol w:w="233"/>
        <w:gridCol w:w="233"/>
        <w:gridCol w:w="256"/>
        <w:gridCol w:w="109"/>
        <w:gridCol w:w="109"/>
        <w:gridCol w:w="109"/>
        <w:gridCol w:w="233"/>
        <w:gridCol w:w="233"/>
        <w:gridCol w:w="259"/>
        <w:gridCol w:w="110"/>
        <w:gridCol w:w="110"/>
        <w:gridCol w:w="110"/>
        <w:gridCol w:w="233"/>
        <w:gridCol w:w="233"/>
        <w:gridCol w:w="259"/>
        <w:gridCol w:w="109"/>
        <w:gridCol w:w="109"/>
        <w:gridCol w:w="109"/>
        <w:gridCol w:w="253"/>
        <w:gridCol w:w="253"/>
        <w:gridCol w:w="596"/>
        <w:gridCol w:w="253"/>
        <w:gridCol w:w="253"/>
        <w:gridCol w:w="253"/>
        <w:gridCol w:w="253"/>
        <w:gridCol w:w="253"/>
        <w:gridCol w:w="596"/>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Qualified Defined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Non-Qualified Supplemental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wage increase</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in determining the net periodic benefit cost were as follows:</w:t>
      </w:r>
    </w:p>
    <w:tbl>
      <w:tblPr>
        <w:tblW w:w="10609" w:type="dxa"/>
        <w:jc w:val="left"/>
        <w:tblInd w:w="0" w:type="dxa"/>
        <w:tblLayout w:type="fixed"/>
        <w:tblCellMar>
          <w:top w:w="28" w:type="dxa"/>
          <w:left w:w="28" w:type="dxa"/>
          <w:bottom w:w="28" w:type="dxa"/>
          <w:right w:w="28" w:type="dxa"/>
        </w:tblCellMar>
      </w:tblPr>
      <w:tblGrid>
        <w:gridCol w:w="277"/>
        <w:gridCol w:w="244"/>
        <w:gridCol w:w="245"/>
        <w:gridCol w:w="233"/>
        <w:gridCol w:w="233"/>
        <w:gridCol w:w="256"/>
        <w:gridCol w:w="109"/>
        <w:gridCol w:w="109"/>
        <w:gridCol w:w="109"/>
        <w:gridCol w:w="233"/>
        <w:gridCol w:w="233"/>
        <w:gridCol w:w="256"/>
        <w:gridCol w:w="109"/>
        <w:gridCol w:w="109"/>
        <w:gridCol w:w="109"/>
        <w:gridCol w:w="233"/>
        <w:gridCol w:w="233"/>
        <w:gridCol w:w="28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Qualified Defined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 Qualified Supplemental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wage increase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discount rate assumption is determined by developing a yield curve based on high quality corporate bonds with maturities matching the plans' expected benefit payment streams. The plans' expected cash flows are then discounted by the resulting year-by-year discount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Plan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the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net periodic benefit cost is developed through analysis of historical and forecasted market returns, statistical analysis, current market conditions and the past experience of plan asset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actual and target weighted average asset allocation for our U.S. Qualified Defined Benefits Plan was as follows:</w:t>
      </w:r>
    </w:p>
    <w:tbl>
      <w:tblPr>
        <w:tblW w:w="6204" w:type="dxa"/>
        <w:jc w:val="left"/>
        <w:tblInd w:w="0" w:type="dxa"/>
        <w:tblLayout w:type="fixed"/>
        <w:tblCellMar>
          <w:top w:w="28" w:type="dxa"/>
          <w:left w:w="28" w:type="dxa"/>
          <w:bottom w:w="28" w:type="dxa"/>
          <w:right w:w="28" w:type="dxa"/>
        </w:tblCellMar>
      </w:tblPr>
      <w:tblGrid>
        <w:gridCol w:w="935"/>
        <w:gridCol w:w="821"/>
        <w:gridCol w:w="823"/>
        <w:gridCol w:w="232"/>
        <w:gridCol w:w="234"/>
        <w:gridCol w:w="292"/>
        <w:gridCol w:w="109"/>
        <w:gridCol w:w="109"/>
        <w:gridCol w:w="109"/>
        <w:gridCol w:w="232"/>
        <w:gridCol w:w="234"/>
        <w:gridCol w:w="292"/>
        <w:gridCol w:w="109"/>
        <w:gridCol w:w="109"/>
        <w:gridCol w:w="109"/>
        <w:gridCol w:w="296"/>
        <w:gridCol w:w="296"/>
        <w:gridCol w:w="863"/>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 Target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Return-seeking investments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hedging investments</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Return-seeking investments include diversified foreign and domestic equities, U.S. high yield fixed income investments, and emerging market debt. Liability hedging investments primarily include a diversified portfolio of U.S. long duration fixed income assets. While the non-U.S. investment policies are different for each country, the long-term objectives are generally the same as for the U.S. pension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both U.S. and non-U.S. pension plan assets by asset category within the fair value hierarchy (as defined in Note 13 — Financial Instruments) were as follows:</w:t>
      </w:r>
    </w:p>
    <w:tbl>
      <w:tblPr>
        <w:tblW w:w="10205" w:type="dxa"/>
        <w:jc w:val="left"/>
        <w:tblInd w:w="0" w:type="dxa"/>
        <w:tblLayout w:type="fixed"/>
        <w:tblCellMar>
          <w:top w:w="28" w:type="dxa"/>
          <w:left w:w="28" w:type="dxa"/>
          <w:bottom w:w="28" w:type="dxa"/>
          <w:right w:w="28" w:type="dxa"/>
        </w:tblCellMar>
      </w:tblPr>
      <w:tblGrid>
        <w:gridCol w:w="887"/>
        <w:gridCol w:w="614"/>
        <w:gridCol w:w="541"/>
        <w:gridCol w:w="196"/>
        <w:gridCol w:w="556"/>
        <w:gridCol w:w="109"/>
        <w:gridCol w:w="109"/>
        <w:gridCol w:w="109"/>
        <w:gridCol w:w="109"/>
        <w:gridCol w:w="196"/>
        <w:gridCol w:w="736"/>
        <w:gridCol w:w="109"/>
        <w:gridCol w:w="109"/>
        <w:gridCol w:w="109"/>
        <w:gridCol w:w="109"/>
        <w:gridCol w:w="109"/>
        <w:gridCol w:w="109"/>
        <w:gridCol w:w="210"/>
        <w:gridCol w:w="792"/>
        <w:gridCol w:w="117"/>
        <w:gridCol w:w="109"/>
        <w:gridCol w:w="109"/>
        <w:gridCol w:w="109"/>
        <w:gridCol w:w="196"/>
        <w:gridCol w:w="556"/>
        <w:gridCol w:w="109"/>
        <w:gridCol w:w="109"/>
        <w:gridCol w:w="109"/>
        <w:gridCol w:w="109"/>
        <w:gridCol w:w="196"/>
        <w:gridCol w:w="736"/>
        <w:gridCol w:w="109"/>
        <w:gridCol w:w="109"/>
        <w:gridCol w:w="109"/>
        <w:gridCol w:w="109"/>
        <w:gridCol w:w="109"/>
        <w:gridCol w:w="109"/>
        <w:gridCol w:w="210"/>
        <w:gridCol w:w="790"/>
        <w:gridCol w:w="169"/>
      </w:tblGrid>
      <w:tr>
        <w:trPr/>
        <w:tc>
          <w:tcPr>
            <w:tcW w:w="88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9"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Qualified Defined Benefits Plan</w:t>
            </w:r>
          </w:p>
        </w:tc>
        <w:tc>
          <w:tcPr>
            <w:tcW w:w="1714" w:type="dxa"/>
            <w:gridSpan w:val="8"/>
            <w:tcBorders/>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714" w:type="dxa"/>
            <w:gridSpan w:val="8"/>
            <w:tcBorders/>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52,862</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cash and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w:t>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272,394</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measured at net asset value*</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funds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 funds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392,519 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233" w:type="dxa"/>
        <w:jc w:val="center"/>
        <w:tblInd w:w="0" w:type="dxa"/>
        <w:tblLayout w:type="fixed"/>
        <w:tblCellMar>
          <w:top w:w="28" w:type="dxa"/>
          <w:left w:w="28" w:type="dxa"/>
          <w:bottom w:w="28" w:type="dxa"/>
          <w:right w:w="28" w:type="dxa"/>
        </w:tblCellMar>
      </w:tblPr>
      <w:tblGrid>
        <w:gridCol w:w="530"/>
        <w:gridCol w:w="302"/>
        <w:gridCol w:w="27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5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Non-U.S. Plans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at fair value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measured at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 funds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investments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stocks represent investments in domestic and foreign equities, which are publicly traded on active exchanges and are valued based on quoted market prices.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Fixed income investments include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Mutual funds are categorized as either Level 1, 2 or Net Asset Value ("NAV") as a practical expedient depending on the nature of the observable inputs. Collective funds and short-term investment funds are valued using NAV as a practical expedient as of the last business day of the year. The NAV is based on the underlying value of the assets owned by the fund, minus its liabilities, and then divided by the number of shares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plan assets using significant unobservable inputs (Level 3) changed during 2023 and 2024, due to the following:</w:t>
      </w:r>
    </w:p>
    <w:tbl>
      <w:tblPr>
        <w:tblW w:w="5210" w:type="dxa"/>
        <w:jc w:val="left"/>
        <w:tblInd w:w="0" w:type="dxa"/>
        <w:tblLayout w:type="fixed"/>
        <w:tblCellMar>
          <w:top w:w="28" w:type="dxa"/>
          <w:left w:w="28" w:type="dxa"/>
          <w:bottom w:w="28" w:type="dxa"/>
          <w:right w:w="28" w:type="dxa"/>
        </w:tblCellMar>
      </w:tblPr>
      <w:tblGrid>
        <w:gridCol w:w="1492"/>
        <w:gridCol w:w="1314"/>
        <w:gridCol w:w="1318"/>
        <w:gridCol w:w="211"/>
        <w:gridCol w:w="721"/>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assets still held at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assets sold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assets still held at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Relating to assets sold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Future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Benefit Payments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 to retirees, which reflect expected future service except to the extent frozen, are as follows:</w:t>
      </w:r>
    </w:p>
    <w:tbl>
      <w:tblPr>
        <w:tblW w:w="7641" w:type="dxa"/>
        <w:jc w:val="left"/>
        <w:tblInd w:w="0" w:type="dxa"/>
        <w:tblLayout w:type="fixed"/>
        <w:tblCellMar>
          <w:top w:w="28" w:type="dxa"/>
          <w:left w:w="28" w:type="dxa"/>
          <w:bottom w:w="28" w:type="dxa"/>
          <w:right w:w="28" w:type="dxa"/>
        </w:tblCellMar>
      </w:tblPr>
      <w:tblGrid>
        <w:gridCol w:w="402"/>
        <w:gridCol w:w="352"/>
        <w:gridCol w:w="356"/>
        <w:gridCol w:w="211"/>
        <w:gridCol w:w="721"/>
        <w:gridCol w:w="109"/>
        <w:gridCol w:w="109"/>
        <w:gridCol w:w="109"/>
        <w:gridCol w:w="109"/>
        <w:gridCol w:w="273"/>
        <w:gridCol w:w="935"/>
        <w:gridCol w:w="141"/>
        <w:gridCol w:w="109"/>
        <w:gridCol w:w="109"/>
        <w:gridCol w:w="109"/>
        <w:gridCol w:w="726"/>
        <w:gridCol w:w="2121"/>
        <w:gridCol w:w="377"/>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Non-Qualified Supplemental Benefits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2030 - 2034</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2025, the Company expects to make payments of approximately $8.7 million to its non-US plans and $6.7 million to its non-qualified U.S. plan. No payments are expected for the qualified U.S. plan in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18. Accumulated Other Comprehensive Earnings (Loss)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earnings (loss) are as follows:</w:t>
      </w:r>
    </w:p>
    <w:tbl>
      <w:tblPr>
        <w:tblW w:w="8216" w:type="dxa"/>
        <w:jc w:val="left"/>
        <w:tblInd w:w="0" w:type="dxa"/>
        <w:tblLayout w:type="fixed"/>
        <w:tblCellMar>
          <w:top w:w="28" w:type="dxa"/>
          <w:left w:w="28" w:type="dxa"/>
          <w:bottom w:w="28" w:type="dxa"/>
          <w:right w:w="28" w:type="dxa"/>
        </w:tblCellMar>
      </w:tblPr>
      <w:tblGrid>
        <w:gridCol w:w="1592"/>
        <w:gridCol w:w="1399"/>
        <w:gridCol w:w="1403"/>
        <w:gridCol w:w="298"/>
        <w:gridCol w:w="1273"/>
        <w:gridCol w:w="154"/>
        <w:gridCol w:w="109"/>
        <w:gridCol w:w="109"/>
        <w:gridCol w:w="109"/>
        <w:gridCol w:w="295"/>
        <w:gridCol w:w="1260"/>
        <w:gridCol w:w="215"/>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foreign currency translation adjustments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(181,331)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plans</w:t>
            </w:r>
          </w:p>
        </w:tc>
        <w:tc>
          <w:tcPr>
            <w:tcW w:w="1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(58,430)</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cash flow hedges and other</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(327,776)</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(237,866)</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to earnings from continuing operations during the years ended December 31, 2024, 2023 and 2022 were as follows:</w:t>
      </w:r>
    </w:p>
    <w:tbl>
      <w:tblPr>
        <w:tblW w:w="9589" w:type="dxa"/>
        <w:jc w:val="left"/>
        <w:tblInd w:w="0" w:type="dxa"/>
        <w:tblLayout w:type="fixed"/>
        <w:tblCellMar>
          <w:top w:w="28" w:type="dxa"/>
          <w:left w:w="28" w:type="dxa"/>
          <w:bottom w:w="28" w:type="dxa"/>
          <w:right w:w="28" w:type="dxa"/>
        </w:tblCellMar>
      </w:tblPr>
      <w:tblGrid>
        <w:gridCol w:w="2033"/>
        <w:gridCol w:w="1783"/>
        <w:gridCol w:w="1793"/>
        <w:gridCol w:w="211"/>
        <w:gridCol w:w="721"/>
        <w:gridCol w:w="109"/>
        <w:gridCol w:w="109"/>
        <w:gridCol w:w="109"/>
        <w:gridCol w:w="109"/>
        <w:gridCol w:w="211"/>
        <w:gridCol w:w="691"/>
        <w:gridCol w:w="109"/>
        <w:gridCol w:w="109"/>
        <w:gridCol w:w="109"/>
        <w:gridCol w:w="109"/>
        <w:gridCol w:w="211"/>
        <w:gridCol w:w="691"/>
        <w:gridCol w:w="109"/>
        <w:gridCol w:w="109"/>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foreign currency translation losses to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Pension and other postretirement benefit plans: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(gains)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 costs and transition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and curtailment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reclassified into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losses were recognized in selling, general and administrative expenses within the consolidated statement of earnings as a result of the substantial liquidation of certain businesses.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amortization of net actuarial gains and losses and prior service costs in other income, net within the consolidated statements of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in the consolidated statements of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19. Segment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five reportable segments are as follows: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Engineered Products segment provides a wide range of equipment, components, software, solutions and services to the vehicle aftermarket, aerospace and defense, industrial winch and hoist,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Climate &amp; Sustainability Technologies segment is a provider of innovative and energy-efficient equipment, components, solutions, services and parts for the commercial refrigeration, heating and cooling and beverage can-making equipment end-markets.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segment earnings to evaluate segment performance and allocate resources. Segment earnings is defined as earnings before purchase accounting expenses, restructuring and other costs (benefits), disposition costs, (gain) loss on dispositions, corporate expenses/other, interest expense, interest income and provision for income taxes.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financial information and a reconciliation of segment results to consolidated results follows: </w:t>
      </w:r>
    </w:p>
    <w:tbl>
      <w:tblPr>
        <w:tblW w:w="10205" w:type="dxa"/>
        <w:jc w:val="left"/>
        <w:tblInd w:w="0" w:type="dxa"/>
        <w:tblLayout w:type="fixed"/>
        <w:tblCellMar>
          <w:top w:w="28" w:type="dxa"/>
          <w:left w:w="28" w:type="dxa"/>
          <w:bottom w:w="28" w:type="dxa"/>
          <w:right w:w="28" w:type="dxa"/>
        </w:tblCellMar>
      </w:tblPr>
      <w:tblGrid>
        <w:gridCol w:w="2027"/>
        <w:gridCol w:w="1783"/>
        <w:gridCol w:w="1807"/>
        <w:gridCol w:w="211"/>
        <w:gridCol w:w="976"/>
        <w:gridCol w:w="109"/>
        <w:gridCol w:w="109"/>
        <w:gridCol w:w="109"/>
        <w:gridCol w:w="109"/>
        <w:gridCol w:w="211"/>
        <w:gridCol w:w="976"/>
        <w:gridCol w:w="109"/>
        <w:gridCol w:w="109"/>
        <w:gridCol w:w="109"/>
        <w:gridCol w:w="109"/>
        <w:gridCol w:w="211"/>
        <w:gridCol w:w="976"/>
        <w:gridCol w:w="155"/>
      </w:tblGrid>
      <w:tr>
        <w:trPr/>
        <w:tc>
          <w:tcPr>
            <w:tcW w:w="202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7,847,793 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u w:val="single"/>
              </w:rPr>
              <w:t>Adjusted cost of goods and services</w:t>
            </w:r>
            <w:r>
              <w:rPr>
                <w:rFonts w:ascii="Times New Roman;sans-serif" w:hAnsi="Times New Roman;sans-serif"/>
                <w:b/>
                <w:color w:val="000000"/>
                <w:sz w:val="20"/>
              </w:rPr>
              <w:t>:</w:t>
            </w:r>
            <w:r>
              <w:rPr>
                <w:rFonts w:ascii="Times New Roman;sans-serif" w:hAnsi="Times New Roman;sans-serif"/>
                <w:b/>
                <w:color w:val="000000"/>
                <w:sz w:val="13"/>
              </w:rPr>
              <w:t>(1)</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segment cost of goods and services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4,877,097 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u w:val="single"/>
              </w:rPr>
              <w:t>Adjusted selling, general and administrative expenses</w:t>
            </w:r>
            <w:r>
              <w:rPr>
                <w:rFonts w:ascii="Times New Roman;sans-serif" w:hAnsi="Times New Roman;sans-serif"/>
                <w:b/>
                <w:color w:val="000000"/>
                <w:sz w:val="20"/>
              </w:rPr>
              <w:t>:</w:t>
            </w:r>
            <w:r>
              <w:rPr>
                <w:rFonts w:ascii="Times New Roman;sans-serif" w:hAnsi="Times New Roman;sans-serif"/>
                <w:b/>
                <w:color w:val="000000"/>
                <w:sz w:val="13"/>
              </w:rPr>
              <w:t>(2)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segment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Earnings from continuing operations: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earnings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accounting expenses</w:t>
            </w:r>
            <w:r>
              <w:rPr>
                <w:color w:val="000000"/>
              </w:rPr>
              <w:t xml:space="preserve"> </w:t>
            </w:r>
            <w:r>
              <w:rPr>
                <w:rFonts w:ascii="Times New Roman;sans-serif" w:hAnsi="Times New Roman;sans-serif"/>
                <w:b w:val="false"/>
                <w:color w:val="000000"/>
                <w:sz w:val="13"/>
              </w:rPr>
              <w:t>(3)</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other costs</w:t>
            </w:r>
            <w:r>
              <w:rPr>
                <w:color w:val="000000"/>
              </w:rPr>
              <w:t xml:space="preserve"> </w:t>
            </w:r>
            <w:r>
              <w:rPr>
                <w:rFonts w:ascii="Times New Roman;sans-serif" w:hAnsi="Times New Roman;sans-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Disposition costs </w:t>
            </w:r>
            <w:r>
              <w:rPr>
                <w:rFonts w:ascii="Times New Roman;sans-serif" w:hAnsi="Times New Roman;sans-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loss on dispositions </w:t>
            </w:r>
            <w:r>
              <w:rPr>
                <w:rFonts w:ascii="Times New Roman;sans-serif" w:hAnsi="Times New Roman;sans-serif"/>
                <w:b w:val="false"/>
                <w:color w:val="000000"/>
                <w:sz w:val="13"/>
              </w:rPr>
              <w:t>(6)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expense / other </w:t>
            </w:r>
            <w:r>
              <w:rPr>
                <w:rFonts w:ascii="Times New Roman;sans-serif" w:hAnsi="Times New Roman;sans-serif"/>
                <w:b w:val="false"/>
                <w:color w:val="000000"/>
                <w:sz w:val="13"/>
              </w:rPr>
              <w:t>(7)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Adjusted cost of goods and services exclude expenses related to purchase accounting and restructuring and other costs.</w:t>
      </w:r>
    </w:p>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Adjusted selling, general and administrative expenses exclude expenses related to purchase accounting, restructuring and other costs, disposition costs, and (gain) loss on dispositions and include other income, net.</w:t>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 xml:space="preserve">Purchase accounting expenses are primarily comprised of amortization of intangible assets and charges related to fair value step-ups for acquired inventory sold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6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Restructuring and other costs relate to actions taken for headcount reductions, facility consolidations and site closures, product line exits, and other asset charges. Restructuring and other costs consist of the following:</w:t>
      </w:r>
    </w:p>
    <w:tbl>
      <w:tblPr>
        <w:tblW w:w="6356" w:type="dxa"/>
        <w:jc w:val="left"/>
        <w:tblInd w:w="0" w:type="dxa"/>
        <w:tblLayout w:type="fixed"/>
        <w:tblCellMar>
          <w:top w:w="28" w:type="dxa"/>
          <w:left w:w="28" w:type="dxa"/>
          <w:bottom w:w="28" w:type="dxa"/>
          <w:right w:w="28" w:type="dxa"/>
        </w:tblCellMar>
      </w:tblPr>
      <w:tblGrid>
        <w:gridCol w:w="918"/>
        <w:gridCol w:w="806"/>
        <w:gridCol w:w="810"/>
        <w:gridCol w:w="211"/>
        <w:gridCol w:w="721"/>
        <w:gridCol w:w="109"/>
        <w:gridCol w:w="109"/>
        <w:gridCol w:w="109"/>
        <w:gridCol w:w="109"/>
        <w:gridCol w:w="211"/>
        <w:gridCol w:w="721"/>
        <w:gridCol w:w="109"/>
        <w:gridCol w:w="109"/>
        <w:gridCol w:w="109"/>
        <w:gridCol w:w="109"/>
        <w:gridCol w:w="211"/>
        <w:gridCol w:w="72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costs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Disposition costs related to the sale of De-Sta-Co in our Engineered Products segment.</w:t>
      </w:r>
    </w:p>
    <w:p>
      <w:pPr>
        <w:pStyle w:val="TextBody"/>
        <w:bidi w:val="0"/>
        <w:spacing w:lineRule="auto" w:line="288" w:before="0" w:after="0"/>
        <w:jc w:val="both"/>
        <w:rPr/>
      </w:pPr>
      <w:r>
        <w:rPr>
          <w:rFonts w:ascii="Times New Roman;sans-serif" w:hAnsi="Times New Roman;sans-serif"/>
          <w:b w:val="false"/>
          <w:color w:val="000000"/>
          <w:sz w:val="12"/>
        </w:rPr>
        <w:t>(6)</w:t>
      </w:r>
      <w:r>
        <w:rPr>
          <w:color w:val="000000"/>
        </w:rPr>
        <w:t xml:space="preserve"> </w:t>
      </w:r>
      <w:r>
        <w:rPr>
          <w:rFonts w:ascii="Times New Roman;sans-serif" w:hAnsi="Times New Roman;sans-serif"/>
          <w:b w:val="false"/>
          <w:color w:val="000000"/>
          <w:sz w:val="18"/>
        </w:rPr>
        <w:t>(Gain) loss on dispositions includes post-closing adjustments, see Note 4 — Discontinued and Disposed Operations.</w:t>
      </w:r>
    </w:p>
    <w:p>
      <w:pPr>
        <w:pStyle w:val="TextBody"/>
        <w:bidi w:val="0"/>
        <w:spacing w:lineRule="auto" w:line="288" w:before="0" w:after="0"/>
        <w:jc w:val="both"/>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margin and a reconciliation of segment depreciation and amortization to consolidated results follows: </w:t>
      </w:r>
    </w:p>
    <w:tbl>
      <w:tblPr>
        <w:tblW w:w="10205" w:type="dxa"/>
        <w:jc w:val="left"/>
        <w:tblInd w:w="0" w:type="dxa"/>
        <w:tblLayout w:type="fixed"/>
        <w:tblCellMar>
          <w:top w:w="28" w:type="dxa"/>
          <w:left w:w="28" w:type="dxa"/>
          <w:bottom w:w="28" w:type="dxa"/>
          <w:right w:w="28" w:type="dxa"/>
        </w:tblCellMar>
      </w:tblPr>
      <w:tblGrid>
        <w:gridCol w:w="2242"/>
        <w:gridCol w:w="1877"/>
        <w:gridCol w:w="1843"/>
        <w:gridCol w:w="211"/>
        <w:gridCol w:w="826"/>
        <w:gridCol w:w="271"/>
        <w:gridCol w:w="109"/>
        <w:gridCol w:w="109"/>
        <w:gridCol w:w="109"/>
        <w:gridCol w:w="336"/>
        <w:gridCol w:w="306"/>
        <w:gridCol w:w="475"/>
        <w:gridCol w:w="109"/>
        <w:gridCol w:w="109"/>
        <w:gridCol w:w="109"/>
        <w:gridCol w:w="336"/>
        <w:gridCol w:w="293"/>
        <w:gridCol w:w="535"/>
      </w:tblGrid>
      <w:tr>
        <w:trPr/>
        <w:tc>
          <w:tcPr>
            <w:tcW w:w="224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margins: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Depreciation and amortization:</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depreciation and amortization:</w:t>
            </w:r>
            <w:r>
              <w:rPr>
                <w:rFonts w:ascii="Times New Roman;sans-serif" w:hAnsi="Times New Roman;sans-serif"/>
                <w:b w:val="false"/>
                <w:color w:val="000000"/>
                <w:sz w:val="13"/>
              </w:rPr>
              <w:t>(8)</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22,571</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40,839</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depreciation and amortization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132,614</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w:t>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purchase accounting expenses and restructuring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154,902</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depreciation and amortization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337,842 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295,660</w:t>
            </w:r>
          </w:p>
        </w:tc>
      </w:tr>
    </w:tbl>
    <w:p>
      <w:pPr>
        <w:pStyle w:val="TextBody"/>
        <w:bidi w:val="0"/>
        <w:spacing w:lineRule="auto" w:line="288" w:before="0" w:after="0"/>
        <w:jc w:val="both"/>
        <w:rPr/>
      </w:pPr>
      <w:r>
        <w:rPr>
          <w:rFonts w:ascii="Times New Roman;sans-serif" w:hAnsi="Times New Roman;sans-serif"/>
          <w:b w:val="false"/>
          <w:color w:val="000000"/>
          <w:sz w:val="12"/>
        </w:rPr>
        <w:t xml:space="preserve">(8) </w:t>
      </w:r>
      <w:r>
        <w:rPr>
          <w:rFonts w:ascii="Times New Roman;sans-serif" w:hAnsi="Times New Roman;sans-serif"/>
          <w:b w:val="false"/>
          <w:color w:val="000000"/>
          <w:sz w:val="18"/>
        </w:rPr>
        <w:t>Other depreciation and amortization relates to property, plant, and equipment and intangibles, and excludes amounts related to purchase accounting expenses and restructuring and other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information by segment (continued):</w:t>
      </w:r>
    </w:p>
    <w:tbl>
      <w:tblPr>
        <w:tblW w:w="7436" w:type="dxa"/>
        <w:jc w:val="left"/>
        <w:tblInd w:w="0" w:type="dxa"/>
        <w:tblLayout w:type="fixed"/>
        <w:tblCellMar>
          <w:top w:w="28" w:type="dxa"/>
          <w:left w:w="28" w:type="dxa"/>
          <w:bottom w:w="28" w:type="dxa"/>
          <w:right w:w="28" w:type="dxa"/>
        </w:tblCellMar>
      </w:tblPr>
      <w:tblGrid>
        <w:gridCol w:w="1195"/>
        <w:gridCol w:w="1048"/>
        <w:gridCol w:w="1056"/>
        <w:gridCol w:w="211"/>
        <w:gridCol w:w="826"/>
        <w:gridCol w:w="109"/>
        <w:gridCol w:w="109"/>
        <w:gridCol w:w="109"/>
        <w:gridCol w:w="109"/>
        <w:gridCol w:w="211"/>
        <w:gridCol w:w="826"/>
        <w:gridCol w:w="109"/>
        <w:gridCol w:w="109"/>
        <w:gridCol w:w="109"/>
        <w:gridCol w:w="109"/>
        <w:gridCol w:w="211"/>
        <w:gridCol w:w="8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expenditures: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503" w:type="dxa"/>
        <w:jc w:val="left"/>
        <w:tblInd w:w="0" w:type="dxa"/>
        <w:tblLayout w:type="fixed"/>
        <w:tblCellMar>
          <w:top w:w="28" w:type="dxa"/>
          <w:left w:w="28" w:type="dxa"/>
          <w:bottom w:w="28" w:type="dxa"/>
          <w:right w:w="28" w:type="dxa"/>
        </w:tblCellMar>
      </w:tblPr>
      <w:tblGrid>
        <w:gridCol w:w="1205"/>
        <w:gridCol w:w="1061"/>
        <w:gridCol w:w="1063"/>
        <w:gridCol w:w="211"/>
        <w:gridCol w:w="1081"/>
        <w:gridCol w:w="109"/>
        <w:gridCol w:w="109"/>
        <w:gridCol w:w="109"/>
        <w:gridCol w:w="109"/>
        <w:gridCol w:w="211"/>
        <w:gridCol w:w="1081"/>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assets at December 31:</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Engineered Products</w:t>
            </w:r>
            <w:r>
              <w:rPr>
                <w:color w:val="000000"/>
              </w:rPr>
              <w:t xml:space="preserve"> </w:t>
            </w:r>
            <w:r>
              <w:rPr>
                <w:rFonts w:ascii="Times New Roman;sans-serif" w:hAnsi="Times New Roman;sans-serif"/>
                <w:b w:val="false"/>
                <w:color w:val="000000"/>
                <w:sz w:val="13"/>
              </w:rPr>
              <w:t>(9)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Clean Energy &amp; Fueling </w:t>
            </w:r>
            <w:r>
              <w:rPr>
                <w:rFonts w:ascii="Times New Roman;sans-serif" w:hAnsi="Times New Roman;sans-serif"/>
                <w:b w:val="false"/>
                <w:color w:val="000000"/>
                <w:sz w:val="13"/>
              </w:rPr>
              <w:t>(10)</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8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(11)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from continuing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from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 xml:space="preserve">(9) </w:t>
      </w:r>
      <w:r>
        <w:rPr>
          <w:rFonts w:ascii="Times New Roman;sans-serif" w:hAnsi="Times New Roman;sans-serif"/>
          <w:b w:val="false"/>
          <w:color w:val="000000"/>
          <w:sz w:val="18"/>
        </w:rPr>
        <w:t>Engineered Products includes De-Sta-Co assets classified as held for sale at December 31, 2023. See Note 4 — Discontinued and Disposed Operations for additional information.</w:t>
      </w:r>
    </w:p>
    <w:p>
      <w:pPr>
        <w:pStyle w:val="TextBody"/>
        <w:bidi w:val="0"/>
        <w:spacing w:lineRule="auto" w:line="288" w:before="0" w:after="0"/>
        <w:jc w:val="both"/>
        <w:rPr/>
      </w:pPr>
      <w:r>
        <w:rPr>
          <w:rFonts w:ascii="Times New Roman;sans-serif" w:hAnsi="Times New Roman;sans-serif"/>
          <w:b w:val="false"/>
          <w:color w:val="000000"/>
          <w:sz w:val="12"/>
        </w:rPr>
        <w:t xml:space="preserve">(10) </w:t>
      </w:r>
      <w:r>
        <w:rPr>
          <w:rFonts w:ascii="Times New Roman;sans-serif" w:hAnsi="Times New Roman;sans-serif"/>
          <w:b w:val="false"/>
          <w:color w:val="000000"/>
          <w:sz w:val="18"/>
        </w:rPr>
        <w:t>Increase primarily driven by 2024 acquisitions. See Note 3 — Acquisitions for additional information.</w:t>
      </w:r>
    </w:p>
    <w:p>
      <w:pPr>
        <w:pStyle w:val="TextBody"/>
        <w:bidi w:val="0"/>
        <w:spacing w:lineRule="auto" w:line="288" w:before="0" w:after="0"/>
        <w:jc w:val="both"/>
        <w:rPr/>
      </w:pPr>
      <w:r>
        <w:rPr>
          <w:rFonts w:ascii="Times New Roman;sans-serif" w:hAnsi="Times New Roman;sans-serif"/>
          <w:b w:val="false"/>
          <w:color w:val="000000"/>
          <w:sz w:val="12"/>
        </w:rPr>
        <w:t xml:space="preserve">(11) </w:t>
      </w:r>
      <w:r>
        <w:rPr>
          <w:rFonts w:ascii="Times New Roman;sans-serif" w:hAnsi="Times New Roman;sans-serif"/>
          <w:b w:val="false"/>
          <w:color w:val="000000"/>
          <w:sz w:val="18"/>
        </w:rPr>
        <w:t xml:space="preserve">Corporate assets are comprised primarily of cash and cash equivalents. The increase in Corporate assets at December 31, 2024 is driven by the cash proceeds from the disposition of ESG. </w:t>
      </w:r>
    </w:p>
    <w:p>
      <w:pPr>
        <w:pStyle w:val="TextBody"/>
        <w:bidi w:val="0"/>
        <w:spacing w:before="0" w:after="0"/>
        <w:jc w:val="both"/>
        <w:rPr/>
      </w:pPr>
      <w:r>
        <w:rPr/>
      </w:r>
    </w:p>
    <w:tbl>
      <w:tblPr>
        <w:tblW w:w="9168" w:type="dxa"/>
        <w:jc w:val="left"/>
        <w:tblInd w:w="0" w:type="dxa"/>
        <w:tblLayout w:type="fixed"/>
        <w:tblCellMar>
          <w:top w:w="28" w:type="dxa"/>
          <w:left w:w="28" w:type="dxa"/>
          <w:bottom w:w="28" w:type="dxa"/>
          <w:right w:w="28" w:type="dxa"/>
        </w:tblCellMar>
      </w:tblPr>
      <w:tblGrid>
        <w:gridCol w:w="593"/>
        <w:gridCol w:w="520"/>
        <w:gridCol w:w="52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Long-Lived Assets </w:t>
            </w:r>
            <w:r>
              <w:rPr>
                <w:rFonts w:ascii="Times New Roman;sans-serif" w:hAnsi="Times New Roman;sans-serif"/>
                <w:b/>
                <w:color w:val="000000"/>
                <w:sz w:val="13"/>
              </w:rPr>
              <w:t>(12)</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7,745,909 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7,684,476 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 xml:space="preserve">(12) </w:t>
      </w:r>
      <w:r>
        <w:rPr>
          <w:rFonts w:ascii="Times New Roman;sans-serif" w:hAnsi="Times New Roman;sans-serif"/>
          <w:b w:val="false"/>
          <w:color w:val="000000"/>
          <w:sz w:val="18"/>
        </w:rPr>
        <w:t>Long-lived assets are comprised of net property, plant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 U.S. was the largest geographical market for revenue for the Engineered Products, Clean Energy &amp; Fueling, Pumps &amp; Process Solutions, and Climate &amp; Sustainability Technologies segments, and Europe was the largest market for the Imaging &amp; Identification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attributed to regions based on the location of the Company's customer, which in some instances is an intermediary and not necessarily the end user. The Company's businesses serve thousands of customers, none of which individually accounted for more than 10% of consolidated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20. Earnings per Share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information used in computing basic and diluted earnings per share:</w:t>
      </w:r>
    </w:p>
    <w:tbl>
      <w:tblPr>
        <w:tblW w:w="8201" w:type="dxa"/>
        <w:jc w:val="left"/>
        <w:tblInd w:w="0" w:type="dxa"/>
        <w:tblLayout w:type="fixed"/>
        <w:tblCellMar>
          <w:top w:w="28" w:type="dxa"/>
          <w:left w:w="28" w:type="dxa"/>
          <w:bottom w:w="28" w:type="dxa"/>
          <w:right w:w="28" w:type="dxa"/>
        </w:tblCellMar>
      </w:tblPr>
      <w:tblGrid>
        <w:gridCol w:w="1310"/>
        <w:gridCol w:w="1150"/>
        <w:gridCol w:w="1154"/>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share amounts used in computing earnings per share:</w:t>
      </w:r>
    </w:p>
    <w:tbl>
      <w:tblPr>
        <w:tblW w:w="10205" w:type="dxa"/>
        <w:jc w:val="left"/>
        <w:tblInd w:w="0" w:type="dxa"/>
        <w:tblLayout w:type="fixed"/>
        <w:tblCellMar>
          <w:top w:w="28" w:type="dxa"/>
          <w:left w:w="28" w:type="dxa"/>
          <w:bottom w:w="28" w:type="dxa"/>
          <w:right w:w="28" w:type="dxa"/>
        </w:tblCellMar>
      </w:tblPr>
      <w:tblGrid>
        <w:gridCol w:w="1873"/>
        <w:gridCol w:w="1647"/>
        <w:gridCol w:w="1650"/>
        <w:gridCol w:w="593"/>
        <w:gridCol w:w="593"/>
        <w:gridCol w:w="176"/>
        <w:gridCol w:w="147"/>
        <w:gridCol w:w="147"/>
        <w:gridCol w:w="147"/>
        <w:gridCol w:w="593"/>
        <w:gridCol w:w="593"/>
        <w:gridCol w:w="176"/>
        <w:gridCol w:w="147"/>
        <w:gridCol w:w="147"/>
        <w:gridCol w:w="147"/>
        <w:gridCol w:w="593"/>
        <w:gridCol w:w="593"/>
        <w:gridCol w:w="243"/>
      </w:tblGrid>
      <w:tr>
        <w:trPr/>
        <w:tc>
          <w:tcPr>
            <w:tcW w:w="187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137,735,000 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139,848,000 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142,681,000 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exercise of SARs and vesting of PSAs and RSUs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138,696,000 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140,599,000 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143,595,000 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PSAs and RSUs, as determined using the treasury stock method. For the years ended December 31, 2024, 2023 and 2022, the weighted average number of anti-dilutive potential common shares excluded from the calculation above totaled 48,000, 48,000 and 21,173, respectively.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21. Stockholders'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approved a standing share repurchase authorization whereby the Company was authorized to repurchase up to 20 million shares beginning on January 1, 2021 through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2022, the Company entered into a $500,000 accelerated share repurchase agreement (the "2022 ASR Agreement") with Bank of America N.A. ("Bank of America") to repurchase its shares in an accelerated share repurchase program (the "2022 ASR Program"). The 2022 ASR Program is classified as equity, initially recorded at fair value with no subsequent remeasurement. The Company conducted the 2022 ASR Program under the November 2020 share repurchase authorization. The Company funded the 2022 ASR Program with net proceeds from commercial paper.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2022 ASR Agreement, the Company paid Bank of America $500,000 on September 1, 2022 and on that date received initial deliveries of 3,201,025 shares, representing a substantial majority of the shares expected to be retired over the course of the 2022 ASR Program. In December 2022, Bank of America delivered 691,270 additional shares which completed the 2022 ASR Program. During 2022, the Company received a total of 3,892,295 shares upon completion of the 2022 ASR Program. The total number of shares ultimately repurchased under the 2022 ASR Program was based on the volume-weighted average share price of Dover's common stock during the calculation period of the 2022 ASR Program, less a discount, which was $128.46 over the term of the 2022 ASR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Company's Board of Directors approved a standing share repurchase authorization whereby the Company may repurchase up to 20 million shares beginning on January 1, 2024 through December 31, 2026. This share repurchase authorization replaced the November 2020 share repurchase authorization.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the Company entered into a $500,000 accelerated share repurchase agreement (the "2024 ASR Agreement") with Citibank, N.A. ("Citibank") to repurchase its shares in an accelerated share repurchase program (the "2024 ASR Program"). The 2024 ASR Program is classified as equity, initially recorded at fair value with no subsequent remeasurement. The Company conducted the 2024 ASR Program under the current share repurchase authorization. The Company funded the 2024 ASR Program with net proceeds from commercial paper.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2024 ASR Agreement, the Company paid Citibank $500,000 on March 1, 2024 and on that date received initial delivery of 2,569,839 shares, representing a substantial majority of the shares expected to be retired over the course of the 2024 ASR Program. In July 2024, Citibank delivered 299,443 additional shares which completed the 2024 ASR Program totaling 2,869,282 repurchased shares. The total number of shares ultimately repurchased under the 2024 ASR Program was based on the volume-weighted average share price of Dover's common stock during the calculation period of the 2024 ASR Program, less a discount, which was $174.26 over the term of the ASR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and 2023, exclusive of any ASR Programs, there were no share repurchases. During the year ended 2022, exclusive of the 2022 ASR Program, the Company repurchased 641,428 shares of common stock at a total cost of $85,000 or $132.52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17,130,718 shares remain authorized for repurchase under the August 2023 share repurchase authorization.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22. Subsequent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2025, the Company completed the acquisition of Cryogenic Machinery Corp. ("Cryo-Mach"), a provider of cryogenic centrifugal pumps, mechanical seals, and accessories, for approximately $32.0 million, subject to post-closing adjustments. Cryo-Mach will be included in the Pumps &amp; Process Solutions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an evaluation under the supervision and with the participation of the Company's management, the Company's Chief Executive Officer and Chief Financial Officer have concluded that the Company's disclosure controls and procedures as defined in Rule 13a-15(e) under the Exchange Act were effective as of December 31, 2024 to ensure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Chief Executive Officer and Chief Financial Officer, as appropriate, to allow timely decisions regarding required disclosure.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2024, there were no changes in the Company's internal control over financial reporting that have materially affected, or are reasonably likely to materially affect, the Company's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Inherent Limitations Over Internal Controls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i.pertain to the maintenance of records that, in reasonable detail, accurately and fairly reflect the transactions and dispositions of the Company's assets;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b.During the three months ended December 31, 2024, no director or Section 16 officer adopted or terminated any Rule 10b5-1 trading arrangements or non-Rule 10b5-1 trading arrangements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AND EXECUTIVE OFFICERS AND CORPORATE GOVERNANCE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with respect to the corporate governance matters required to be included pursuant to this Item 10 will be included in the 2025 Proxy Statement that will be filed with the Securities and Exchange Commission pursuant to Rule 14a-6 under the Exchange Act in accordance with applicable SEC deadlines, and is incorporated in this Item 10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below is a list of the members of our Board of Directors as of February 14, 2025.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Deborah L. DeHaas</w:t>
      </w:r>
      <w:r>
        <w:rPr>
          <w:rFonts w:ascii="Times New Roman;sans-serif" w:hAnsi="Times New Roman;sans-serif"/>
          <w:b w:val="false"/>
          <w:color w:val="000000"/>
          <w:sz w:val="13"/>
        </w:rPr>
        <w:t>1,3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Former Vice Chairman of Deloitte and Managing Partner of the Center for Board Effectiveness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H. John Gilbertson, Jr.</w:t>
      </w:r>
      <w:r>
        <w:rPr>
          <w:rFonts w:ascii="Times New Roman;sans-serif" w:hAnsi="Times New Roman;sans-serif"/>
          <w:b w:val="false"/>
          <w:color w:val="000000"/>
          <w:sz w:val="13"/>
        </w:rPr>
        <w:t>3,4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Retired Managing Director, Goldman Sachs Group Inc.</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Kristiane C. Graham</w:t>
      </w:r>
      <w:r>
        <w:rPr>
          <w:rFonts w:ascii="Times New Roman;sans-serif" w:hAnsi="Times New Roman;sans-serif"/>
          <w:b w:val="false"/>
          <w:color w:val="000000"/>
          <w:sz w:val="13"/>
        </w:rPr>
        <w:t>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Private Investor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Marc A. Howze</w:t>
      </w:r>
      <w:r>
        <w:rPr>
          <w:rFonts w:ascii="Times New Roman;sans-serif" w:hAnsi="Times New Roman;sans-serif"/>
          <w:b w:val="false"/>
          <w:color w:val="000000"/>
          <w:sz w:val="13"/>
        </w:rPr>
        <w:t>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Retired Senior Advisor, Office of the Chairman at Deere &amp; Company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Michael F. Johnston, Lead Independent Director</w:t>
      </w:r>
      <w:r>
        <w:rPr>
          <w:rFonts w:ascii="Times New Roman;sans-serif" w:hAnsi="Times New Roman;sans-serif"/>
          <w:b w:val="false"/>
          <w:color w:val="000000"/>
          <w:sz w:val="13"/>
        </w:rPr>
        <w:t>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Retired Chief Executive Officer, Visteon Corporation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Michael Manley</w:t>
      </w:r>
      <w:r>
        <w:rPr>
          <w:rFonts w:ascii="Times New Roman;sans-serif" w:hAnsi="Times New Roman;sans-serif"/>
          <w:b w:val="false"/>
          <w:color w:val="000000"/>
          <w:sz w:val="13"/>
        </w:rPr>
        <w:t>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of AutoNation,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Danita K. Ostling</w:t>
      </w:r>
      <w:r>
        <w:rPr>
          <w:rFonts w:ascii="Times New Roman;sans-serif" w:hAnsi="Times New Roman;sans-serif"/>
          <w:b w:val="false"/>
          <w:color w:val="000000"/>
          <w:sz w:val="13"/>
        </w:rPr>
        <w:t>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Former Partner and Senior Leader at Ernst &amp; Young LLP</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Eric A. Spiegel</w:t>
      </w:r>
      <w:r>
        <w:rPr>
          <w:rFonts w:ascii="Times New Roman;sans-serif" w:hAnsi="Times New Roman;sans-serif"/>
          <w:b w:val="false"/>
          <w:color w:val="000000"/>
          <w:sz w:val="13"/>
        </w:rPr>
        <w:t>1,4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Former President and CEO of Siemens USA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Richard J. Tobin, Chairman of the Board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Dover Corporation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Keith E. Wandell</w:t>
      </w:r>
      <w:r>
        <w:rPr>
          <w:rFonts w:ascii="Times New Roman;sans-serif" w:hAnsi="Times New Roman;sans-serif"/>
          <w:b w:val="false"/>
          <w:color w:val="000000"/>
          <w:sz w:val="13"/>
        </w:rPr>
        <w:t>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Retired President and Chief Executive Officer, Harley-Davidson, Inc.</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Members of Audit Committee</w:t>
      </w:r>
    </w:p>
    <w:p>
      <w:pPr>
        <w:pStyle w:val="TextBody"/>
        <w:bidi w:val="0"/>
        <w:spacing w:lineRule="auto" w:line="28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Members of Compensation Committee</w:t>
      </w:r>
    </w:p>
    <w:p>
      <w:pPr>
        <w:pStyle w:val="TextBody"/>
        <w:bidi w:val="0"/>
        <w:spacing w:lineRule="auto" w:line="288" w:before="0" w:after="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Members of Governance &amp; Nominating Committee</w:t>
      </w:r>
    </w:p>
    <w:p>
      <w:pPr>
        <w:pStyle w:val="TextBody"/>
        <w:bidi w:val="0"/>
        <w:spacing w:lineRule="auto" w:line="288"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Members of Finance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with respect to Section 16(a) reporting compliance required to be included in this Item 10 will be included in our 2025 Proxy Statement and is incorporated in this Item 10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with respect to executive compensation and the compensation committee required to be included pursuant to this Item 11 will be included in our 2025 Proxy Statement and is incorporated in this Item 11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regarding security ownership of certain beneficial owners and management that is required to be included pursuant to this Item 12 will be included in our 2025 Proxy Statement and is incorporated in this Item 12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Equity Compensation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Compensation Plan Table below presents information regarding our equity compensation plans at December 31, 2024:</w:t>
      </w:r>
    </w:p>
    <w:tbl>
      <w:tblPr>
        <w:tblW w:w="10205" w:type="dxa"/>
        <w:jc w:val="center"/>
        <w:tblInd w:w="0" w:type="dxa"/>
        <w:tblLayout w:type="fixed"/>
        <w:tblCellMar>
          <w:top w:w="28" w:type="dxa"/>
          <w:left w:w="28" w:type="dxa"/>
          <w:bottom w:w="28" w:type="dxa"/>
          <w:right w:w="28" w:type="dxa"/>
        </w:tblCellMar>
      </w:tblPr>
      <w:tblGrid>
        <w:gridCol w:w="657"/>
        <w:gridCol w:w="577"/>
        <w:gridCol w:w="504"/>
        <w:gridCol w:w="888"/>
        <w:gridCol w:w="702"/>
        <w:gridCol w:w="703"/>
        <w:gridCol w:w="109"/>
        <w:gridCol w:w="109"/>
        <w:gridCol w:w="109"/>
        <w:gridCol w:w="483"/>
        <w:gridCol w:w="1654"/>
        <w:gridCol w:w="252"/>
        <w:gridCol w:w="109"/>
        <w:gridCol w:w="109"/>
        <w:gridCol w:w="109"/>
        <w:gridCol w:w="1087"/>
        <w:gridCol w:w="844"/>
        <w:gridCol w:w="1200"/>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 Available for Future Issuance Under Equity Compensation Plans (Excluding Securities Reflected in Column (a)) (2)</w:t>
            </w:r>
          </w:p>
        </w:tc>
      </w:tr>
      <w:tr>
        <w:trPr/>
        <w:tc>
          <w:tcPr>
            <w:tcW w:w="1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stockholders</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2,644,321 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11,141,686 </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2,644,321 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11,141,686 </w:t>
            </w:r>
          </w:p>
        </w:tc>
        <w:tc>
          <w:tcPr>
            <w:tcW w:w="1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1.Column (a) includes shares issuable pursuant to outstanding stock appreciation rights ("SARs"), restricted stock units ("RSUs") and performance share awards ("PSAs") under the Company's 2021 Omnibus Incentive Plan (the "2021 Plan") and 2012 Equity and Cash Incentive Plan (the "2012 Plan"). PSAs are subject to satisfaction of the applicable performance criteria over a three-year performance period. RSUs and PSAs are not reflected in the weighted exercise price in column (b) as these awards do not have an exercise price.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2.Column (c) consists of shares available for future issuance under the Company's 2021 Plan. Under the 2021 Plan, the Company may grant stock options, SARs, restricted stock, RSUs, PSAs, director shares, or deferred stock units. Under the 2021 Plan, the number of shares available for issuance will be reduced (i) by one share for each share issued pursuant to options or SARs and (ii) by three shares for each share of stock issued pursuant to restricted stock, RSUs, PSAs, director share, or deferred stock unit awards.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equity securities have been authorized for issuance to employees and/or non-employee directors under the 2021 Plan and its predecessor plan (the "2012 Plan"). Although the 2012 Plan has expired and no further awards may be granted under the Plan, there remain outstanding SARs under the 2012 Plan, which are reflected in Column (a) of the table.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2025 Proxy Statement and is incorporated in this Item 13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with respect to the Company's relationship with its independent registered public accounting firm and fees paid thereto required to be included pursuant to this Item 14 will be included in the 2025 Proxy Statement and is incorporated in this Item 14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with respect to audit committee pre-approval policies and procedures required to be included pursuant to this Item 14 will be included in the 2025 Proxy Statement and is incorporated in this Item 14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tbl>
      <w:tblPr>
        <w:tblW w:w="4992" w:type="dxa"/>
        <w:jc w:val="left"/>
        <w:tblInd w:w="0" w:type="dxa"/>
        <w:tblLayout w:type="fixed"/>
        <w:tblCellMar>
          <w:top w:w="28" w:type="dxa"/>
          <w:left w:w="28" w:type="dxa"/>
          <w:bottom w:w="28" w:type="dxa"/>
          <w:right w:w="28" w:type="dxa"/>
        </w:tblCellMar>
      </w:tblPr>
      <w:tblGrid>
        <w:gridCol w:w="124"/>
        <w:gridCol w:w="109"/>
        <w:gridCol w:w="109"/>
        <w:gridCol w:w="1360"/>
        <w:gridCol w:w="1360"/>
        <w:gridCol w:w="1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Statements. The financial statements are set forth under "Item 8. Financial Statements and Supplementary Data" of this Form 10-K.</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All schedules have been omitted because they are not required, are not applicable or the required information is included in the financial statements or the notes thereto.</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Exhibits. The exhibits below are filed or incorporated by reference as part of this Form 10-K. The exhibits will be filed with the SEC but will not be included in the printed version of the Annual Report to Shareholders.</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174"/>
        <w:gridCol w:w="152"/>
        <w:gridCol w:w="154"/>
        <w:gridCol w:w="3443"/>
        <w:gridCol w:w="3059"/>
        <w:gridCol w:w="3066"/>
        <w:gridCol w:w="15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43"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Transaction Agreement, dated as of July 21, 2024, by and between Dover Corporation and Terex Corporation, filed as Exhibit 2.1 to the Company's Quarterly Report on Form 10-Q for the period ended September 30, 2024 (SEC File No. 001-04018), is incorporated by reference. +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First Amendment to Transaction Agreement, by and between Dover Corporation and Terex Corporation, dated as of October 8, 2024, filed as Exhibit 2.2 to the Company's Quarterly Report on Form 10-Q for the period ended September 30, 2024 (SEC File No. 001-04018), is incorporated by reference.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(3)(i)</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Sixth Restated Certificate of Incorporation of the Company, filed as Exhibit 3</w:t>
              </w:r>
            </w:hyperlink>
            <w:hyperlink r:id="rId6">
              <w:r>
                <w:rPr>
                  <w:rStyle w:val="InternetLink"/>
                  <w:rFonts w:ascii="Times New Roman;sans-serif" w:hAnsi="Times New Roman;sans-serif"/>
                  <w:b w:val="false"/>
                  <w:color w:val="000080"/>
                  <w:sz w:val="20"/>
                  <w:u w:val="single"/>
                </w:rPr>
                <w:t>.1</w:t>
              </w:r>
            </w:hyperlink>
            <w:hyperlink r:id="rId7">
              <w:r>
                <w:rPr>
                  <w:rStyle w:val="InternetLink"/>
                  <w:rFonts w:ascii="Times New Roman;sans-serif" w:hAnsi="Times New Roman;sans-serif"/>
                  <w:b w:val="false"/>
                  <w:color w:val="000080"/>
                  <w:sz w:val="20"/>
                  <w:u w:val="single"/>
                </w:rPr>
                <w:t xml:space="preserve"> to the Company's Current Report on Form 8-K filed May 8, 2024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(3)(ii)</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pPr>
            <w:hyperlink r:id="rId8">
              <w:r>
                <w:rPr>
                  <w:rStyle w:val="InternetLink"/>
                  <w:rFonts w:ascii="Times New Roman;sans-serif" w:hAnsi="Times New Roman;sans-serif"/>
                  <w:b w:val="false"/>
                  <w:color w:val="0000FF"/>
                  <w:sz w:val="20"/>
                  <w:u w:val="single"/>
                </w:rPr>
                <w:t>Amended and Restated By-Laws of the Company, effective as of February 10, 2023, filed as Exhibit 3.1 to the Company's Current Report on Form 8-K filed on February 16, 2023 (SEC File No. 001-04018), are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Indenture, dated as of June 8, 1998 between the Company and The First National Bank Chicago, as trustee, filed as Exhibit 4.1 to the Company's Current Report on Form 8-K filed June 12, 1998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6.65% Debentures due June 1, 2028 ($200,000,000 aggregate principal amount), filed as Exhibit 4.4 to the Company's Current Report on Form 8-K filed June 12, 1998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February 8, 2001 between the Company and BankOne Trust Company, N.A., as trustee, filed as Exhibit 4.1 to the Company's Current Report on Form 8-K filed February 13, 2001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First Supplemental Indenture, dated as of October 13, 2005, among the Company, J.P. Morgan Trust Company, National Association, as original trustee, and The Bank of New York, as trustee, filed as Exhibit 4.1 to the Company's Current Report on Form 8-K filed October 13, 2005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5.375% Debentures due October 15, 2035 ($300,000,000 aggregate principal amount), filed as Exhibit 4.3 to the Company's Current Report on Form 8-K filed October 13, 2005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Second Supplemental Indenture, dated as of March 14, 2008, between the Company and The Bank of New York, as trustee, filed as Exhibit 4.1 to the Company's Current Report on Form 8-K filed March 14, 2008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Global Note representing 6.60% Notes due March 15, 2038 ($250,000,000 aggregate principal amount), filed as Exhibit 4.3 to the Company's Current Report on Form 8-K filed March 14, 2008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Third Supplemental Indenture, dated as of February 22, 2011, between the Company and The Bank of New York Mellon, as trustee, filed as Exhibit 4.1 to the Company's Current Report on Form 8-K filed February 22, 2011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5.375% Notes due March 1, 2041 ($350,000,000 aggregate principal amount), filed as Exhibit 4.3 to the Company's Current Report on Form 8-K filed February 22, 2011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0"/>
        <w:gridCol w:w="176"/>
        <w:gridCol w:w="177"/>
        <w:gridCol w:w="3209"/>
        <w:gridCol w:w="3139"/>
        <w:gridCol w:w="3147"/>
        <w:gridCol w:w="157"/>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Fourth Supplemental Indenture, dated as of December 2, 2013, between the Company and The Bank of New York Mellon, as trustee and The Bank of New York Mellon, London Branch, as paying agent, filed as Exhibit 4.1 to the Company's Current Report on Form 8-K filed December 3, 2013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Fifth Supplemental Indenture, dated as of November 3, 2015, between the Company and J.P. Morgan Trust Company National Association, as trustee, filed as Exhibit 4.1 to the Company's Current Report on Form 8-K filed on November 3, 2015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Global Note representing the 3.150% Notes due 2025 ($400,000,000 aggregate principal amount) (included as Exhibit A to the Fifth Supplemental Indenture), filed as Exhibit 4.1 to the Company's Current Report on Form 8-K filed on November 3, 2015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Sixth Supplemental Indenture, dated as of November 9, 2016, between the Company and J.P. Morgan Trust Company National Association, as trustee, filed as Exhibit 4.1 to the Company's Current Report on Form 8-K filed on November 9, 2016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 of Global Note representing the 1.250% Notes due 2026 (€600,000,000 aggregate principal amount)  (included as Exhibit A to the Sixth Supplemental Indenture), filed as Exhibit 4.1 to the Company's Current Report on Form 8-K filed on November 9, 2016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Seventh Supplemental Indenture, dated as of November 4, 2019, between the Company and the Bank of New York Mellon, filed as Exhibit 4.1 to the Company's Current Report on Form 8-K filed on November 4, 2019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Global Note representing the 0.750% Notes due 2027 (€500,000,000 aggregate principal amount)  (included as Exhibit A to the Seventh Supplemental Indenture), filed as Exhibit 4.1 to the Company's Current Report on Form 8-K filed on November 4, 2019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Eighth Supplemental Indenture, dated as of November 4, 2019, between the Company and the Bank of New York Mellon, as trustee, filed as Exhibit 4.3 to the Company's Current Report on Form 8-K filed on November 4, 2019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Global Note representing the 2.950% Notes due 2029 ($300,000,000 aggregate principal amount)  (included as Exhibit A to the Eighth Supplemental Indenture), filed as Exhibit 4.3 to the Company's Current Report on Form 8-K filed on November 4, 2019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Description of Dover Corporation's securities registered pursuant to Section 12 of the Exchange Act,</w:t>
              </w:r>
            </w:hyperlink>
            <w:hyperlink r:id="rId28">
              <w:r>
                <w:rPr>
                  <w:rStyle w:val="InternetLink"/>
                  <w:rFonts w:ascii="Times New Roman;sans-serif" w:hAnsi="Times New Roman;sans-serif"/>
                  <w:b w:val="false"/>
                  <w:color w:val="000080"/>
                  <w:sz w:val="20"/>
                  <w:u w:val="single"/>
                </w:rPr>
                <w:t xml:space="preserve"> filed as Exhibit 4.19 to the Company's Annual Report on Form 10-K for the year ended December 31, 2019 (SEC File No. 001-04018), is incorporated by reference</w:t>
              </w:r>
            </w:hyperlink>
            <w:hyperlink r:id="rId29">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Five-Year Credit Agreement dated as of April 6, 2023 among Dover Corporation, the Lenders party thereto, the Issuing Banks party thereto, the Borrowing Subsidiaries party thereto from time to time and JPMorgan Chase Bank, N.A. as Administrative Agent, filed as Exhibit 10.1 to the Company's Current Report on Form 8-K filed April 11, 2023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First Amendment, dated as of April 4, 2024, to Five-Year Credit Agreement dated as of April 6, 2023 among Dover Corporation, the Lenders party thereto, the Issuing Banks party thereto, the Borrowing Subsidiaries party thereto from time to time and JPMorgan Chase Bank, N.A. as Administrative Agent, filed as Exhibit 10.4 to the Company's Quarterly Report on Form 10-Q for the period ended March 31, 2024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364-Day Credit Agreement dated as of April 4, 2024 among Dover Corporation, the Lenders party thereto, the Borrowing Subsidiaries party thereto from time to time and JPMorgan Chase Bank, N.A. as Administrative Agent, filed as Exhibit 10.3 to the Company's Quarterly Report on Form 10-Q for the period ended March 31, 2024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Tax Matters Agreement, dated May 9, 2018, by and between Dover Corporation and Apergy Corporation, filed as Exhibit 10.2 to the Company's Current Report on Form 8-K filed May 11, 2018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Dover Corporation Executive Officer Annual Incentive Plan, as amended and restated as of January 1, 2009, filed as Exhibit 10.2 to the Company's Current Report on Form 8-K filed May 13, 2009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First Amendment to the Dover Corporation Executive Officer Annual Incentive Plan, as amended November 14, 2019, filed as Exhibit 10.3 to the Company's Annual Report on Form 10-K for the year ended December 31, 2019 (SEC File No. 001-04018), is incorporated by reference.*</w:t>
              </w:r>
            </w:hyperlink>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0"/>
        <w:gridCol w:w="210"/>
        <w:gridCol w:w="212"/>
        <w:gridCol w:w="3290"/>
        <w:gridCol w:w="3044"/>
        <w:gridCol w:w="3051"/>
        <w:gridCol w:w="158"/>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Dover Corporation Deferred Compensation Plan, as amended and restated as of September 21, 2020, filed as Exhibit 10.1 to the Company's Quarterly Report on Form 10-Q for the period ended September 30, 2020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First Amendment, dated as of November 23, 2021, to the Dover Corporation Deferred Compensation Plan, filed as Exhibit 10.6 to the Company's Annual Report on Form 10-K for the year ended December 31, 2022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Dover Corporation Pension Replacement Plan (formerly the Supplemental Executive Retirement Plan), as amended and restated as of January 1, 2010, filed as Exhibit 10.11 to the Company's Annual Report on Form 10-K for the year ended December 31, 2009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First Amendment to the Dover Corporation Pension Replacement Plan, as amended and restated as of January 1, 2010, filed as Exhibit 10.2 to the Company's Quarterly Report on Form 10-Q for the period ended September 30, 2013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Second Amendment, dated as of November 28, 2016, to the Dover Corporation Pension Replacement Plan, as amended and restated as of January 1, 2010, filed as Exhibit 10.19 to the Company's Annual Report on Form 10-K for the period ended December 31, 2016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Third Amendment, dated as of May 8, 2018, to the Dover Corporation Pension Replacement Plan, as amended and restated as of January 1, 2010, filed as Exhibit 10.2 to the Company's Quarterly Report on Form 10-Q for the period ended June 30, 2018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Dover Corporation Executive Severance Plan (as amended and restated effective August 5, 2021), filed as Exhibit 10.1 to the Company's Current Report on Form 8-K filed August 11,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Dover Corporation Senior Executive Change-in-Control Severance Plan (as amended and restated effective August 5, 2021), filed as Exhibit 10.2 to the Company's Current Report on Form 8-K filed August 11,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Dover Corporation 2012 Equity and Cash Incentive Plan, effective as of May 3, 2012, filed as Exhibit 10.1 to the Company's Quarterly Report on Form 10-Q for the period ended June 30, 2012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Amendment No. 1 to the Dover Corporation 2012 Equity and Cash Incentive Plan, filed as Exhibit 10.25 to the Company's Annual Report on Form 10-K for the year ended December 31, 2013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Amendment No. 2, adopted and effective as of August 6, 2014, to the Dover Corporation 2012 Equity and Cash Incentive Plan, filed as Exhibit 10.1 to the Company's Quarterly Report on Form 10-Q for the period ended September 30, 2014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Amendment Number 3, adopted and effective as of February 12, 2021, to the Dover Corporation 2012 Equity and Cash Incentive Plan, filed as Exhibit 10.1 to the Company's Quarterly Report on Form 10-Q for the period ended March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10.25 to the Company's Annual Report on Form 10-K for the period ended December 31, 2014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10.1 to the Company's Quarterly Report on Form 10-Q for the period ended March 31, 2016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10.1 to the Company's Quarterly Report on Form 10-Q for the period ended March 31, 2017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10.1 to the Company's Quarterly Report on Form 10-Q for the period ended March 31, 2018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10.1 to the Company's Quarterly Report on Form 10-Q for the period ended March 31, 2019 (SEC File No. 001-04019),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Form of award grant letter for SSAR grants made under the Dover Corporation 2012 Equity and Cash Incentive Plan, filed as Exhibit 10.1 to the Company's Quarterly Report on Form 10-Q for the period ended March 31, 2020 (SEC File No. 001-04019),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Form of 2021 award grant letter for SSAR grants made under the Dover Corporation 2012 Equity and Cash Incentive Plan filed as Exhibit 10.2 to the Company's Quarterly Report on Form 10-Q for the period ended March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1"/>
        <w:gridCol w:w="211"/>
        <w:gridCol w:w="213"/>
        <w:gridCol w:w="3131"/>
        <w:gridCol w:w="3121"/>
        <w:gridCol w:w="3130"/>
        <w:gridCol w:w="158"/>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Dover Corporation 2021 Omnibus Incentive Plan, filed as Exhibit 10.1 to the Company's Current Report on Form 8-K filed May 10,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Form of 2021 award grant letter for RSU awards made under the Dover Corporation 2021 Omnibus Incentive Plan.filed as Exhibit 10.41 to the Company's Annual Report on Form 10-K for the year ended December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Form of 2022 award grant letter for SSAR grants made under the Dover Corporation 2021 Omnibus Incentive Plan filed as Exhibit 10.43 to the Company's Annual Report on Form 10-K for the year ended December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Form of 2022 award grant letter for RSU awards made under the Dover Corporation 2021 Omnibus Incentive Plan filed as Exhibit 10.44 to the Company's Annual Report on Form 10-K for the year ended December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Form of 2022 award grant letter for performance share awards made under the Dover Corporation 2021 Omnibus Incentive Plan filed as Exhibit 10.46 to the Company's Annual Report on Form 10-K for the year ended December 31,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Form of 2023 award grant letter for SSAR grants made under the Dover Corporation 2021 Omnibus Incentive Plan filed as Exhibit 10.37 to the Company's Annual Report on Form 10-K for the year ended December 31, 2022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Form of 2023 award grant letter for RSU awards made under the Dover Corporation 2021 Omnibus Incentive Plan filed as Exhibit 10.38 to the Company's Annual Report on Form 10-K for the year ended December 31, 2022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Form of 2023 award grant letter for performance share awards made under the Dover Corporation 2021 Omnibus Incentive Plan filed as Exhibit 10.39 to the Company's Annual Report on Form 10-K for the year ended December 31, 2022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Form of 2024 award grant letter for SSAR grants made under the Dover Corporation 2021 Omnibus Incentive Plan filed as Exhibit 10.38 to the Company's Annual Report on Form 10-K for the year ended December 31, 2023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 xml:space="preserve">Form of 2024 award grant letter for RSU awards made under the Dover Corporation 2021 Omnibus Incentive Plan filed as Exhibit 10.39 to the Company's Annual Report on Form 10-K for the year ended December 31, 2023 (SEC File No. 001-04018), is incorporated by reference.* </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 xml:space="preserve">Form of 2024 award grant letter for performance share awards made under the Dover Corporation 2021 Omnibus Incentive Plan, filed as Exhibit 10.2 to the Company's Quarterly Report on Form 10-Q for the period ended March 31, 2024 (SEC File No. 001-04018), is incorporated by reference.* </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1037.htm">
              <w:r>
                <w:rPr>
                  <w:rStyle w:val="InternetLink"/>
                  <w:rFonts w:ascii="Times New Roman;sans-serif" w:hAnsi="Times New Roman;sans-serif"/>
                  <w:b w:val="false"/>
                  <w:color w:val="0000FF"/>
                  <w:sz w:val="20"/>
                  <w:u w:val="single"/>
                </w:rPr>
                <w:t>Form of 2025 award grant letter for SSAR grants made under the Dover Corporation 2021 Omnibus Incentive Plan*(1)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1038.htm">
              <w:r>
                <w:rPr>
                  <w:rStyle w:val="InternetLink"/>
                  <w:rFonts w:ascii="Times New Roman;sans-serif" w:hAnsi="Times New Roman;sans-serif"/>
                  <w:b w:val="false"/>
                  <w:color w:val="000080"/>
                  <w:sz w:val="20"/>
                  <w:u w:val="single"/>
                </w:rPr>
                <w:t>Form of 202</w:t>
              </w:r>
            </w:hyperlink>
            <w:hyperlink w:anchor="a2024123110-kexhibit1038.htm">
              <w:r>
                <w:rPr>
                  <w:rStyle w:val="InternetLink"/>
                  <w:rFonts w:ascii="Times New Roman;sans-serif" w:hAnsi="Times New Roman;sans-serif"/>
                  <w:b w:val="false"/>
                  <w:color w:val="000080"/>
                  <w:sz w:val="20"/>
                  <w:u w:val="single"/>
                </w:rPr>
                <w:t>5</w:t>
              </w:r>
            </w:hyperlink>
            <w:hyperlink w:anchor="a2024123110-kexhibit1038.htm">
              <w:r>
                <w:rPr>
                  <w:rStyle w:val="InternetLink"/>
                  <w:rFonts w:ascii="Times New Roman;sans-serif" w:hAnsi="Times New Roman;sans-serif"/>
                  <w:b w:val="false"/>
                  <w:color w:val="000080"/>
                  <w:sz w:val="20"/>
                  <w:u w:val="single"/>
                </w:rPr>
                <w:t xml:space="preserve"> award grant letter for RSU awards made under the Dover Corporation 2021 Omnibus Incentive Plan*(1)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1039.htm">
              <w:r>
                <w:rPr>
                  <w:rStyle w:val="InternetLink"/>
                  <w:rFonts w:ascii="Times New Roman;sans-serif" w:hAnsi="Times New Roman;sans-serif"/>
                  <w:b w:val="false"/>
                  <w:color w:val="0000FF"/>
                  <w:sz w:val="20"/>
                  <w:u w:val="single"/>
                </w:rPr>
                <w:t>Form of 2025 award grant letter for performance share awards made under the Dover Corporation 2021 Omnibus Incentive Plan *(1)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Employment Agreement of Richard J. Tobin dated March 16, 2018, filed as Exhibit 10.1 to the Company's Current Report on Form 8-K filed March 20, 2018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Amendment to Employment Agreement of Richard J. Tobin, dated as of February 19, 2021, filed as Exhibit 10.1 to the Company's Current Report on Form 8-K filed February 19, 2021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Amendment to Employment Agreement of Richard J. Tobin, dated as of March 5, 2024, filed as Exhibit 10.1 to the Company's Quarterly Report on Form 10-Q for the period ended March 31, 2024 (SEC File No. 001-04018), is incorporated by reference.*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19.htm">
              <w:r>
                <w:rPr>
                  <w:rStyle w:val="InternetLink"/>
                  <w:rFonts w:ascii="Times New Roman;sans-serif" w:hAnsi="Times New Roman;sans-serif"/>
                  <w:b w:val="false"/>
                  <w:color w:val="0000FF"/>
                  <w:sz w:val="20"/>
                  <w:u w:val="single"/>
                </w:rPr>
                <w:t>Insider trading policies and procedures (1)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21.htm">
              <w:r>
                <w:rPr>
                  <w:rStyle w:val="InternetLink"/>
                  <w:rFonts w:ascii="Times New Roman;sans-serif" w:hAnsi="Times New Roman;sans-serif"/>
                  <w:b w:val="false"/>
                  <w:color w:val="0000FF"/>
                  <w:sz w:val="20"/>
                  <w:u w:val="single"/>
                </w:rPr>
                <w:t>Subsidiaries of Dover. (1)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23.htm">
              <w:r>
                <w:rPr>
                  <w:rStyle w:val="InternetLink"/>
                  <w:rFonts w:ascii="Times New Roman;sans-serif" w:hAnsi="Times New Roman;sans-serif"/>
                  <w:b w:val="false"/>
                  <w:color w:val="0000FF"/>
                  <w:sz w:val="20"/>
                  <w:u w:val="single"/>
                </w:rPr>
                <w:t>Consent of Independent Registered Public Accounting Firm. (1)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in signature page). (1)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311.htm">
              <w:r>
                <w:rPr>
                  <w:rStyle w:val="InternetLink"/>
                  <w:rFonts w:ascii="Times New Roman;sans-serif" w:hAnsi="Times New Roman;sans-serif"/>
                  <w:b w:val="false"/>
                  <w:color w:val="000080"/>
                  <w:sz w:val="20"/>
                  <w:u w:val="single"/>
                </w:rPr>
                <w:t>Certification pursuant to Rule 13a-14 of the Securities and Exchange Act of 1934, as amended, signed and dated by Chris</w:t>
              </w:r>
            </w:hyperlink>
            <w:hyperlink w:anchor="a2024123110-kexhibit311.htm">
              <w:r>
                <w:rPr>
                  <w:rStyle w:val="InternetLink"/>
                  <w:rFonts w:ascii="Times New Roman;sans-serif" w:hAnsi="Times New Roman;sans-serif"/>
                  <w:b w:val="false"/>
                  <w:color w:val="000080"/>
                  <w:sz w:val="20"/>
                  <w:u w:val="single"/>
                </w:rPr>
                <w:t>topher</w:t>
              </w:r>
            </w:hyperlink>
            <w:hyperlink w:anchor="a2024123110-kexhibit311.htm">
              <w:r>
                <w:rPr>
                  <w:rStyle w:val="InternetLink"/>
                  <w:rFonts w:ascii="Times New Roman;sans-serif" w:hAnsi="Times New Roman;sans-serif"/>
                  <w:b w:val="false"/>
                  <w:color w:val="000080"/>
                  <w:sz w:val="20"/>
                  <w:u w:val="single"/>
                </w:rPr>
                <w:t xml:space="preserve"> </w:t>
              </w:r>
            </w:hyperlink>
            <w:hyperlink w:anchor="a2024123110-kexhibit311.htm">
              <w:r>
                <w:rPr>
                  <w:rStyle w:val="InternetLink"/>
                  <w:rFonts w:ascii="Times New Roman;sans-serif" w:hAnsi="Times New Roman;sans-serif"/>
                  <w:b w:val="false"/>
                  <w:color w:val="000080"/>
                  <w:sz w:val="20"/>
                  <w:u w:val="single"/>
                </w:rPr>
                <w:t xml:space="preserve">B. </w:t>
              </w:r>
            </w:hyperlink>
            <w:hyperlink w:anchor="a2024123110-kexhibit311.htm">
              <w:r>
                <w:rPr>
                  <w:rStyle w:val="InternetLink"/>
                  <w:rFonts w:ascii="Times New Roman;sans-serif" w:hAnsi="Times New Roman;sans-serif"/>
                  <w:b w:val="false"/>
                  <w:color w:val="000080"/>
                  <w:sz w:val="20"/>
                  <w:u w:val="single"/>
                </w:rPr>
                <w:t>Woenker. (1)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312.htm">
              <w:r>
                <w:rPr>
                  <w:rStyle w:val="InternetLink"/>
                  <w:rFonts w:ascii="Times New Roman;sans-serif" w:hAnsi="Times New Roman;sans-serif"/>
                  <w:b w:val="false"/>
                  <w:color w:val="0000FF"/>
                  <w:sz w:val="20"/>
                  <w:u w:val="single"/>
                </w:rPr>
                <w:t>Certification pursuant to Rule 13a-14 of the Securities and Exchange Act of 1934, as amended, signed and dated by Richard J. Tobin. (1)</w:t>
              </w:r>
            </w:hyperlink>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9"/>
        <w:gridCol w:w="174"/>
        <w:gridCol w:w="179"/>
        <w:gridCol w:w="3288"/>
        <w:gridCol w:w="3100"/>
        <w:gridCol w:w="3108"/>
        <w:gridCol w:w="157"/>
      </w:tblGrid>
      <w:tr>
        <w:trPr/>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123110-kexhibit32.htm">
              <w:r>
                <w:rPr>
                  <w:rStyle w:val="InternetLink"/>
                  <w:rFonts w:ascii="Times New Roman;sans-serif" w:hAnsi="Times New Roman;sans-serif"/>
                  <w:b w:val="false"/>
                  <w:color w:val="0000FF"/>
                  <w:sz w:val="20"/>
                  <w:u w:val="single"/>
                </w:rPr>
                <w:t>Certification pursuant to 18 U.S.C. Section 1350, signed and dated by Richard J. Tobin and Christopher B. Woenker. (1)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9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 xml:space="preserve">Dover Corporation Clawback Policy, filed as Exhibit 97.1 to the Company's Annual Report on Form 10-K for the year ended December 31, 2023 (SEC File No. 001-04018), is incorporated by reference.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Dover Corporation's Annual Report on Form 10-K for the year ended December 31, 2024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in Inline XBRL and contained in Exhibit 101. (1)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 plan or arrangement.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annexes or exhibits have been omitted pursuant to Item601(a)(5) of Regulation S-K, but will be furnished supplementally to the SEC upon request.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FFFFFF"/>
                <w:sz w:val="20"/>
              </w:rPr>
              <w:t>'</w:t>
            </w:r>
            <w:r>
              <w:rPr>
                <w:rFonts w:ascii="Times New Roman;sans-serif" w:hAnsi="Times New Roman;sans-serif"/>
                <w:b w:val="false"/>
                <w:color w:val="000000"/>
                <w:sz w:val="20"/>
              </w:rPr>
              <w:t>+</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Exhibit 2.1 have been redacted in accordance with Item 601(b)(2)(ii) of Regulation S-K.</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w:t>
      </w:r>
    </w:p>
    <w:tbl>
      <w:tblPr>
        <w:tblW w:w="53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Christopher B. Woenker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2024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tbl>
      <w:tblPr>
        <w:tblW w:w="10205" w:type="dxa"/>
        <w:jc w:val="center"/>
        <w:tblInd w:w="0" w:type="dxa"/>
        <w:tblLayout w:type="fixed"/>
        <w:tblCellMar>
          <w:top w:w="28" w:type="dxa"/>
          <w:left w:w="28" w:type="dxa"/>
          <w:bottom w:w="28" w:type="dxa"/>
          <w:right w:w="28" w:type="dxa"/>
        </w:tblCellMar>
      </w:tblPr>
      <w:tblGrid>
        <w:gridCol w:w="799"/>
        <w:gridCol w:w="690"/>
        <w:gridCol w:w="696"/>
        <w:gridCol w:w="109"/>
        <w:gridCol w:w="109"/>
        <w:gridCol w:w="109"/>
        <w:gridCol w:w="1938"/>
        <w:gridCol w:w="1925"/>
        <w:gridCol w:w="1949"/>
        <w:gridCol w:w="109"/>
        <w:gridCol w:w="109"/>
        <w:gridCol w:w="109"/>
        <w:gridCol w:w="452"/>
        <w:gridCol w:w="452"/>
        <w:gridCol w:w="650"/>
      </w:tblGrid>
      <w:tr>
        <w:trPr/>
        <w:tc>
          <w:tcPr>
            <w:tcW w:w="7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B. Woenker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B. Woenker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Ryan W. Paulson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Ryan W. Paulson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Deborah L. DeHaas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Deborah L. DeHaas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 John Gilbertson,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 John Gilbertson,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Kristiane C. Graham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Kristiane C. Graham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114    </w:t>
                      </w:r>
                    </w:p>
                  </w:txbxContent>
                </v:textbox>
                <w10:wrap type="none"/>
              </v:rect>
            </w:pict>
          </mc:Fallback>
        </mc:AlternateContent>
      </w:r>
    </w:p>
    <w:p>
      <w:pPr>
        <w:pStyle w:val="TextBody"/>
        <w:bidi w:val="0"/>
        <w:spacing w:lineRule="auto" w:line="288" w:before="0" w:after="0"/>
        <w:jc w:val="left"/>
        <w:rPr/>
      </w:pPr>
      <w:hyperlink w:anchor="i5e22596fc410472ba847835082dbcad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6578" w:type="dxa"/>
        <w:jc w:val="center"/>
        <w:tblInd w:w="0" w:type="dxa"/>
        <w:tblLayout w:type="fixed"/>
        <w:tblCellMar>
          <w:top w:w="28" w:type="dxa"/>
          <w:left w:w="28" w:type="dxa"/>
          <w:bottom w:w="28" w:type="dxa"/>
          <w:right w:w="28" w:type="dxa"/>
        </w:tblCellMar>
      </w:tblPr>
      <w:tblGrid>
        <w:gridCol w:w="726"/>
        <w:gridCol w:w="640"/>
        <w:gridCol w:w="644"/>
        <w:gridCol w:w="109"/>
        <w:gridCol w:w="109"/>
        <w:gridCol w:w="109"/>
        <w:gridCol w:w="755"/>
        <w:gridCol w:w="755"/>
        <w:gridCol w:w="769"/>
        <w:gridCol w:w="109"/>
        <w:gridCol w:w="109"/>
        <w:gridCol w:w="109"/>
        <w:gridCol w:w="477"/>
        <w:gridCol w:w="477"/>
        <w:gridCol w:w="68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Marc A. Howze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 A. Howze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F. Johnston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F. Johnston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Manley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Manley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Danita K. Ostling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Danita K. Ostling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A. Spiegel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A. Spiegel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E. Wandell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E. Wandell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u w:val="single"/>
        </w:rPr>
      </w:pPr>
      <w:r>
        <w:rPr>
          <w:rFonts w:ascii="Times New Roman;sans-serif" w:hAnsi="Times New Roman;sans-serif"/>
          <w:b/>
          <w:color w:val="000000"/>
          <w:sz w:val="22"/>
          <w:u w:val="single"/>
        </w:rPr>
        <w:t>Exhibit 10.37</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115    </w:t>
                      </w:r>
                    </w:p>
                  </w:txbxContent>
                </v:textbox>
                <w10:wrap type="none"/>
              </v:rect>
            </w:pict>
          </mc:Fallback>
        </mc:AlternateContent>
      </w:r>
    </w:p>
    <w:p>
      <w:pPr>
        <w:pStyle w:val="TextBody"/>
        <w:bidi w:val="0"/>
        <w:spacing w:before="0" w:after="0"/>
        <w:jc w:val="left"/>
        <w:rPr/>
      </w:pPr>
      <w:r>
        <w:rPr/>
      </w:r>
    </w:p>
    <w:p>
      <w:pPr>
        <w:pStyle w:val="TextBody"/>
        <w:bidi w:val="0"/>
        <w:spacing w:before="0" w:after="160"/>
        <w:jc w:val="both"/>
        <w:rPr/>
      </w:pPr>
      <w:r>
        <w:rPr/>
        <w:drawing>
          <wp:inline distT="0" distB="0" distL="0" distR="0">
            <wp:extent cx="1695450" cy="628650"/>
            <wp:effectExtent l="0" t="0" r="0" b="0"/>
            <wp:docPr id="1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 descr=""/>
                    <pic:cNvPicPr>
                      <a:picLocks noChangeAspect="1" noChangeArrowheads="1"/>
                    </pic:cNvPicPr>
                  </pic:nvPicPr>
                  <pic:blipFill>
                    <a:blip r:embed="rId70"/>
                    <a:stretch>
                      <a:fillRect/>
                    </a:stretch>
                  </pic:blipFill>
                  <pic:spPr bwMode="auto">
                    <a:xfrm>
                      <a:off x="0" y="0"/>
                      <a:ext cx="1695450" cy="6286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SSAR Award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DATE:    [</w:t>
      </w:r>
      <w:r>
        <w:rPr>
          <w:color w:val="000000"/>
        </w:rPr>
        <w:t>•</w:t>
      </w:r>
      <w:r>
        <w:rPr>
          <w:rFonts w:ascii="Times New Roman;sans-serif" w:hAnsi="Times New Roman;sans-serif"/>
          <w:b w:val="false"/>
          <w:color w:val="000000"/>
          <w:sz w:val="20"/>
        </w:rPr>
        <w:t>],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/$ParticipantName$/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Here are the details for your SSAR grant: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Number of shares of Dover Common Stock -         /$AwardsGranted$/</w:t>
      </w:r>
    </w:p>
    <w:p>
      <w:pPr>
        <w:pStyle w:val="TextBody"/>
        <w:bidi w:val="0"/>
        <w:spacing w:lineRule="auto" w:line="288" w:before="0" w:after="0"/>
        <w:ind w:left="0" w:right="0" w:hanging="1440"/>
        <w:jc w:val="both"/>
        <w:rPr/>
      </w:pPr>
      <w:r>
        <w:rPr>
          <w:color w:val="000000"/>
        </w:rPr>
        <w:t>    </w:t>
      </w:r>
      <w:r>
        <w:rPr>
          <w:rFonts w:ascii="Times New Roman;sans-serif" w:hAnsi="Times New Roman;sans-serif"/>
          <w:b w:val="false"/>
          <w:color w:val="000000"/>
          <w:sz w:val="20"/>
        </w:rPr>
        <w:t>SSAR Base Price Per Share -                 $[</w:t>
      </w:r>
      <w:r>
        <w:rPr>
          <w:color w:val="000000"/>
        </w:rPr>
        <w:t>•</w:t>
      </w:r>
      <w:r>
        <w:rPr>
          <w:rFonts w:ascii="Times New Roman;sans-serif" w:hAnsi="Times New Roman;sans-serif"/>
          <w:b w:val="false"/>
          <w:color w:val="000000"/>
          <w:sz w:val="20"/>
        </w:rPr>
        <w:t>]         Date of Grant -                         [</w:t>
      </w:r>
      <w:r>
        <w:rPr>
          <w:color w:val="000000"/>
        </w:rPr>
        <w:t>•</w:t>
      </w:r>
      <w:r>
        <w:rPr>
          <w:rFonts w:ascii="Times New Roman;sans-serif" w:hAnsi="Times New Roman;sans-serif"/>
          <w:b w:val="false"/>
          <w:color w:val="000000"/>
          <w:sz w:val="20"/>
        </w:rPr>
        <w:t>], 2025</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Expiration Date -                         [</w:t>
      </w:r>
      <w:r>
        <w:rPr>
          <w:color w:val="000000"/>
        </w:rPr>
        <w:t>•</w:t>
      </w:r>
      <w:r>
        <w:rPr>
          <w:rFonts w:ascii="Times New Roman;sans-serif" w:hAnsi="Times New Roman;sans-serif"/>
          <w:b w:val="false"/>
          <w:color w:val="000000"/>
          <w:sz w:val="20"/>
        </w:rPr>
        <w:t>], 2035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Your Stock Settled Appreciation Right (SSAR)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your SSAR Award is subject to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Your SSAR Award will be eligible to vest and become exercisable on the third anniversary of the Grant Date; provided, that you remain employed and in good standing with Dover or one of its Affiliates on such vesting date, except as otherwise provided in the Plan.  No cash payment is required to exercise a SSAR Award. </w:t>
      </w:r>
    </w:p>
    <w:p>
      <w:pPr>
        <w:pStyle w:val="TextBody"/>
        <w:bidi w:val="0"/>
        <w:spacing w:before="0" w:after="0"/>
        <w:ind w:left="0" w:right="0" w:hanging="450"/>
        <w:jc w:val="both"/>
        <w:rPr/>
      </w:pPr>
      <w:r>
        <w:rPr/>
      </w:r>
    </w:p>
    <w:p>
      <w:pPr>
        <w:pStyle w:val="TextBody"/>
        <w:bidi w:val="0"/>
        <w:spacing w:lineRule="auto" w:line="288" w:before="0" w:after="0"/>
        <w:ind w:left="0" w:right="0" w:hanging="420"/>
        <w:jc w:val="both"/>
        <w:rPr/>
      </w:pPr>
      <w:r>
        <w:rPr>
          <w:rFonts w:ascii="Times New Roman;sans-serif" w:hAnsi="Times New Roman;sans-serif"/>
          <w:b w:val="false"/>
          <w:color w:val="000000"/>
          <w:sz w:val="20"/>
        </w:rPr>
        <w:t>2.     </w:t>
      </w:r>
      <w:r>
        <w:rPr>
          <w:rFonts w:ascii="Times New Roman;sans-serif" w:hAnsi="Times New Roman;sans-serif"/>
          <w:b/>
          <w:color w:val="000000"/>
          <w:sz w:val="20"/>
        </w:rPr>
        <w:t>It is your responsibility to keep track of your SSAR Award and to ensure that you exercise your SSAR Award before it expires.  Dover will not remind or notify you that your SSAR Award is nearing its expiration date.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20"/>
        <w:jc w:val="both"/>
        <w:rPr>
          <w:rFonts w:ascii="Times New Roman;sans-serif" w:hAnsi="Times New Roman;sans-serif"/>
          <w:b w:val="false"/>
          <w:color w:val="000000"/>
          <w:sz w:val="20"/>
        </w:rPr>
      </w:pPr>
      <w:r>
        <w:rPr>
          <w:rFonts w:ascii="Times New Roman;sans-serif" w:hAnsi="Times New Roman;sans-serif"/>
          <w:b w:val="false"/>
          <w:color w:val="000000"/>
          <w:sz w:val="20"/>
        </w:rPr>
        <w:t>3.     Your SSAR Award is subject to earlier termination, exercisability and forfeiture provisions as provided in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4.     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settled in any manner determined by the Committee.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pPr>
      <w:r>
        <w:rPr>
          <w:rFonts w:ascii="Times New Roman;sans-serif" w:hAnsi="Times New Roman;sans-serif"/>
          <w:b w:val="false"/>
          <w:color w:val="000000"/>
          <w:sz w:val="20"/>
        </w:rPr>
        <w:t>5.      As a condition of receiving your SSAR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sans-serif" w:hAnsi="Times New Roman;sans-serif"/>
          <w:b w:val="false"/>
          <w:color w:val="000000"/>
          <w:sz w:val="20"/>
          <w:u w:val="single"/>
        </w:rPr>
        <w:t>any</w:t>
      </w:r>
      <w:r>
        <w:rPr>
          <w:color w:val="000000"/>
        </w:rPr>
        <w:t> </w:t>
      </w:r>
      <w:r>
        <w:rPr>
          <w:rFonts w:ascii="Times New Roman;sans-serif" w:hAnsi="Times New Roman;sans-serif"/>
          <w:b w:val="false"/>
          <w:color w:val="000000"/>
          <w:sz w:val="20"/>
        </w:rPr>
        <w:t>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pStyle w:val="TextBody"/>
        <w:bidi w:val="0"/>
        <w:spacing w:before="0" w:after="0"/>
        <w:ind w:left="0" w:right="0" w:hanging="450"/>
        <w:jc w:val="both"/>
        <w:rPr/>
      </w:pPr>
      <w:r>
        <w:rPr/>
      </w:r>
    </w:p>
    <w:p>
      <w:pPr>
        <w:pStyle w:val="TextBody"/>
        <w:bidi w:val="0"/>
        <w:spacing w:lineRule="auto" w:line="288" w:before="0" w:after="0"/>
        <w:ind w:left="0" w:right="0" w:hanging="420"/>
        <w:jc w:val="both"/>
        <w:rPr>
          <w:rFonts w:ascii="Times New Roman;sans-serif" w:hAnsi="Times New Roman;sans-serif"/>
          <w:b w:val="false"/>
          <w:color w:val="000000"/>
          <w:sz w:val="20"/>
        </w:rPr>
      </w:pPr>
      <w:r>
        <w:rPr>
          <w:rFonts w:ascii="Times New Roman;sans-serif" w:hAnsi="Times New Roman;sans-serif"/>
          <w:b w:val="false"/>
          <w:color w:val="000000"/>
          <w:sz w:val="20"/>
        </w:rPr>
        <w:t>6.     For Non-US Employees, your SSAR Award is subject to the terms and conditions of the Addendum for Non-US Employees attached to your SSAR Award letter.</w:t>
      </w:r>
    </w:p>
    <w:p>
      <w:pPr>
        <w:pStyle w:val="TextBody"/>
        <w:bidi w:val="0"/>
        <w:spacing w:lineRule="auto" w:line="288"/>
        <w:jc w:val="both"/>
        <w:rPr>
          <w:color w:val="000000"/>
        </w:rPr>
      </w:pPr>
      <w:r>
        <w:rPr>
          <w:color w:val="000000"/>
        </w:rPr>
        <w:t> </w:t>
      </w:r>
    </w:p>
    <w:p>
      <w:pPr>
        <w:pStyle w:val="TextBody"/>
        <w:bidi w:val="0"/>
        <w:spacing w:before="0" w:after="16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7.     Your SSAR Award is not transferrable by you other than by will or the laws of descent and distribution and in accordance with the applicable terms and conditions of the Plan.</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hanging="420"/>
        <w:jc w:val="both"/>
        <w:rPr>
          <w:rFonts w:ascii="Times New Roman;sans-serif" w:hAnsi="Times New Roman;sans-serif"/>
          <w:b w:val="false"/>
          <w:color w:val="000000"/>
          <w:sz w:val="20"/>
        </w:rPr>
      </w:pPr>
      <w:r>
        <w:rPr>
          <w:rFonts w:ascii="Times New Roman;sans-serif" w:hAnsi="Times New Roman;sans-serif"/>
          <w:b w:val="false"/>
          <w:color w:val="000000"/>
          <w:sz w:val="20"/>
        </w:rPr>
        <w:t>8.      Dover reserves the right to amend, modify, or terminate the Plan at any time in its discretion without notice.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10.38</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drawing>
          <wp:inline distT="0" distB="0" distL="0" distR="0">
            <wp:extent cx="1695450" cy="628650"/>
            <wp:effectExtent l="0" t="0" r="0" b="0"/>
            <wp:docPr id="1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 descr=""/>
                    <pic:cNvPicPr>
                      <a:picLocks noChangeAspect="1" noChangeArrowheads="1"/>
                    </pic:cNvPicPr>
                  </pic:nvPicPr>
                  <pic:blipFill>
                    <a:blip r:embed="rId71"/>
                    <a:stretch>
                      <a:fillRect/>
                    </a:stretch>
                  </pic:blipFill>
                  <pic:spPr bwMode="auto">
                    <a:xfrm>
                      <a:off x="0" y="0"/>
                      <a:ext cx="1695450" cy="628650"/>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Restricted Stock Unit Award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DATE:    [</w:t>
      </w:r>
      <w:r>
        <w:rPr>
          <w:color w:val="000000"/>
        </w:rPr>
        <w:t>•</w:t>
      </w:r>
      <w:r>
        <w:rPr>
          <w:rFonts w:ascii="Times New Roman;sans-serif" w:hAnsi="Times New Roman;sans-serif"/>
          <w:b w:val="false"/>
          <w:color w:val="000000"/>
          <w:sz w:val="20"/>
        </w:rPr>
        <w:t>],2025                         Date of Grant: [</w:t>
      </w:r>
      <w:r>
        <w:rPr>
          <w:color w:val="000000"/>
        </w:rPr>
        <w:t>•</w:t>
      </w:r>
      <w:r>
        <w:rPr>
          <w:rFonts w:ascii="Times New Roman;sans-serif" w:hAnsi="Times New Roman;sans-serif"/>
          <w:b w:val="false"/>
          <w:color w:val="000000"/>
          <w:sz w:val="20"/>
        </w:rPr>
        <w:t>],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/$ParticipantName$/                    /$AwardsGranted$/ Restricted Stock Units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Your Restricted Stock Unit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your Restricted Stock Unit Award is subject to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2.You will be eligible to vest in the Restricted Stock Unit Award with respect to 33% of your Restricted Stock Units on the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following the first anniversary of the Date of Grant (or the last trading day preceding if such date is not a trading day), with respect to 33% of your Restricted Stock Units on the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following the second anniversary of the Date of Grant (or the last trading day preceding if such date is not a trading day) and with respect to 34% of your Restricted Stock Units on the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following the third anniversary of the Date of Grant (or the last trading day preceding if such date is not a trading day), subject to you remaining employed and in good standing with Dover or one of its Affiliates until the end of each respective Restricted Period, except as otherwise provided in the Plan.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4.You do not have any voting rights with respect to Restricted Stock Units.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5.As a condition of receiving your Restricted Stock Unit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sans-serif" w:hAnsi="Times New Roman;sans-serif"/>
          <w:b w:val="false"/>
          <w:color w:val="000000"/>
          <w:sz w:val="20"/>
          <w:u w:val="single"/>
        </w:rPr>
        <w:t>any</w:t>
      </w:r>
      <w:r>
        <w:rPr>
          <w:color w:val="000000"/>
        </w:rPr>
        <w:t> </w:t>
      </w:r>
      <w:r>
        <w:rPr>
          <w:rFonts w:ascii="Times New Roman;sans-serif" w:hAnsi="Times New Roman;sans-serif"/>
          <w:b w:val="false"/>
          <w:color w:val="000000"/>
          <w:sz w:val="20"/>
        </w:rPr>
        <w:t>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6.For Non-US Employees, your Restricted Stock Unit Award is subject to the terms and conditions of the Addendum for Non-US Employees.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7.Your Restricted Stock Unit Award is not transferable by you other than by will or the laws of descent and distribution and in accordance with the applicable terms and conditions of the Plan.</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8.Dover reserves the right to amend, modify, or terminate the Plan at any time in its discretion without notice.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u w:val="single"/>
        </w:rPr>
      </w:pPr>
      <w:r>
        <w:rPr>
          <w:rFonts w:ascii="Times New Roman;sans-serif" w:hAnsi="Times New Roman;sans-serif"/>
          <w:b/>
          <w:color w:val="000000"/>
          <w:sz w:val="22"/>
          <w:u w:val="single"/>
        </w:rPr>
        <w:t>Exhibit 10.39</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00"/>
        <w:jc w:val="both"/>
        <w:rPr/>
      </w:pPr>
      <w:r>
        <w:rPr/>
        <w:drawing>
          <wp:inline distT="0" distB="0" distL="0" distR="0">
            <wp:extent cx="1695450" cy="628650"/>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72"/>
                    <a:stretch>
                      <a:fillRect/>
                    </a:stretch>
                  </pic:blipFill>
                  <pic:spPr bwMode="auto">
                    <a:xfrm>
                      <a:off x="0" y="0"/>
                      <a:ext cx="1695450" cy="6286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Performance Share Award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DATE:     [</w:t>
      </w:r>
      <w:r>
        <w:rPr>
          <w:color w:val="000000"/>
        </w:rPr>
        <w:t>•</w:t>
      </w:r>
      <w:r>
        <w:rPr>
          <w:rFonts w:ascii="Times New Roman;sans-serif" w:hAnsi="Times New Roman;sans-serif"/>
          <w:b w:val="false"/>
          <w:color w:val="000000"/>
          <w:sz w:val="20"/>
        </w:rPr>
        <w:t>],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/$ParticipantName$/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Here are the details for your Performance Share Award: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Date of Grant –[</w:t>
      </w:r>
      <w:r>
        <w:rPr>
          <w:color w:val="000000"/>
        </w:rPr>
        <w:t>•</w:t>
      </w:r>
      <w:r>
        <w:rPr>
          <w:rFonts w:ascii="Times New Roman;sans-serif" w:hAnsi="Times New Roman;sans-serif"/>
          <w:b w:val="false"/>
          <w:color w:val="000000"/>
          <w:sz w:val="20"/>
        </w:rPr>
        <w:t>], 2025</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Performance Period is the three-year period 2025-2027</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Your target Performance Share Award at the 100% level (the “Total Target”) - /$AwardsGranted$/Shares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Performance Shares to be paid to you, if any, will be derived from the TSR Ranking Payout Table and the Tangible ROIC Payout Table included in this Award agreement.</w:t>
      </w:r>
    </w:p>
    <w:p>
      <w:pPr>
        <w:pStyle w:val="TextBody"/>
        <w:bidi w:val="0"/>
        <w:spacing w:before="0" w:after="0"/>
        <w:jc w:val="left"/>
        <w:rPr/>
      </w:pPr>
      <w:r>
        <w:rPr/>
      </w:r>
    </w:p>
    <w:p>
      <w:pPr>
        <w:pStyle w:val="TextBody"/>
        <w:bidi w:val="0"/>
        <w:spacing w:lineRule="auto" w:line="319"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Your Performance Share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 </w:t>
      </w:r>
    </w:p>
    <w:p>
      <w:pPr>
        <w:pStyle w:val="TextBody"/>
        <w:bidi w:val="0"/>
        <w:spacing w:lineRule="auto" w:line="319"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your Performance Share Award is subject to the following: </w:t>
      </w:r>
    </w:p>
    <w:p>
      <w:pPr>
        <w:pStyle w:val="TextBody"/>
        <w:bidi w:val="0"/>
        <w:spacing w:lineRule="auto" w:line="319" w:before="0" w:after="0"/>
        <w:ind w:left="0" w:right="0" w:hanging="36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Performance Share Award may be earned between 0% to 300% of the Total Target level, and will be eligible to vest (i) fifty percent (50%) based on Dover’s TSR Ranking, as set forth in the TSR Ranking Payout Table included in this Award agreement and (ii) fifty percent (50%) based on Dover’s Tangible ROIC, as set forth in the Tangible ROIC Payout Table included in this Award agreement, provided in each case (i) and (ii) that the other conditions of your Performance Share Award are satisfied. To the extent earned, Dover will issue you shares of Common Stock in respect of the Performance Share Award no later than two and one-half months following the end of the Performance Period. In order to receive shares of Common Stock in respect of your Performance Share Award, you must remain employed in good standing with Dover or one of its Affiliates until the end of the Performance Period, except as otherwise provided in the Plan. For any Section 16 Person, Dover will issue shares of Common Stock for the vested Performance Share Award less a number of shares of Common Stock in respect of applicable tax withholding.</w:t>
      </w:r>
    </w:p>
    <w:p>
      <w:pPr>
        <w:pStyle w:val="TextBody"/>
        <w:bidi w:val="0"/>
        <w:spacing w:before="0" w:after="0"/>
        <w:ind w:left="0" w:right="0" w:hanging="360"/>
        <w:jc w:val="left"/>
        <w:rPr/>
      </w:pPr>
      <w:r>
        <w:rPr/>
      </w:r>
    </w:p>
    <w:p>
      <w:pPr>
        <w:pStyle w:val="TextBody"/>
        <w:bidi w:val="0"/>
        <w:spacing w:lineRule="auto" w:line="319" w:before="0" w:after="0"/>
        <w:ind w:left="0" w:right="0" w:hanging="36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A summary of the components of Dover’s TSR Ranking and Tangible ROIC is set forth in the Definitions Section included in this Award agreement.</w:t>
      </w:r>
    </w:p>
    <w:p>
      <w:pPr>
        <w:pStyle w:val="TextBody"/>
        <w:bidi w:val="0"/>
        <w:spacing w:before="0" w:after="0"/>
        <w:ind w:left="0" w:right="0" w:hanging="360"/>
        <w:jc w:val="left"/>
        <w:rPr/>
      </w:pPr>
      <w:r>
        <w:rPr/>
      </w:r>
    </w:p>
    <w:p>
      <w:pPr>
        <w:pStyle w:val="TextBody"/>
        <w:bidi w:val="0"/>
        <w:spacing w:lineRule="auto" w:line="319"/>
        <w:ind w:left="0" w:right="0" w:hanging="36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As a condition of receiving your Performance Share Award, you agree to be bound by the terms and conditions of Dover’s Anti-hedging and Anti-pledging Policy (which is part of Dover’s Securities Trading Policy) and by Dover’s Clawback Policy, as such policies may be in effect from time to time.  The Anti-hedging and Anti-pledging Policy prohibits hedging or pledging </w:t>
      </w:r>
      <w:r>
        <w:rPr>
          <w:rFonts w:ascii="Times New Roman;sans-serif" w:hAnsi="Times New Roman;sans-serif"/>
          <w:b w:val="false"/>
          <w:color w:val="000000"/>
          <w:sz w:val="20"/>
          <w:u w:val="single"/>
        </w:rPr>
        <w:t>any</w:t>
      </w:r>
      <w:r>
        <w:rPr>
          <w:color w:val="000000"/>
        </w:rPr>
        <w:t> </w:t>
      </w:r>
      <w:r>
        <w:rPr>
          <w:rFonts w:ascii="Times New Roman;sans-serif" w:hAnsi="Times New Roman;sans-serif"/>
          <w:b w:val="false"/>
          <w:color w:val="000000"/>
          <w:sz w:val="20"/>
        </w:rPr>
        <w:t>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319" w:before="0" w:after="0"/>
        <w:ind w:left="0" w:right="0" w:hanging="36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For Non-US Employees, your Performance Share Award is subject to the terms and conditions of the Addendum for Non-US Employees.</w:t>
      </w:r>
    </w:p>
    <w:p>
      <w:pPr>
        <w:pStyle w:val="TextBody"/>
        <w:bidi w:val="0"/>
        <w:spacing w:lineRule="auto" w:line="319" w:before="0" w:after="0"/>
        <w:jc w:val="left"/>
        <w:rPr>
          <w:color w:val="000000"/>
        </w:rPr>
      </w:pPr>
      <w:r>
        <w:rPr>
          <w:color w:val="000000"/>
        </w:rPr>
        <w:t> </w:t>
      </w:r>
    </w:p>
    <w:p>
      <w:pPr>
        <w:pStyle w:val="TextBody"/>
        <w:bidi w:val="0"/>
        <w:spacing w:lineRule="auto" w:line="319" w:before="0" w:after="0"/>
        <w:ind w:left="0" w:right="0" w:hanging="36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Your Performance Share Award is not transferrable by you other than by will or the laws of descent and distribution and in accordance with the applicable terms and conditions of the Plan.</w:t>
      </w:r>
    </w:p>
    <w:p>
      <w:pPr>
        <w:pStyle w:val="TextBody"/>
        <w:bidi w:val="0"/>
        <w:spacing w:lineRule="auto" w:line="319" w:before="0" w:after="0"/>
        <w:jc w:val="left"/>
        <w:rPr>
          <w:color w:val="000000"/>
        </w:rPr>
      </w:pPr>
      <w:r>
        <w:rPr>
          <w:color w:val="000000"/>
        </w:rPr>
        <w:t> </w:t>
      </w:r>
    </w:p>
    <w:p>
      <w:pPr>
        <w:pStyle w:val="TextBody"/>
        <w:bidi w:val="0"/>
        <w:spacing w:lineRule="auto" w:line="319" w:before="0" w:after="0"/>
        <w:ind w:left="0" w:right="0" w:hanging="360"/>
        <w:jc w:val="left"/>
        <w:rPr/>
      </w:pPr>
      <w:r>
        <w:rPr>
          <w:rFonts w:ascii="Times New Roman;sans-serif" w:hAnsi="Times New Roman;sans-serif"/>
          <w:b w:val="false"/>
          <w:color w:val="000000"/>
          <w:sz w:val="20"/>
        </w:rPr>
        <w:t>6.</w:t>
      </w:r>
      <w:r>
        <w:rPr>
          <w:color w:val="000000"/>
        </w:rPr>
        <w:t>       </w:t>
      </w:r>
      <w:r>
        <w:rPr>
          <w:rFonts w:ascii="Times New Roman;sans-serif" w:hAnsi="Times New Roman;sans-serif"/>
          <w:b w:val="false"/>
          <w:color w:val="000000"/>
          <w:sz w:val="20"/>
        </w:rPr>
        <w:t>Dover reserves the right to amend, modify, or terminate the Plan at any time in its discretion without notice.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TSR Ranking Payout Table – 50% Weighting</w:t>
      </w:r>
    </w:p>
    <w:p>
      <w:pPr>
        <w:pStyle w:val="TextBody"/>
        <w:bidi w:val="0"/>
        <w:spacing w:before="0" w:after="0"/>
        <w:jc w:val="center"/>
        <w:rPr/>
      </w:pPr>
      <w:r>
        <w:rPr/>
      </w:r>
    </w:p>
    <w:p>
      <w:pPr>
        <w:pStyle w:val="TextBody"/>
        <w:bidi w:val="0"/>
        <w:spacing w:before="0" w:after="0"/>
        <w:jc w:val="center"/>
        <w:rPr/>
      </w:pPr>
      <w:r>
        <w:rPr/>
      </w:r>
    </w:p>
    <w:tbl>
      <w:tblPr>
        <w:tblW w:w="6718" w:type="dxa"/>
        <w:jc w:val="left"/>
        <w:tblInd w:w="0" w:type="dxa"/>
        <w:tblLayout w:type="fixed"/>
        <w:tblCellMar>
          <w:top w:w="28" w:type="dxa"/>
          <w:left w:w="28" w:type="dxa"/>
          <w:bottom w:w="28" w:type="dxa"/>
          <w:right w:w="28" w:type="dxa"/>
        </w:tblCellMar>
      </w:tblPr>
      <w:tblGrid>
        <w:gridCol w:w="1375"/>
        <w:gridCol w:w="1206"/>
        <w:gridCol w:w="1213"/>
        <w:gridCol w:w="854"/>
        <w:gridCol w:w="854"/>
        <w:gridCol w:w="121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Dover’s TSR Ranking for Performance Period</w:t>
            </w:r>
          </w:p>
        </w:tc>
        <w:tc>
          <w:tcPr>
            <w:tcW w:w="29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TSR Ranking Payout (% of target)</w:t>
            </w:r>
          </w:p>
        </w:tc>
      </w:tr>
      <w:tr>
        <w:trPr/>
        <w:tc>
          <w:tcPr>
            <w:tcW w:w="37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90th Percentile or above</w:t>
            </w:r>
          </w:p>
        </w:tc>
        <w:tc>
          <w:tcPr>
            <w:tcW w:w="29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37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75th Percentile</w:t>
            </w:r>
          </w:p>
        </w:tc>
        <w:tc>
          <w:tcPr>
            <w:tcW w:w="29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37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50th Percentile (target level)</w:t>
            </w:r>
          </w:p>
        </w:tc>
        <w:tc>
          <w:tcPr>
            <w:tcW w:w="29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7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25th Percentile</w:t>
            </w:r>
          </w:p>
        </w:tc>
        <w:tc>
          <w:tcPr>
            <w:tcW w:w="292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79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Below 25th Percentile</w:t>
            </w:r>
          </w:p>
        </w:tc>
        <w:tc>
          <w:tcPr>
            <w:tcW w:w="292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Dover’s TSR Ranking for the Performance Period is between two of the levels set forth in the table above, the TSR Ranking Payout percentage will be determined using linear interpolation. In the event Dover’s TSR for the Performance Period is negative, the TSR Ranking Payout percentage will not exceed 100%.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Tangible ROIC Payout Table – 50% Weighting</w:t>
      </w:r>
    </w:p>
    <w:p>
      <w:pPr>
        <w:pStyle w:val="TextBody"/>
        <w:bidi w:val="0"/>
        <w:spacing w:before="0" w:after="0"/>
        <w:jc w:val="center"/>
        <w:rPr/>
      </w:pPr>
      <w:r>
        <w:rPr/>
      </w:r>
    </w:p>
    <w:p>
      <w:pPr>
        <w:pStyle w:val="TextBody"/>
        <w:bidi w:val="0"/>
        <w:spacing w:before="0" w:after="0"/>
        <w:jc w:val="center"/>
        <w:rPr/>
      </w:pPr>
      <w:r>
        <w:rPr/>
      </w:r>
    </w:p>
    <w:tbl>
      <w:tblPr>
        <w:tblW w:w="6988" w:type="dxa"/>
        <w:jc w:val="left"/>
        <w:tblInd w:w="0" w:type="dxa"/>
        <w:tblLayout w:type="fixed"/>
        <w:tblCellMar>
          <w:top w:w="28" w:type="dxa"/>
          <w:left w:w="28" w:type="dxa"/>
          <w:bottom w:w="28" w:type="dxa"/>
          <w:right w:w="28" w:type="dxa"/>
        </w:tblCellMar>
      </w:tblPr>
      <w:tblGrid>
        <w:gridCol w:w="1424"/>
        <w:gridCol w:w="1249"/>
        <w:gridCol w:w="1256"/>
        <w:gridCol w:w="894"/>
        <w:gridCol w:w="894"/>
        <w:gridCol w:w="1271"/>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Dover’s Tangible ROIC for Performance Period</w:t>
            </w:r>
          </w:p>
        </w:tc>
        <w:tc>
          <w:tcPr>
            <w:tcW w:w="30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Tangible ROIC Payout (% of target)</w:t>
            </w:r>
          </w:p>
        </w:tc>
      </w:tr>
      <w:tr>
        <w:trPr/>
        <w:tc>
          <w:tcPr>
            <w:tcW w:w="39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or above</w:t>
            </w:r>
          </w:p>
        </w:tc>
        <w:tc>
          <w:tcPr>
            <w:tcW w:w="30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39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(target level)</w:t>
            </w:r>
          </w:p>
        </w:tc>
        <w:tc>
          <w:tcPr>
            <w:tcW w:w="30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9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92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Below 21%</w:t>
            </w:r>
          </w:p>
        </w:tc>
        <w:tc>
          <w:tcPr>
            <w:tcW w:w="305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Dover’s Tangible ROIC for the Performance Period is between two of the levels set forth in the table above, the Tangible ROIC Payout percentage will be determined using linear interpolation.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Weighted payout for illustrative purposes only. If your Total Target was 100 PSUs , and Dover’s TSR Ranking was achieved at the 75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percentile and Dover’s Tangible ROIC was achieved at 21%, then you would earn a weighted payout of 125% for a total of 125 shares of Common Stock in respect of the Performance Share Award (i.e., (200% TSR Ranking Payout times the 50% weighting equals 100%) plus (50% Tangible ROIC Payout times the 50% weighting equals 25%) equals a weighted payout of 125%).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Definitions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Award, the terms below have the following meanings: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Adjusted Net Earnings:</w:t>
      </w:r>
      <w:r>
        <w:rPr>
          <w:color w:val="000000"/>
        </w:rPr>
        <w:t xml:space="preserve"> </w:t>
      </w:r>
      <w:r>
        <w:rPr>
          <w:rFonts w:ascii="Times New Roman;sans-serif" w:hAnsi="Times New Roman;sans-serif"/>
          <w:b w:val="false"/>
          <w:color w:val="000000"/>
          <w:sz w:val="20"/>
        </w:rPr>
        <w:t>The Adjusted Net Earnings reported on Dover’s current report filed with the Securities and Exchange Commission for each year ended December 31 during the Performance Period, excluding the adjusted net earnings related to any business acquisitions or dispositions in the year each such transaction is completed.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0"/>
        </w:rPr>
        <w:t xml:space="preserve">Annual Tangible ROIC: </w:t>
      </w:r>
      <w:r>
        <w:rPr>
          <w:rFonts w:ascii="Times New Roman;sans-serif" w:hAnsi="Times New Roman;sans-serif"/>
          <w:b w:val="false"/>
          <w:color w:val="000000"/>
          <w:sz w:val="20"/>
        </w:rPr>
        <w:t>For each year in the Performance Period, the quotient of (i) Adjusted Net Earnings and (ii) Total Tangibles.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Beginning Stock Price: </w:t>
      </w:r>
      <w:r>
        <w:rPr>
          <w:rFonts w:ascii="Times New Roman;sans-serif" w:hAnsi="Times New Roman;sans-serif"/>
          <w:b w:val="false"/>
          <w:color w:val="000000"/>
          <w:sz w:val="20"/>
        </w:rPr>
        <w:t>The average closing price of a share of stock, as reported in transactions on the applicable stock exchange or market, during the 30 trading days immediately preceding the first trading day of the Performance Period.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Change in Stock Price: </w:t>
      </w:r>
      <w:r>
        <w:rPr>
          <w:rFonts w:ascii="Times New Roman;sans-serif" w:hAnsi="Times New Roman;sans-serif"/>
          <w:b w:val="false"/>
          <w:color w:val="000000"/>
          <w:sz w:val="20"/>
        </w:rPr>
        <w:t>The Ending Stock Price minus the Beginning Stock Price.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Dividends Paid: </w:t>
      </w:r>
      <w:r>
        <w:rPr>
          <w:rFonts w:ascii="Times New Roman;sans-serif" w:hAnsi="Times New Roman;sans-serif"/>
          <w:b w:val="false"/>
          <w:color w:val="000000"/>
          <w:sz w:val="20"/>
        </w:rPr>
        <w:t>The total of all dividends paid on one share of stock during the Performance Period, provided that dividends will be treated as though they are reinvested on the date the dividend is paid.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Ending Stock Price: </w:t>
      </w:r>
      <w:r>
        <w:rPr>
          <w:rFonts w:ascii="Times New Roman;sans-serif" w:hAnsi="Times New Roman;sans-serif"/>
          <w:b w:val="false"/>
          <w:color w:val="000000"/>
          <w:sz w:val="20"/>
        </w:rPr>
        <w:t>The average closing price of a share of stock, as reported in transactions on the applicable stock exchange or market, during the last 30 trading days of the Performance Period.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Peer Group:     </w:t>
      </w:r>
      <w:r>
        <w:rPr>
          <w:rFonts w:ascii="Times New Roman;sans-serif" w:hAnsi="Times New Roman;sans-serif"/>
          <w:b w:val="false"/>
          <w:color w:val="000000"/>
          <w:sz w:val="20"/>
        </w:rPr>
        <w:t>The companies in the S&amp;P 500 Industrials Sector;</w:t>
      </w:r>
      <w:r>
        <w:rPr>
          <w:color w:val="000000"/>
        </w:rPr>
        <w:t xml:space="preserve"> </w:t>
      </w:r>
      <w:r>
        <w:rPr>
          <w:rFonts w:ascii="Times New Roman;sans-serif" w:hAnsi="Times New Roman;sans-serif"/>
          <w:b w:val="false"/>
          <w:color w:val="000000"/>
          <w:sz w:val="20"/>
        </w:rPr>
        <w:t>provided, that (i) the Peer Group will not include any company that is not publicly traded (</w:t>
      </w:r>
      <w:r>
        <w:rPr>
          <w:rFonts w:ascii="Times New Roman;sans-serif" w:hAnsi="Times New Roman;sans-serif"/>
          <w:b w:val="false"/>
          <w:i/>
          <w:color w:val="000000"/>
          <w:sz w:val="20"/>
        </w:rPr>
        <w:t>i.e.</w:t>
      </w:r>
      <w:r>
        <w:rPr>
          <w:rFonts w:ascii="Times New Roman;sans-serif" w:hAnsi="Times New Roman;sans-serif"/>
          <w:b w:val="false"/>
          <w:color w:val="000000"/>
          <w:sz w:val="20"/>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 foregoing, the Dover Compensation Committee may disregard any of these guidelines when evaluating changes in the membership of the Peer Group during the Performance Period in any particular situation, as it deems reasonable in the exercise of its discretion.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Tangible ROIC:</w:t>
      </w:r>
      <w:r>
        <w:rPr>
          <w:color w:val="000000"/>
        </w:rPr>
        <w:t xml:space="preserve"> </w:t>
      </w:r>
      <w:r>
        <w:rPr>
          <w:rFonts w:ascii="Times New Roman;sans-serif" w:hAnsi="Times New Roman;sans-serif"/>
          <w:b w:val="false"/>
          <w:color w:val="000000"/>
          <w:sz w:val="20"/>
        </w:rPr>
        <w:t xml:space="preserve">The average of the Annual Tangible ROIC for each year during the Performance Period.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Total Tangibles:</w:t>
      </w:r>
      <w:r>
        <w:rPr>
          <w:color w:val="000000"/>
        </w:rPr>
        <w:t xml:space="preserve"> </w:t>
      </w:r>
      <w:r>
        <w:rPr>
          <w:rFonts w:ascii="Times New Roman;sans-serif" w:hAnsi="Times New Roman;sans-serif"/>
          <w:b w:val="false"/>
          <w:color w:val="000000"/>
          <w:sz w:val="20"/>
        </w:rPr>
        <w:t>The total tangible assets of Dover reported on Dover’s annual report filed with the Securities and Exchange Commission for each year ended December 31 during the Performance Period, excluding the total tangible assets related to any business acquisitions or dispositions in the year each such transaction is completed, equal to the sum of (i) property, plant and equipment, gross, (ii) accounts receivable, (iii) total inventory, net and (iv) accounts payable (stated as a negative number).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TSR: </w:t>
      </w:r>
      <w:r>
        <w:rPr>
          <w:rFonts w:ascii="Times New Roman;sans-serif" w:hAnsi="Times New Roman;sans-serif"/>
          <w:b w:val="false"/>
          <w:color w:val="000000"/>
          <w:sz w:val="20"/>
        </w:rPr>
        <w:t>(Change in Stock Price + Dividends Paid)/Beginning Stock Price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TSR Ranking:</w:t>
      </w:r>
      <w:r>
        <w:rPr>
          <w:color w:val="000000"/>
        </w:rPr>
        <w:t xml:space="preserve"> </w:t>
      </w:r>
      <w:r>
        <w:rPr>
          <w:rFonts w:ascii="Times New Roman;sans-serif" w:hAnsi="Times New Roman;sans-serif"/>
          <w:b w:val="false"/>
          <w:color w:val="000000"/>
          <w:sz w:val="20"/>
        </w:rPr>
        <w:t xml:space="preserve">The percentile ranking of Dover’s TSR as compared to the TSR of each company in the Peer Group for the Performance Period. </w:t>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color w:val="000000"/>
          <w:sz w:val="22"/>
          <w:u w:val="single"/>
        </w:rPr>
      </w:pPr>
      <w:r>
        <w:rPr>
          <w:rFonts w:ascii="Calibri;sans-serif" w:hAnsi="Calibri;sans-serif"/>
          <w:b/>
          <w:color w:val="000000"/>
          <w:sz w:val="22"/>
          <w:u w:val="single"/>
        </w:rPr>
        <w:t>Exhibit 19</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1400175" cy="44767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73"/>
                    <a:stretch>
                      <a:fillRect/>
                    </a:stretch>
                  </pic:blipFill>
                  <pic:spPr bwMode="auto">
                    <a:xfrm>
                      <a:off x="0" y="0"/>
                      <a:ext cx="1400175" cy="447675"/>
                    </a:xfrm>
                    <a:prstGeom prst="rect">
                      <a:avLst/>
                    </a:prstGeom>
                  </pic:spPr>
                </pic:pic>
              </a:graphicData>
            </a:graphic>
          </wp:inline>
        </w:drawing>
      </w:r>
    </w:p>
    <w:p>
      <w:pPr>
        <w:pStyle w:val="TextBody"/>
        <w:bidi w:val="0"/>
        <w:spacing w:before="89" w:after="283"/>
        <w:jc w:val="left"/>
        <w:rPr/>
      </w:pPr>
      <w:r>
        <w:rPr/>
      </w:r>
    </w:p>
    <w:p>
      <w:pPr>
        <w:pStyle w:val="TextBody"/>
        <w:bidi w:val="0"/>
        <w:spacing w:lineRule="auto" w:line="288" w:before="0" w:after="0"/>
        <w:jc w:val="center"/>
        <w:rPr>
          <w:rFonts w:ascii="Calibri;sans-serif" w:hAnsi="Calibri;sans-serif"/>
          <w:b/>
          <w:color w:val="000000"/>
          <w:sz w:val="28"/>
        </w:rPr>
      </w:pPr>
      <w:r>
        <w:rPr>
          <w:rFonts w:ascii="Calibri;sans-serif" w:hAnsi="Calibri;sans-serif"/>
          <w:b/>
          <w:color w:val="000000"/>
          <w:sz w:val="28"/>
        </w:rPr>
        <w:t>SECURITIES TRADING POLICY</w:t>
      </w:r>
    </w:p>
    <w:p>
      <w:pPr>
        <w:pStyle w:val="TextBody"/>
        <w:bidi w:val="0"/>
        <w:spacing w:before="17" w:after="283"/>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During your service at Dover Corporation (together with its direct and indirect subsidiaries, “Dover” or the “Company”), you may become aware of “material nonpublic information.” This Securities Trading Policy (the "Policy") sets forth procedures that employees and directors of Dover must follow regarding such information and establishes requirements applicable to trading in Dover securities and the securities of other companies that we do business with.</w:t>
      </w:r>
    </w:p>
    <w:p>
      <w:pPr>
        <w:pStyle w:val="TextBody"/>
        <w:bidi w:val="0"/>
        <w:spacing w:before="69"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Prohibition against Trading on Material Nonpublic Information</w:t>
      </w:r>
    </w:p>
    <w:p>
      <w:pPr>
        <w:pStyle w:val="TextBody"/>
        <w:bidi w:val="0"/>
        <w:spacing w:lineRule="auto" w:line="288" w:before="120" w:after="283"/>
        <w:jc w:val="left"/>
        <w:rPr>
          <w:rFonts w:ascii="Calibri;sans-serif" w:hAnsi="Calibri;sans-serif"/>
          <w:b w:val="false"/>
          <w:color w:val="000000"/>
          <w:sz w:val="24"/>
        </w:rPr>
      </w:pPr>
      <w:r>
        <w:rPr>
          <w:rFonts w:ascii="Calibri;sans-serif" w:hAnsi="Calibri;sans-serif"/>
          <w:b w:val="false"/>
          <w:color w:val="000000"/>
          <w:sz w:val="24"/>
        </w:rPr>
        <w:t>Dover’s Code of Conduct and the United States securities laws prohibit you from trading in the Company’s securities when you have material, nonpublic information about the Company (known as “insider trading”), as well as passing on material nonpublic information to others who might trade on the information (known as “tipping”). These prohibitions also apply to trading in the securities of other companies -- including our vendors, suppliers, customers, and other business partners -- when you have material nonpublic information about those companies. You should treat material nonpublic information about our business partners with the same level of care required for information about Dover. These restrictions apply to all employees and directors of Dover, their immediate family members and others who live in their homes. They also apply to any trust, partnership, or other entity in which the employee or director, their immediate family members, or others living in their homes, has or shares control. The only exception to the prohibition on trading when you have material nonpublic information is if the trade is made pursuant to a properly qualified, adopted and submitted Rule 10b5-1 trading plan. (See below for a discussion of Rule 10b5-1 plans.)</w:t>
      </w:r>
    </w:p>
    <w:p>
      <w:pPr>
        <w:pStyle w:val="TextBody"/>
        <w:bidi w:val="0"/>
        <w:spacing w:before="67"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Definitions of Trading on and Tipping of Material Nonpublic Information</w:t>
      </w:r>
    </w:p>
    <w:p>
      <w:pPr>
        <w:pStyle w:val="TextBody"/>
        <w:bidi w:val="0"/>
        <w:spacing w:before="0" w:after="0"/>
        <w:jc w:val="left"/>
        <w:rPr/>
      </w:pPr>
      <w:r>
        <w:rPr/>
      </w:r>
    </w:p>
    <w:p>
      <w:pPr>
        <w:pStyle w:val="TextBody"/>
        <w:bidi w:val="0"/>
        <w:spacing w:lineRule="auto" w:line="288"/>
        <w:jc w:val="left"/>
        <w:rPr/>
      </w:pPr>
      <w:r>
        <w:rPr>
          <w:color w:val="000000"/>
        </w:rPr>
        <w:t>“</w:t>
      </w:r>
      <w:r>
        <w:rPr>
          <w:rFonts w:ascii="Calibri;sans-serif" w:hAnsi="Calibri;sans-serif"/>
          <w:b/>
          <w:color w:val="000000"/>
          <w:sz w:val="24"/>
        </w:rPr>
        <w:t>Trading</w:t>
      </w:r>
      <w:r>
        <w:rPr>
          <w:color w:val="000000"/>
        </w:rPr>
        <w:t xml:space="preserve">” </w:t>
      </w:r>
      <w:r>
        <w:rPr>
          <w:rFonts w:ascii="Calibri;sans-serif" w:hAnsi="Calibri;sans-serif"/>
          <w:b w:val="false"/>
          <w:color w:val="000000"/>
          <w:sz w:val="24"/>
        </w:rPr>
        <w:t>is any transaction related to buying or selling securities. This includes buying or selling stock, selling stock received from the exercise of stock options or Stock-Settled Stock Appreciation Rights, or SSARs (even if the sale is only to pay the exercise price or taxes), reallocating positions into or out of Dover stock in any investment account, including within a 401(k) account, or trading interests in such securities (puts, calls, options, etc.). This also includes buying or selling in accounts you control, including spousal accounts, custodial accounts, trusts, etc. Trading does not include (i) exercise of options or SSARs, withholding of shares upon settlement of performance shares, or vesting of restricted stock units, where no stock is sold in the open market, (ii) the automatic purchase of Dover stock in your Dover 401(k) account pursuant to standing instructions (normally through payroll deduction or company match) or (iii) the purchase or sale of an interest in mutual funds, index funds and exchange-traded funds that, in each case, are invested in a broad portfolio of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pPr>
      <w:r>
        <w:rPr>
          <w:color w:val="000000"/>
        </w:rPr>
        <w:t>“</w:t>
      </w:r>
      <w:r>
        <w:rPr>
          <w:rFonts w:ascii="Calibri;sans-serif" w:hAnsi="Calibri;sans-serif"/>
          <w:b/>
          <w:color w:val="000000"/>
          <w:sz w:val="24"/>
        </w:rPr>
        <w:t>Tipping</w:t>
      </w:r>
      <w:r>
        <w:rPr>
          <w:color w:val="000000"/>
        </w:rPr>
        <w:t xml:space="preserve">” </w:t>
      </w:r>
      <w:r>
        <w:rPr>
          <w:rFonts w:ascii="Calibri;sans-serif" w:hAnsi="Calibri;sans-serif"/>
          <w:b w:val="false"/>
          <w:color w:val="000000"/>
          <w:sz w:val="24"/>
        </w:rPr>
        <w:t>means directly or indirectly disclosing such information to any other person, including family members and relatives.</w:t>
      </w:r>
    </w:p>
    <w:p>
      <w:pPr>
        <w:pStyle w:val="TextBody"/>
        <w:bidi w:val="0"/>
        <w:spacing w:before="39" w:after="283"/>
        <w:jc w:val="left"/>
        <w:rPr/>
      </w:pPr>
      <w:r>
        <w:rPr/>
      </w:r>
    </w:p>
    <w:p>
      <w:pPr>
        <w:pStyle w:val="TextBody"/>
        <w:bidi w:val="0"/>
        <w:spacing w:lineRule="auto" w:line="288" w:before="39" w:after="283"/>
        <w:jc w:val="left"/>
        <w:rPr/>
      </w:pPr>
      <w:r>
        <w:rPr>
          <w:color w:val="000000"/>
        </w:rPr>
        <w:t>“</w:t>
      </w:r>
      <w:r>
        <w:rPr>
          <w:rFonts w:ascii="Calibri;sans-serif" w:hAnsi="Calibri;sans-serif"/>
          <w:b/>
          <w:color w:val="000000"/>
          <w:sz w:val="24"/>
        </w:rPr>
        <w:t>Material</w:t>
      </w:r>
      <w:r>
        <w:rPr>
          <w:color w:val="000000"/>
        </w:rPr>
        <w:t xml:space="preserve">” </w:t>
      </w:r>
      <w:r>
        <w:rPr>
          <w:rFonts w:ascii="Calibri;sans-serif" w:hAnsi="Calibri;sans-serif"/>
          <w:b w:val="false"/>
          <w:color w:val="000000"/>
          <w:sz w:val="24"/>
        </w:rPr>
        <w:t>information is difficult to describe exhaustively, but you should assume that any information, positive or negative, that is likely to be considered important by an investor in determining whether to buy, sell or hold Dover securities or the securities of other companies that we do business with, or that would significantly alter the “total mix” of information available about Dover or such other companies, would be material. Material information is often thought of as the type of information that might affect a company’s stock price.</w:t>
      </w:r>
    </w:p>
    <w:p>
      <w:pPr>
        <w:pStyle w:val="TextBody"/>
        <w:bidi w:val="0"/>
        <w:spacing w:lineRule="auto" w:line="288" w:before="201" w:after="283"/>
        <w:jc w:val="left"/>
        <w:rPr>
          <w:rFonts w:ascii="Calibri;sans-serif" w:hAnsi="Calibri;sans-serif"/>
          <w:b w:val="false"/>
          <w:color w:val="000000"/>
          <w:sz w:val="24"/>
        </w:rPr>
      </w:pPr>
      <w:r>
        <w:rPr>
          <w:rFonts w:ascii="Calibri;sans-serif" w:hAnsi="Calibri;sans-serif"/>
          <w:b w:val="false"/>
          <w:color w:val="000000"/>
          <w:sz w:val="24"/>
        </w:rPr>
        <w:t>Examples include:</w:t>
      </w:r>
    </w:p>
    <w:p>
      <w:pPr>
        <w:pStyle w:val="TextBody"/>
        <w:bidi w:val="0"/>
        <w:spacing w:lineRule="auto" w:line="288" w:before="199" w:after="283"/>
        <w:ind w:left="0" w:right="0" w:hanging="540"/>
        <w:jc w:val="left"/>
        <w:rPr/>
      </w:pPr>
      <w:r>
        <w:rPr>
          <w:color w:val="000000"/>
        </w:rPr>
        <w:t>•</w:t>
      </w:r>
      <w:r>
        <w:rPr>
          <w:rFonts w:ascii="Calibri;sans-serif" w:hAnsi="Calibri;sans-serif"/>
          <w:b w:val="false"/>
          <w:color w:val="000000"/>
          <w:sz w:val="24"/>
        </w:rPr>
        <w:t>Earnings estimates or financial results for any period – good or bad,</w:t>
      </w:r>
    </w:p>
    <w:p>
      <w:pPr>
        <w:pStyle w:val="TextBody"/>
        <w:bidi w:val="0"/>
        <w:spacing w:lineRule="auto" w:line="288" w:before="201" w:after="283"/>
        <w:ind w:left="0" w:right="0" w:hanging="540"/>
        <w:jc w:val="left"/>
        <w:rPr/>
      </w:pPr>
      <w:r>
        <w:rPr>
          <w:color w:val="000000"/>
        </w:rPr>
        <w:t>•</w:t>
      </w:r>
      <w:r>
        <w:rPr>
          <w:rFonts w:ascii="Calibri;sans-serif" w:hAnsi="Calibri;sans-serif"/>
          <w:b w:val="false"/>
          <w:color w:val="000000"/>
          <w:sz w:val="24"/>
        </w:rPr>
        <w:t>A significant expansion or curtailment of operations,</w:t>
      </w:r>
    </w:p>
    <w:p>
      <w:pPr>
        <w:pStyle w:val="TextBody"/>
        <w:bidi w:val="0"/>
        <w:spacing w:lineRule="auto" w:line="288" w:before="199" w:after="283"/>
        <w:ind w:left="0" w:right="0" w:hanging="540"/>
        <w:jc w:val="left"/>
        <w:rPr/>
      </w:pPr>
      <w:r>
        <w:rPr>
          <w:color w:val="000000"/>
        </w:rPr>
        <w:t>•</w:t>
      </w:r>
      <w:r>
        <w:rPr>
          <w:rFonts w:ascii="Calibri;sans-serif" w:hAnsi="Calibri;sans-serif"/>
          <w:b w:val="false"/>
          <w:color w:val="000000"/>
          <w:sz w:val="24"/>
        </w:rPr>
        <w:t>Significant new services or products,</w:t>
      </w:r>
    </w:p>
    <w:p>
      <w:pPr>
        <w:pStyle w:val="TextBody"/>
        <w:bidi w:val="0"/>
        <w:spacing w:lineRule="auto" w:line="288" w:before="199" w:after="283"/>
        <w:ind w:left="0" w:right="0" w:hanging="540"/>
        <w:jc w:val="left"/>
        <w:rPr/>
      </w:pPr>
      <w:r>
        <w:rPr>
          <w:color w:val="000000"/>
        </w:rPr>
        <w:t>•</w:t>
      </w:r>
      <w:r>
        <w:rPr>
          <w:rFonts w:ascii="Calibri;sans-serif" w:hAnsi="Calibri;sans-serif"/>
          <w:b w:val="false"/>
          <w:color w:val="000000"/>
          <w:sz w:val="24"/>
        </w:rPr>
        <w:t>An important financing transaction, such as a significant drawdown on a credit facility or a securities offering,</w:t>
      </w:r>
    </w:p>
    <w:p>
      <w:pPr>
        <w:pStyle w:val="TextBody"/>
        <w:bidi w:val="0"/>
        <w:spacing w:lineRule="auto" w:line="288" w:before="242" w:after="283"/>
        <w:ind w:left="0" w:right="0" w:hanging="540"/>
        <w:jc w:val="left"/>
        <w:rPr/>
      </w:pPr>
      <w:r>
        <w:rPr>
          <w:color w:val="000000"/>
        </w:rPr>
        <w:t>•</w:t>
      </w:r>
      <w:r>
        <w:rPr>
          <w:rFonts w:ascii="Calibri;sans-serif" w:hAnsi="Calibri;sans-serif"/>
          <w:b w:val="false"/>
          <w:color w:val="000000"/>
          <w:sz w:val="24"/>
        </w:rPr>
        <w:t>Matters relating to cash dividends, stock repurchases or stock splits,</w:t>
      </w:r>
    </w:p>
    <w:p>
      <w:pPr>
        <w:pStyle w:val="TextBody"/>
        <w:bidi w:val="0"/>
        <w:spacing w:lineRule="auto" w:line="288" w:before="199" w:after="283"/>
        <w:ind w:left="0" w:right="0" w:hanging="540"/>
        <w:jc w:val="left"/>
        <w:rPr/>
      </w:pPr>
      <w:r>
        <w:rPr>
          <w:color w:val="000000"/>
        </w:rPr>
        <w:t>•</w:t>
      </w:r>
      <w:r>
        <w:rPr>
          <w:rFonts w:ascii="Calibri;sans-serif" w:hAnsi="Calibri;sans-serif"/>
          <w:b w:val="false"/>
          <w:color w:val="000000"/>
          <w:sz w:val="24"/>
        </w:rPr>
        <w:t>Mergers, tender offers or acquisitions of other companies, or major purchases or sales of assets,</w:t>
      </w:r>
    </w:p>
    <w:p>
      <w:pPr>
        <w:pStyle w:val="TextBody"/>
        <w:bidi w:val="0"/>
        <w:spacing w:lineRule="auto" w:line="288" w:before="240" w:after="283"/>
        <w:ind w:left="0" w:right="0" w:hanging="540"/>
        <w:jc w:val="left"/>
        <w:rPr/>
      </w:pPr>
      <w:r>
        <w:rPr>
          <w:color w:val="000000"/>
        </w:rPr>
        <w:t>•</w:t>
      </w:r>
      <w:r>
        <w:rPr>
          <w:rFonts w:ascii="Calibri;sans-serif" w:hAnsi="Calibri;sans-serif"/>
          <w:b w:val="false"/>
          <w:color w:val="000000"/>
          <w:sz w:val="24"/>
        </w:rPr>
        <w:t>Major management changes or a change in accountants, and</w:t>
      </w:r>
    </w:p>
    <w:p>
      <w:pPr>
        <w:pStyle w:val="TextBody"/>
        <w:bidi w:val="0"/>
        <w:spacing w:lineRule="auto" w:line="288" w:before="199" w:after="283"/>
        <w:ind w:left="0" w:right="0" w:hanging="540"/>
        <w:jc w:val="left"/>
        <w:rPr/>
      </w:pPr>
      <w:r>
        <w:rPr>
          <w:color w:val="000000"/>
        </w:rPr>
        <w:t>•</w:t>
      </w:r>
      <w:r>
        <w:rPr>
          <w:rFonts w:ascii="Calibri;sans-serif" w:hAnsi="Calibri;sans-serif"/>
          <w:b w:val="false"/>
          <w:color w:val="000000"/>
          <w:sz w:val="24"/>
        </w:rPr>
        <w:t>Developments regarding significant litigation or government investigations.</w:t>
      </w:r>
    </w:p>
    <w:p>
      <w:pPr>
        <w:pStyle w:val="TextBody"/>
        <w:bidi w:val="0"/>
        <w:spacing w:before="69" w:after="283"/>
        <w:jc w:val="left"/>
        <w:rPr/>
      </w:pPr>
      <w:r>
        <w:rPr/>
      </w: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Other information may constitute material nonpublic information. If you are in doubt about the materiality of any information, you should contact the Dover Law Department.</w:t>
      </w:r>
    </w:p>
    <w:p>
      <w:pPr>
        <w:pStyle w:val="TextBody"/>
        <w:bidi w:val="0"/>
        <w:spacing w:lineRule="auto" w:line="288" w:before="199" w:after="283"/>
        <w:jc w:val="left"/>
        <w:rPr/>
      </w:pPr>
      <w:r>
        <w:rPr>
          <w:color w:val="000000"/>
        </w:rPr>
        <w:t>“</w:t>
      </w:r>
      <w:r>
        <w:rPr>
          <w:rFonts w:ascii="Calibri;sans-serif" w:hAnsi="Calibri;sans-serif"/>
          <w:b/>
          <w:color w:val="000000"/>
          <w:sz w:val="24"/>
        </w:rPr>
        <w:t>Nonpublic</w:t>
      </w:r>
      <w:r>
        <w:rPr>
          <w:color w:val="000000"/>
        </w:rPr>
        <w:t xml:space="preserve">” </w:t>
      </w:r>
      <w:r>
        <w:rPr>
          <w:rFonts w:ascii="Calibri;sans-serif" w:hAnsi="Calibri;sans-serif"/>
          <w:b w:val="false"/>
          <w:color w:val="000000"/>
          <w:sz w:val="24"/>
        </w:rPr>
        <w:t>information is any information that has not been disclosed in a manner that makes it available to investors generally, such as by the issuance of a press release, disclosure in a webcast conference or a filing with the Securities and Exchange Commission. Even after information is made available to investors generally, it continues to be considered nonpublic until investors have had a reasonable period of time to react to the information. Generally, two full trading days following announcement is sufficient for information to be considered public. Note that rumors, even if generally circulated in the media or on the Internet, are not acceptable forms of “public disclosure”. Any information you have about the subject of a rumor is considered to be nonpublic information until Dover publicly discloses that information.</w:t>
      </w:r>
    </w:p>
    <w:p>
      <w:pPr>
        <w:pStyle w:val="TextBody"/>
        <w:bidi w:val="0"/>
        <w:spacing w:lineRule="auto" w:line="288" w:before="199" w:after="283"/>
        <w:jc w:val="left"/>
        <w:rPr>
          <w:rFonts w:ascii="Calibri;sans-serif" w:hAnsi="Calibri;sans-serif"/>
          <w:b w:val="false"/>
          <w:color w:val="000000"/>
          <w:sz w:val="24"/>
          <w:u w:val="single"/>
        </w:rPr>
      </w:pPr>
      <w:r>
        <w:rPr>
          <w:rFonts w:ascii="Calibri;sans-serif" w:hAnsi="Calibri;sans-serif"/>
          <w:b w:val="false"/>
          <w:color w:val="000000"/>
          <w:sz w:val="24"/>
          <w:u w:val="single"/>
        </w:rPr>
        <w:t>Dover’s Window Trading Period</w: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 xml:space="preserve">As part of Dover’s corporate compliance program, Dover has adopted a “window period” policy with respect to trading by insiders. Under this policy, directors, officers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Section 16 reporting, and other employees as may be designated by Dover from time to time (“Designated Employees”) generally should trade in Dover securities only during the 30-business-day period beginning on the second business day after the release of Dover's annual or quarterly earnings, again assuming that there is no material information known to the individual which has not been made public. Even during a window period, persons who have material, nonpublic information will still be restricted from trading because they are aware of information that was not included in recent public statements or releases, such as information about material acquisitions or dispositions of company assets. In addition to trading only during window periods, directors, officers subject to Section 16 reporting, and Designated Employees must seek pre-clearance from the General Counsel before trading in Dover securities.</w:t>
      </w:r>
    </w:p>
    <w:p>
      <w:pPr>
        <w:pStyle w:val="TextBody"/>
        <w:bidi w:val="0"/>
        <w:spacing w:lineRule="auto" w:line="288" w:before="202" w:after="283"/>
        <w:jc w:val="left"/>
        <w:rPr/>
      </w:pPr>
      <w:r>
        <w:rPr>
          <w:rFonts w:ascii="Calibri;sans-serif" w:hAnsi="Calibri;sans-serif"/>
          <w:b w:val="false"/>
          <w:color w:val="000000"/>
          <w:sz w:val="24"/>
        </w:rPr>
        <w:t xml:space="preserve">Gifts of Dover securities are treated slightly differently. You may make gifts of Dover securities outside the window period, </w:t>
      </w:r>
      <w:r>
        <w:rPr>
          <w:rFonts w:ascii="Calibri;sans-serif" w:hAnsi="Calibri;sans-serif"/>
          <w:b w:val="false"/>
          <w:i/>
          <w:color w:val="000000"/>
          <w:sz w:val="24"/>
        </w:rPr>
        <w:t xml:space="preserve">unless </w:t>
      </w:r>
      <w:r>
        <w:rPr>
          <w:rFonts w:ascii="Calibri;sans-serif" w:hAnsi="Calibri;sans-serif"/>
          <w:b w:val="false"/>
          <w:color w:val="000000"/>
          <w:sz w:val="24"/>
        </w:rPr>
        <w:t>(1) you have reason to believe that the recipient intends to sell the securities immediately and (2) you are aware of material nonpublic information. In that case, you should wait to make the gift until a window period opens. If you are a director or officer subject to Section 16 reporting, you must notify the General Counsel immediately upon making a gift, to enable compliance with applicable Section 16 reporting requirements.</w:t>
      </w:r>
    </w:p>
    <w:p>
      <w:pPr>
        <w:pStyle w:val="TextBody"/>
        <w:bidi w:val="0"/>
        <w:spacing w:before="66"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Trading outside of the Dover Window Period / Rule 10b5-1 Trading Plans</w: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A Rule 10b5-1 plan is a trading plan that you can set up with a third party (such as a broker) to sell or buy a predetermined number of shares within a predetermined period of time and within predetermined price ranges. The plan must be adopted in good faith (i.e., not as part of a scheme to evade the prohibitions of the U.S. securities laws) at a time when you are not aware of material nonpublic information. If the plan is adopted in accordance with these and other requirements of Rule 10b5-1 under the Securities Exchange Act of 1934 (the “Exchange Act”), it serves as an affirmative defense against liability under the U.S. securities laws for insider trading if there is ever an insider trading claim. Rule 10b5-1 plans are sometimes used by executive officers and directors because such individuals are frequently in possession of material nonpublic information. It is the Company’s policy that trades may be made pursuant to a Rule 10b5-1 plan provided that (i) the plan is in writing and is signed by the insider, (ii) the adoption of the plan was expressly authorized by a member of the Law Department, (iii) the Company is provided a copy of the plan for its files and is notified promptly of any amendment or termination of the plan, (iv) such plan meets the requirements of Rule 10b5-1 and (v) no trades are made under the plan during the applicable minimum required "cooling-off period".</w:t>
      </w:r>
    </w:p>
    <w:p>
      <w:pPr>
        <w:pStyle w:val="TextBody"/>
        <w:bidi w:val="0"/>
        <w:spacing w:lineRule="auto" w:line="288" w:before="243" w:after="283"/>
        <w:jc w:val="left"/>
        <w:rPr>
          <w:rFonts w:ascii="Calibri;sans-serif" w:hAnsi="Calibri;sans-serif"/>
          <w:b w:val="false"/>
          <w:color w:val="000000"/>
          <w:sz w:val="24"/>
        </w:rPr>
      </w:pPr>
      <w:r>
        <w:rPr>
          <w:rFonts w:ascii="Calibri;sans-serif" w:hAnsi="Calibri;sans-serif"/>
          <w:b w:val="false"/>
          <w:color w:val="000000"/>
          <w:sz w:val="24"/>
        </w:rPr>
        <w:t>In addition, for the plans of officers subject to Section 16 reporting, directors, and Designated Employees, a Rule 10b5-1 plan may not be adopted, amended or terminated outside of a window period. Furthermore, these persons must report any trade under a Rule 10b5-1 plan to the Dover Law Department.</w:t>
      </w:r>
    </w:p>
    <w:p>
      <w:pPr>
        <w:pStyle w:val="TextBody"/>
        <w:bidi w:val="0"/>
        <w:spacing w:before="39" w:after="283"/>
        <w:jc w:val="left"/>
        <w:rPr/>
      </w:pPr>
      <w:r>
        <w:rPr/>
      </w:r>
    </w:p>
    <w:p>
      <w:pPr>
        <w:pStyle w:val="TextBody"/>
        <w:bidi w:val="0"/>
        <w:spacing w:lineRule="auto" w:line="288" w:before="39" w:after="283"/>
        <w:jc w:val="left"/>
        <w:rPr>
          <w:rFonts w:ascii="Calibri;sans-serif" w:hAnsi="Calibri;sans-serif"/>
          <w:b w:val="false"/>
          <w:color w:val="000000"/>
          <w:sz w:val="24"/>
        </w:rPr>
      </w:pPr>
      <w:r>
        <w:rPr>
          <w:rFonts w:ascii="Calibri;sans-serif" w:hAnsi="Calibri;sans-serif"/>
          <w:b w:val="false"/>
          <w:color w:val="000000"/>
          <w:sz w:val="24"/>
        </w:rPr>
        <w:t xml:space="preserve">If you would like to discuss whether you may trade shares in or outside of a window period or the possible use of a Rule 10b5-1 plan with respect to shares you own or wish to acquire, or if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left"/>
        <w:rPr>
          <w:rFonts w:ascii="Calibri;sans-serif" w:hAnsi="Calibri;sans-serif"/>
          <w:b w:val="false"/>
          <w:color w:val="000000"/>
          <w:sz w:val="24"/>
        </w:rPr>
      </w:pPr>
      <w:r>
        <w:rPr>
          <w:rFonts w:ascii="Calibri;sans-serif" w:hAnsi="Calibri;sans-serif"/>
          <w:b w:val="false"/>
          <w:color w:val="000000"/>
          <w:sz w:val="24"/>
        </w:rPr>
        <w:t>you have any questions or concerns about insider trading rules with respect to any transaction, please contact the Dover Law Department.</w:t>
      </w:r>
    </w:p>
    <w:p>
      <w:pPr>
        <w:pStyle w:val="TextBody"/>
        <w:bidi w:val="0"/>
        <w:spacing w:before="69"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Consequences of Insider Trading Violations</w:t>
      </w:r>
    </w:p>
    <w:p>
      <w:pPr>
        <w:pStyle w:val="TextBody"/>
        <w:bidi w:val="0"/>
        <w:spacing w:lineRule="auto" w:line="288" w:before="237" w:after="283"/>
        <w:jc w:val="left"/>
        <w:rPr>
          <w:rFonts w:ascii="Calibri;sans-serif" w:hAnsi="Calibri;sans-serif"/>
          <w:b w:val="false"/>
          <w:color w:val="000000"/>
          <w:sz w:val="24"/>
        </w:rPr>
      </w:pPr>
      <w:r>
        <w:rPr>
          <w:rFonts w:ascii="Calibri;sans-serif" w:hAnsi="Calibri;sans-serif"/>
          <w:b w:val="false"/>
          <w:color w:val="000000"/>
          <w:sz w:val="24"/>
        </w:rPr>
        <w:t>Employees who violate this Policy may be subject to disciplinary action by the Company, up to and including dismissal for cause. If you have any question or doubt about the applicability or interpretation of this Policy or the propriety of any desired action, please seek clarification from the Dover Law Department. Do not try to resolve uncertainties on your own. 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or tippee, pay significant civil and/or criminal penalties, and/or serve a lengthy jail term. In such circumstances, the Company may also be required to pay significant civil or criminal penalties.</w:t>
      </w:r>
    </w:p>
    <w:p>
      <w:pPr>
        <w:pStyle w:val="TextBody"/>
        <w:bidi w:val="0"/>
        <w:spacing w:before="68"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Anti-Hedging and Anti-Pledging Policy</w: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It is Dover's policy that (i) executive officers and directors of Dover, (ii) employees who receive or received any type of long-term incentive plan (LTIP) award, and (iii) designees of such employees, officers or directors, may not engage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employee, executive officer or director by Dover as part of the compensation of such individual, or (2) held, directly or indirectly, by the employee, executive officer or director. For purposes of this Policy, a designee of an individual shall mean any family member of the individual sharing the same household and any trust or other entity controlled by such individual.</w:t>
      </w:r>
    </w:p>
    <w:p>
      <w:pPr>
        <w:pStyle w:val="TextBody"/>
        <w:bidi w:val="0"/>
        <w:spacing w:lineRule="auto" w:line="288" w:before="200" w:after="283"/>
        <w:jc w:val="left"/>
        <w:rPr>
          <w:rFonts w:ascii="Calibri;sans-serif" w:hAnsi="Calibri;sans-serif"/>
          <w:b w:val="false"/>
          <w:color w:val="000000"/>
          <w:sz w:val="24"/>
        </w:rPr>
      </w:pPr>
      <w:r>
        <w:rPr>
          <w:rFonts w:ascii="Calibri;sans-serif" w:hAnsi="Calibri;sans-serif"/>
          <w:b w:val="false"/>
          <w:color w:val="000000"/>
          <w:sz w:val="24"/>
        </w:rPr>
        <w:t>Because securities pledged as collateral for a loan may be sold in foreclosure if the borrower defaults on the loan, and because securities held in a margin account may be sold by a broker without the customer's consent if the customer fails to meet a margin call, a foreclosure sale or a margin sale may occur at a time when a pledgor is aware of material nonpublic information or otherwise is not permitted to trade in Dover securities. Executive officers and directors of Dover and any employee of Dover who receives or received any type of LTIP award, may not hold Dover securities in a margin account or pledge Dover securities as collateral for a loan or any other obligation. The policy applies to all Dover securities held, directly or indirectly, by such persons, regardless of the manner in which they were acquired.</w:t>
      </w:r>
    </w:p>
    <w:p>
      <w:pPr>
        <w:pStyle w:val="TextBody"/>
        <w:bidi w:val="0"/>
        <w:spacing w:lineRule="auto" w:line="280" w:before="200" w:after="283"/>
        <w:jc w:val="left"/>
        <w:rPr>
          <w:rFonts w:ascii="Calibri;sans-serif" w:hAnsi="Calibri;sans-serif"/>
          <w:b w:val="false"/>
          <w:color w:val="000000"/>
          <w:sz w:val="24"/>
        </w:rPr>
      </w:pPr>
      <w:r>
        <w:rPr>
          <w:rFonts w:ascii="Calibri;sans-serif" w:hAnsi="Calibri;sans-serif"/>
          <w:b w:val="false"/>
          <w:color w:val="000000"/>
          <w:sz w:val="24"/>
        </w:rPr>
        <w:t>Under what is anticipated to be limited circumstances, Dover may grant an exception to the prohibition on pledging Dover securities as collateral for a loan (not including margin debt). Any person who wishes to pledge Dover securities as collateral for a loan must submit a request for approval to the General Counsel at least two weeks prior to the proposed execution of documents evidencing the proposed pledge.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An LTIP award, for purposes of this policy, shall include, but not be limited to, cash or equity awards under Dover's 2021 Omnibus Incentive Plan, 2012 Equity and Cash Incentive Plan or any other long-term incentive plan that Dover may adopt.</w:t>
      </w:r>
    </w:p>
    <w:p>
      <w:pPr>
        <w:pStyle w:val="TextBody"/>
        <w:bidi w:val="0"/>
        <w:spacing w:before="69" w:after="283"/>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Special Notes for Executive Officers, Directors, and Certain Other Employees</w:t>
      </w:r>
    </w:p>
    <w:p>
      <w:pPr>
        <w:pStyle w:val="TextBody"/>
        <w:bidi w:val="0"/>
        <w:spacing w:lineRule="auto" w:line="288" w:before="199" w:after="283"/>
        <w:jc w:val="left"/>
        <w:rPr>
          <w:rFonts w:ascii="Calibri;sans-serif" w:hAnsi="Calibri;sans-serif"/>
          <w:b w:val="false"/>
          <w:color w:val="000000"/>
          <w:sz w:val="24"/>
        </w:rPr>
      </w:pPr>
      <w:r>
        <w:rPr>
          <w:rFonts w:ascii="Calibri;sans-serif" w:hAnsi="Calibri;sans-serif"/>
          <w:b w:val="false"/>
          <w:color w:val="000000"/>
          <w:sz w:val="24"/>
        </w:rPr>
        <w:t>As a reminder, directors, executive officers, and certain other employees of Dover are subject to additional restrictions and requirements when trading in Dover securities, including the imposition of quarterly and event-specific blackout periods and the prohibition on short-swing profits for matched purchases and sales of Dover securities within a six-month period under Section 16(b) of the Exchange Act. Those individuals have been notified in writing by the Dover Law Department of those restrictions and requirements. If you are unsure whether you may be subject to these additional restrictions, you should contact the Dover Law Department.</w:t>
      </w:r>
    </w:p>
    <w:p>
      <w:pPr>
        <w:pStyle w:val="TextBody"/>
        <w:bidi w:val="0"/>
        <w:spacing w:before="152" w:after="283"/>
        <w:jc w:val="left"/>
        <w:rPr/>
      </w:pPr>
      <w:r>
        <w:rPr/>
      </w:r>
    </w:p>
    <w:p>
      <w:pPr>
        <w:pStyle w:val="TextBody"/>
        <w:bidi w:val="0"/>
        <w:spacing w:lineRule="auto" w:line="288"/>
        <w:jc w:val="left"/>
        <w:rPr>
          <w:rFonts w:ascii="Calibri;sans-serif" w:hAnsi="Calibri;sans-serif"/>
          <w:b w:val="false"/>
          <w:color w:val="000000"/>
          <w:sz w:val="24"/>
        </w:rPr>
      </w:pPr>
      <w:r>
        <w:rPr>
          <w:rFonts w:ascii="Calibri;sans-serif" w:hAnsi="Calibri;sans-serif"/>
          <w:b w:val="false"/>
          <w:color w:val="000000"/>
          <w:sz w:val="24"/>
        </w:rPr>
        <w:t>[As last revised on February 14,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Dover Corporation - Domestic and Foreign Subsidiaries</w:t>
      </w:r>
    </w:p>
    <w:tbl>
      <w:tblPr>
        <w:tblW w:w="6868" w:type="dxa"/>
        <w:jc w:val="left"/>
        <w:tblInd w:w="0" w:type="dxa"/>
        <w:tblLayout w:type="fixed"/>
        <w:tblCellMar>
          <w:top w:w="28" w:type="dxa"/>
          <w:left w:w="28" w:type="dxa"/>
          <w:bottom w:w="28" w:type="dxa"/>
          <w:right w:w="28" w:type="dxa"/>
        </w:tblCellMar>
      </w:tblPr>
      <w:tblGrid>
        <w:gridCol w:w="1802"/>
        <w:gridCol w:w="1582"/>
        <w:gridCol w:w="1595"/>
        <w:gridCol w:w="552"/>
        <w:gridCol w:w="552"/>
        <w:gridCol w:w="785"/>
      </w:tblGrid>
      <w:tr>
        <w:trPr/>
        <w:tc>
          <w:tcPr>
            <w:tcW w:w="180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 Name</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Where Incorporated</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Domestic</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Acme Cryo Intermediate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Acme Cryogenics,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Alfred Fueling Systems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Anman,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Equity Holdings,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Holdings,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Mexico Holdings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North Holdco,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Specialty Glass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TemperBent GP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AvaLAN Wireless Systems Incorporated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Belanger,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Belvac Production Machinery,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Bite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Organization &amp; Development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CDS Visual,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CEP Liquidation,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Chippewa Square Captive Insurance Company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CHRONOTEK FLOW,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Colder Products Company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Cook Compression,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Cook-MFS,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 Formation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CPC Europe,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CPI Products,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Criteria Labs,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Cryogenic Experts,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DD1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 Properties,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Capital Formation,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Capital Holdings,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De-Sta-Co Cylinders,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DFH Corporation</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Dosmatic U.S.A.,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(Schweiz) Holding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Business Services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Clean Energy &amp; Fueling Segment,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Climate &amp; Sustainability Technologies Segment,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DEI Services,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Engineered Products Segment,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Europe,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Global Holdings,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Imaging &amp; Identification Segment,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International Investments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International Operations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International Ventures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Investments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Mexico Holdings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Overseas Ventures,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Pumps &amp; Process Solutions Segment,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58" w:type="dxa"/>
        <w:jc w:val="left"/>
        <w:tblInd w:w="0" w:type="dxa"/>
        <w:tblLayout w:type="fixed"/>
        <w:tblCellMar>
          <w:top w:w="28" w:type="dxa"/>
          <w:left w:w="28" w:type="dxa"/>
          <w:bottom w:w="28" w:type="dxa"/>
          <w:right w:w="28" w:type="dxa"/>
        </w:tblCellMar>
      </w:tblPr>
      <w:tblGrid>
        <w:gridCol w:w="1351"/>
        <w:gridCol w:w="1187"/>
        <w:gridCol w:w="1196"/>
        <w:gridCol w:w="417"/>
        <w:gridCol w:w="417"/>
        <w:gridCol w:w="590"/>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WSCR Holding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WSCR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Dow-Key Microwave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ECI Holding Company,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ECII (Mexico),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Controls International,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EOA Systems,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Espy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GIIER,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Highland Park Insurance Company</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 PHOENIX WIC,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 PHOENIX,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 Systems Company</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Innovative Control Systems,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Inpro/Seal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K&amp;L Microwave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Knappco,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Gala,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Pump Systems (US), Inc.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Reduction,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MALEMA ENGINEERING CORPORATION</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Corporation</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Marshall Excelsior Co.</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 Enterprises,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CRYO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Realty,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Xanik I,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Xanik II,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Xanik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Manufacturing,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MPG Holding Company</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Lights (Nevada),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Lights Funding LP</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Lights Investments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Controls, Inc.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 International Holdings,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 International, Inc.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Fluids Group,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Fuel Management Systems,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Fueling Components,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PDQ Manufacturing, Inc.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Pike Machine Products,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PISCES by OPW, Inc.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Pole/Zero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PSG California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Management Services Co.,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Questclean Corporation</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Revod Corporation</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Revod Formation,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Robohand,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 Liquidation, LLC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Seabiscuit Motorsports,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Simmons Sirvey Corporation</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Holding, LLC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13" w:type="dxa"/>
        <w:jc w:val="left"/>
        <w:tblInd w:w="0" w:type="dxa"/>
        <w:tblLayout w:type="fixed"/>
        <w:tblCellMar>
          <w:top w:w="28" w:type="dxa"/>
          <w:left w:w="28" w:type="dxa"/>
          <w:bottom w:w="28" w:type="dxa"/>
          <w:right w:w="28" w:type="dxa"/>
        </w:tblCellMar>
      </w:tblPr>
      <w:tblGrid>
        <w:gridCol w:w="1939"/>
        <w:gridCol w:w="1704"/>
        <w:gridCol w:w="1711"/>
        <w:gridCol w:w="453"/>
        <w:gridCol w:w="453"/>
        <w:gridCol w:w="653"/>
      </w:tblGrid>
      <w:tr>
        <w:trPr/>
        <w:tc>
          <w:tcPr>
            <w:tcW w:w="193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Products,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North America,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Sys-Tech Solutions,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Tartan Textile Services,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Transchem Pro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TTSI III,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Tulsa Winch, Inc.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TXHI,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 TemperBent Glass, L.P.</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Service Group,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Warn Automotive,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Waukesha Bearings Corporation</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Fueling Systems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Intermediate LLC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Solutions US LLC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WSCR Corp.</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Foreign</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Advansor A/S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Advansor Germany GmbH</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 Pacific Siam Ltd.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Engineering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Brunswick</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BELVAC CR, spol. s r.o.</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Belvac Decorating Systems B.V.</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Belvac Middle East FZE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BlitzRotary GmbH</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BSC Filters Limited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Bulloch Technologies Inc.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Caldera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Colder Products Company GmbH</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Cook Compression Limited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Demaco Holland B.V.</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Netherlands B.V.</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Mosaic Corp.</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Dositec Sistemas SL</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(China) Investment Co., Ltd.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(Shanghai) Industrial Co., Ltd.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(Shenzhen) Industrial Equipment Manufacturing Co., Ltd.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(Suzhou) Industrial Equipment Manufacturing Co., Ltd.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Asia Investments Private Limited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Asia Trading Private Limited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Australia Holdings Pty Limited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Business Services Europe S.R.L.</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Business Services Philippines Corporation</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Canada Holdings ULC</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Canada Operations ULC</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CLP Formation Limited Partnership</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Corporation Regional Headquarters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Denmark Holdings ApS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do Brasil Ltda.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EMEA FZCO</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Euro Investment Pte. Ltd.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Europe Sarl</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Fluids UK Ltd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France Holdings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54" w:type="dxa"/>
        <w:jc w:val="left"/>
        <w:tblInd w:w="0" w:type="dxa"/>
        <w:tblLayout w:type="fixed"/>
        <w:tblCellMar>
          <w:top w:w="28" w:type="dxa"/>
          <w:left w:w="28" w:type="dxa"/>
          <w:bottom w:w="28" w:type="dxa"/>
          <w:right w:w="28" w:type="dxa"/>
        </w:tblCellMar>
      </w:tblPr>
      <w:tblGrid>
        <w:gridCol w:w="2422"/>
        <w:gridCol w:w="2131"/>
        <w:gridCol w:w="2136"/>
        <w:gridCol w:w="660"/>
        <w:gridCol w:w="660"/>
        <w:gridCol w:w="945"/>
      </w:tblGrid>
      <w:tr>
        <w:trPr/>
        <w:tc>
          <w:tcPr>
            <w:tcW w:w="242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France Participations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France Technologies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Fueling Solutions Italia S.r.l.</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Fueling Solutions UK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Germany GmbH</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Holdings de Mexico S.A. de C.V.</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India Pvt.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Industries Italy S.R.L.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Intercompany Services UK Limited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International B.V.</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International ithalat ihracat ve Pazarlama Limited Sirketi</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Italy Holdings S.r.l.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Luxembourg Finance S.a r.l.</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Luxembourg Participations S.a r.l.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Luxembourg S.a r.l.</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Luxembourg Services S.A.</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Operations South Africa (Pty)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Refrigeration &amp; Food Equipment UK Ltd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Resources International de Mexico S. de R.L. C.V.</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Romania Innovation Center S.R.L.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Singapore Holdings Private Limited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Solutions Colombia SAS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Southeast Asia (Thailand)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Spain Holdings, S.L.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Switzerland Participations GmbH</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UK Pensions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Dresser Wayne Fuel Equipment (Shanghai) Co.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Ebs-Ray Pumps Pty. Ltd.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South Wales</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ECI RegO Servicios, Sociedad De Responsabilidad Limitada De Capital Variable</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ECI RegO, Sociedad De Responsabilidad Limitada De Capital Variable</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em-tec GmbH</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Fairbanks Environmental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Fibrelite Composites Limited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Foshan ARC Industrial Equipment Manufacturing Co., Ltd.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Tokheim LIYUAN Oil Industry Technology Limited Company</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 Phoenix Costa Rica, Sociedad De Responsabilidad Limitada</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 Phoenix de Mexico, S. de R.L. de C.V.</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 Phoenix El Salvador, Limitada de Capital Variable</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Hiltap Fittings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 Systems Europe Ltd.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KPS (Beijing) Petroleum Equipment Trading Co,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KPS Hong Kong Holding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LIQAL B.V.</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Liquip International Pty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LIQUIP UK PTY LIMITED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AMN</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Automatik Plastics Machinery (Shanghai) Co.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Ettlinger GmbH</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Germany GmbH</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Italy S.R.L.</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Pump Systems AG</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Service (Malaysia) Sdn. Bdn.</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Service (Taiwan) Ltd.</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Province of China</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Systems (Thailand) Limited</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Maag Witte GmbH</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48"/>
        <w:gridCol w:w="2552"/>
        <w:gridCol w:w="2568"/>
        <w:gridCol w:w="620"/>
        <w:gridCol w:w="620"/>
        <w:gridCol w:w="897"/>
      </w:tblGrid>
      <w:tr>
        <w:trPr/>
        <w:tc>
          <w:tcPr>
            <w:tcW w:w="294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MALEMA SENSORS INDIA PRIVATE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 FZ SA</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Uruguay</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 Imaje Center of Competencies Spain, S.L.U.</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 Unipessoal, Lda</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(China) Co.,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A/S</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AB</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AG</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AS</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B.V.</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Co., Ltd.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Republic of</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GmbH</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Holding</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Inc.</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India Private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Industries</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Industries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KK</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LLC</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Ltd.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Province of China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Ltd.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N.V.</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Philippines Corporation</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Pty. Ltd.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S.A.</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S.A. de C.V.</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S.r.l.</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SAS</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Sdn. Bhd.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Markem-Imaje Spain S.A.</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 Xanik Mexico, S. de R.L. de C.V.</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Mouvex</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MPG DR Inc.</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 International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Fluid Transfer Group Europe B.V.</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Fluid Transfer Solutions (Jiang Su) Co., Ltd.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Fueling Components (Suzhou) Co., Ltd.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Malaysia Sdn. Bhd.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Slovakia s.r.o.</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OPW Sweden AB</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Vend Sp. z o.o.</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Pharmacontrol Electronic GmbH</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Brasil Equipamentos E Servicos Para Postos De Combustiveis Ltda.</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Service - Servicos De Manutencao E Instalacao De Postos De Abastecimento De Combustivel Ltda.</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PSD Codax Holdings Limited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PSD Codax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PSG (Shanghai) Co., Ltd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PSG (Tianjin) Co., Ltd.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PSG Germany GmbH</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Quantex Arc Limited</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Quantex Patents Limited</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 France</w:t>
            </w:r>
          </w:p>
        </w:tc>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Engineering GmbH</w:t>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99" w:type="dxa"/>
        <w:jc w:val="left"/>
        <w:tblInd w:w="0" w:type="dxa"/>
        <w:tblLayout w:type="fixed"/>
        <w:tblCellMar>
          <w:top w:w="28" w:type="dxa"/>
          <w:left w:w="28" w:type="dxa"/>
          <w:bottom w:w="28" w:type="dxa"/>
          <w:right w:w="28" w:type="dxa"/>
        </w:tblCellMar>
      </w:tblPr>
      <w:tblGrid>
        <w:gridCol w:w="1693"/>
        <w:gridCol w:w="1487"/>
        <w:gridCol w:w="1499"/>
        <w:gridCol w:w="737"/>
        <w:gridCol w:w="737"/>
        <w:gridCol w:w="1046"/>
      </w:tblGrid>
      <w:tr>
        <w:trPr/>
        <w:tc>
          <w:tcPr>
            <w:tcW w:w="169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RegO (Shanghai) Trading 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Rego GmbH</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RegO Valve (Shanghai) 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Revod Luxembourg S.a r.l.</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Revod Singapore Private Limited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Revod Sweden AB</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Lift Consolidated (Haimen) 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RegO Flow Technology Company, Ltd.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Solaris Laser Sp. z o.o.</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Gas Systems (SGS) B.V.</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SPS Cryogenics B.V.</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Energy Oy</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France</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Germany GmbH</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International A.B.</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Japan K.K.</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Malaysia Sdn. Bhd.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Slovakia s.r.o.</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SWEP Technology (Suzhou) 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Systech GB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Belgium</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China Company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GmbH</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Group</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Hengshan Technologies (Guangzhou) 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Holding B.V.</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India Private Limited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Tokheim Sofitam Applications</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TQC Quantium Quality, S.A. de C.V.</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 City, District Federal</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Transchem Inc.</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TWG Canada Consolidated Inc.</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Vectron Frequency Devices (Shanghai) Co., Ltd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Service Group Italy S.r.l.</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Service Group UK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Waukesha Bearings Limited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Financing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Formation (SCOT) LP</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Scotland</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Formation Holdings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Fueling Systems Australia Pty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Fueling Systems Canada ULC</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Fueling Systems UK Holdco Ltd.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Fueling Systems UK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Industria e Comercio Ltda.</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Operations Holdings Limited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Solutions UK Limited</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WITTE Pumps &amp; Technology (Shanghai) Co., Ltd.</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Xanor de Mexico, S.A. de C.V.</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center"/>
        <w:rPr/>
      </w:pPr>
      <w:r>
        <w:rPr/>
      </w:r>
    </w:p>
    <w:p>
      <w:pPr>
        <w:pStyle w:val="TextBody"/>
        <w:bidi w:val="0"/>
        <w:spacing w:lineRule="auto" w:line="288" w:before="100" w:after="1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333-269991) and Form S-8 (Nos. 333-01419, 333-64160, 333-125072, 333-183414, 333-192604, and 333-255993) of Dover Corporation of our report dated February 14, 2025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Chicago, Illinois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14,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B. Woenker, certify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Dover Corporation;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3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166"/>
        <w:gridCol w:w="1166"/>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Richard J. Tobin, certify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Dover Corporation;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9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952"/>
        <w:gridCol w:w="952"/>
        <w:gridCol w:w="13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Respect to the 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Period ended December 31,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Dover Corporation</w:t>
      </w:r>
    </w:p>
    <w:p>
      <w:pPr>
        <w:pStyle w:val="TextBody"/>
        <w:bidi w:val="0"/>
        <w:spacing w:before="0" w:after="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1.The Company’s Annual Report on Form 10-K for the period ended December 31, 2024 (the “</w:t>
      </w:r>
      <w:r>
        <w:rPr>
          <w:rFonts w:ascii="Times New Roman;sans-serif" w:hAnsi="Times New Roman;sans-serif"/>
          <w:b/>
          <w:color w:val="000000"/>
          <w:sz w:val="20"/>
        </w:rPr>
        <w:t>Form 10-K”</w:t>
      </w:r>
      <w:r>
        <w:rPr>
          <w:rFonts w:ascii="Times New Roman;sans-serif" w:hAnsi="Times New Roman;sans-serif"/>
          <w:b w:val="false"/>
          <w:color w:val="000000"/>
          <w:sz w:val="20"/>
        </w:rPr>
        <w:t>) fully complies with the requirements of Section 13(a) of the Securities Exchange Act of 1934, as amended;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Form 10-K fairly presents, in all material respects, the financial condition and results of operations of the Company.</w:t>
      </w:r>
    </w:p>
    <w:tbl>
      <w:tblPr>
        <w:tblW w:w="6239"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167"/>
        <w:gridCol w:w="1167"/>
        <w:gridCol w:w="165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2025</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B. Woenker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B. Woenker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9905/000002990524000045/a2024093010-qexhibit21.htm" TargetMode="External"/><Relationship Id="rId4" Type="http://schemas.openxmlformats.org/officeDocument/2006/relationships/hyperlink" Target="https://www.sec.gov/Archives/edgar/data/29905/000002990524000045/a2024093010-qexhibit22.htm" TargetMode="External"/><Relationship Id="rId5" Type="http://schemas.openxmlformats.org/officeDocument/2006/relationships/hyperlink" Target="https://www.sec.gov/Archives/edgar/data/29905/000119312524134321/d804750dex31.htm" TargetMode="External"/><Relationship Id="rId6" Type="http://schemas.openxmlformats.org/officeDocument/2006/relationships/hyperlink" Target="https://www.sec.gov/Archives/edgar/data/29905/000119312524134321/d804750dex31.htm" TargetMode="External"/><Relationship Id="rId7" Type="http://schemas.openxmlformats.org/officeDocument/2006/relationships/hyperlink" Target="https://www.sec.gov/Archives/edgar/data/29905/000119312524134321/d804750dex31.htm" TargetMode="External"/><Relationship Id="rId8" Type="http://schemas.openxmlformats.org/officeDocument/2006/relationships/hyperlink" Target="https://www.sec.gov/Archives/edgar/data/29905/000119312523041110/d409855dex31.htm" TargetMode="External"/><Relationship Id="rId9" Type="http://schemas.openxmlformats.org/officeDocument/2006/relationships/hyperlink" Target="http://www.sec.gov/Archives/edgar/data/29905/0000950123-98-005947-index.html" TargetMode="External"/><Relationship Id="rId10" Type="http://schemas.openxmlformats.org/officeDocument/2006/relationships/hyperlink" Target="http://www.sec.gov/Archives/edgar/data/29905/0000950123-98-005947-index.html" TargetMode="External"/><Relationship Id="rId11" Type="http://schemas.openxmlformats.org/officeDocument/2006/relationships/hyperlink" Target="http://www.sec.gov/Archives/edgar/data/29905/000095012301001183/y45340ex4-1.txt" TargetMode="External"/><Relationship Id="rId12" Type="http://schemas.openxmlformats.org/officeDocument/2006/relationships/hyperlink" Target="http://www.sec.gov/Archives/edgar/data/29905/000095012305012117/y13484aexv4w1.htm" TargetMode="External"/><Relationship Id="rId13" Type="http://schemas.openxmlformats.org/officeDocument/2006/relationships/hyperlink" Target="http://www.sec.gov/Archives/edgar/data/29905/000095012305012117/y13484aexv4w3.htm" TargetMode="External"/><Relationship Id="rId14" Type="http://schemas.openxmlformats.org/officeDocument/2006/relationships/hyperlink" Target="http://www.sec.gov/Archives/edgar/data/29905/000095012308002981/y51458a1exv4w1.htm" TargetMode="External"/><Relationship Id="rId15" Type="http://schemas.openxmlformats.org/officeDocument/2006/relationships/hyperlink" Target="http://www.sec.gov/Archives/edgar/data/29905/000095012308002981/y51458a1exv4w3.htm" TargetMode="External"/><Relationship Id="rId16" Type="http://schemas.openxmlformats.org/officeDocument/2006/relationships/hyperlink" Target="http://www.sec.gov/Archives/edgar/data/29905/000095012311016229/y89741exv4w1.htm" TargetMode="External"/><Relationship Id="rId17" Type="http://schemas.openxmlformats.org/officeDocument/2006/relationships/hyperlink" Target="http://www.sec.gov/Archives/edgar/data/29905/000095012311016229/y89741exv4w3.htm" TargetMode="External"/><Relationship Id="rId18" Type="http://schemas.openxmlformats.org/officeDocument/2006/relationships/hyperlink" Target="http://www.sec.gov/Archives/edgar/data/29905/000119312513460389/d635057dex41.htm" TargetMode="External"/><Relationship Id="rId19" Type="http://schemas.openxmlformats.org/officeDocument/2006/relationships/hyperlink" Target="http://www.sec.gov/Archives/edgar/data/29905/000119312515363443/d25548dex41.htm" TargetMode="External"/><Relationship Id="rId20" Type="http://schemas.openxmlformats.org/officeDocument/2006/relationships/hyperlink" Target="http://www.sec.gov/Archives/edgar/data/29905/000119312515363443/d25548dex41.htm" TargetMode="External"/><Relationship Id="rId21" Type="http://schemas.openxmlformats.org/officeDocument/2006/relationships/hyperlink" Target="http://www.sec.gov/Archives/edgar/data/29905/000119312516763637/d200819dex41.htm" TargetMode="External"/><Relationship Id="rId22" Type="http://schemas.openxmlformats.org/officeDocument/2006/relationships/hyperlink" Target="http://www.sec.gov/Archives/edgar/data/29905/000119312516763637/d200819dex41.htm" TargetMode="External"/><Relationship Id="rId23" Type="http://schemas.openxmlformats.org/officeDocument/2006/relationships/hyperlink" Target="https://www.sec.gov/Archives/edgar/data/0000029905/000119312519283338/d816977dex41.htm" TargetMode="External"/><Relationship Id="rId24" Type="http://schemas.openxmlformats.org/officeDocument/2006/relationships/hyperlink" Target="http://www.sec.gov/Archives/edgar/data/29905/000119312519283338/d816977dex41.htm" TargetMode="External"/><Relationship Id="rId25" Type="http://schemas.openxmlformats.org/officeDocument/2006/relationships/hyperlink" Target="http://www.sec.gov/Archives/edgar/data/29905/000119312519283338/d816977dex43.htm" TargetMode="External"/><Relationship Id="rId26" Type="http://schemas.openxmlformats.org/officeDocument/2006/relationships/hyperlink" Target="http://www.sec.gov/Archives/edgar/data/29905/000119312519283338/d816977dex43.htm" TargetMode="External"/><Relationship Id="rId27" Type="http://schemas.openxmlformats.org/officeDocument/2006/relationships/hyperlink" Target="https://www.sec.gov/Archives/edgar/data/29905/000002990520000011/a2019123110-kexhibit419.htm" TargetMode="External"/><Relationship Id="rId28" Type="http://schemas.openxmlformats.org/officeDocument/2006/relationships/hyperlink" Target="https://www.sec.gov/Archives/edgar/data/29905/000002990520000011/a2019123110-kexhibit419.htm" TargetMode="External"/><Relationship Id="rId29" Type="http://schemas.openxmlformats.org/officeDocument/2006/relationships/hyperlink" Target="https://www.sec.gov/Archives/edgar/data/29905/000002990520000011/a2019123110-kexhibit419.htm" TargetMode="External"/><Relationship Id="rId30" Type="http://schemas.openxmlformats.org/officeDocument/2006/relationships/hyperlink" Target="https://www.sec.gov/Archives/edgar/data/29905/000119312523097188/d416302dex101.htm" TargetMode="External"/><Relationship Id="rId31" Type="http://schemas.openxmlformats.org/officeDocument/2006/relationships/hyperlink" Target="https://www.sec.gov/Archives/edgar/data/29905/000002990524000020/a2024033110-qexhibit104.htm" TargetMode="External"/><Relationship Id="rId32" Type="http://schemas.openxmlformats.org/officeDocument/2006/relationships/hyperlink" Target="https://www.sec.gov/Archives/edgar/data/29905/000002990524000020/a2024033110-qexhibit103.htm" TargetMode="External"/><Relationship Id="rId33" Type="http://schemas.openxmlformats.org/officeDocument/2006/relationships/hyperlink" Target="https://www.sec.gov/Archives/edgar/data/29905/000119312518161162/d585845dex102.htm" TargetMode="External"/><Relationship Id="rId34" Type="http://schemas.openxmlformats.org/officeDocument/2006/relationships/hyperlink" Target="https://www.sec.gov/Archives/edgar/data/29905/000095012309008734/y77189exv10w2.htm" TargetMode="External"/><Relationship Id="rId35" Type="http://schemas.openxmlformats.org/officeDocument/2006/relationships/hyperlink" Target="https://www.sec.gov/Archives/edgar/data/29905/000002990520000011/a2019123110-kexhibit103.htm" TargetMode="External"/><Relationship Id="rId36" Type="http://schemas.openxmlformats.org/officeDocument/2006/relationships/hyperlink" Target="https://www.sec.gov/Archives/edgar/data/29905/000002990520000043/a2020093010-qexhibit101.htm" TargetMode="External"/><Relationship Id="rId37" Type="http://schemas.openxmlformats.org/officeDocument/2006/relationships/hyperlink" Target="https://www.sec.gov/Archives/edgar/data/29905/000002990523000008/a2022123110-kexhibit106.htm" TargetMode="External"/><Relationship Id="rId38" Type="http://schemas.openxmlformats.org/officeDocument/2006/relationships/hyperlink" Target="https://www.sec.gov/Archives/edgar/data/29905/000095012310014502/y81455exv10w11.htm" TargetMode="External"/><Relationship Id="rId39" Type="http://schemas.openxmlformats.org/officeDocument/2006/relationships/hyperlink" Target="https://www.sec.gov/Archives/edgar/data/29905/000002990513000053/a2013093010-qexhibit102.htm" TargetMode="External"/><Relationship Id="rId40" Type="http://schemas.openxmlformats.org/officeDocument/2006/relationships/hyperlink" Target="https://www.sec.gov/Archives/edgar/data/29905/000002990517000011/a2016123110-kexhibit1019.htm" TargetMode="External"/><Relationship Id="rId41" Type="http://schemas.openxmlformats.org/officeDocument/2006/relationships/hyperlink" Target="https://www.sec.gov/Archives/edgar/data/29905/000002990518000043/a2018063010-qexhibit102.htm" TargetMode="External"/><Relationship Id="rId42" Type="http://schemas.openxmlformats.org/officeDocument/2006/relationships/hyperlink" Target="https://www.sec.gov/Archives/edgar/data/29905/000119312521243460/d216080dex101.htm" TargetMode="External"/><Relationship Id="rId43" Type="http://schemas.openxmlformats.org/officeDocument/2006/relationships/hyperlink" Target="https://www.sec.gov/Archives/edgar/data/29905/000119312521243460/d216080dex102.htm" TargetMode="External"/><Relationship Id="rId44" Type="http://schemas.openxmlformats.org/officeDocument/2006/relationships/hyperlink" Target="https://www.sec.gov/Archives/edgar/data/29905/000002990512000039/a2012063010-qexhibit101.htm" TargetMode="External"/><Relationship Id="rId45" Type="http://schemas.openxmlformats.org/officeDocument/2006/relationships/hyperlink" Target="https://www.sec.gov/Archives/edgar/data/29905/000002990514000012/a2013123110-kexhibit1025.htm" TargetMode="External"/><Relationship Id="rId46" Type="http://schemas.openxmlformats.org/officeDocument/2006/relationships/hyperlink" Target="https://www.sec.gov/Archives/edgar/data/29905/000002990514000044/a2014093010-qexhibit101.htm" TargetMode="External"/><Relationship Id="rId47" Type="http://schemas.openxmlformats.org/officeDocument/2006/relationships/hyperlink" Target="https://www.sec.gov/Archives/edgar/data/29905/000002990521000020/a2021033110-qexhibit101.htm" TargetMode="External"/><Relationship Id="rId48" Type="http://schemas.openxmlformats.org/officeDocument/2006/relationships/hyperlink" Target="https://www.sec.gov/Archives/edgar/data/29905/000002990515000007/a2014123110-kexhibit1025.htm" TargetMode="External"/><Relationship Id="rId49" Type="http://schemas.openxmlformats.org/officeDocument/2006/relationships/hyperlink" Target="https://www.sec.gov/Archives/edgar/data/29905/000002990516000074/a2016033110-qexhibit101.htm" TargetMode="External"/><Relationship Id="rId50" Type="http://schemas.openxmlformats.org/officeDocument/2006/relationships/hyperlink" Target="https://www.sec.gov/Archives/edgar/data/29905/000002990517000017/a2017033110-qexhibit101.htm" TargetMode="External"/><Relationship Id="rId51" Type="http://schemas.openxmlformats.org/officeDocument/2006/relationships/hyperlink" Target="https://www.sec.gov/Archives/edgar/data/29905/000002990518000026/a2018033110-qexhibit101.htm" TargetMode="External"/><Relationship Id="rId52" Type="http://schemas.openxmlformats.org/officeDocument/2006/relationships/hyperlink" Target="https://www.sec.gov/Archives/edgar/data/29905/000002990519000029/a2019033110-qex101.htm" TargetMode="External"/><Relationship Id="rId53" Type="http://schemas.openxmlformats.org/officeDocument/2006/relationships/hyperlink" Target="https://www.sec.gov/Archives/edgar/data/29905/000002990520000018/a2020033110-qexhibit101.htm" TargetMode="External"/><Relationship Id="rId54" Type="http://schemas.openxmlformats.org/officeDocument/2006/relationships/hyperlink" Target="https://www.sec.gov/Archives/edgar/data/29905/000002990521000020/a2021033110-qexhibit102.htm" TargetMode="External"/><Relationship Id="rId55" Type="http://schemas.openxmlformats.org/officeDocument/2006/relationships/hyperlink" Target="https://www.sec.gov/Archives/edgar/data/29905/000119312521156215/d662152dex101.htm" TargetMode="External"/><Relationship Id="rId56" Type="http://schemas.openxmlformats.org/officeDocument/2006/relationships/hyperlink" Target="https://www.sec.gov/Archives/edgar/data/29905/000002990522000009/a2021123110-kexhibit1041.htm" TargetMode="External"/><Relationship Id="rId57" Type="http://schemas.openxmlformats.org/officeDocument/2006/relationships/hyperlink" Target="https://www.sec.gov/Archives/edgar/data/29905/000002990522000009/a2021123110-kexhibit1043.htm" TargetMode="External"/><Relationship Id="rId58" Type="http://schemas.openxmlformats.org/officeDocument/2006/relationships/hyperlink" Target="https://www.sec.gov/Archives/edgar/data/29905/000002990522000009/a2021123110-kexhibit1044.htm" TargetMode="External"/><Relationship Id="rId59" Type="http://schemas.openxmlformats.org/officeDocument/2006/relationships/hyperlink" Target="https://www.sec.gov/Archives/edgar/data/29905/000002990522000009/a2021123110-kexhibit1046.htm" TargetMode="External"/><Relationship Id="rId60" Type="http://schemas.openxmlformats.org/officeDocument/2006/relationships/hyperlink" Target="https://www.sec.gov/Archives/edgar/data/29905/000002990523000008/a2022123110-kexhibit1037.htm" TargetMode="External"/><Relationship Id="rId61" Type="http://schemas.openxmlformats.org/officeDocument/2006/relationships/hyperlink" Target="https://www.sec.gov/Archives/edgar/data/29905/000002990523000008/a2022123110-kexhibit1038.htm" TargetMode="External"/><Relationship Id="rId62" Type="http://schemas.openxmlformats.org/officeDocument/2006/relationships/hyperlink" Target="https://www.sec.gov/Archives/edgar/data/29905/000002990523000008/a2022123110-kexhibit1039.htm" TargetMode="External"/><Relationship Id="rId63" Type="http://schemas.openxmlformats.org/officeDocument/2006/relationships/hyperlink" Target="https://www.sec.gov/Archives/edgar/data/29905/000002990524000008/a20231231ex1038ssaragreeme.htm" TargetMode="External"/><Relationship Id="rId64" Type="http://schemas.openxmlformats.org/officeDocument/2006/relationships/hyperlink" Target="https://www.sec.gov/Archives/edgar/data/29905/000002990524000008/a20231231ex1039rsuagreemen.htm" TargetMode="External"/><Relationship Id="rId65" Type="http://schemas.openxmlformats.org/officeDocument/2006/relationships/hyperlink" Target="https://www.sec.gov/Archives/edgar/data/29905/000002990524000020/a2024033110-qexhibit102.htm" TargetMode="External"/><Relationship Id="rId66" Type="http://schemas.openxmlformats.org/officeDocument/2006/relationships/hyperlink" Target="https://www.sec.gov/Archives/edgar/data/29905/000119312518088722/d537879dex101.htm" TargetMode="External"/><Relationship Id="rId67" Type="http://schemas.openxmlformats.org/officeDocument/2006/relationships/hyperlink" Target="https://www.sec.gov/Archives/edgar/data/29905/000119312521049108/d101523dex101.htm" TargetMode="External"/><Relationship Id="rId68" Type="http://schemas.openxmlformats.org/officeDocument/2006/relationships/hyperlink" Target="https://www.sec.gov/Archives/edgar/data/29905/000119312521049108/d101523dex101.htm" TargetMode="External"/><Relationship Id="rId69" Type="http://schemas.openxmlformats.org/officeDocument/2006/relationships/hyperlink" Target="https://www.sec.gov/Archives/edgar/data/29905/000002990524000008/a2023123110-kexhibit971.htm" TargetMode="External"/><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3.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63790</Words>
  <Characters>366854</Characters>
  <CharactersWithSpaces>427022</CharactersWithSpaces>
  <Paragraphs>7398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