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 w:lineRule="exact"/>
        <w:rPr>
          <w:sz w:val="24"/>
          <w:szCs w:val="24"/>
          <w:color w:val="auto"/>
        </w:rPr>
      </w:pPr>
    </w:p>
    <w:p>
      <w:pPr>
        <w:ind w:left="3820" w:right="2000" w:hanging="3812"/>
        <w:spacing w:after="0" w:line="397" w:lineRule="auto"/>
        <w:tabs>
          <w:tab w:leader="none" w:pos="2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9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19685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2"/>
        </w:trPr>
        <w:tc>
          <w:tcPr>
            <w:tcW w:w="2580" w:type="dxa"/>
            <w:vAlign w:val="bottom"/>
          </w:tcPr>
          <w:p>
            <w:pPr>
              <w:spacing w:after="0"/>
              <w:rPr>
                <w:sz w:val="21"/>
                <w:szCs w:val="21"/>
                <w:color w:val="auto"/>
              </w:rPr>
            </w:pPr>
          </w:p>
        </w:tc>
        <w:tc>
          <w:tcPr>
            <w:tcW w:w="38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0"/>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Downers Grove, Illinois</w:t>
            </w:r>
          </w:p>
        </w:tc>
        <w:tc>
          <w:tcPr>
            <w:tcW w:w="486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(630) 541-1540</w:t>
            </w:r>
          </w:p>
        </w:tc>
        <w:tc>
          <w:tcPr>
            <w:tcW w:w="4860" w:type="dxa"/>
            <w:vAlign w:val="bottom"/>
          </w:tcPr>
          <w:p>
            <w:pPr>
              <w:spacing w:after="0"/>
              <w:rPr>
                <w:sz w:val="24"/>
                <w:szCs w:val="24"/>
                <w:color w:val="auto"/>
              </w:rPr>
            </w:pPr>
          </w:p>
        </w:tc>
      </w:t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57" w:lineRule="exact"/>
        <w:rPr>
          <w:sz w:val="24"/>
          <w:szCs w:val="24"/>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2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34"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3820" w:type="dxa"/>
            <w:vAlign w:val="bottom"/>
          </w:tcPr>
          <w:p>
            <w:pPr>
              <w:ind w:left="1240"/>
              <w:spacing w:after="0" w:line="182" w:lineRule="exact"/>
              <w:rPr>
                <w:sz w:val="20"/>
                <w:szCs w:val="20"/>
                <w:color w:val="auto"/>
              </w:rPr>
            </w:pPr>
            <w:r>
              <w:rPr>
                <w:rFonts w:ascii="Times New Roman" w:cs="Times New Roman" w:eastAsia="Times New Roman" w:hAnsi="Times New Roman"/>
                <w:sz w:val="18"/>
                <w:szCs w:val="18"/>
                <w:color w:val="auto"/>
              </w:rPr>
              <w:t>Accelerated Filer</w:t>
            </w:r>
          </w:p>
        </w:tc>
        <w:tc>
          <w:tcPr>
            <w:tcW w:w="960" w:type="dxa"/>
            <w:vAlign w:val="bottom"/>
          </w:tcPr>
          <w:p>
            <w:pPr>
              <w:spacing w:after="0"/>
              <w:rPr>
                <w:sz w:val="15"/>
                <w:szCs w:val="15"/>
                <w:color w:val="auto"/>
              </w:rPr>
            </w:pPr>
          </w:p>
        </w:tc>
        <w:tc>
          <w:tcPr>
            <w:tcW w:w="35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09"/>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00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April 14, 2022 was 144,163,424.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4"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360" w:type="dxa"/>
            <w:vAlign w:val="bottom"/>
            <w:gridSpan w:val="17"/>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vMerge w:val="restart"/>
          </w:tcPr>
          <w:p>
            <w:pPr>
              <w:spacing w:after="0" w:line="20" w:lineRule="exact"/>
              <w:rPr>
                <w:sz w:val="1"/>
                <w:szCs w:val="1"/>
                <w:color w:val="auto"/>
              </w:rPr>
            </w:pPr>
          </w:p>
        </w:tc>
        <w:tc>
          <w:tcPr>
            <w:tcW w:w="24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300" w:type="dxa"/>
            <w:vAlign w:val="bottom"/>
            <w:gridSpan w:val="15"/>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520" w:type="dxa"/>
            <w:vAlign w:val="bottom"/>
            <w:tcBorders>
              <w:bottom w:val="single" w:sz="8" w:color="0000FF"/>
            </w:tcBorders>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2400" w:type="dxa"/>
            <w:vAlign w:val="bottom"/>
            <w:tcBorders>
              <w:bottom w:val="single" w:sz="8" w:color="0000FF"/>
            </w:tcBorders>
            <w:gridSpan w:val="14"/>
            <w:vMerge w:val="continue"/>
          </w:tcPr>
          <w:p>
            <w:pPr>
              <w:spacing w:after="0"/>
              <w:rPr>
                <w:sz w:val="14"/>
                <w:szCs w:val="14"/>
                <w:color w:val="auto"/>
              </w:rPr>
            </w:pPr>
          </w:p>
        </w:tc>
        <w:tc>
          <w:tcPr>
            <w:tcW w:w="7300" w:type="dxa"/>
            <w:vAlign w:val="bottom"/>
            <w:gridSpan w:val="15"/>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for the three months ended March 31, 2022 and 2021</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for the three months ended March 31, 2022 and 2021</w:t>
            </w:r>
          </w:p>
        </w:tc>
        <w:tc>
          <w:tcPr>
            <w:tcW w:w="114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2022 and December 31, 2021</w:t>
            </w:r>
          </w:p>
        </w:tc>
        <w:tc>
          <w:tcPr>
            <w:tcW w:w="114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2022 and 2021</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2022 and 2021</w:t>
            </w:r>
          </w:p>
        </w:tc>
        <w:tc>
          <w:tcPr>
            <w:tcW w:w="1440" w:type="dxa"/>
            <w:vAlign w:val="bottom"/>
            <w:gridSpan w:val="2"/>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5"/>
              </w:rPr>
              <w:t>Note 1 — Basis of Presentation</w:t>
            </w:r>
          </w:p>
        </w:tc>
        <w:tc>
          <w:tcPr>
            <w:tcW w:w="5360" w:type="dxa"/>
            <w:vAlign w:val="bottom"/>
            <w:gridSpan w:val="16"/>
          </w:tcPr>
          <w:p>
            <w:pPr>
              <w:spacing w:after="0"/>
              <w:rPr>
                <w:sz w:val="18"/>
                <w:szCs w:val="18"/>
                <w:color w:val="auto"/>
              </w:rPr>
            </w:pPr>
          </w:p>
        </w:tc>
        <w:tc>
          <w:tcPr>
            <w:tcW w:w="2120" w:type="dxa"/>
            <w:vAlign w:val="bottom"/>
            <w:gridSpan w:val="3"/>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 2 — Revenue</w:t>
            </w:r>
          </w:p>
        </w:tc>
        <w:tc>
          <w:tcPr>
            <w:tcW w:w="7480" w:type="dxa"/>
            <w:vAlign w:val="bottom"/>
            <w:gridSpan w:val="19"/>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3 — Acquisitions</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 4 — Inventories, net</w:t>
            </w:r>
          </w:p>
        </w:tc>
        <w:tc>
          <w:tcPr>
            <w:tcW w:w="7820" w:type="dxa"/>
            <w:vAlign w:val="bottom"/>
            <w:gridSpan w:val="21"/>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Note 5 — Property, Plant and Equipment, net</w:t>
            </w:r>
          </w:p>
        </w:tc>
        <w:tc>
          <w:tcPr>
            <w:tcW w:w="6420" w:type="dxa"/>
            <w:vAlign w:val="bottom"/>
            <w:gridSpan w:val="10"/>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 6 — Credit Losses</w:t>
            </w:r>
          </w:p>
        </w:tc>
        <w:tc>
          <w:tcPr>
            <w:tcW w:w="6420" w:type="dxa"/>
            <w:vAlign w:val="bottom"/>
            <w:gridSpan w:val="10"/>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8"/>
              </w:rPr>
              <w:t>Note 7 — Goodwill and Other Intangible Assets</w:t>
            </w:r>
          </w:p>
        </w:tc>
        <w:tc>
          <w:tcPr>
            <w:tcW w:w="6220" w:type="dxa"/>
            <w:vAlign w:val="bottom"/>
            <w:gridSpan w:val="9"/>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8 — Restructuring Activities</w:t>
            </w: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 9 — Borrowings</w:t>
            </w:r>
          </w:p>
        </w:tc>
        <w:tc>
          <w:tcPr>
            <w:tcW w:w="7280" w:type="dxa"/>
            <w:vAlign w:val="bottom"/>
            <w:gridSpan w:val="14"/>
          </w:tcPr>
          <w:p>
            <w:pPr>
              <w:spacing w:after="0"/>
              <w:rPr>
                <w:sz w:val="18"/>
                <w:szCs w:val="18"/>
                <w:color w:val="auto"/>
              </w:rPr>
            </w:pPr>
          </w:p>
        </w:tc>
        <w:tc>
          <w:tcPr>
            <w:tcW w:w="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88"/>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Note 10 — Financial Instruments</w:t>
            </w:r>
          </w:p>
        </w:tc>
        <w:tc>
          <w:tcPr>
            <w:tcW w:w="7280" w:type="dxa"/>
            <w:vAlign w:val="bottom"/>
            <w:gridSpan w:val="1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 11 — Income Taxes</w:t>
            </w:r>
          </w:p>
        </w:tc>
        <w:tc>
          <w:tcPr>
            <w:tcW w:w="7280" w:type="dxa"/>
            <w:vAlign w:val="bottom"/>
            <w:gridSpan w:val="1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12 — Equity Incentive Program</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Note 13 — Commitments and Contingent Liabilities</w:t>
            </w: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14 — Employee Benefit Plans</w:t>
            </w: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Note 15 — Other Comprehensive Earnings</w:t>
            </w:r>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16 — Segment Information</w:t>
            </w:r>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17 — Share Repurchases</w:t>
            </w:r>
          </w:p>
        </w:tc>
        <w:tc>
          <w:tcPr>
            <w:tcW w:w="160" w:type="dxa"/>
            <w:vAlign w:val="bottom"/>
            <w:gridSpan w:val="3"/>
          </w:tcPr>
          <w:p>
            <w:pPr>
              <w:spacing w:after="0"/>
              <w:rPr>
                <w:sz w:val="18"/>
                <w:szCs w:val="18"/>
                <w:color w:val="auto"/>
              </w:rPr>
            </w:pPr>
          </w:p>
        </w:tc>
        <w:tc>
          <w:tcPr>
            <w:tcW w:w="732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18 — Earnings per Share</w:t>
            </w:r>
          </w:p>
        </w:tc>
        <w:tc>
          <w:tcPr>
            <w:tcW w:w="7480" w:type="dxa"/>
            <w:vAlign w:val="bottom"/>
            <w:gridSpan w:val="1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8"/>
              </w:rPr>
              <w:t>Note 19 — Recent Accounting Pronouncements</w:t>
            </w: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9"/>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20 — Subsequent Events</w:t>
            </w:r>
          </w:p>
        </w:tc>
        <w:tc>
          <w:tcPr>
            <w:tcW w:w="1260" w:type="dxa"/>
            <w:vAlign w:val="bottom"/>
            <w:gridSpan w:val="10"/>
          </w:tcPr>
          <w:p>
            <w:pPr>
              <w:spacing w:after="0"/>
              <w:rPr>
                <w:sz w:val="18"/>
                <w:szCs w:val="18"/>
                <w:color w:val="auto"/>
              </w:rPr>
            </w:pP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11"/>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11"/>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gridSpan w:val="15"/>
          </w:tcPr>
          <w:p>
            <w:pPr>
              <w:spacing w:after="0"/>
              <w:rPr>
                <w:sz w:val="18"/>
                <w:szCs w:val="18"/>
                <w:color w:val="auto"/>
              </w:rPr>
            </w:pP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660" w:type="dxa"/>
            <w:vAlign w:val="bottom"/>
            <w:gridSpan w:val="20"/>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380" w:type="dxa"/>
            <w:vAlign w:val="bottom"/>
            <w:gridSpan w:val="2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7"/>
            <w:shd w:val="clear" w:color="auto" w:fill="0000FF"/>
          </w:tcPr>
          <w:p>
            <w:pPr>
              <w:spacing w:after="0" w:line="20" w:lineRule="exact"/>
              <w:rPr>
                <w:sz w:val="1"/>
                <w:szCs w:val="1"/>
                <w:color w:val="auto"/>
              </w:rPr>
            </w:pPr>
          </w:p>
        </w:tc>
        <w:tc>
          <w:tcPr>
            <w:tcW w:w="2040" w:type="dxa"/>
            <w:vAlign w:val="bottom"/>
            <w:gridSpan w:val="11"/>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7"/>
            <w:shd w:val="clear" w:color="auto" w:fill="0000FF"/>
          </w:tcPr>
          <w:p>
            <w:pPr>
              <w:spacing w:after="0" w:line="20" w:lineRule="exact"/>
              <w:rPr>
                <w:sz w:val="1"/>
                <w:szCs w:val="1"/>
                <w:color w:val="auto"/>
              </w:rPr>
            </w:pPr>
          </w:p>
        </w:tc>
        <w:tc>
          <w:tcPr>
            <w:tcW w:w="7380" w:type="dxa"/>
            <w:vAlign w:val="bottom"/>
            <w:gridSpan w:val="18"/>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380" w:type="dxa"/>
            <w:vAlign w:val="bottom"/>
            <w:tcBorders>
              <w:bottom w:val="single" w:sz="8" w:color="0000FF"/>
            </w:tcBorders>
            <w:gridSpan w:val="2"/>
          </w:tcPr>
          <w:p>
            <w:pPr>
              <w:spacing w:after="0"/>
              <w:rPr>
                <w:sz w:val="18"/>
                <w:szCs w:val="18"/>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gridSpan w:val="4"/>
          </w:tcPr>
          <w:p>
            <w:pPr>
              <w:spacing w:after="0"/>
              <w:rPr>
                <w:sz w:val="18"/>
                <w:szCs w:val="18"/>
                <w:color w:val="auto"/>
              </w:rPr>
            </w:pPr>
          </w:p>
        </w:tc>
        <w:tc>
          <w:tcPr>
            <w:tcW w:w="7380" w:type="dxa"/>
            <w:vAlign w:val="bottom"/>
            <w:gridSpan w:val="1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380" w:type="dxa"/>
            <w:vAlign w:val="bottom"/>
            <w:gridSpan w:val="2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80" w:type="dxa"/>
            <w:vAlign w:val="bottom"/>
            <w:gridSpan w:val="2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4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DOVER CORPORATION</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EARNINGS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54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4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1,867,901</w:t>
            </w:r>
          </w:p>
        </w:tc>
      </w:tr>
      <w:tr>
        <w:trPr>
          <w:trHeight w:val="229"/>
        </w:trPr>
        <w:tc>
          <w:tcPr>
            <w:tcW w:w="2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4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1,146,353</w:t>
            </w:r>
          </w:p>
        </w:tc>
      </w:tr>
      <w:tr>
        <w:trPr>
          <w:trHeight w:val="223"/>
        </w:trPr>
        <w:tc>
          <w:tcPr>
            <w:tcW w:w="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721,548</w:t>
            </w:r>
          </w:p>
        </w:tc>
      </w:tr>
      <w:tr>
        <w:trPr>
          <w:trHeight w:val="229"/>
        </w:trPr>
        <w:tc>
          <w:tcPr>
            <w:tcW w:w="2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408,998</w:t>
            </w:r>
          </w:p>
        </w:tc>
      </w:tr>
      <w:tr>
        <w:trPr>
          <w:trHeight w:val="223"/>
        </w:trPr>
        <w:tc>
          <w:tcPr>
            <w:tcW w:w="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4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312,550</w:t>
            </w:r>
          </w:p>
        </w:tc>
      </w:tr>
      <w:tr>
        <w:trPr>
          <w:trHeight w:val="229"/>
        </w:trPr>
        <w:tc>
          <w:tcPr>
            <w:tcW w:w="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w:t>
            </w:r>
          </w:p>
        </w:tc>
      </w:tr>
      <w:tr>
        <w:trPr>
          <w:trHeight w:val="229"/>
        </w:trPr>
        <w:tc>
          <w:tcPr>
            <w:tcW w:w="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23"/>
        </w:trPr>
        <w:tc>
          <w:tcPr>
            <w:tcW w:w="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4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289,250</w:t>
            </w: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56,481</w:t>
            </w:r>
          </w:p>
        </w:tc>
      </w:tr>
      <w:tr>
        <w:trPr>
          <w:trHeight w:val="248"/>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4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232,769</w:t>
            </w: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4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20" w:type="dxa"/>
            <w:vAlign w:val="bottom"/>
          </w:tcPr>
          <w:p>
            <w:pPr>
              <w:spacing w:after="0"/>
              <w:rPr>
                <w:sz w:val="19"/>
                <w:szCs w:val="19"/>
                <w:color w:val="auto"/>
              </w:rPr>
            </w:pP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143,765</w:t>
            </w:r>
          </w:p>
        </w:tc>
      </w:tr>
      <w:tr>
        <w:trPr>
          <w:trHeight w:val="234"/>
        </w:trPr>
        <w:tc>
          <w:tcPr>
            <w:tcW w:w="20" w:type="dxa"/>
            <w:vAlign w:val="bottom"/>
          </w:tcPr>
          <w:p>
            <w:pPr>
              <w:spacing w:after="0"/>
              <w:rPr>
                <w:sz w:val="20"/>
                <w:szCs w:val="20"/>
                <w:color w:val="auto"/>
              </w:rPr>
            </w:pP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144,938</w:t>
            </w:r>
          </w:p>
        </w:tc>
      </w:tr>
    </w:tbl>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8"/>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232,769</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earnings, net of tax</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losses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w:t>
            </w:r>
          </w:p>
        </w:tc>
      </w:tr>
      <w:tr>
        <w:trPr>
          <w:trHeight w:val="230"/>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 currency translation adjustments (net of $(8,431) and $(10,492) tax provision, respectively)</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actuarial losses included in net periodic pension cost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30"/>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prior service costs included in net periodic pension cost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pension and other post-retirement benefit plans (net of $(208) and $(773) tax provision, respectively)</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net gains arising during period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29"/>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gains reclassified into earnings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flow hedges (net of $(112) and $(871) tax provision, respectively)</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earnings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225,293</w:t>
            </w:r>
          </w:p>
        </w:tc>
      </w:tr>
      <w:tr>
        <w:trPr>
          <w:trHeight w:val="21"/>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Receivables, net</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3" w:lineRule="exact"/>
        <w:rPr>
          <w:sz w:val="20"/>
          <w:szCs w:val="20"/>
          <w:color w:val="auto"/>
        </w:rPr>
      </w:pPr>
    </w:p>
    <w:p>
      <w:pPr>
        <w:ind w:left="800" w:hanging="323"/>
        <w:spacing w:after="0" w:line="276" w:lineRule="auto"/>
        <w:rPr>
          <w:sz w:val="20"/>
          <w:szCs w:val="20"/>
          <w:color w:val="auto"/>
        </w:rPr>
      </w:pPr>
      <w:r>
        <w:rPr>
          <w:rFonts w:ascii="Times New Roman" w:cs="Times New Roman" w:eastAsia="Times New Roman" w:hAnsi="Times New Roman"/>
          <w:sz w:val="18"/>
          <w:szCs w:val="18"/>
          <w:color w:val="auto"/>
        </w:rPr>
        <w:t>Prepaid and other current assets Total current assets</w:t>
      </w:r>
    </w:p>
    <w:p>
      <w:pPr>
        <w:spacing w:after="0" w:line="1" w:lineRule="exact"/>
        <w:rPr>
          <w:sz w:val="20"/>
          <w:szCs w:val="20"/>
          <w:color w:val="auto"/>
        </w:rPr>
      </w:pPr>
    </w:p>
    <w:p>
      <w:pPr>
        <w:ind w:left="40" w:right="20"/>
        <w:spacing w:after="0" w:line="271" w:lineRule="auto"/>
        <w:rPr>
          <w:sz w:val="20"/>
          <w:szCs w:val="20"/>
          <w:color w:val="auto"/>
        </w:rPr>
      </w:pPr>
      <w:r>
        <w:rPr>
          <w:rFonts w:ascii="Times New Roman" w:cs="Times New Roman" w:eastAsia="Times New Roman" w:hAnsi="Times New Roman"/>
          <w:sz w:val="18"/>
          <w:szCs w:val="18"/>
          <w:b w:val="1"/>
          <w:bCs w:val="1"/>
          <w:color w:val="auto"/>
        </w:rPr>
        <w:t>Property, plant and equipment, net Goodwill</w:t>
      </w:r>
    </w:p>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assets and deferred charges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370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664"/>
        </w:trPr>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289,984</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385,504</w:t>
            </w:r>
          </w:p>
        </w:tc>
      </w:tr>
      <w:tr>
        <w:trPr>
          <w:trHeight w:val="229"/>
        </w:trPr>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1,347,514</w:t>
            </w:r>
          </w:p>
        </w:tc>
      </w:tr>
      <w:tr>
        <w:trPr>
          <w:trHeight w:val="229"/>
        </w:trPr>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1,191,095</w:t>
            </w:r>
          </w:p>
        </w:tc>
      </w:tr>
      <w:tr>
        <w:trPr>
          <w:trHeight w:val="234"/>
        </w:trPr>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173,483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137,596</w:t>
            </w:r>
          </w:p>
        </w:tc>
      </w:tr>
      <w:tr>
        <w:trPr>
          <w:trHeight w:val="223"/>
        </w:trPr>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3,232,484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3,061,709</w:t>
            </w:r>
          </w:p>
        </w:tc>
      </w:tr>
      <w:tr>
        <w:trPr>
          <w:trHeight w:val="218"/>
        </w:trPr>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957,310</w:t>
            </w:r>
          </w:p>
        </w:tc>
      </w:tr>
      <w:tr>
        <w:trPr>
          <w:trHeight w:val="229"/>
        </w:trPr>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4,558,822</w:t>
            </w:r>
          </w:p>
        </w:tc>
      </w:tr>
      <w:tr>
        <w:trPr>
          <w:trHeight w:val="230"/>
        </w:trPr>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1,359,522</w:t>
            </w:r>
          </w:p>
        </w:tc>
      </w:tr>
      <w:tr>
        <w:trPr>
          <w:trHeight w:val="234"/>
        </w:trPr>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470,608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466,264</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10,501,047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10,403,627</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-1807845</wp:posOffset>
            </wp:positionV>
            <wp:extent cx="711517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-1516380</wp:posOffset>
            </wp:positionV>
            <wp:extent cx="711517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-1224915</wp:posOffset>
            </wp:positionV>
            <wp:extent cx="711517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-933450</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-624840</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-334010</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60" w:space="720"/>
            <w:col w:w="774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169"/>
        </w:trPr>
        <w:tc>
          <w:tcPr>
            <w:tcW w:w="7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Notes payable</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113,480</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105,702</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1,136,553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1,073,568</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302,978</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245,274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227,549</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insurance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101,448</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328,992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347,097</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Federal and other income taxes</w:t>
            </w: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91,999</w:t>
            </w: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2,246,922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2,250,341</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2,981,922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3,018,714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369,107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364,117</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income tax payable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48,385</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524,944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532,542</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4,329,776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4,189,528</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10,501,047</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10,403,627</w:t>
            </w:r>
          </w:p>
        </w:tc>
      </w:tr>
      <w:tr>
        <w:trPr>
          <w:trHeight w:val="20"/>
        </w:trPr>
        <w:tc>
          <w:tcPr>
            <w:tcW w:w="7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8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6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 par value</w:t>
            </w: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857,636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9,445,245</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(154,052)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(6,218,758)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4,189,528</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226,153</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($0.50 per share)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(72,203)</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(10,162)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(10,046)</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11,113</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(14,769)</w:t>
            </w:r>
          </w:p>
        </w:tc>
        <w:tc>
          <w:tcPr>
            <w:tcW w:w="0" w:type="dxa"/>
            <w:vAlign w:val="bottom"/>
          </w:tcPr>
          <w:p>
            <w:pPr>
              <w:spacing w:after="0"/>
              <w:rPr>
                <w:sz w:val="1"/>
                <w:szCs w:val="1"/>
                <w:color w:val="auto"/>
              </w:rPr>
            </w:pPr>
          </w:p>
        </w:tc>
      </w:tr>
      <w:tr>
        <w:trPr>
          <w:trHeight w:val="237"/>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(6,218,758)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4,329,776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 par value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3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868,882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8,608,284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(6,197,121)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3,385,773</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232,769</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($0.495 per share)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(71,344)</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11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(30,453)</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11,521</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acquired</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(21,637)</w:t>
            </w: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5"/>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8,769,709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3,499,144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226,153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232,769</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cash from operating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73,806</w:t>
            </w: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w:t>
            </w:r>
          </w:p>
        </w:tc>
      </w:tr>
      <w:tr>
        <w:trPr>
          <w:trHeight w:val="229"/>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effect of changes in assets and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(116,320)</w:t>
            </w: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(75,421)</w:t>
            </w: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(22,005)</w:t>
            </w: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63,766</w:t>
            </w: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r>
      <w:tr>
        <w:trPr>
          <w:trHeight w:val="229"/>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22,945</w:t>
            </w: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and deferred taxes, net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177,184</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(31,260)</w:t>
            </w: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r>
      <w:tr>
        <w:trPr>
          <w:trHeight w:val="230"/>
        </w:trPr>
        <w:tc>
          <w:tcPr>
            <w:tcW w:w="8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(29,572)</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w:t>
            </w: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in commercial paper and notes payable,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(71,344)</w:t>
            </w:r>
          </w:p>
        </w:tc>
      </w:tr>
      <w:tr>
        <w:trPr>
          <w:trHeight w:val="230"/>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to settle employee tax obligations on exercise of share-based awards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(30,453)</w:t>
            </w: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(124,239)</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513,075</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536,512</w:t>
            </w:r>
          </w:p>
        </w:tc>
      </w:tr>
      <w:tr>
        <w:trPr>
          <w:trHeight w:val="21"/>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2021, included in the Company's Annual Report on Form 10-K filed with the SEC on February 11, 2022. The year-end Condensed Consolidated Balance Sheet was derived from audited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Less than 5% of the Company’s revenue is recognized over time and relates to the sale of equipment or services in which the Company transfers control of a good or service over time and the customer simultaneously receives and consumes the benefits provided by the Company's performance as the Company performs, or our performance creates or enhances an asset the customer controls as the asset is created or enhanced, or our performance does not create an asset with an alternative use to the Company and the Company has an enforceable right to payment for its performance to date plus a reasonable margin.</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by segment and geographic location, as they best depict the nature and amount of the Company’s revenue. See Note 16 — Segment Information for further details for revenue by segment and geographic location.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we estimated that $303 million in revenue is expected to be recognized in the future related to performance obligations that are unsatisfied (or partially unsatisfied) at the end of the reporting period. We expect to recognize approximately 80% of our unsatisfied (or partially unsatisfied) performance obligations as revenue through 2023, with the remaining balance to be recognized in 2024 and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184,845</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recognized during the three months ended March 31, 2022 and 2021 that was included in contract liabilities at the beginning of the period, inclusive of adjustments, amounted to $104,008 and $104,617,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acquisitions during the three months ended March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acquisitions during the three months ended March 31,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RegO</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28, 2021, the Company acquired 100% of the voting stock of ECI Holding Company, LLC ("RegO"), a provider of highly-engineered components and services that facilitate the production, storage, and distribution of cryogenic gases, for $624,693, net of cash acquired and inclusive of the impact of measurement period adjustments discussed below. In connection with this acquisition, the Company recorded goodwill of $154,445 deductible for income tax purposes and $118,075 non-deductible for income tax purposes. The Company also recorded intangible assets of $173,000 for customer intangibles, $40,000 for patents, and $21,000 for trademarks. The fair value of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$34,283. The gross amount is $34,612, of which $329 is expected to be uncollectible. The fair values of the assets acquired and liabilities assumed, and the related tax balances, are based on preliminary estimates and assumptions. These preliminary estimates and assumptions could change during the measurement period as the Company finalizes the valuations of the assets acquired and liabilities assumed, and the related tax balances. During the three months ended March 31, 2022, the Company recorded measurement period adjustments primarily related to its preliminary estimates of deferred taxes and property, plant and equipment. These adjustments are based on facts and circumstances that existed as of the acquisition date which resulted in a decrease in goodwill of $4,456.</w:t>
      </w:r>
    </w:p>
    <w:p>
      <w:pPr>
        <w:spacing w:after="0" w:line="2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following presents the updated preliminary allocation of purchase price, net of cash acquired of $10,382, to the assets acquired and liabilities assumed under the RegO acquisition, based on their estimated fair values at their acquisition dates: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34,283</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77,775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52,873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272,520</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624,693</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400" w:type="dxa"/>
            <w:vAlign w:val="bottom"/>
          </w:tcPr>
          <w:p>
            <w:pPr>
              <w:spacing w:after="0"/>
              <w:rPr>
                <w:sz w:val="18"/>
                <w:szCs w:val="18"/>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38"/>
        </w:trPr>
        <w:tc>
          <w:tcPr>
            <w:tcW w:w="84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tax deductible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118,075</w:t>
            </w:r>
          </w:p>
        </w:tc>
        <w:tc>
          <w:tcPr>
            <w:tcW w:w="10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506,520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Acme Cryogenics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16, 2021, the Company acquired 100% of the voting stock of Acme Cryo Intermediate Inc. ("Acme Cryogenics"), a provider of highly-engineered components and services that facilitate the production, storage, and distribution of cryogenic gases, for $292,285, net of cash acquired and inclusive of the impact of measurement period adjustments discussed below. In connection with this acquisition, the Company recorded goodwill of $167,269 non-deductible for income tax purposes. The Company also recorded intangible assets of $99,000 for customer intangibles, $21,800 for unpatented technology and $6,500 for trademarks. The fair value of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$14,677. The gross amount is $14,912, of which $235 is expected to be uncollectible. The fair values of the assets acquired and liabilities assumed, and the related tax balances, are based on preliminary estimates and assumptions. These preliminary estimates and assumptions could change during the measurement period as the Company finalizes the valuations of the assets acquired and liabilities assumed, and the related tax balances. During the three months ended March 31, 2022, the Company recorded measurement period adjustments primarily related to changes in net working capital. These adjustments are based on facts and circumstances that existed as of the acquisition date which resulted in a decrease in goodwill of $1,940.</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the updated preliminary allocation of purchase price to the assets acquired and liabilities assumed under the Acme Cryogenics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CCEEFF"/>
            </w:tcBorders>
          </w:tcPr>
          <w:p>
            <w:pPr>
              <w:spacing w:after="0"/>
              <w:rPr>
                <w:sz w:val="20"/>
                <w:szCs w:val="20"/>
                <w:color w:val="auto"/>
              </w:rPr>
            </w:pPr>
          </w:p>
        </w:tc>
        <w:tc>
          <w:tcPr>
            <w:tcW w:w="58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167,269</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127,300</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0" w:type="dxa"/>
            <w:vAlign w:val="bottom"/>
          </w:tcPr>
          <w:p>
            <w:pPr>
              <w:spacing w:after="0"/>
              <w:rPr>
                <w:sz w:val="1"/>
                <w:szCs w:val="1"/>
                <w:color w:val="auto"/>
              </w:rPr>
            </w:pP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w:t>
            </w:r>
          </w:p>
        </w:tc>
        <w:tc>
          <w:tcPr>
            <w:tcW w:w="0" w:type="dxa"/>
            <w:vAlign w:val="bottom"/>
          </w:tcPr>
          <w:p>
            <w:pPr>
              <w:spacing w:after="0"/>
              <w:rPr>
                <w:sz w:val="1"/>
                <w:szCs w:val="1"/>
                <w:color w:val="auto"/>
              </w:rPr>
            </w:pP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292,285</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CCEEFF"/>
            </w:tcBorders>
          </w:tcPr>
          <w:p>
            <w:pPr>
              <w:spacing w:after="0"/>
              <w:rPr>
                <w:sz w:val="21"/>
                <w:szCs w:val="21"/>
                <w:color w:val="auto"/>
              </w:rPr>
            </w:pPr>
          </w:p>
        </w:tc>
        <w:tc>
          <w:tcPr>
            <w:tcW w:w="58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4"/>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167,269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3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20" w:type="dxa"/>
            <w:vAlign w:val="bottom"/>
            <w:tcBorders>
              <w:bottom w:val="single" w:sz="8" w:color="CCEEFF"/>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138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 net</w:t>
            </w: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7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bottom w:val="single" w:sz="8" w:color="CCEEFF"/>
            </w:tcBorders>
          </w:tcPr>
          <w:p>
            <w:pPr>
              <w:spacing w:after="0"/>
              <w:rPr>
                <w:sz w:val="24"/>
                <w:szCs w:val="24"/>
                <w:color w:val="auto"/>
              </w:rPr>
            </w:pPr>
          </w:p>
        </w:tc>
        <w:tc>
          <w:tcPr>
            <w:tcW w:w="58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671,195</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291,601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271,659</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377,800</w:t>
            </w:r>
          </w:p>
        </w:tc>
        <w:tc>
          <w:tcPr>
            <w:tcW w:w="0" w:type="dxa"/>
            <w:vAlign w:val="bottom"/>
          </w:tcPr>
          <w:p>
            <w:pPr>
              <w:spacing w:after="0"/>
              <w:rPr>
                <w:sz w:val="1"/>
                <w:szCs w:val="1"/>
                <w:color w:val="auto"/>
              </w:rPr>
            </w:pP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1,455,881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1,320,654</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(129,559)</w:t>
            </w:r>
          </w:p>
        </w:tc>
        <w:tc>
          <w:tcPr>
            <w:tcW w:w="0" w:type="dxa"/>
            <w:vAlign w:val="bottom"/>
          </w:tcPr>
          <w:p>
            <w:pPr>
              <w:spacing w:after="0"/>
              <w:rPr>
                <w:sz w:val="1"/>
                <w:szCs w:val="1"/>
                <w:color w:val="auto"/>
              </w:rPr>
            </w:pP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1,322,347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1,191,095</w:t>
            </w: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77"/>
        </w:trPr>
        <w:tc>
          <w:tcPr>
            <w:tcW w:w="294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63,656</w:t>
            </w: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582,314</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1,816,473</w:t>
            </w: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2,462,443</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(1,505,133)</w:t>
            </w: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957,310</w:t>
            </w:r>
          </w:p>
        </w:tc>
      </w:tr>
      <w:tr>
        <w:trPr>
          <w:trHeight w:val="20"/>
        </w:trPr>
        <w:tc>
          <w:tcPr>
            <w:tcW w:w="2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totaled $37,812 and $38,194 for the three months ended March 31, 2022 and 2021,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December 31 of the Prior Year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40,474</w:t>
            </w:r>
          </w:p>
        </w:tc>
        <w:tc>
          <w:tcPr>
            <w:tcW w:w="0" w:type="dxa"/>
            <w:vAlign w:val="bottom"/>
          </w:tcPr>
          <w:p>
            <w:pPr>
              <w:spacing w:after="0"/>
              <w:rPr>
                <w:sz w:val="1"/>
                <w:szCs w:val="1"/>
                <w:color w:val="auto"/>
              </w:rPr>
            </w:pPr>
          </w:p>
        </w:tc>
      </w:tr>
      <w:tr>
        <w:trPr>
          <w:trHeight w:val="229"/>
        </w:trPr>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net of recoveries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March 31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7. Goodwill and Other Intangible Assets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080" w:type="dxa"/>
            <w:vAlign w:val="bottom"/>
            <w:tcBorders>
              <w:bottom w:val="single" w:sz="8" w:color="auto"/>
            </w:tcBorders>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operating segments were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Clean Energy &amp;</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Pumps &amp; Process</w:t>
            </w:r>
          </w:p>
        </w:tc>
        <w:tc>
          <w:tcPr>
            <w:tcW w:w="14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Climate &amp;</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26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Fueling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2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1,106,202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508,807</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4,558,822</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1,415,215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1,094,461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788,698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508,301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4,526,137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measurement period adjustments that reduced goodwill by $6,233, principally related to deferred taxes, working capital adjustments, and property, plant and equipment for 2021 acquisitions within the Clean Energy &amp; Fueling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2820" w:type="dxa"/>
            <w:vAlign w:val="bottom"/>
          </w:tcPr>
          <w:p>
            <w:pPr>
              <w:spacing w:after="0"/>
              <w:rPr>
                <w:sz w:val="14"/>
                <w:szCs w:val="14"/>
                <w:color w:val="auto"/>
              </w:rPr>
            </w:pPr>
          </w:p>
        </w:tc>
        <w:tc>
          <w:tcPr>
            <w:tcW w:w="136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intangibles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919,716</w:t>
            </w: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146,734</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65,583</w:t>
            </w: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Unpatented technologies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97,775</w:t>
            </w: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28,944</w:t>
            </w: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Drawings and manuals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1,262,813</w:t>
            </w: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96,709</w:t>
            </w: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1,359,522</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amortization expense was $41,191 and $35,612, respectively, including acquisition-related intangible amortization of $40,799 and $35,173,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8. Restructuring Activities</w:t>
            </w:r>
          </w:p>
        </w:tc>
        <w:tc>
          <w:tcPr>
            <w:tcW w:w="6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restructuring charges by segment were as follows: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These amounts are classified in the Condensed Consolidated Statements of Earnings as follows: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0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restructuring expenses of $8,157 incurred during the three months ended March 31, 2022 were primarily the result of restructuring programs initiated in 2021 in response to demand conditions and broad-based operational efficiency initiatives focusing on footprint consolidation and IT centralization.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$8,157 of restructuring charges incurred during the first quarter of 2022 primarily included the following items:</w:t>
      </w:r>
    </w:p>
    <w:p>
      <w:pPr>
        <w:spacing w:after="0" w:line="2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Engineered Products segment recorded $457 of restructuring charges related primarily to headcount reduction.</w:t>
      </w:r>
    </w:p>
    <w:p>
      <w:pPr>
        <w:spacing w:after="0" w:line="23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 Energy &amp; Fueling segment recorded $196 of restructuring charges primarily due to headcount reductions.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Imaging &amp; Identification segment recorded $1,191 of restructuring charges related primarily to exit costs and asset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Pumps &amp; Process Solutions segment recorded $685 of restructuring charges related primarily to headcount reductions and asset charges.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Climate &amp; Sustainability Technologies segment recorded $5,716 of restructuring charges related primarily to non-cash foreign currency translation losses due to the substantial liquidation of businesses in certain Latin America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6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20" w:type="dxa"/>
            <w:vAlign w:val="bottom"/>
          </w:tcPr>
          <w:p>
            <w:pPr>
              <w:spacing w:after="0"/>
              <w:rPr>
                <w:sz w:val="22"/>
                <w:szCs w:val="22"/>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Exit</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(6,703)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40" w:hanging="170"/>
        <w:spacing w:after="0" w:line="225" w:lineRule="auto"/>
        <w:tabs>
          <w:tab w:leader="none" w:pos="353" w:val="left"/>
        </w:tabs>
        <w:numPr>
          <w:ilvl w:val="1"/>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activity includes non-cash foreign currency translation losses recorded as restructuring charges due to the substantial liquidation of businesses in certain Latin America countries.</w:t>
      </w:r>
    </w:p>
    <w:p>
      <w:pPr>
        <w:spacing w:after="0" w:line="21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Borrowings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Borrowings consisted of the following:</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spacing w:after="0"/>
              <w:rPr>
                <w:sz w:val="19"/>
                <w:szCs w:val="19"/>
                <w:color w:val="auto"/>
              </w:rPr>
            </w:pPr>
          </w:p>
        </w:tc>
        <w:tc>
          <w:tcPr>
            <w:tcW w:w="11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2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113,480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4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16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gridSpan w:val="3"/>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w:t>
            </w: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10-year notes due November 15, 2025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397,389</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1.25%</w:t>
            </w: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10-year notes due November 9, 2026 (euro-denominated)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653,913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674,217</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0.750%</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8-year notes due November 4, 2027 (euro denominated)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561,293</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6.65%</w:t>
            </w: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30-year debentures due June 1, 2028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199,381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199,356</w:t>
            </w:r>
          </w:p>
        </w:tc>
        <w:tc>
          <w:tcPr>
            <w:tcW w:w="0" w:type="dxa"/>
            <w:vAlign w:val="bottom"/>
          </w:tcPr>
          <w:p>
            <w:pPr>
              <w:spacing w:after="0"/>
              <w:rPr>
                <w:sz w:val="1"/>
                <w:szCs w:val="1"/>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2.950%</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10-year notes due November 4, 2029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297,029</w:t>
            </w:r>
          </w:p>
        </w:tc>
        <w:tc>
          <w:tcPr>
            <w:tcW w:w="0" w:type="dxa"/>
            <w:vAlign w:val="bottom"/>
          </w:tcPr>
          <w:p>
            <w:pPr>
              <w:spacing w:after="0"/>
              <w:rPr>
                <w:sz w:val="1"/>
                <w:szCs w:val="1"/>
                <w:color w:val="auto"/>
              </w:rPr>
            </w:pPr>
          </w:p>
        </w:tc>
      </w:tr>
      <w:tr>
        <w:trPr>
          <w:trHeight w:val="23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5.375%</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30-year debentures due October 15, 2035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296,621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296,559</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w:t>
            </w: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30-year notes due March 15, 2038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248,166</w:t>
            </w:r>
          </w:p>
        </w:tc>
        <w:tc>
          <w:tcPr>
            <w:tcW w:w="0" w:type="dxa"/>
            <w:vAlign w:val="bottom"/>
          </w:tcPr>
          <w:p>
            <w:pPr>
              <w:spacing w:after="0"/>
              <w:rPr>
                <w:sz w:val="1"/>
                <w:szCs w:val="1"/>
                <w:color w:val="auto"/>
              </w:rPr>
            </w:pPr>
          </w:p>
        </w:tc>
      </w:tr>
      <w:tr>
        <w:trPr>
          <w:trHeight w:val="230"/>
        </w:trPr>
        <w:tc>
          <w:tcPr>
            <w:tcW w:w="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5.375%</w:t>
            </w: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30-year notes due March 1, 2041</w:t>
            </w:r>
          </w:p>
        </w:tc>
        <w:tc>
          <w:tcPr>
            <w:tcW w:w="2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344,775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344,705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3,018,714</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340" w:hanging="170"/>
        <w:spacing w:after="0"/>
        <w:tabs>
          <w:tab w:leader="none" w:pos="3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is net of unamortized debt discount and deferred debt issuance costs. Total unamortized debt discounts were</w:t>
      </w:r>
    </w:p>
    <w:p>
      <w:pPr>
        <w:ind w:left="180"/>
        <w:spacing w:after="0" w:line="275" w:lineRule="auto"/>
        <w:rPr>
          <w:sz w:val="20"/>
          <w:szCs w:val="20"/>
          <w:color w:val="auto"/>
        </w:rPr>
      </w:pPr>
      <w:r>
        <w:rPr>
          <w:rFonts w:ascii="Times New Roman" w:cs="Times New Roman" w:eastAsia="Times New Roman" w:hAnsi="Times New Roman"/>
          <w:sz w:val="16"/>
          <w:szCs w:val="16"/>
          <w:color w:val="auto"/>
        </w:rPr>
        <w:t>$14.4 million and $15.1 million as of March 31, 2022 and December 31, 2021, respectively. Total deferred debt issuance costs were $12.1 million and $12.5 million as of March 31, 2022 and December 31, 2021, respectively.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2022, the Company maintained a $1.0 billion five-year unsecured revolving credit facility (the "Credit Agreement") with a syndicate of banks which expires on October 4, 2024. The Company uses the Credit Agreement principally as liquidity back-up for its commercial paper program and for general corporate purposes.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consolidated EBITDA to consolidated net interest expense of not less than 3.0 to 1. As of March 31, 2022 and December 31, 2021, there were no borrowings under the Credit Agreement.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in the Credit Agreement and other long-term debt covenants at March 31, 2022 and had an interest coverage ratio of consolidated EBITDA to consolidated net interest expense of 17.7 to 1.</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other Guarantees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had approximately $149.7 million outstanding in letters of credit, surety bonds, and performance and other guarantees which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w:t>
      </w:r>
    </w:p>
    <w:p>
      <w:pPr>
        <w:spacing w:after="0" w:line="203" w:lineRule="exact"/>
        <w:rPr>
          <w:sz w:val="20"/>
          <w:szCs w:val="20"/>
          <w:color w:val="auto"/>
        </w:rPr>
      </w:pPr>
    </w:p>
    <w:p>
      <w:pPr>
        <w:ind w:right="9260" w:firstLine="8"/>
        <w:spacing w:after="0" w:line="534" w:lineRule="auto"/>
        <w:tabs>
          <w:tab w:leader="none" w:pos="270" w:val="left"/>
        </w:tabs>
        <w:numPr>
          <w:ilvl w:val="0"/>
          <w:numId w:val="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Financial Instruments </w:t>
      </w:r>
      <w:r>
        <w:rPr>
          <w:rFonts w:ascii="Times New Roman" w:cs="Times New Roman" w:eastAsia="Times New Roman" w:hAnsi="Times New Roman"/>
          <w:sz w:val="18"/>
          <w:szCs w:val="18"/>
          <w:b w:val="1"/>
          <w:bCs w:val="1"/>
          <w:color w:val="auto"/>
        </w:rPr>
        <w:t>Derivatives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to occur within the next twelve months that are denominated in non-functional currencies, with currency forward contracts designated as cash flow hedges. At March 31, 2022 and December 31, 2021, the Company had contracts with total notional amounts of $169,157 and $180,929, respectively, to exchange currencies, principally euro, pound sterling, Swedish krona, Canadian dollar, Chinese yuan, and Swiss franc. The Company believes it is probable that all forecasted cash flow transactions will occur.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had outstanding contracts with a total notional amount of $97,921 and $108,736 as of March 31, 2022 and December 31, 2021,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fair values of derivative instruments held by the Company as of March 31, 2022 and December 31, 2021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r>
    </w:tbl>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cash flow hedge, the change in estimated fair value of a hedging instrument is recorded in accumulated other comprehensive (loss) earnings as a separate component of the Condensed Consolidated Statements of Stockholders' Equity and is reclassified into revenues and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designated the €500,000 and €600,000 of euro-denominated notes issued November 4, 2019 and November 9, 2016,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euro-denominated debt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37,748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46,433</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(8,431)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(10,492)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net investment hedges, 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29,317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35,941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March 31, 2022 and December 31,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at March 31, 2022 and December 31, 2021, was $3,167,903 and $3,440,501, respectively. The estimated fair value of long-term debt is based on quoted market prices for similar instruments and is, therefore, classified as Level 2 within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trade receivables, accounts payable and notes payable are reasonable estimates of their fair values as of March 31, 2022 and December 31, 2021 due to the short-term nature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2022 and 2021 were 18.0% and 19.5%, respectively. The decrease in the effective tax rate for the three months ended March 31, 2022 relative to the prior year comparable period was primarily driven by favorable audit resolutions.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$30.6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Equity Incentive Program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typically makes its annual grants of equity awards pursuant to actions taken by the Compensation Committee of the Board of Directors at its regularly scheduled first quarter meeting. During the three months ended March 31, 2022, the Company issued stock-settled appreciation rights ("SARs") covering 327,940 shares, performance share awards of 40,087 and restricted stock units ("RSUs") of 71,961.</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0.59 %</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30.49 %</w:t>
            </w:r>
          </w:p>
        </w:tc>
      </w:tr>
      <w:tr>
        <w:trPr>
          <w:trHeight w:val="216"/>
        </w:trPr>
        <w:tc>
          <w:tcPr>
            <w:tcW w:w="8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share awards granted in 2022 and 2021 are market condition awards as attainment is based on Dover's performance relative to its peer group (companies listed under the S&amp;P 500 Industrials sector) for the relevant performance period. The performance period and vesting period for these awards is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performance shares granted in the respective periods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32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Performance Shares</w:t>
            </w: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31.90 %</w:t>
            </w:r>
          </w:p>
        </w:tc>
      </w:tr>
      <w:tr>
        <w:trPr>
          <w:trHeight w:val="216"/>
        </w:trPr>
        <w:tc>
          <w:tcPr>
            <w:tcW w:w="8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$148.29</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granted RSUs, and the fair value of these awards was determined using Dover's closing stock price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11,521</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(1,222)</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10,299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estimated liabilities have been established. At March 31, 2022 and December 31, 2021, these estimated liabilities for environmental and other matters, including private party claims for exposure to hazardous substances that are probable and estimable, were not significant.</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estimated liabilities for legal matters that are probable and estimable, and at March 31, 2022 and December 31, 2021, these estimated liabilities were not significant.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Accruals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March 31, 2022 and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December 31 of the Prior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w:t>
            </w: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18,897</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March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ind w:right="9140" w:firstLine="8"/>
        <w:spacing w:after="0" w:line="534" w:lineRule="auto"/>
        <w:tabs>
          <w:tab w:leader="none" w:pos="270" w:val="left"/>
        </w:tabs>
        <w:numPr>
          <w:ilvl w:val="0"/>
          <w:numId w:val="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Employee Benefit Plans </w:t>
      </w:r>
      <w:r>
        <w:rPr>
          <w:rFonts w:ascii="Times New Roman" w:cs="Times New Roman" w:eastAsia="Times New Roman" w:hAnsi="Times New Roman"/>
          <w:sz w:val="18"/>
          <w:szCs w:val="18"/>
          <w:b w:val="1"/>
          <w:bCs w:val="1"/>
          <w:color w:val="auto"/>
        </w:rPr>
        <w:t>Retirement Plans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qualified defined benefit pension plans covering certain employees of the Company and its subsidiaries, although the U.S. qualified and non-qualified defined benefit plans are closed to new entrants.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tables below set forth the components of the Company’s net periodic (income) expense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Qualified Defined Benefits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12"/>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U.S. Plan</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Non-U.S. Plans</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(income)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Supplemental Benefits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9"/>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service cost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Recognized actuarial gain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(504)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expense</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offers defined contribution retirement plans which cover the majority of its U.S. employees, as well as employees in certain other countries. The related expense is recognized within selling, general and administrative expenses and cost of goods and services, depending on the functional area of the underlying employees included in the plans. The Company’s expense relating to defined contribution plans was $17,673 and $15,061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Other Comprehensive Earnings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to earnings during the three months ended March 31, 2022 and 2021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80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 for the substantial liquidation of businesses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reclassified into earnings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translation losses were recognized in selling, general and administrative expenses within the Condensed Consolidated Statement of Earnings as a result of the substantial liquidation of certain businesses.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amortization of net actuarial gains and losses and prior service costs in other income, net within the Condensed Consolidated Statements of Earnings.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categorizes its operating companies into five reportable segments as follows:</w:t>
      </w:r>
    </w:p>
    <w:p>
      <w:pPr>
        <w:spacing w:after="0" w:line="252"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Products segment provides a wide range of equipment, components, software, solutions and services for vehicle aftermarket, waste handling, industrial automation,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&amp; Identification segment supplies precision marking and coding, packaging intelligence, product traceability, brand protection and digital textile printing equipment, as well as related consumables, software and services to the global packaged and consumer goods, pharmaceutical, industrial manufacturing, fashion and apparel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Pumps &amp; Process Solutions segment manufactures specialty pumps and flow meters, fluid connecting solutions, plastics and polymer processing equipment, and highly-engineered precision components for rotating and reciprocating machines serving single-use biopharmaceutical production, diversified industrial manufacturing, polymer processing, midstream and downstream oil and gas and other end-markets.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Climate &amp; Sustainability Technologies segment is a provider of innovative and energy-efficient equipment and systems that serve the commercial refrigeration, heating and cooling and beverage container-making equipment markets.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Segment financial information and a reconciliation of segment results to consolidated results was as follows: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8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487,647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428,127</w:t>
            </w:r>
          </w:p>
        </w:tc>
      </w:tr>
      <w:tr>
        <w:trPr>
          <w:trHeight w:val="229"/>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389,678</w:t>
            </w:r>
          </w:p>
        </w:tc>
      </w:tr>
      <w:tr>
        <w:trPr>
          <w:trHeight w:val="229"/>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284,328</w:t>
            </w:r>
          </w:p>
        </w:tc>
      </w:tr>
      <w:tr>
        <w:trPr>
          <w:trHeight w:val="230"/>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394,377</w:t>
            </w:r>
          </w:p>
        </w:tc>
      </w:tr>
      <w:tr>
        <w:trPr>
          <w:trHeight w:val="229"/>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372,077</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2,051,901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1,867,901</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earnings (EBIT):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68,779</w:t>
            </w:r>
          </w:p>
        </w:tc>
      </w:tr>
      <w:tr>
        <w:trPr>
          <w:trHeight w:val="229"/>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66,480</w:t>
            </w:r>
          </w:p>
        </w:tc>
      </w:tr>
      <w:tr>
        <w:trPr>
          <w:trHeight w:val="229"/>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56,992</w:t>
            </w:r>
          </w:p>
        </w:tc>
      </w:tr>
      <w:tr>
        <w:trPr>
          <w:trHeight w:val="230"/>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123,645</w:t>
            </w:r>
          </w:p>
        </w:tc>
      </w:tr>
      <w:tr>
        <w:trPr>
          <w:trHeight w:val="229"/>
        </w:trPr>
        <w:tc>
          <w:tcPr>
            <w:tcW w:w="80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Climate &amp; Sustainability Technologies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 (EBIT)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354,013</w:t>
            </w:r>
          </w:p>
        </w:tc>
      </w:tr>
      <w:tr>
        <w:trPr>
          <w:trHeight w:val="229"/>
        </w:trPr>
        <w:tc>
          <w:tcPr>
            <w:tcW w:w="8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289,250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56,481</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232,769</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480" w:hanging="148"/>
        <w:spacing w:after="0"/>
        <w:tabs>
          <w:tab w:leader="none" w:pos="4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Segment earnings (EBIT) includes non-operating income and expense directly attributable to the segments.</w:t>
      </w:r>
    </w:p>
    <w:p>
      <w:pPr>
        <w:ind w:left="340" w:hanging="8"/>
        <w:spacing w:after="0" w:line="227" w:lineRule="auto"/>
        <w:tabs>
          <w:tab w:leader="none" w:pos="489"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Q1 2022 includes $5,457 of non-cash foreign currency translation losses reclassified to earnings included within restructuring costs and a $2,117 write-off of assets related to an exit from certain Latin America countries.</w:t>
      </w:r>
    </w:p>
    <w:p>
      <w:pPr>
        <w:jc w:val="both"/>
        <w:ind w:left="340" w:right="20" w:hanging="8"/>
        <w:spacing w:after="0" w:line="233" w:lineRule="auto"/>
        <w:tabs>
          <w:tab w:leader="none" w:pos="50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 related expenses and various administrative expenses relating to the corporate headquarters.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the location of the Company's customer:</w:t>
      </w:r>
    </w:p>
    <w:p>
      <w:pPr>
        <w:spacing w:after="0" w:line="4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4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3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1,151,500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1,036,014</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445,295</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192,107</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4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130,177</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1,867,901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jc w:val="right"/>
              <w:ind w:right="2239"/>
              <w:spacing w:after="0"/>
              <w:rPr>
                <w:sz w:val="20"/>
                <w:szCs w:val="20"/>
                <w:color w:val="auto"/>
              </w:rPr>
            </w:pPr>
            <w:r>
              <w:rPr>
                <w:rFonts w:ascii="Times New Roman" w:cs="Times New Roman" w:eastAsia="Times New Roman" w:hAnsi="Times New Roman"/>
                <w:sz w:val="16"/>
                <w:szCs w:val="16"/>
                <w:color w:val="auto"/>
              </w:rPr>
              <w:t>18</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6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66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Share Repurchases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2020, the Company's Board of Directors approved a new standing share repurchase authorization, whereby the Company may repurchase up to 20 million shares beginning on January 1, 2021 through December 31, 2023. This share repurchase authorization replaced the February 2018 share repurchase authorization.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2022, no shares were repurchased. During the three months ended March 31, 2021, the Company repurchased 182,951 shares of common stock at a total cost of $21,637, or $118.27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19,817,049 shares remain authorized for repurchase under the November 2020 share repurchase authorization.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18. Earnings per Share</w:t>
            </w:r>
          </w:p>
        </w:tc>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information used in computing basic and diluted earnings per share:</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232,769</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144,087,000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143,765,000</w:t>
            </w: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54"/>
        </w:trPr>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145,329,000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144,938,000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the share amounts used in computing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144,087,000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143,765,000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assumed exercise of SARs and vesting of performance shares and RSUs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1,173,000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145,329,000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144,938,000</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number of anti-dilutive potential common shares excluded from the calculation above were approximately 58,000 and 88,000 for the three months ended March 31, 2022 and 2021, respectively.</w:t>
      </w:r>
    </w:p>
    <w:p>
      <w:pPr>
        <w:spacing w:after="0" w:line="185" w:lineRule="exact"/>
        <w:rPr>
          <w:sz w:val="20"/>
          <w:szCs w:val="20"/>
          <w:color w:val="auto"/>
        </w:rPr>
      </w:pPr>
    </w:p>
    <w:p>
      <w:pPr>
        <w:ind w:right="8100" w:firstLine="8"/>
        <w:spacing w:after="0" w:line="534" w:lineRule="auto"/>
        <w:tabs>
          <w:tab w:leader="none" w:pos="270" w:val="left"/>
        </w:tabs>
        <w:numPr>
          <w:ilvl w:val="0"/>
          <w:numId w:val="1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Recent Accounting Pronouncements </w:t>
      </w:r>
      <w:r>
        <w:rPr>
          <w:rFonts w:ascii="Times New Roman" w:cs="Times New Roman" w:eastAsia="Times New Roman" w:hAnsi="Times New Roman"/>
          <w:sz w:val="18"/>
          <w:szCs w:val="18"/>
          <w:b w:val="1"/>
          <w:bCs w:val="1"/>
          <w:color w:val="auto"/>
        </w:rPr>
        <w:t>Recently Adopted Accounting Standards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 Accounting for Contract Assets and Contract Liabilities from Contracts with Customers. The amendments in this update require that an acquirer recognize and measure contract assets and contract liabilities acquired in a business combination in accordance with Topic 606, Revenue from Contracts with Customers, as if the acquirer had originated the contracts. The Company early adopted the guidance during the first quarter of 2022. Prior to adoption, the acquirer recognized such contract assets and contract liabilities at fair value on the acquisition date. The adoption did not have a material impact on the Company's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 Subsequent Events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6, 2022, the Company completed the acquisition of certain intellectual property assets related to electric refuse collection vehicles for approximately $9.75 million, plus potential contingent consideration of up to $20 million. These assets will be included in the Engineered Products segment.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Dover's five operating segments are as follows:</w:t>
      </w:r>
    </w:p>
    <w:p>
      <w:pPr>
        <w:spacing w:after="0" w:line="252"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for vehicle aftermarket, waste handling, industrial automation,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supplies precision marking and coding, packaging intelligence, product traceability, brand protection and digital textile printing equipment, as well as related consumables, software and services to the global packaged and consumer goods, pharmaceutical, industrial manufacturing, fashion and apparel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manufactures specialty pumps and flow meters, fluid connecting solutions, plastics and polymer processing equipment, and highly-engineered precision components for rotating and reciprocating machines serving single-use biopharmaceutical production, diversified industrial manufacturing, polymer processing, midstream and downstream oil and gas and other end-markets.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and systems that serve the commercial refrigeration, heating and cooling and beverage container-making equipment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2022, revenue was $2.1 billion, which increased $184.0 million, or 9.9%, as compared to the first quarter of 2021. This was driven by organic revenue growth of 9.3% and acquisition-related revenue growth of 4.4%, partially offset by an unfavorable impact from foreign currency translation of 2.2% and disposition-related decline of 1.6%.</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9.3% organic revenue growth for the first quarter of 2022 was broad-based across most of our businesses based on solid underlying demand and our ability to produce and ship despite supply chain constraints, input inflation, and unforecasted production interruptions. The Engineered Products segment had organic revenue growth of 14.6% primarily as a result of strength in our waste handling, vehicle services, industrial automation, and industrial winch and hoist businesses, whereas our aerospace and defense business declined year-over-year driven by constrained labor availability and supply chain disruptions. The Clean Energy &amp; Fueling segment organic revenue remained flat as growth within our North America retail fueling, fluid transfer solutions and vehicle wash solutions businesses was offset by shipping constraints driven by supply chain and labor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availability challenges, and un-forecasted production interruptions. The Imaging &amp; Identification segment experienced organic revenue decline of 1.1% driven by sourced component shortages and logistics headwinds that impacted shipment volumes in the core marking and coding market and a prolonged recovery in the digital textile printing end market. The Pumps &amp; Process Solutions segment had organic revenue growth of 12.6% reflecting strong demand in biopharma and hygienic markets for pumps and connectors, industrial pumps, polymer processing, and continued recovery in bearings and compression components. The Climate &amp; Sustainability Technologies segment posted organic revenue growth of 17.4%, driven by robust demand in retail refrigeration, can-shaping, and heat exchangers.</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a geographic perspective, organic revenue for the U.S., our largest market, increased 9.0% in the first quarter of 2022. Organic revenue in Asia and Europe grew 18.9% and 5.8%, respectively. Most of our businesses experienced broad-based increases in revenues, however, there remain operational challenges and a difficult backdrop in Eastern Europe and China.</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Bookings were $2.3 billion for the three months ended March 31, 2022, a decrease of $80.4 million, or 3.4% compared to the prior year comparable period. Included in this result was organic decline of 4.3%, an unfavorable impact from foreign currency translation of 2.1%, disposition-related decline of 1.4%, and acquisition-related bookings growth of 4.4%. The bookings decline was driven primarily by a difficult comparable quarter in the prior year. Book-to-bill was above 1.00 for all five segments in the quarter, a reflection of strong demand conditions and order intake in most end markets.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Backlog as of March 31, 2022 was $3.4 billion, an increase from $2.2 billion in the prior year. See definition of bookings and backlog within "Segment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Rightsizing costs of $10.6 million included restructuring costs of $8.2 million and other costs of $2.4 million for the three months ended March 31, 2022. Restructuring costs relate to actions initiated in 2021, which includes non-cash foreign currency translation losses due to the substantial liquidation of businesses in certain Latin America countries. See Note 8 — Restructuring Activities in the Condensed Consolidated Financial Statements in Item 1 of this Form 10-Q for further details. Other rightsizing costs include a $2.1 million write-off of assets in connection with an exit from certain Latin America countries in our Climate &amp; Sustainability Technologies segment.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first quarter of 2022, on April 6, 2022, the Company completed the acquisition of certain intellectual property assets related to electric refuse collection vehicles for approximately $9.75 million, plus potential contingent consideration of up to $20 million. These assets will be included in the Engineered Products segment. See Note 20 — Subsequent Events in the Condensed Consolidated Financial Statements in Item 1 of this Form 10-Q for further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Update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outbreak and associated counteracting measures implemented by governments and businesses around the world, as well as subsequent accelerated recovery in global business activity, have increased uncertainty in the global business environment and led to supply chain disruptions and shortages in global markets for commodities, logistics and labor, as well as input cost inflation. Currently our expectation is that the impact of material cost inflation, labor constraints and logistics constraints and to some extent supplier component input availability will continue throughout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health situation, continued global response measures and corresponding impacts on various markets remain fluid and uncertain and may lead to sudden changes in trajectory and outlook. We are actively monitoring the government-imposed restrictions and their potential impact on global trade. We will continue to proactively respond to the situation and may take further actions that alter our business activity as may be required by governmental authorities, or that we determine are in the best interests of our employees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7"/>
        </w:trPr>
        <w:tc>
          <w:tcPr>
            <w:tcW w:w="382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2,051,901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1,867,901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0"/>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1,308,707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1,146,353</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2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721,548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38.6 %</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(2.4)</w:t>
            </w:r>
          </w:p>
        </w:tc>
      </w:tr>
      <w:tr>
        <w:trPr>
          <w:trHeight w:val="270"/>
        </w:trPr>
        <w:tc>
          <w:tcPr>
            <w:tcW w:w="698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443,843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408,998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6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as a percent of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21.6 %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21.9 %</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(0.3)</w:t>
            </w:r>
          </w:p>
        </w:tc>
      </w:tr>
      <w:tr>
        <w:trPr>
          <w:trHeight w:val="22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299,351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312,550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275,703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289,250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56,481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6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18.0 %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19.5 %</w:t>
            </w:r>
          </w:p>
        </w:tc>
        <w:tc>
          <w:tcPr>
            <w:tcW w:w="110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(1.5)</w:t>
            </w:r>
          </w:p>
        </w:tc>
      </w:tr>
      <w:tr>
        <w:trPr>
          <w:trHeight w:val="22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232,769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per common share -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March 31, 2022 increased $184.0 million, or 9.9%, from the prior year comparable quarter. Results included organic revenue growth of 9.3%, primarily led by our Engineered Products, Pumps &amp; Process Solutions, and Climate &amp; Sustainability Technologies segments. Acquisition-related revenue growth of 4.4%, was slightly offset by an unfavorable impact from foreign currency translation of 2.2% and disposition-related decline of 1.6%. Customer pricing favorably impacted revenue by approximately 6.0% in the first quarter of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three months ended March 31, 2022 increased $21.6 million, or 3.0%, but gross profit margin decreased 240 basis points to 36.2%, from the prior year comparable quarter. Our pricing initiatives which started in 2021 and into 2022 offset increased material, labor and logistics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2022 increased $34.8 million, or 8.5%, from the prior year comparable quarter, primarily due to higher labor costs, restructuring charges, and acquisition-related amortization expense. As a percentage of revenue, selling, general and administrative expenses decreased 30 basis points to 21.6% due to an increase in the revenue base.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$40.7 million and $41.2 million for the three months ended March 31, 2022 and 2021, respectively. These costs as a percent of revenue were 2.0% and 2.2%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March 31, 2022 decreased $0.7 million from the prior year comparable period primarily due to various immaterial items.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2022 and 2021 were 18.0% and 19.5%, respectively. The decrease in the effective tax rate for the three months ended March 31, 2022 relative to the prior year comparable quarter was primarily driven by favorable audit resolutions.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earnings for the three months ended March 31, 2022 decreased 2.8% to $226.2 million, or $1.56 diluted earnings per share, from $232.8 million, or $1.61 diluted earnings per share, in the prior year comparable quarter. The decrease in net earnings is mainly attributable to material, logistics and labor cost inflation, higher restructuring charges, and acquisition-related amortization expenses, partially offset by organic revenue growth, favorable pricing initiatives, and the benefits from productivity and cost reduction 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Rightsizing Activities, which includes Restructuring and Other Costs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rightsizing activities included restructuring charges of $8.2 million, and other costs, net, of $2.4 million. Restructuring expense for the three months ended March 31, 2022 was comprised primarily of the result of restructuring programs initiated in 2021, which includes non-cash foreign currency translation losses due to the substantial liquidation of businesses in certain Latin America countries. Other costs (benefits), net for the three months ended March 31, 2022 was comprised primarily of a $2.1 million write-off of assets in connection with an exit from certain Latin America countries in our Climate &amp; Sustainability Technologies segment. These rightsizing charges were recorded in cost of goods and services and selling, general and administrative expenses in the Condensed Consolidated Statement of Earnings.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rightsizing costs for the three months ended March 31, 2022:</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2021, rightsizing activities included restructuring charges of $6.4 million and other benefits of $2.3 million. Restructuring expense was comprised primarily of new actions initiated in 2020 in response to lower demand conditions, asset charges related to a product line exit and broad-based operational efficiency initiatives focusing on footprint consolidation and IT centralization. Other benefits were comprised primarily of gain on sale of assets of $2.0 million and $1.3 million in our Pumps &amp; Process Solutions and Climate &amp; Sustainability Technologies segments, respectively, as a result of restructuring actions, partially offset by $1.0 million of restructuring related costs. These rightsizing charges were recorded in cost of goods and services and selling, general and administrative expenses in the Condensed Consolidated Statement of Earnings.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rightsizing costs for the three months ended March 31, 2021: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 2021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6,435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color w:val="auto"/>
              </w:rPr>
              <w:t>(2,273)</w:t>
            </w:r>
          </w:p>
        </w:tc>
        <w:tc>
          <w:tcPr>
            <w:tcW w:w="0" w:type="dxa"/>
            <w:vAlign w:val="bottom"/>
          </w:tcPr>
          <w:p>
            <w:pPr>
              <w:spacing w:after="0"/>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4,162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See Note 16 — Segment Information in the Condensed Consolidated Financial Statements in Item 1 of this Form 10-Q for a reconciliation of segment revenue and earnings to our consolidated revenue and net earnings. For further information, see "Non-GAAP Disclosures" at the end of this Item 2.</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203" w:lineRule="exact"/>
        <w:rPr>
          <w:sz w:val="20"/>
          <w:szCs w:val="20"/>
          <w:color w:val="auto"/>
        </w:rPr>
      </w:pPr>
    </w:p>
    <w:p>
      <w:pPr>
        <w:ind w:left="660" w:right="20" w:hanging="328"/>
        <w:spacing w:after="0" w:line="265"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Bookings represent total orders received from customers in the current reporting period. This metric is an important measure of performance and an indicator of revenue order trends.</w:t>
      </w:r>
    </w:p>
    <w:p>
      <w:pPr>
        <w:spacing w:after="0" w:line="190"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bookings represent total orders received from customers in the current reporting period excluding the impact of foreign currency exchange rates and the impact of acquisitions and dispositions. This metric is an important measure of performance and an indicator of revenue order trends.</w:t>
      </w:r>
    </w:p>
    <w:p>
      <w:pPr>
        <w:spacing w:after="0" w:line="19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75"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Products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Engineered Products segment is a provider of a wide range of equipment, components, software, solutions and services for vehicle aftermarket, waste handling, industrial automation, aerospace and defense, industrial winch and hoist, and fluid dispensing end-markets.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428,127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16"/>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(EBIT)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EBITDA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EBITDA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562,557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0"/>
        </w:trPr>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2022 Compared to the First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segment revenue for the first quarter of 2022 increased $59.5 million, or 13.9%, as compared to the first quarter of 2021, comprised primarily of organic growth of 14.6%, acquisition-related growth of 1.2%, and an unfavorable impact from foreign currency translation of 1.9%. Customer pricing favorably impacted revenue in the first quarter of 2022 by approximately 10.8% compared to 0.6% in the prior year comparable quarter. Pricing was higher than in prior quarters reflecting actions to recover increasing costs.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organic revenue growth was most notable in our waste handling, vehicle service, industrial automation, and industrial winch and hoist businesses. Our aerospace and defense business was down year-over-year driven by constrained labor availability and supply chain disruptions, which negatively impacted shipments. Despite the strong organic growth and record high backlog levels for the segment, shipments continue to be challenged by supply chain and labor availability constraints.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Engineered Products segment earnings decreased $2.6 million, or 3.8%, compared to the first quarter of 2021. The decrease was primarily driven by material and labor cost inflation as well as an unfavorable foreign currency translation, partially offset by pricing initiatives and conversion on increased volumes. As a result, segment operating margin decreased 250 basis points to 13.6% from 16.1% as compared to the prior year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increased 2.4% for the segment, comprised primarily of organic growth of 3.4%, acquisition-related growth of 0.5%, and an unfavorable impact from foreign currency translation of 1.5%. The organic bookings growth was broad-based, most notably in our vehicle service, waste handling, and industrial automation businesses. Segment book-to-bill was 1.11. Backlog increased 47.6% compared to the prior year comparable quarter.</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 Energy &amp; Fueling</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Clean Energy &amp; Fueling segment is focused on providing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16"/>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(EBIT)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43.7 %</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EBITDA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EBITDA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238,822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78.5 %</w:t>
            </w: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0"/>
        </w:trPr>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2022 Compared to the First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segment revenue for the first quarter of 2022 increased $68.7 million, or 17.6%, as compared to the first quarter of 2021, comprised of acquisition-related growth of 19.4%, organic growth of 0.2%, and an unfavorable impact from foreign currency translation of 2.0%. Acquisition-related growth was driven by the acquisitions of AvaLAN Wireless Systems Incorporated, Liqal BV, Acme Cryogenics, and RegO. Customer pricing favorably impacted revenue by approximately 2.9% in the first quarter.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Organic revenue remained flat for the Clean Energy &amp; Fueling segment, as organic revenue growth within our North America retail fueling, fluid transfer solutions and vehicle wash solutions businesses was offset by shipping constraints driven by supply chain and labor availability challenges, and un-forecasted production interruptions. The plant returned to normal operations after one week. Additionally, reduced demand for Europay, Mastercard, and Visa ("EMV") compliant equipment following the compliance deadline in the second quarter of 2021 impacted revenues as compared to the first quarter of 2021.</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segment earnings decreased $25.0 million, or 37.7%, over the prior year comparable quarter. The decrease was primarily driven by material, logistics and labor cost inflation, along with the significant impact of acquisition-related depreciation and amortization, including inventory step-up, from recently completed acquisitions, as well as un-forecasted production interruptions. This decrease was partially offset by a favorable impact to earnings from pricing actions to offset inflation. Segment margin decreased to 9.0% from 17.1% in the prior year quarter.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bookings increased 18.6% as compared to the prior year comparable quarter, driven by acquisition-related growth of 23.1% and partially offset by an organic decline of 2.7% and an unfavorable impact from foreign currency translation of 1.8%. The organic bookings decline was primarily driven by a decrease in demand for EMV compliant equipment following the compliance deadline in the second quarter of 2021. Segment book-to-bill was 1.09. Backlog increased 78.5% as compared to the prior year comparable quarter, driven in large part by the acquisitions completed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Imaging &amp; Identification</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Imaging &amp; Identification segment supplies precision marking and coding, packaging intelligence, product traceability, brand protection and digital textile printing equipment, as well as related consumables, software and services to the global packaged and consumer goods, pharmaceutical, industrial manufacturing, fashion and apparel and other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284,328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(EBIT)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EBITDA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EBITDA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243,411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16"/>
        </w:trPr>
        <w:tc>
          <w:tcPr>
            <w:tcW w:w="7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2022 Compared to the First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Imaging &amp; Identification segment revenue for the first quarter of 2022 decreased $12.1 million, or 4.2%, as compared to the first quarter of 2021, comprised of an unfavorable impact from foreign currency translation of 3.5% and an organic decline of 1.1%, partially offset by acquisition-related growth of 0.4%. Acquisition-related growth was driven by the acquisition of Blue Bite LLC. Customer pricing favorably impacted revenue by approximately 1.9% in the first quarter.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organic revenue decline was driven by sourced component shortages and logistics headwinds in our marking and coding business, along with reduced activity in our digital textile printing business due to a prolonged recovery in global retail apparel markets, and was partially offset by strength in our serialization software. The decline in revenue was further impacted as areas within Asia experienced regional lockdowns due to COVID-19 in March. We expect deliveries in our marking and coding business to improve as the year progresses as component shortages dissipate and underlying demand for our printers and consumables remains strong. We continue to believe our digital textile business is favorably positioned to gain from a longer-term transition from analog to digital printing by our customers, but global apparel retail markets continue to be impacted by local business and travel restrictions, as well as work-from-home policies in some regions.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decreased $5.5 million, or 9.6%, over the prior year comparable quarter. This decrease was primarily driven by lower organic revenues along with material and labor cost inflation, partially offset by pricing initiatives, productivity actions, and the favorable impact from restructuring actions. Segment margin decreased to 18.9% from 20.0% in the prior year comparable quarter.</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Overall bookings increased 4.6% as compared to the prior year comparable quarter, reflecting organic growth of 7.7%, acquisition-related growth of 0.4%, and an unfavorable impact from foreign currency translation of 3.5%. Organic bookings growth was driven by solid demand for new equipment and associated services and consumables, as well as serialization software sales in our marking and coding business. Segment book-to-bill was 1.13. Backlog increased 22.6% as compared to the prior year quarter.</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Pumps &amp; Process Solutions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Pumps &amp; Process Solutions segment manufactures specialty pumps and flow meters, fluid connecting solutions, plastics and polymer processing equipment, and highly-engineered precision components for rotating and reciprocating machines serving single-use biopharmaceutical production, diversified industrial manufacturing, polymer processing, midstream and downstream oil and gas and other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394,377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16"/>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(EBIT)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EBITDA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16"/>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EBITDA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551,365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704,935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539,097</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16"/>
        </w:trPr>
        <w:tc>
          <w:tcPr>
            <w:tcW w:w="7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1"/>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2022 Compared to the First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Pumps &amp; Process Solutions segment revenue for the first quarter of 2022 increased $40.8 million, or 10.3%, as compared to the first quarter of 2021, comprised of organic growth of 12.6%, acquisition-related growth of 0.3%, and an unfavorable impact from foreign currency translation of 2.6%. Acquisition-related growth was primarily driven by the acquisition of Quantex Arc Limited and one other immaterial acquisition. Customer pricing favorably impacted revenue by approximately 3.6% in the first quarter.</w:t>
      </w:r>
    </w:p>
    <w:p>
      <w:pPr>
        <w:spacing w:after="0" w:line="1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organic revenue growth was driven by increased revenue in biopharma and hygienic markets for single-use pumps and connectors used in biopharmaceutical production processes, driven by a strong backlog position entering 2022. Our industrial pumps and our plastics and polymer processing solutions businesses also contributed to top-line growth on strong end market demand, despite continued supply chain and customer delivery challenges exacerbated by the Russia-Ukraine crisis and COVID-related lockdowns in China. Revenue in bearings and compression components saw strong growth amidst continued recovery in end market demand. We expect growth to continue in our core biopharma platform; however, we expect COVID-driven biopharma revenue to normalize as the year progresses due to the slowdown in COVID-19 vaccine demand and production.</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earnings increased $15.7 million, or 12.7%, over the prior year comparable quarter. The increase was primarily driven by conversion on revenue growth, pricing initiatives, and productivity actions, partially offset by material and labor cost inflation, and investments in growth. Segment margin increased to 32.0% from 31.4% from the prior year comparable quarter.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bookings decreased 16.6% as compared to the prior year comparable quarter, reflecting an organic decline of 14.0%, an unfavorable impact from foreign currency translation of 2.9%, and acquisition-related increases of 0.3%. The organic bookings decline was driven by a decrease in orders for biopharma and hygienic components used in COVID-19 vaccine production, but partially offset by strong order intake in bearings and compression components. Segment book-to-bill was 1.06. Backlog increased 30.8% compared to the prior year comparable quarter, driven by strong demand seen across product lines throughout 2021.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&amp; Sustainability Technologies</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and systems that serve the commercial refrigeration, heating and cooling and beverage container-making equipment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16"/>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(EBIT)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EBITDA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EBITDA margin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measures: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1,218,155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677,309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2022 Compared to the First Quarter 2021</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Climate &amp; Sustainability Technologies segment revenue increased $27.0 million, or 7.3%, as compared to the first quarter of 2021, reflecting organic revenue growth of 17.4%, partially offset by a disposition-related decline of 8.2% and an unfavorable impact from foreign currency translation of 1.9%. Customer pricing favorably impacted revenue in the first quarter of 2022 by approximately 9.2% compared to 0.3% in the prior year comparable quarter. Pricing was higher than in prior quarters reflecting actions to recover increasing costs, as discussed below.</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revenue growth was driven by robust demand across all our key end-markets. Retail refrigeration revenues increased substantially from the prior year, driven by robust remodel programs with key supermarket customers and strong growth for our natural refrigerant systems in both Europe and the beverage equipment revenues experienced strong growth, driven by continued favorable macro trends in the global beverage industry as producers shift from plastic and glass packaging to aluminum containers for environmental sustainability and merchandising benefits offered by modern aluminum containers. Our heat exchanger business experienced healthy growth across all regions, fueled by regulation-driven heat pump demand in Europe, robust demand in Asia and strengthening commercial HVAC and industrial markets globally.</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Climate &amp; Sustainability Technologies segment earnings increased $2.3 million, or 6.0%, as compared to the first quarter of 2021. Segment margin decreased to 10.1% from 10.2% in the prior year comparable quarter. The earnings increase was driven by increased volumes, favorable business mix, and customer pricing actions, partially offset by increased material and logistics costs, most notably metals and freight, and plant productivity shortfalls resulting from supply chain disruption and increased labor costs.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Bookings in the first quarter of 2022 decreased 17.2% from the prior year comparable quarter, reflecting organic decline of 9.4%, a disposition-related decline of 6.2%, and an unfavorable impact from foreign currency translation of 1.6%. The organic bookings decline was principally driven by a challenging comparable quarter in the prior year, especially in retail refrigeration. Segment book-to-bill for the first quarter of 2022 was 1.11. Backlog increased 79.9% over the prior year comparable quarter, reflective of the improving outlook across all businesses within the segment.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derived from our Condensed Consolidated Statements of Cash Flows: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7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i w:val="1"/>
                <w:iCs w:val="1"/>
                <w:color w:val="auto"/>
              </w:rPr>
              <w:t>(dollars 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23,683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177,184</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(46,963)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(29,572)</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20"/>
                <w:szCs w:val="20"/>
                <w:color w:val="auto"/>
              </w:rPr>
            </w:pPr>
          </w:p>
        </w:tc>
        <w:tc>
          <w:tcPr>
            <w:tcW w:w="1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(75,204)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(124,239)</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March 31, 2022 decreased approximately $153.5 million compared to the comparable period in 2021. This decrease was primarily driven by higher compensation payouts in 2022 compared to 2021, as well as higher investments in inventory to support business and backlog growth, and also to mitigate potential inventory constraints given the continuing disrupted and constrained supply chain.</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Adjusted Working Capital: </w:t>
      </w:r>
      <w:r>
        <w:rPr>
          <w:rFonts w:ascii="Times New Roman" w:cs="Times New Roman" w:eastAsia="Times New Roman" w:hAnsi="Times New Roman"/>
          <w:sz w:val="18"/>
          <w:szCs w:val="18"/>
          <w:color w:val="auto"/>
        </w:rPr>
        <w:t>We believe adjusted working capital (a non-GAAP measure calculated as accounts receivable, plus inventory, less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provides a meaningful measure of our operational results by showing changes caused solely by revenue. The following table provides a reconciliation of adjusted working capital to the most directly comparable GAAP measure: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Working Capital </w:t>
            </w:r>
            <w:r>
              <w:rPr>
                <w:rFonts w:ascii="Times New Roman" w:cs="Times New Roman" w:eastAsia="Times New Roman" w:hAnsi="Times New Roman"/>
                <w:sz w:val="18"/>
                <w:szCs w:val="18"/>
                <w:i w:val="1"/>
                <w:iCs w:val="1"/>
                <w:color w:val="auto"/>
              </w:rPr>
              <w:t>(dollars in thousands)</w:t>
            </w: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1,347,514</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1,191,095</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1,073,568</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working capital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1,465,041</w:t>
            </w:r>
          </w:p>
        </w:tc>
      </w:tr>
    </w:tbl>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working capital increased from December 31, 2021 by $167.4 million, or 11.4%, to $1.6 billion at March 31, 2022, which reflected an increase of $99.2 million in accounts receivable and $131.2 million in inventory, partially offset by an increase in accounts payable of $63.0 million. These amounts include the effects of acquisitions and foreign currency translation. Accounts receivable increased compared to the prior year as a result of higher revenue. Inventories increased to support business and backlog growth, and to also mitigate potential inventory constraints due to supply chain disruptions and constraints. These factors also led to an increase in accounts payable.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facilitate the opportunity for suppliers to participate in voluntary supply chain financing ("SCF") programs with participating financial institutions. Participating suppliers have the ability to sell receivables due from us to SCF financial institutions at the discretion of both the suppliers and the SCF financial institutions, at no economic impact to the Company. The Company and our suppliers agree on commercial terms, including payment terms, for the goods and services we procure regardless of whether the supplier participates in SCF. For participating suppliers, our responsibility is limited to making all payments to the SCF financial institutions on the terms originally negotiated with the supplier, irrespective of whether the supplier elects to sell receivables to the SCF financial institution. The SCF financial institution pays the supplier on the invoice due date for any invoices that were not previously sold by the supplier to the SCF financial institution. Thus, suppliers using SCF have additional potential flexibility in managing their liquidity by accelerating, at their option and cost, collection of receivables due from Dover.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payments related to SCF programs are recorded within accounts payable in our consolidated balance sheets. As of March 31, 2022 and December 31, 2021, amounts due to financial institutions for suppliers using SCF were approximately $140 million and $211 million, respectively. SCF-related payments are classified as a reduction to cash flows from operations. During the three months ended March 31, 2022 and 2021, amounts paid to SCF financial institutions were approximately $225 million and $108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is derived from cash outflows for capital expenditures, offset by proceeds from sales of property, plant and equipment. For the three months ended March 31, 2022 and 2021, we used cash in investing activities of $47.0 million and $29.6 million, respectively, primarily driven by the $19.1 million increase in our capital expenditures during the three months ended March 31, 2022 compared to the three months ended March 31, 2021. We expect full year 2022 capital expenditures to be approximately $200-$220 million.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capital expenditures and any acquisitions we make through the remainder of 2022 will be funded from available cash and internally generated funds and through the issuance of commercial paper, use of lines of credit or public or private debt markets, as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 from financing activities generally relates to the use of cash for purchases of our common stock and payment of dividends, offset by net borrowing activity. For the three months ended March 31, 2022 and 2021, we used cash totaling $75.2 million and $124.2 million, respectively, for financing activities, with the activity primarily attributable to the following:</w:t>
      </w:r>
    </w:p>
    <w:p>
      <w:pPr>
        <w:spacing w:after="0" w:line="201" w:lineRule="exact"/>
        <w:rPr>
          <w:sz w:val="20"/>
          <w:szCs w:val="20"/>
          <w:color w:val="auto"/>
        </w:rPr>
      </w:pPr>
    </w:p>
    <w:p>
      <w:pPr>
        <w:ind w:left="660" w:hanging="328"/>
        <w:spacing w:after="0" w:line="284" w:lineRule="auto"/>
        <w:tabs>
          <w:tab w:leader="none" w:pos="649" w:val="left"/>
        </w:tabs>
        <w:numPr>
          <w:ilvl w:val="0"/>
          <w:numId w:val="1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Repurchase of common stock: </w:t>
      </w:r>
      <w:r>
        <w:rPr>
          <w:rFonts w:ascii="Times New Roman" w:cs="Times New Roman" w:eastAsia="Times New Roman" w:hAnsi="Times New Roman"/>
          <w:sz w:val="18"/>
          <w:szCs w:val="18"/>
          <w:color w:val="auto"/>
        </w:rPr>
        <w:t>We did not repurchase any shares during the three months ended March 31, 2022.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2021, we used $21.6 million to repurchase 182,951 shares.</w:t>
      </w:r>
    </w:p>
    <w:p>
      <w:pPr>
        <w:spacing w:after="0" w:line="185" w:lineRule="exact"/>
        <w:rPr>
          <w:rFonts w:ascii="Times New Roman" w:cs="Times New Roman" w:eastAsia="Times New Roman" w:hAnsi="Times New Roman"/>
          <w:sz w:val="16"/>
          <w:szCs w:val="16"/>
          <w:b w:val="1"/>
          <w:bCs w:val="1"/>
          <w:i w:val="1"/>
          <w:iCs w:val="1"/>
          <w:color w:val="auto"/>
        </w:rPr>
      </w:pPr>
    </w:p>
    <w:p>
      <w:pPr>
        <w:ind w:left="660" w:hanging="328"/>
        <w:spacing w:after="0" w:line="284"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Commercial paper and notes payable: </w:t>
      </w:r>
      <w:r>
        <w:rPr>
          <w:rFonts w:ascii="Times New Roman" w:cs="Times New Roman" w:eastAsia="Times New Roman" w:hAnsi="Times New Roman"/>
          <w:sz w:val="18"/>
          <w:szCs w:val="18"/>
          <w:color w:val="auto"/>
        </w:rPr>
        <w:t>During the three months ended March 31, 2022 we received net proceeds of $7.8 million from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borrowings. During the three months ended March 31, 2021 we did not borrow or have proceeds from commercial paper or notes payable.</w:t>
      </w:r>
    </w:p>
    <w:p>
      <w:pPr>
        <w:spacing w:after="0" w:line="185"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payments: </w:t>
      </w:r>
      <w:r>
        <w:rPr>
          <w:rFonts w:ascii="Times New Roman" w:cs="Times New Roman" w:eastAsia="Times New Roman" w:hAnsi="Times New Roman"/>
          <w:sz w:val="18"/>
          <w:szCs w:val="18"/>
          <w:color w:val="auto"/>
        </w:rPr>
        <w:t>Dividends paid to shareholders during the three months ended March 31, 2022 totaled $72.2 million as compared to $71.3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same period in 2021. Our dividends paid per common share increased 1.0% to $0.50 during the three months ended March 31, 2022 compared to $0.495 during the same period in 2021.</w:t>
      </w:r>
    </w:p>
    <w:p>
      <w:pPr>
        <w:spacing w:after="0" w:line="20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Payments to settle employee tax obligations: </w:t>
      </w:r>
      <w:r>
        <w:rPr>
          <w:rFonts w:ascii="Times New Roman" w:cs="Times New Roman" w:eastAsia="Times New Roman" w:hAnsi="Times New Roman"/>
          <w:sz w:val="18"/>
          <w:szCs w:val="18"/>
          <w:color w:val="auto"/>
        </w:rPr>
        <w:t>Payments to settle tax obligations from the exercise of share-based awards declined $20.4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period, primarily due to the decrease in the number of shares exercised.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free cash flow to cash flow provided by operating activities:</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7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i w:val="1"/>
                <w:i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177,184</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(50,381)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(31,260)</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(26,698)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145,924</w:t>
            </w:r>
          </w:p>
        </w:tc>
      </w:tr>
      <w:tr>
        <w:trPr>
          <w:trHeight w:val="121"/>
        </w:trPr>
        <w:tc>
          <w:tcPr>
            <w:tcW w:w="7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revenue</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122"/>
        </w:trPr>
        <w:tc>
          <w:tcPr>
            <w:tcW w:w="7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net earnings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r>
      <w:tr>
        <w:trPr>
          <w:trHeight w:val="122"/>
        </w:trPr>
        <w:tc>
          <w:tcPr>
            <w:tcW w:w="7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revenue</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122"/>
        </w:trPr>
        <w:tc>
          <w:tcPr>
            <w:tcW w:w="7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net earnings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we generated cash flow from operating activities of $23.7 million, representing 1.2% of revenue and 10.5% of net earnings, and we used free cash flow of $26.7 million, representing 1.3% of revenue and 11.8% of net earnings. Free cash flow for the three months ended March 31, 2022 decreased $172.6 million compared to the prior year period, due to lower operating cash flow primarily as a result of higher compensation payments, increase in inventory, and higher investments in capital expenditures compared to the prior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commercial paper borrowings for general corporate purposes, including the funding of acquisitions and the repurchase of our common stock. As of March 31, 2022, we maintained a $1.0 billion five-year unsecured revolving credit facility (the "Credit Agreement") with a syndicate of banks with an expiration date of October 4, 2024. The Credit Agreement is used as liquidity back-up for our commercial paper program and for general corporate purposes.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Credit Agreement, we are required to pay a facility fee and to maintain an interest coverage ratio of consolidated EBITDA to consolidated net interest expense of not less than 3.0 to 1.0. We were in compliance with this covenant and our other long-term debt covenants at March 31, 2022 and had an interest coverage ratio of 17.7 to 1. We are not aware of any potential impairment to our liquidity and expect to remain in compliance with all of our debt covenants. Additionally, our earliest long-term debt maturity is in 2025.</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 March 31, 2022, our cash and cash equivalents totaled $290.0 million, of which $238.2 million was held outside the United States. At December 31, 2021, our cash and cash equivalents totaled $385.5 million, of which $257.5 million was held outside the United States. Cash and cash equivalents in excess of near-term requirements are invested in highly liquid investment-grade money market instruments, short-term investments, or bank deposits, which consist of investment-grade time deposits with original maturity dates at the time of purchase of no greater than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Debt to Net Capitalization Ratio </w:t>
            </w:r>
            <w:r>
              <w:rPr>
                <w:rFonts w:ascii="Times New Roman" w:cs="Times New Roman" w:eastAsia="Times New Roman" w:hAnsi="Times New Roman"/>
                <w:sz w:val="18"/>
                <w:szCs w:val="18"/>
                <w:i w:val="1"/>
                <w:iCs w:val="1"/>
                <w:color w:val="auto"/>
              </w:rPr>
              <w:t>(dollars in thousands)</w:t>
            </w:r>
          </w:p>
        </w:tc>
        <w:tc>
          <w:tcPr>
            <w:tcW w:w="30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w:t>
            </w:r>
          </w:p>
        </w:tc>
      </w:tr>
      <w:tr>
        <w:trPr>
          <w:trHeight w:val="229"/>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112,800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105,000</w:t>
            </w:r>
          </w:p>
        </w:tc>
      </w:tr>
      <w:tr>
        <w:trPr>
          <w:trHeight w:val="22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105,702</w:t>
            </w:r>
          </w:p>
        </w:tc>
      </w:tr>
      <w:tr>
        <w:trPr>
          <w:trHeight w:val="229"/>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2,981,922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3,018,714</w:t>
            </w:r>
          </w:p>
        </w:tc>
      </w:tr>
      <w:tr>
        <w:trPr>
          <w:trHeight w:val="22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3,095,402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3,124,416</w:t>
            </w:r>
          </w:p>
        </w:tc>
      </w:tr>
      <w:tr>
        <w:trPr>
          <w:trHeight w:val="229"/>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(289,984)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(385,504)</w:t>
            </w:r>
          </w:p>
        </w:tc>
      </w:tr>
      <w:tr>
        <w:trPr>
          <w:trHeight w:val="22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2,805,418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2,738,912</w:t>
            </w:r>
          </w:p>
        </w:tc>
      </w:tr>
      <w:tr>
        <w:trPr>
          <w:trHeight w:val="229"/>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Add: Stockholders' equity</w:t>
            </w: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4,329,776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4,189,528</w:t>
            </w:r>
          </w:p>
        </w:tc>
      </w:tr>
      <w:tr>
        <w:trPr>
          <w:trHeight w:val="248"/>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7,135,194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6,928,440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debt to net capitalization</w:t>
            </w:r>
          </w:p>
        </w:tc>
        <w:tc>
          <w:tcPr>
            <w:tcW w:w="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39.3 %</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39.5 %</w:t>
            </w:r>
          </w:p>
        </w:tc>
      </w:tr>
      <w:tr>
        <w:trPr>
          <w:trHeight w:val="21"/>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debt to net capitalization ratio decreased to 39.3% at March 31, 2022 compared to 39.5% at December 31, 2021. Net debt increased $66.5 million during the period primarily due to a decrease in cash and cash equivalents, partially offset by a decrease in long-term debt as a result of foreign currency translation on euro-denominated notes. Stockholders' equity increased $140.2 million primarily as a result of earnings during the period, partially offset by dividends paid and exercises of share-based awards.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cash flow, existing capacity of our Credit Agreement and access to capital markets are expected to satisfy our various cash flow requirements, including acquisitions, capital expenditures, purchase obligations, lease obligations, and share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Notes Regarding 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especially MD&amp;A,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"headwind", "tailwind"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the impacts of COVID-19 or other future pandemics on the global economy and on our customers, suppliers, employees, business and cash flows, supply chain constraints and labor shortages that could result in production stoppages, inflation in material input costs and freight logistics, other general economic conditions and conditions in the particular markets in which we operate, changes in customer demand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 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2021. The Company undertakes no obligation to publicly update any forward-looking statement, whether as a result of new information, future events or otherwise.</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as determined by GAAP, we also disclose non-GAAP information which we believe provides useful information to investors. Segment EBITDA, segment EBITDA margin, free cash flow, free cash flow as a percentage of revenue, free cash flow as a percentage of net earnings, net debt, net capitalization, net debt to net capitalization ratio, adjusted working capital, organic revenue growth and rightsizing costs are not financial measures under GAAP and should not be considered as a substitute for earnings, cash flows from operating activities, debt or equity, working capital, revenue or restructuring costs as determined in accordance with GAAP, and they may not be comparable to similarly titled measures reported by other companies.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interest and taxes are not allocated at a segment level. Segment EBITDA margin is calculated as segment EBITDA divided by segment revenue.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which is calculated as accounts receivable, plus inventory, less accounts payable, provides a meaningful measure of our operational results by showing the changes caused solely by revenue. We believe that reporting organic revenue growth, which excludes the impact of foreign currency exchange rates and the impact of acquisitions and divestitures, provides a useful comparison of our revenue performance and trends between periods. We believe that reporting rightsizing costs, which include restructuring and other charges, is important as it enables management and investors to better understand the financial impact of our broad-based cost reduction and operational improvement initiatives.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non-GAAP measures can be found above in this Item 2,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three months ended March 31, 2022. For a discussion of our exposure to market risk, refer to Item 7A, "Quantitative and Qualitative Disclosures about Market Risk," contained in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March 31,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there were no changes in the Company’s internal control over financial reporting that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 Commitments and Contingent Liabilities in the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2021.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the Company's Board of Directors approved a new standing share repurchase authorization, whereby the Company may repurchase up to 20 million shares beginning on January 1, 2021 through December 31, 2023. No share repurchases were made under the November 2020 authorization during the three months ended March 31, 2022. As of March 31, 2022, the number of shares still available for repurchase under the November 2020 share repurchase authorization was 19,817,049.</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Brad M. Cerepak.</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Richard J. Tobin.</w:t>
      </w:r>
    </w:p>
    <w:p>
      <w:pPr>
        <w:spacing w:after="0" w:line="144" w:lineRule="exact"/>
        <w:rPr>
          <w:sz w:val="20"/>
          <w:szCs w:val="20"/>
          <w:color w:val="auto"/>
        </w:rPr>
      </w:pPr>
    </w:p>
    <w:p>
      <w:pPr>
        <w:ind w:left="980" w:right="60" w:hanging="215"/>
        <w:spacing w:after="0" w:line="23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signed and dated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Richard J. Tobin and Brad M. Cerepak.</w:t>
      </w:r>
    </w:p>
    <w:p>
      <w:pPr>
        <w:spacing w:after="0" w:line="158" w:lineRule="exact"/>
        <w:rPr>
          <w:sz w:val="20"/>
          <w:szCs w:val="20"/>
          <w:color w:val="auto"/>
        </w:rPr>
      </w:pPr>
    </w:p>
    <w:p>
      <w:pPr>
        <w:jc w:val="both"/>
        <w:ind w:left="980" w:hanging="369"/>
        <w:spacing w:after="0" w:line="22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Dover Corporation’s Quarterly Report on Form 10-Q for the quarter ended March 31, 2022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000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CORPORATION</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21, 2022</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29"/>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21, 2022</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W. Paulson</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40"/>
          </w:cols>
          <w:pgMar w:left="320" w:top="12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2022</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29"/>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2022</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Dover Corporation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104" w:lineRule="exact"/>
        <w:rPr>
          <w:sz w:val="20"/>
          <w:szCs w:val="20"/>
          <w:color w:val="auto"/>
        </w:rPr>
      </w:pPr>
    </w:p>
    <w:p>
      <w:pPr>
        <w:ind w:left="66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2022 (the “Form 10-Q</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fully complies with the requirements of Section 13(a) of the Securities Exchange Act of 1934, as amended;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21,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21,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lvl w:ilvl="1">
      <w:lvlJc w:val="left"/>
      <w:lvlText w:val="(%2)"/>
      <w:numFmt w:val="decimal"/>
      <w:start w:val="1"/>
    </w:lvl>
  </w:abstractNum>
  <w:abstractNum w:abstractNumId="5">
    <w:nsid w:val="109CF92E"/>
    <w:multiLevelType w:val="hybridMultilevel"/>
    <w:lvl w:ilvl="0">
      <w:lvlJc w:val="left"/>
      <w:lvlText w:val="%1."/>
      <w:numFmt w:val="decimal"/>
      <w:start w:val="9"/>
    </w:lvl>
    <w:lvl w:ilvl="1">
      <w:lvlJc w:val="left"/>
      <w:lvlText w:val="%2"/>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0"/>
    </w:lvl>
  </w:abstractNum>
  <w:abstractNum w:abstractNumId="8">
    <w:nsid w:val="1BEFD79F"/>
    <w:multiLevelType w:val="hybridMultilevel"/>
    <w:lvl w:ilvl="0">
      <w:lvlJc w:val="left"/>
      <w:lvlText w:val="%1."/>
      <w:numFmt w:val="decimal"/>
      <w:start w:val="14"/>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9"/>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0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2022-04-21T05:37:42Z</dcterms:created>
  <dcterms:modified xsi:type="dcterms:W3CDTF">2022-04-21T05:37:42Z</dcterms:modified>
</cp:coreProperties>
</file>