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424815</wp:posOffset>
            </wp:positionV>
            <wp:extent cx="313753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75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6740" w:type="dxa"/>
            <w:vAlign w:val="bottom"/>
            <w:gridSpan w:val="4"/>
          </w:tcPr>
          <w:p>
            <w:pPr>
              <w:jc w:val="center"/>
              <w:ind w:left="211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40" w:type="dxa"/>
            <w:vAlign w:val="bottom"/>
          </w:tcPr>
          <w:p>
            <w:pPr>
              <w:spacing w:after="0"/>
              <w:rPr>
                <w:sz w:val="20"/>
                <w:szCs w:val="20"/>
                <w:color w:val="auto"/>
              </w:rPr>
            </w:pPr>
          </w:p>
        </w:tc>
      </w:tr>
      <w:tr>
        <w:trPr>
          <w:trHeight w:val="351"/>
        </w:trPr>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68"/>
        </w:trPr>
        <w:tc>
          <w:tcPr>
            <w:tcW w:w="2760" w:type="dxa"/>
            <w:vAlign w:val="bottom"/>
          </w:tcPr>
          <w:p>
            <w:pPr>
              <w:jc w:val="center"/>
              <w:ind w:right="10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gridSpan w:val="2"/>
          </w:tcPr>
          <w:p>
            <w:pPr>
              <w:jc w:val="center"/>
              <w:ind w:left="696"/>
              <w:spacing w:after="0"/>
              <w:rPr>
                <w:sz w:val="20"/>
                <w:szCs w:val="20"/>
                <w:color w:val="auto"/>
              </w:rPr>
            </w:pPr>
            <w:r>
              <w:rPr>
                <w:rFonts w:ascii="Times New Roman" w:cs="Times New Roman" w:eastAsia="Times New Roman" w:hAnsi="Times New Roman"/>
                <w:sz w:val="18"/>
                <w:szCs w:val="18"/>
                <w:b w:val="1"/>
                <w:bCs w:val="1"/>
                <w:color w:val="auto"/>
              </w:rPr>
              <w:t>1-4018</w:t>
            </w:r>
          </w:p>
        </w:tc>
        <w:tc>
          <w:tcPr>
            <w:tcW w:w="1120" w:type="dxa"/>
            <w:vAlign w:val="bottom"/>
          </w:tcPr>
          <w:p>
            <w:pPr>
              <w:spacing w:after="0"/>
              <w:rPr>
                <w:sz w:val="24"/>
                <w:szCs w:val="24"/>
                <w:color w:val="auto"/>
              </w:rPr>
            </w:pPr>
          </w:p>
        </w:tc>
        <w:tc>
          <w:tcPr>
            <w:tcW w:w="2040" w:type="dxa"/>
            <w:vAlign w:val="bottom"/>
          </w:tcPr>
          <w:p>
            <w:pPr>
              <w:jc w:val="center"/>
              <w:ind w:left="821"/>
              <w:spacing w:after="0"/>
              <w:rPr>
                <w:sz w:val="20"/>
                <w:szCs w:val="20"/>
                <w:color w:val="auto"/>
              </w:rPr>
            </w:pPr>
            <w:r>
              <w:rPr>
                <w:rFonts w:ascii="Times New Roman" w:cs="Times New Roman" w:eastAsia="Times New Roman" w:hAnsi="Times New Roman"/>
                <w:sz w:val="18"/>
                <w:szCs w:val="18"/>
                <w:b w:val="1"/>
                <w:bCs w:val="1"/>
                <w:color w:val="auto"/>
                <w:w w:val="98"/>
              </w:rPr>
              <w:t>53-0257888</w:t>
            </w:r>
          </w:p>
        </w:tc>
      </w:tr>
      <w:tr>
        <w:trPr>
          <w:trHeight w:val="149"/>
        </w:trPr>
        <w:tc>
          <w:tcPr>
            <w:tcW w:w="2760" w:type="dxa"/>
            <w:vAlign w:val="bottom"/>
          </w:tcPr>
          <w:p>
            <w:pPr>
              <w:jc w:val="center"/>
              <w:ind w:right="10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0" w:type="dxa"/>
            <w:vAlign w:val="bottom"/>
          </w:tcPr>
          <w:p>
            <w:pPr>
              <w:spacing w:after="0"/>
              <w:rPr>
                <w:sz w:val="12"/>
                <w:szCs w:val="12"/>
                <w:color w:val="auto"/>
              </w:rPr>
            </w:pPr>
          </w:p>
        </w:tc>
        <w:tc>
          <w:tcPr>
            <w:tcW w:w="34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40" w:type="dxa"/>
            <w:vAlign w:val="bottom"/>
          </w:tcPr>
          <w:p>
            <w:pPr>
              <w:jc w:val="center"/>
              <w:ind w:left="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60" w:type="dxa"/>
            <w:vAlign w:val="bottom"/>
          </w:tcPr>
          <w:p>
            <w:pPr>
              <w:jc w:val="center"/>
              <w:ind w:right="10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0" w:type="dxa"/>
            <w:vAlign w:val="bottom"/>
          </w:tcPr>
          <w:p>
            <w:pPr>
              <w:spacing w:after="0"/>
              <w:rPr>
                <w:sz w:val="16"/>
                <w:szCs w:val="16"/>
                <w:color w:val="auto"/>
              </w:rPr>
            </w:pPr>
          </w:p>
        </w:tc>
        <w:tc>
          <w:tcPr>
            <w:tcW w:w="34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40" w:type="dxa"/>
            <w:vAlign w:val="bottom"/>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760" w:type="dxa"/>
            <w:vAlign w:val="bottom"/>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4"/>
        </w:trPr>
        <w:tc>
          <w:tcPr>
            <w:tcW w:w="2760" w:type="dxa"/>
            <w:vAlign w:val="bottom"/>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190"/>
        </w:trPr>
        <w:tc>
          <w:tcPr>
            <w:tcW w:w="6740" w:type="dxa"/>
            <w:vAlign w:val="bottom"/>
            <w:gridSpan w:val="4"/>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40" w:type="dxa"/>
            <w:vAlign w:val="bottom"/>
          </w:tcPr>
          <w:p>
            <w:pPr>
              <w:jc w:val="center"/>
              <w:ind w:right="8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760" w:type="dxa"/>
            <w:vAlign w:val="bottom"/>
          </w:tcPr>
          <w:p>
            <w:pPr>
              <w:spacing w:after="0"/>
              <w:rPr>
                <w:sz w:val="24"/>
                <w:szCs w:val="24"/>
                <w:color w:val="auto"/>
              </w:rPr>
            </w:pPr>
          </w:p>
        </w:tc>
        <w:tc>
          <w:tcPr>
            <w:tcW w:w="286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0"/>
        </w:trPr>
        <w:tc>
          <w:tcPr>
            <w:tcW w:w="2760" w:type="dxa"/>
            <w:vAlign w:val="bottom"/>
          </w:tcPr>
          <w:p>
            <w:pPr>
              <w:spacing w:after="0"/>
              <w:rPr>
                <w:sz w:val="16"/>
                <w:szCs w:val="16"/>
                <w:color w:val="auto"/>
              </w:rPr>
            </w:pPr>
          </w:p>
        </w:tc>
        <w:tc>
          <w:tcPr>
            <w:tcW w:w="39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DOV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1.250% Notes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DOV 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0.750%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DOV 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3.500% Notes due 2033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DOV 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November 2, 2026, Dover Corporation (the “Company”) completed an offering of €800,000,000 aggregate principal amount of 4.350% Notes due 2030 (the “Euro Notes”).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Euro Notes were registered under the Company’s Registration Statement on Form S-3ASR (File No. 333-293679) and were offered by means of the Company’s prospectus, dated February 24, 2026 (the “Base Prospectus”), as supplemented by a prospectus supplement, dated October 26, 2026 (together with the Base Prospectus, the “Prospectus”). The material terms of the Euro Notes are described in the Prospectus.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Euro Notes were issued under an indenture, dated as of February 8, 2001, entered into between the Company and The Bank of New York Mellon, as Trustee (as successor to Bank One Trust Company, N.A. and J.P. Morgan Trust Company, National Association) (the “Trustee”), as supplemented by a first supplemental indenture, dated as of October 13, 2005, between the Company and the Trustee, a second supplemental indenture, dated as of March 14, 2008, between the Company and the Trustee, a third supplemental indenture, dated as of February 22, 2011, between the Company and the Trustee, a fourth supplemental indenture, dated as of December 2, 2013, among the Company, the Trustee and The Bank of New York Mellon, London Branch, as Paying Agent (the “Paying Agent”), a fifth supplemental indenture, dated as of November 3, 2015, between the Company and the Trustee, a sixth supplemental indenture, dated as of November 9, 2016, among the Company, the Trustee and the Paying Agent, a seventh supplemental indenture, dated as of November 4, 2019, among the Company, the Trustee and the Paying Agent, an eighth supplemental indenture, dated November 4, 2019, between the Company and the Trustee, a ninth supplemental indenture, dated November 12, 2025, among the Company, the Trustee and the Paying Agent, and a tenth supplemental indenture, dated November 2, 2026, among the Company, the Trustee and the Paying Agent (the “Tenth Supplemental Indenture”).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 Notes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Company’s public offering of the Euro Notes, on October 26, 2026, the Company entered into a pricing agreement (the “Euro Note Pricing Agreement”) with Deutsche Bank AG, London Branch, HSBC Bank plc, J.P. Morgan Securities plc, Merrill Lynch International, Citigroup Global Markets Limited, Goldman Sachs &amp; Co. LLC, ING Bank N.V., Belgian Branch, BNP PARIBAS, Scotiabank (Ireland) Designated Activity Company, Academy Securities, Inc. and U.S. Bancorp Investments, Inc. (collectively, the “Euro Note Underwriters”). The Company also entered into an underwriting agreement, dated October 26, 2026, with the Euro Note Underwriters (the “Euro Note Underwriting Agreement”), the provisions of which are incorporated by reference into the Euro Note Pricing Agreement.</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Interest on the Euro Notes is payable annually on November 2 of each year, beginning on November 2, 2027, to holders of record on the preceding October 15. Interest on the Euro Notes will accrue from November 2, 2026. The amount of interest payable for any interest period will be computed on the basis of the actual number of days in the period for which interest is being calculated and the actual number of days from and including the last date on which interest was paid on the Euro Notes (or November 2, 2026 if no interest has been paid on the Euro Notes), to, but excluding, the next scheduled interest payment date. This payment convention is referred to as ACTUAL/ACTUAL (ICMA) as defined in the rulebook of the International Capital Market Association.</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Euro Notes will mature on November 2, 2030, unless earlier redeemed or repurchased.</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Euro Notes are the Company’s senior unsecured debt obligations and rank on parity with all of its other senior unsecured indebtedness. The Euro Notes are not convertible or exchangeable for any other securities.</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connection with the offering of the Euro Notes, Ivonne M. Cabrera, Esq., the Company’s Senior Vice President, General Counsel and Secretary, has provided the Company with the opinion regarding legality of the Euro Notes attached to this report as Exhibit 5.1.</w:t>
      </w:r>
    </w:p>
    <w:p>
      <w:pPr>
        <w:spacing w:after="0" w:line="162"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For a complete description of the terms and conditions of the Euro Note Underwriting Agreement, the Euro Note Pricing Agreement and the Euro Notes, please refer to such agreements, the Tenth Supplemental Indenture and the form of Euro Note included in the Tenth Supplemental Indenture, which are incorporated herein by reference and attached to this report as Exhibits 99.1, 99.2, 4.1 and 4.2.</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exhibits are filed as part of this Current Report on Form 8-K:</w:t>
      </w:r>
    </w:p>
    <w:p>
      <w:pPr>
        <w:spacing w:after="0" w:line="252" w:lineRule="exact"/>
        <w:rPr>
          <w:sz w:val="20"/>
          <w:szCs w:val="20"/>
          <w:color w:val="auto"/>
        </w:rPr>
      </w:pPr>
    </w:p>
    <w:p>
      <w:pPr>
        <w:ind w:left="664"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Tenth Supplemental Indenture, dated as of November 2, 2026, among Dover Corporation, The Bank of New York Mellon, as trustee and The Bank of New York Mellon, London Branch, as paying agent.</w:t>
      </w:r>
    </w:p>
    <w:p>
      <w:pPr>
        <w:spacing w:after="0" w:line="54" w:lineRule="exact"/>
        <w:rPr>
          <w:sz w:val="20"/>
          <w:szCs w:val="20"/>
          <w:color w:val="auto"/>
        </w:rPr>
      </w:pPr>
    </w:p>
    <w:p>
      <w:pPr>
        <w:ind w:left="664" w:right="66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0000EE"/>
        </w:rPr>
        <w:t>Form of Global Note representing the 4.350% Notes due 2030 (€800,000,000 aggregate principal amount) (included as Exhibit A to Exhibit 4.1).</w:t>
      </w:r>
    </w:p>
    <w:p>
      <w:pPr>
        <w:spacing w:after="0" w:line="54" w:lineRule="exact"/>
        <w:rPr>
          <w:sz w:val="20"/>
          <w:szCs w:val="20"/>
          <w:color w:val="auto"/>
        </w:rPr>
      </w:pPr>
    </w:p>
    <w:p>
      <w:pPr>
        <w:ind w:left="664" w:right="6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Ivonne M. Cabrera, Esq., Senior Vice President, General Counsel and Secretary of Dover Corporation, with respect to legality of the Euro Notes.</w:t>
      </w:r>
    </w:p>
    <w:p>
      <w:pPr>
        <w:spacing w:after="0" w:line="54" w:lineRule="exact"/>
        <w:rPr>
          <w:sz w:val="20"/>
          <w:szCs w:val="20"/>
          <w:color w:val="auto"/>
        </w:rPr>
      </w:pPr>
    </w:p>
    <w:p>
      <w:pPr>
        <w:ind w:left="664" w:right="22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Ivonne M. Cabrera, Esq., Senior Vice President, General Counsel and Secretary of Dover Corporation with respect to the Euro Notes (set forth in Exhibit 5.1).</w:t>
      </w:r>
    </w:p>
    <w:p>
      <w:pPr>
        <w:spacing w:after="0" w:line="54"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Underwriting Agreement, dated October 26, 2026, between Dover Corporation and the Euro Note Underwriters.</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Pricing Agreement, dated October 26, 2026, between Dover Corporation and the Euro Note Underwriters.</w:t>
      </w:r>
    </w:p>
    <w:p>
      <w:pPr>
        <w:spacing w:after="0" w:line="117" w:lineRule="exact"/>
        <w:rPr>
          <w:sz w:val="20"/>
          <w:szCs w:val="20"/>
          <w:color w:val="auto"/>
        </w:rPr>
      </w:pPr>
    </w:p>
    <w:p>
      <w:pPr>
        <w:ind w:left="5464" w:right="2120" w:hanging="5464"/>
        <w:spacing w:after="0" w:line="454" w:lineRule="auto"/>
        <w:tabs>
          <w:tab w:leader="none" w:pos="6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2</w:t>
      </w:r>
    </w:p>
    <w:p>
      <w:pPr>
        <w:sectPr>
          <w:pgSz w:w="11900" w:h="16838" w:orient="portrait"/>
          <w:cols w:equalWidth="0" w:num="1">
            <w:col w:w="10824"/>
          </w:cols>
          <w:pgMar w:left="436" w:top="297"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DOVER CORPORATION</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700" w:type="dxa"/>
            <w:vAlign w:val="bottom"/>
          </w:tcPr>
          <w:p>
            <w:pPr>
              <w:spacing w:after="0"/>
              <w:rPr>
                <w:sz w:val="24"/>
                <w:szCs w:val="24"/>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Ivonne M. Cabrera</w:t>
            </w:r>
          </w:p>
        </w:tc>
      </w:tr>
      <w:tr>
        <w:trPr>
          <w:trHeight w:val="205"/>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Ivonne M. Cabrera</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4.1</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THE BANK OF NEW YORK MELLON, LONDON BRANCH</w:t>
      </w:r>
    </w:p>
    <w:p>
      <w:pPr>
        <w:spacing w:after="0" w:line="2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TENTH SUPPLEMENTAL INDENTURE</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as of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4.350% Notes due 2030</w:t>
      </w:r>
    </w:p>
    <w:p>
      <w:pPr>
        <w:sectPr>
          <w:pgSz w:w="11900" w:h="16838" w:orient="portrait"/>
          <w:cols w:equalWidth="0" w:num="1">
            <w:col w:w="10020"/>
          </w:cols>
          <w:pgMar w:left="1440" w:top="121" w:right="439" w:bottom="1440" w:gutter="0" w:footer="0" w:header="0"/>
        </w:sectPr>
      </w:pPr>
    </w:p>
    <w:bookmarkStart w:id="5" w:name="page6"/>
    <w:bookmarkEnd w:id="5"/>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TENTH SUPPLEMENTAL INDENTURE (as hereinafter defined, the “</w:t>
      </w:r>
      <w:r>
        <w:rPr>
          <w:rFonts w:ascii="Times New Roman" w:cs="Times New Roman" w:eastAsia="Times New Roman" w:hAnsi="Times New Roman"/>
          <w:sz w:val="18"/>
          <w:szCs w:val="18"/>
          <w:b w:val="1"/>
          <w:bCs w:val="1"/>
          <w:color w:val="auto"/>
        </w:rPr>
        <w:t>Tenth Supplemental Indenture</w:t>
      </w:r>
      <w:r>
        <w:rPr>
          <w:rFonts w:ascii="Times New Roman" w:cs="Times New Roman" w:eastAsia="Times New Roman" w:hAnsi="Times New Roman"/>
          <w:sz w:val="18"/>
          <w:szCs w:val="18"/>
          <w:color w:val="auto"/>
        </w:rPr>
        <w:t>”), dated as of November 2, 2026, among DOVER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BANK OF NEW YORK MELLON (formerly The Bank of New York), a New York banking corporation, as Trustee (as hereinafter defined,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THE BANK OF NEW YORK MELLON, LONDON BRANCH, as Paying Agent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WHEREAS, the Company and Bank One Trust Company, N.A. (as predecessor to J.P. Morgan Trust Company, National Association and The Bank of New York Mellon, the “</w:t>
      </w:r>
      <w:r>
        <w:rPr>
          <w:rFonts w:ascii="Times New Roman" w:cs="Times New Roman" w:eastAsia="Times New Roman" w:hAnsi="Times New Roman"/>
          <w:sz w:val="18"/>
          <w:szCs w:val="18"/>
          <w:b w:val="1"/>
          <w:bCs w:val="1"/>
          <w:color w:val="auto"/>
        </w:rPr>
        <w:t>Original Trustee</w:t>
      </w:r>
      <w:r>
        <w:rPr>
          <w:rFonts w:ascii="Times New Roman" w:cs="Times New Roman" w:eastAsia="Times New Roman" w:hAnsi="Times New Roman"/>
          <w:sz w:val="18"/>
          <w:szCs w:val="18"/>
          <w:color w:val="auto"/>
        </w:rPr>
        <w:t>”) executed and delivered an Indenture, dated as of February 8, 2001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the Base Indenture, as supplemented by the First Supplemental Indenture (as defined herein), the Second Supplemental Indenture (as defined herein), the Third Supplemental Indenture (as defined herein), the Fourth Supplemental Indenture (as defined herein), the Fifth Supplemental Indenture (as defined herein), the Sixth Supplemental Indenture (as defined herein), the Seventh Supplemental Indenture (as defined herein), the Eighth Supplemental Indenture (as defined herein), the Ninth Supplemental Indenture (as defined herein), and the Tenth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provide for the issuance by the Company from time to time of unsecured notes, debentures or other evidences of indebtedness, to be issued in one or more series as provided in the Indenture;</w:t>
      </w:r>
    </w:p>
    <w:p>
      <w:pPr>
        <w:spacing w:after="0" w:line="19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WHEREAS, on February 12, 2001, pursuant to a Board Resolution, the Company issued a series of its debt securities under the Indenture designated as the “6.50% Notes due February 15, 2011” in the aggregate principal amount of $400,000,000;</w:t>
      </w:r>
    </w:p>
    <w:p>
      <w:pPr>
        <w:spacing w:after="0" w:line="162" w:lineRule="exact"/>
        <w:rPr>
          <w:sz w:val="20"/>
          <w:szCs w:val="20"/>
          <w:color w:val="auto"/>
        </w:rPr>
      </w:pPr>
    </w:p>
    <w:p>
      <w:pPr>
        <w:ind w:right="340" w:firstLine="440"/>
        <w:spacing w:after="0" w:line="289" w:lineRule="auto"/>
        <w:rPr>
          <w:sz w:val="20"/>
          <w:szCs w:val="20"/>
          <w:color w:val="auto"/>
        </w:rPr>
      </w:pPr>
      <w:r>
        <w:rPr>
          <w:rFonts w:ascii="Times New Roman" w:cs="Times New Roman" w:eastAsia="Times New Roman" w:hAnsi="Times New Roman"/>
          <w:sz w:val="17"/>
          <w:szCs w:val="17"/>
          <w:color w:val="auto"/>
        </w:rPr>
        <w:t>WHEREAS, on October 13, 2005, pursuant to a Board Resolution, the Company issued two series of its debt securities under the Indenture, designated as the “4.875% Notes due October 15, 2015”, which were issued in the aggregate principal amount of $300,000,000, and as the “5.375% Debentures due October 15, 2035”, which were issued in the aggregate principal amount of $300,000,000 (together, the “</w:t>
      </w:r>
      <w:r>
        <w:rPr>
          <w:rFonts w:ascii="Times New Roman" w:cs="Times New Roman" w:eastAsia="Times New Roman" w:hAnsi="Times New Roman"/>
          <w:sz w:val="17"/>
          <w:szCs w:val="17"/>
          <w:b w:val="1"/>
          <w:bCs w:val="1"/>
          <w:color w:val="auto"/>
        </w:rPr>
        <w:t>2005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on March 14, 2008, pursuant to a Board Resolution, the Company issued two series of its debt securities under the Indenture, designated as the “5.45% Notes due March 15, 2018”, which were issued in the aggregate principal amount of $350,000,000, and as the “6.60% Notes due March 2038”, which were issued in the aggregate principal amount of $250,000,000 (together, the “</w:t>
      </w:r>
      <w:r>
        <w:rPr>
          <w:rFonts w:ascii="Times New Roman" w:cs="Times New Roman" w:eastAsia="Times New Roman" w:hAnsi="Times New Roman"/>
          <w:sz w:val="18"/>
          <w:szCs w:val="18"/>
          <w:b w:val="1"/>
          <w:bCs w:val="1"/>
          <w:color w:val="auto"/>
        </w:rPr>
        <w:t>2008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WHEREAS, on February 22, 2011, pursuant to a Board Resolution, the Company issued two series of its debt securities under the Indenture, designated as the “4.300% Notes due 2021”, which were issued in the aggregate principal amount of $450,000,000, and as the “5.375% Notes due 2041”, which were issued in the aggregate principal amount of $350,000,000 (together, the “</w:t>
      </w:r>
      <w:r>
        <w:rPr>
          <w:rFonts w:ascii="Times New Roman" w:cs="Times New Roman" w:eastAsia="Times New Roman" w:hAnsi="Times New Roman"/>
          <w:sz w:val="18"/>
          <w:szCs w:val="18"/>
          <w:b w:val="1"/>
          <w:bCs w:val="1"/>
          <w:color w:val="auto"/>
        </w:rPr>
        <w:t>2011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20" w:firstLine="440"/>
        <w:spacing w:after="0" w:line="282" w:lineRule="auto"/>
        <w:rPr>
          <w:sz w:val="20"/>
          <w:szCs w:val="20"/>
          <w:color w:val="auto"/>
        </w:rPr>
      </w:pPr>
      <w:r>
        <w:rPr>
          <w:rFonts w:ascii="Times New Roman" w:cs="Times New Roman" w:eastAsia="Times New Roman" w:hAnsi="Times New Roman"/>
          <w:sz w:val="18"/>
          <w:szCs w:val="18"/>
          <w:color w:val="auto"/>
        </w:rPr>
        <w:t>WHEREAS, on December 2, 2013, pursuant to a Board Resolution, the Company issued one series of its debt securities under the Indenture, designated as the “2.125% Notes due 2020”, which were issued in the aggregate principal amount of €300,000,000 (the “</w:t>
      </w:r>
      <w:r>
        <w:rPr>
          <w:rFonts w:ascii="Times New Roman" w:cs="Times New Roman" w:eastAsia="Times New Roman" w:hAnsi="Times New Roman"/>
          <w:sz w:val="18"/>
          <w:szCs w:val="18"/>
          <w:b w:val="1"/>
          <w:bCs w:val="1"/>
          <w:color w:val="auto"/>
        </w:rPr>
        <w:t>2013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on November 3, 2015, pursuant to a Board Resolution, the Company issued one series of its debt securities under the Indenture, designated as the “3.150% Notes due 2025”, which were issued in the aggregate principal amount of $400,000,000 (the “</w:t>
      </w:r>
      <w:r>
        <w:rPr>
          <w:rFonts w:ascii="Times New Roman" w:cs="Times New Roman" w:eastAsia="Times New Roman" w:hAnsi="Times New Roman"/>
          <w:sz w:val="18"/>
          <w:szCs w:val="18"/>
          <w:b w:val="1"/>
          <w:bCs w:val="1"/>
          <w:color w:val="auto"/>
        </w:rPr>
        <w:t>2015 Securities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6" w:name="page7"/>
    <w:bookmarkEnd w:id="6"/>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on November 9, 2016, pursuant to a Board Resolution, the Company issued one series of its debt securities under the Indenture, designated as the “1.250% Notes due 2026”, which were issued in the aggregate principal amount of €600,000,000 (the “</w:t>
      </w:r>
      <w:r>
        <w:rPr>
          <w:rFonts w:ascii="Times New Roman" w:cs="Times New Roman" w:eastAsia="Times New Roman" w:hAnsi="Times New Roman"/>
          <w:sz w:val="18"/>
          <w:szCs w:val="18"/>
          <w:b w:val="1"/>
          <w:bCs w:val="1"/>
          <w:color w:val="auto"/>
        </w:rPr>
        <w:t>2016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WHEREAS, on November 4, 2019, pursuant to a Board Resolution, the Company issued one series of its debt securities under the Indenture, designated as the “0.750% Notes due 2027”, which were issued in the aggregate principal amount of €500,000,000 (the “</w:t>
      </w:r>
      <w:r>
        <w:rPr>
          <w:rFonts w:ascii="Times New Roman" w:cs="Times New Roman" w:eastAsia="Times New Roman" w:hAnsi="Times New Roman"/>
          <w:sz w:val="18"/>
          <w:szCs w:val="18"/>
          <w:b w:val="1"/>
          <w:bCs w:val="1"/>
          <w:color w:val="auto"/>
        </w:rPr>
        <w:t>2019 Euro 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on November 4, 2019, pursuant to a Board Resolution, the Company issued one series of its debt securities under the Indenture, designated as the “2.950% Notes due 2029”, which were issued in the aggregate principal amount of $300,000,000 (the “</w:t>
      </w:r>
      <w:r>
        <w:rPr>
          <w:rFonts w:ascii="Times New Roman" w:cs="Times New Roman" w:eastAsia="Times New Roman" w:hAnsi="Times New Roman"/>
          <w:sz w:val="18"/>
          <w:szCs w:val="18"/>
          <w:b w:val="1"/>
          <w:bCs w:val="1"/>
          <w:color w:val="auto"/>
        </w:rPr>
        <w:t>2019 USD Notes</w:t>
      </w:r>
      <w:r>
        <w:rPr>
          <w:rFonts w:ascii="Times New Roman" w:cs="Times New Roman" w:eastAsia="Times New Roman" w:hAnsi="Times New Roman"/>
          <w:sz w:val="18"/>
          <w:szCs w:val="18"/>
          <w:color w:val="auto"/>
        </w:rPr>
        <w:t>” and together with the 2019 Euro Notes, the “</w:t>
      </w:r>
      <w:r>
        <w:rPr>
          <w:rFonts w:ascii="Times New Roman" w:cs="Times New Roman" w:eastAsia="Times New Roman" w:hAnsi="Times New Roman"/>
          <w:sz w:val="18"/>
          <w:szCs w:val="18"/>
          <w:b w:val="1"/>
          <w:bCs w:val="1"/>
          <w:color w:val="auto"/>
        </w:rPr>
        <w:t>2019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WHEREAS, on November 12, 2025, pursuant to a Board Resolution, the Company issued one series of its debt securities under the Indenture, designated as the “3.500% Notes due 2033”, which were issued in the aggregate principal amount of €550,000,000 (the “</w:t>
      </w:r>
      <w:r>
        <w:rPr>
          <w:rFonts w:ascii="Times New Roman" w:cs="Times New Roman" w:eastAsia="Times New Roman" w:hAnsi="Times New Roman"/>
          <w:sz w:val="17"/>
          <w:szCs w:val="17"/>
          <w:b w:val="1"/>
          <w:bCs w:val="1"/>
          <w:color w:val="auto"/>
        </w:rPr>
        <w:t>2025 Securities”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and J.P. Morgan Trust Company, National Association (formerly known as Bank One Trust Company, N.A.) (as then Trustee under the Indenture) executed and delivered the First Supplemental Indenture, dated as of October 13, 2005 (the “</w:t>
      </w:r>
      <w:r>
        <w:rPr>
          <w:rFonts w:ascii="Times New Roman" w:cs="Times New Roman" w:eastAsia="Times New Roman" w:hAnsi="Times New Roman"/>
          <w:sz w:val="18"/>
          <w:szCs w:val="18"/>
          <w:b w:val="1"/>
          <w:bCs w:val="1"/>
          <w:color w:val="auto"/>
        </w:rPr>
        <w:t>First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other things, to establish the form and terms of the 2005 Securities;</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WHEREAS, subsequent to the date of the First Supplemental Indenture, The Bank of New York Mellon acquired the trustee business of the Original Trustee and succeeded the Original Trustee as the Trustee under the Indenture;</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WHEREAS, the Company and The Bank of New York Mellon (as Trustee under the Indenture) executed and delivered the Second Supplemental Indenture, dated as of March 14, 2008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the Third Supplemental Indenture, dated as of February 22, 2011 (the “</w:t>
      </w:r>
      <w:r>
        <w:rPr>
          <w:rFonts w:ascii="Times New Roman" w:cs="Times New Roman" w:eastAsia="Times New Roman" w:hAnsi="Times New Roman"/>
          <w:sz w:val="18"/>
          <w:szCs w:val="18"/>
          <w:b w:val="1"/>
          <w:bCs w:val="1"/>
          <w:color w:val="auto"/>
        </w:rPr>
        <w:t>Third Supplemental Indenture</w:t>
      </w:r>
      <w:r>
        <w:rPr>
          <w:rFonts w:ascii="Times New Roman" w:cs="Times New Roman" w:eastAsia="Times New Roman" w:hAnsi="Times New Roman"/>
          <w:sz w:val="18"/>
          <w:szCs w:val="18"/>
          <w:color w:val="auto"/>
        </w:rPr>
        <w:t>”), the Fourth Supplemental Indenture, dated as of December 2, 2013 (the “</w:t>
      </w:r>
      <w:r>
        <w:rPr>
          <w:rFonts w:ascii="Times New Roman" w:cs="Times New Roman" w:eastAsia="Times New Roman" w:hAnsi="Times New Roman"/>
          <w:sz w:val="18"/>
          <w:szCs w:val="18"/>
          <w:b w:val="1"/>
          <w:bCs w:val="1"/>
          <w:color w:val="auto"/>
        </w:rPr>
        <w:t>Fourth Supplemental Indenture</w:t>
      </w:r>
      <w:r>
        <w:rPr>
          <w:rFonts w:ascii="Times New Roman" w:cs="Times New Roman" w:eastAsia="Times New Roman" w:hAnsi="Times New Roman"/>
          <w:sz w:val="18"/>
          <w:szCs w:val="18"/>
          <w:color w:val="auto"/>
        </w:rPr>
        <w:t>”), the Fifth Supplemental Indenture, dated as of November 3, 2015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the Sixth Supplemental Indenture, dated as of November 9, 2016 (the “</w:t>
      </w:r>
      <w:r>
        <w:rPr>
          <w:rFonts w:ascii="Times New Roman" w:cs="Times New Roman" w:eastAsia="Times New Roman" w:hAnsi="Times New Roman"/>
          <w:sz w:val="18"/>
          <w:szCs w:val="18"/>
          <w:b w:val="1"/>
          <w:bCs w:val="1"/>
          <w:color w:val="auto"/>
        </w:rPr>
        <w:t>Sixth Supplemental Indenture</w:t>
      </w:r>
      <w:r>
        <w:rPr>
          <w:rFonts w:ascii="Times New Roman" w:cs="Times New Roman" w:eastAsia="Times New Roman" w:hAnsi="Times New Roman"/>
          <w:sz w:val="18"/>
          <w:szCs w:val="18"/>
          <w:color w:val="auto"/>
        </w:rPr>
        <w:t>”), the Seventh Supplemental Indenture, dated as of November 4, 2019 (the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Eighth Supplemental Indenture, dated as of November 4, 2019 (the “</w:t>
      </w:r>
      <w:r>
        <w:rPr>
          <w:rFonts w:ascii="Times New Roman" w:cs="Times New Roman" w:eastAsia="Times New Roman" w:hAnsi="Times New Roman"/>
          <w:sz w:val="18"/>
          <w:szCs w:val="18"/>
          <w:b w:val="1"/>
          <w:bCs w:val="1"/>
          <w:color w:val="auto"/>
        </w:rPr>
        <w:t>Eighth Supplemental Indenture</w:t>
      </w:r>
      <w:r>
        <w:rPr>
          <w:rFonts w:ascii="Times New Roman" w:cs="Times New Roman" w:eastAsia="Times New Roman" w:hAnsi="Times New Roman"/>
          <w:sz w:val="18"/>
          <w:szCs w:val="18"/>
          <w:color w:val="auto"/>
        </w:rPr>
        <w:t>”) and the Ninth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dated as of November 12, 2025 (the “</w:t>
      </w:r>
      <w:r>
        <w:rPr>
          <w:rFonts w:ascii="Times New Roman" w:cs="Times New Roman" w:eastAsia="Times New Roman" w:hAnsi="Times New Roman"/>
          <w:sz w:val="18"/>
          <w:szCs w:val="18"/>
          <w:b w:val="1"/>
          <w:bCs w:val="1"/>
          <w:color w:val="auto"/>
        </w:rPr>
        <w:t>Ninth Supplemental Indenture</w:t>
      </w:r>
      <w:r>
        <w:rPr>
          <w:rFonts w:ascii="Times New Roman" w:cs="Times New Roman" w:eastAsia="Times New Roman" w:hAnsi="Times New Roman"/>
          <w:sz w:val="18"/>
          <w:szCs w:val="18"/>
          <w:color w:val="auto"/>
        </w:rPr>
        <w:t>”), among other things, to establish the forms and terms of the 2008 Securities, the 2011 Securities, the 2013 Securities, the 2015 Securities, the 2016 Securities, the 2019 Securities and the 2025 Securities, respectively;</w:t>
      </w:r>
    </w:p>
    <w:p>
      <w:pPr>
        <w:spacing w:after="0" w:line="188"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Board Resolutions dated August 7, 2026 and October 26, 2026, the Company has authorized the creation and issuance of an additional and separate series of its debt securities under the Indenture, to be denominated in euros and designated as the “4.350% Notes due 2030”, which are to be issued in the initial aggregate principal amount of €800,000,000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a Board Resolution authorizing the creation and issuance of the Notes, the Trustee has been designated as the trustee under the Indenture in respect of the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Section 901 of the Indenture provides that, without the consent of the Holders, the Company, when authorized by a Board Resolution, may enter into a supplemental indenture with the Trustee, among other matters, to establish the forms or terms of any series as permitted by Sections 201 and 301 of the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Company desires to establish the forms and terms of the Notes in accordance with Sections 201 and 301 of the Indenture;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has determined that this Tenth Supplemental Indenture is authorized or permitted by the Indenture and has delivered to the Trustee an Opinion of Counsel and an Officers’ Certificate pursuant to Section 903 of the Indenture to that effect and an Opinion of Counsel and an Officers’ Certificate pursuant to Section 102 of the Indenture to the effect that all conditions precedent provided for in the Indenture to the Trustee’s execution and delivery of this Tenth Supplemental Indenture have been complied with;</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WHEREAS, the entering into this Tenth Supplemental Indenture by the parties hereto is in all respects authorized by the provisions of the Indenture;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the Indenture is subject to the provisions of the Trust Indenture Act of 1939, as amended, that are required to be part of the Indenture and shall, to the extent applicable, be governed by such provisions;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all things necessary to make this Tenth Supplemental Indenture a valid indenture and agreement according to its terms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done.</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set forth herein and for other good and valuable consideration, the receipt and sufficiency of which are hereby acknowledged, the parties hereto hereby agree as follows: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 of Terms</w:t>
      </w:r>
      <w:r>
        <w:rPr>
          <w:rFonts w:ascii="Times New Roman" w:cs="Times New Roman" w:eastAsia="Times New Roman" w:hAnsi="Times New Roman"/>
          <w:sz w:val="18"/>
          <w:szCs w:val="18"/>
          <w:color w:val="auto"/>
        </w:rPr>
        <w:t>. For all purposes of this Tenth Supplemental Indenture, except as otherwise expressly provided or unless the context requires otherwise:</w:t>
      </w:r>
    </w:p>
    <w:p>
      <w:pPr>
        <w:spacing w:after="0" w:line="52"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defined in the Indenture and not otherwise defined herein has the same meaning when used in this Tenth Supplemental Indenture; and</w:t>
      </w:r>
    </w:p>
    <w:p>
      <w:pPr>
        <w:spacing w:after="0" w:line="117"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have the meanings given to them in this Section 1.1(b) and shall have the meaning set forth below for purposes of this Tenth Supplemental Indenture and the Indenture as it relates to the Notes created hereby: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shall have the meaning set forth in Section 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shall have the meaning set forth in Section 4.1.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shall have the meaning set forth in Section 2.5.</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(1) which is not a day on which banking institutions in the City of New York or London are authorized or required by law, regulation or executive order to close and (2) on which the Trans-European Automated Real-time Gross Settlement Express Transfer system (the TARGET2 system), or any successor thereto, is open.</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8" w:name="page9"/>
    <w:bookmarkEnd w:id="8"/>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the occurrence of any of the following: (i) the consummation of any transaction (including, without limitation, any merger or consolidation) the result of which is that any “person” as the term is defined in Section 13(d)(3) of the Exchange Act (other than the Company or one of its subsidiaries) becomes the beneficial owner (as defined in Rules 13d-3 and 13d-5 under the Exchange Act), directly or indirectly, of more than 50% of the Company’s Voting Stock or other Voting Stock into which the Company’s Voting Stock is reclassified, consolidated, exchanged or changed, measured by voting power rather than number of shares; or (ii) the direct or indirect sale, transfer, conveyance or other disposition (other than by way of merger or consolidation), in one or more series of related transactions, of all or substantially all of the Company’s assets and the assets of its subsidiaries, taken as a whole, to one or more Persons (other than the Company or one of its subsidiaries). Notwithstanding the foregoing, a transaction shall not be deemed to involve a Change of Control if (1) the Company becomes a direct or indirect wholly-owned subsidiary of a holding company and</w:t>
      </w:r>
    </w:p>
    <w:p>
      <w:pPr>
        <w:spacing w:after="0" w:line="4"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8"/>
          <w:szCs w:val="18"/>
          <w:color w:val="auto"/>
        </w:rPr>
        <w:t>(2)(A)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“Change of Control Offer” </w:t>
      </w:r>
      <w:r>
        <w:rPr>
          <w:rFonts w:ascii="Times New Roman" w:cs="Times New Roman" w:eastAsia="Times New Roman" w:hAnsi="Times New Roman"/>
          <w:sz w:val="18"/>
          <w:szCs w:val="18"/>
          <w:color w:val="auto"/>
        </w:rPr>
        <w:t>shall have the meaning set forth in Section 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“Change of Control Payment” </w:t>
      </w:r>
      <w:r>
        <w:rPr>
          <w:rFonts w:ascii="Times New Roman" w:cs="Times New Roman" w:eastAsia="Times New Roman" w:hAnsi="Times New Roman"/>
          <w:sz w:val="18"/>
          <w:szCs w:val="18"/>
          <w:color w:val="auto"/>
        </w:rPr>
        <w:t>shall have the meaning set forth in Section 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“Change of Control Payment Date” </w:t>
      </w:r>
      <w:r>
        <w:rPr>
          <w:rFonts w:ascii="Times New Roman" w:cs="Times New Roman" w:eastAsia="Times New Roman" w:hAnsi="Times New Roman"/>
          <w:sz w:val="18"/>
          <w:szCs w:val="18"/>
          <w:color w:val="auto"/>
        </w:rPr>
        <w:t>shall have the meaning set forth in Section 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 with respect to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xml:space="preserve">” means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Luxembourg.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have the meaning set forth in Section 2.5.</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Government Bond</w:t>
      </w:r>
      <w:r>
        <w:rPr>
          <w:rFonts w:ascii="Times New Roman" w:cs="Times New Roman" w:eastAsia="Times New Roman" w:hAnsi="Times New Roman"/>
          <w:sz w:val="18"/>
          <w:szCs w:val="18"/>
          <w:color w:val="auto"/>
        </w:rPr>
        <w:t>” means, with respect to the notes to be redeemed prior to the Par Call Date in relation to any Comparable Government Bond Rate calculation, at the discretion of an independent investment bank selected by the Company, a German Government Bond whose maturity is closest to the Par Call Date, or if such independent investment bank in its discretion determines that such similar bond is not in issue, such other German Government Bond as such independent investment bank may, with the advice of three brokers of, and/or market makers in, German Government Bonds selected by the Company, determine to be appropriate for determining the Comparable Government Bond Rate.</w:t>
      </w:r>
    </w:p>
    <w:p>
      <w:pPr>
        <w:spacing w:after="0" w:line="179"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Government Bond Rate</w:t>
      </w:r>
      <w:r>
        <w:rPr>
          <w:rFonts w:ascii="Times New Roman" w:cs="Times New Roman" w:eastAsia="Times New Roman" w:hAnsi="Times New Roman"/>
          <w:sz w:val="18"/>
          <w:szCs w:val="18"/>
          <w:color w:val="auto"/>
        </w:rPr>
        <w:t>”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the Company in accordance with generally accepted market practice at such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shall have the meaning set forth in Section 5.3.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shall have the meaning set forth in Section 5.2.</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euros</w:t>
      </w:r>
      <w:r>
        <w:rPr>
          <w:rFonts w:ascii="Times New Roman" w:cs="Times New Roman" w:eastAsia="Times New Roman" w:hAnsi="Times New Roman"/>
          <w:sz w:val="18"/>
          <w:szCs w:val="18"/>
          <w:color w:val="auto"/>
        </w:rPr>
        <w:t>” means the single currency introduced at the third stage of the European Economic and Monetary Union pursuant to the Treaty on the functioning of the European Union, as amended.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9" w:name="page10"/>
    <w:bookmarkEnd w:id="9"/>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Electronic Means</w:t>
      </w:r>
      <w:r>
        <w:rPr>
          <w:rFonts w:ascii="Times New Roman" w:cs="Times New Roman" w:eastAsia="Times New Roman" w:hAnsi="Times New Roman"/>
          <w:sz w:val="18"/>
          <w:szCs w:val="18"/>
          <w:color w:val="auto"/>
        </w:rPr>
        <w:t>” shall mean the following communications methods: e-mail, secure electronic transmission containing applicable authorization codes, passwords and/or authentication keys issued by the Trustee and/or Paying Agent or another method or system specified by the Trustee and/or Paying Agent as available for use in connection with its services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Euroclear/Clearstream</w:t>
      </w:r>
      <w:r>
        <w:rPr>
          <w:rFonts w:ascii="Times New Roman" w:cs="Times New Roman" w:eastAsia="Times New Roman" w:hAnsi="Times New Roman"/>
          <w:sz w:val="18"/>
          <w:szCs w:val="18"/>
          <w:color w:val="auto"/>
        </w:rPr>
        <w:t>” means, collectively, Euroclear and Clearstream.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German Government Bond</w:t>
      </w:r>
      <w:r>
        <w:rPr>
          <w:rFonts w:ascii="Times New Roman" w:cs="Times New Roman" w:eastAsia="Times New Roman" w:hAnsi="Times New Roman"/>
          <w:sz w:val="18"/>
          <w:szCs w:val="18"/>
          <w:color w:val="auto"/>
        </w:rPr>
        <w:t>” means a bond that is a direct obligation of the Federal Republic of Germany.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Obligation</w:t>
      </w:r>
      <w:r>
        <w:rPr>
          <w:rFonts w:ascii="Times New Roman" w:cs="Times New Roman" w:eastAsia="Times New Roman" w:hAnsi="Times New Roman"/>
          <w:sz w:val="18"/>
          <w:szCs w:val="18"/>
          <w:color w:val="auto"/>
        </w:rPr>
        <w:t>” shall have the meaning set forth in Section 5.4(a).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have the meaning set forth in Section 2.3(a).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shall have the meaning set forth in Section 2.3(b).</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 BBB- (or the equivalent) by S&amp;P, and the equivalent investment grade credit rating from any additional rating agency or rating agencies selected by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Maturity Date</w:t>
      </w:r>
      <w:r>
        <w:rPr>
          <w:rFonts w:ascii="Times New Roman" w:cs="Times New Roman" w:eastAsia="Times New Roman" w:hAnsi="Times New Roman"/>
          <w:sz w:val="18"/>
          <w:szCs w:val="18"/>
          <w:color w:val="auto"/>
        </w:rPr>
        <w:t>” shall have the meaning set forth in Section 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October 2, 2030 (the date that is one month prior to the Notes Maturity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a member state of the European Union which has adopted or adopts the euro.</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set forth in the Indenture and includes a “person” or “group” as these terms are used in Section 13(d)(3) of the Exchange Act.</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means (i) each of Moody’s and S&amp;P; and (ii) if either of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certified by a Board Resolution) as a replacement agency for Moody’s or S&amp;P, or both of them, as the case may be.</w:t>
      </w:r>
    </w:p>
    <w:p>
      <w:pPr>
        <w:spacing w:after="0" w:line="176"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Event</w:t>
      </w:r>
      <w:r>
        <w:rPr>
          <w:rFonts w:ascii="Times New Roman" w:cs="Times New Roman" w:eastAsia="Times New Roman" w:hAnsi="Times New Roman"/>
          <w:sz w:val="18"/>
          <w:szCs w:val="18"/>
          <w:color w:val="auto"/>
        </w:rPr>
        <w:t>” means, with respect to the Notes, the rating is lowered by each of the Rating Agencies and the Notes are rated below an Investment Grade Rating by each of the Rating Agencies on any day within the 60-day period (which 60-day period shall be extended so long as the rating of the Notes is under publicly announced consideration for a possible downgrade by any of the Rating Agencies) after the earlier of: (i) the occurrence of a Change of Control; and (ii) public notice of the occurrence of a Change of Control or the Company’s intention to effect a Change of Control; provided, however,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if the Rating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0" w:name="page11"/>
    <w:bookmarkEnd w:id="10"/>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Agencies making the reduction in rating to which this definition would otherwise apply do not announce or publicly confirm or inform a Responsible Officer of the Trustee assigned to the Corporate Trust Office of the Trustee in writing at the Company’s request that the reduction was the result, in whole or in part, of any event or circumstance comprised of or arising as a result of, or in respect of, the applicable Change of Control (whether or not the applicable Change of Control has occurred at the time of the Rating Event).</w:t>
      </w:r>
    </w:p>
    <w:p>
      <w:pPr>
        <w:spacing w:after="0" w:line="176"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means, with respect to any Interest Payment Date for the Notes, the October 15 (whether or not a Business Day) immediately preceding such Interest Payment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with respect to any redemption of Notes, the date fixed for such redemption pursuant to the Indenture and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division of S&amp;P Global Inc., and any successor to its rating agency business.</w:t>
      </w:r>
    </w:p>
    <w:p>
      <w:pPr>
        <w:spacing w:after="0" w:line="225" w:lineRule="exact"/>
        <w:rPr>
          <w:sz w:val="20"/>
          <w:szCs w:val="20"/>
          <w:color w:val="auto"/>
        </w:rPr>
      </w:pPr>
    </w:p>
    <w:p>
      <w:pPr>
        <w:ind w:right="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any sanctions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w:t>
      </w:r>
    </w:p>
    <w:p>
      <w:pPr>
        <w:spacing w:after="0" w:line="153"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TERMS AND CONDITIONS OF THE NOTES</w:t>
      </w:r>
    </w:p>
    <w:p>
      <w:pPr>
        <w:spacing w:after="0" w:line="22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Designation and Principal Amount</w:t>
      </w:r>
      <w:r>
        <w:rPr>
          <w:rFonts w:ascii="Times New Roman" w:cs="Times New Roman" w:eastAsia="Times New Roman" w:hAnsi="Times New Roman"/>
          <w:sz w:val="18"/>
          <w:szCs w:val="18"/>
          <w:color w:val="auto"/>
        </w:rPr>
        <w:t>. The Notes may be issued from time to time upon written order of the Company for the authentication and delivery of the Notes pursuant to Sections 301 and 302 of the Indenture. There is hereby authorized a series of Securities to be denominated in euros and designated as the “4.350% Notes due 2030”, initially limited in aggregate principal amount to €800,000,000 (except upon registration of transfer of, or in exchange for, or in lieu of, other Notes pursuant to Sections 303, 304, 305, 306 or 1107 of the Indenture).</w:t>
      </w:r>
    </w:p>
    <w:p>
      <w:pPr>
        <w:spacing w:after="0" w:line="180"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The date upon which the Notes shall become due and payable at final maturity, together with any accrued and unpaid interest, is November 2, 2030 (the “</w:t>
      </w:r>
      <w:r>
        <w:rPr>
          <w:rFonts w:ascii="Times New Roman" w:cs="Times New Roman" w:eastAsia="Times New Roman" w:hAnsi="Times New Roman"/>
          <w:sz w:val="18"/>
          <w:szCs w:val="18"/>
          <w:b w:val="1"/>
          <w:bCs w:val="1"/>
          <w:color w:val="auto"/>
        </w:rPr>
        <w:t>Notes Maturity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bear interest at the rate of 4.350% per annum. The date from which interest shall accrue on the Notes shall be November 2, 2026. Interest on the Notes shall be payable annually in arrears on November 2 of each year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November 2, 2027 to the Persons in whose name the relevant Notes are registered at the close of business on the Regular Record Date for such Interest Payment Date.</w:t>
      </w:r>
    </w:p>
    <w:p>
      <w:pPr>
        <w:spacing w:after="0" w:line="7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any Interest Payment Date, the Notes Maturity Date, or, if applicable, the Redemption Date with respect to the Notes shall be the amount of interest accrued from, and including, the immediately preceding Interest Payment Date in respect of which interest has been paid or duly provided for (or from and including the original issue date of November 2, 2026, if no interest has been paid or duly provided for with respect to the Notes) to, but excluding, such Interest Payment Date, the Notes Maturity Date or, if applicable, the Redemption Date, as the case may be (each, an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1" w:name="page12"/>
    <w:bookmarkEnd w:id="11"/>
    <w:p>
      <w:pPr>
        <w:ind w:firstLine="436"/>
        <w:spacing w:after="0" w:line="255"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interest payable for any Interest Period shall be computed on the basis of the actual number of days in the period for which interest is being calculated and the actual number of days from and including the last date on which interest was paid on the Notes (or November 2, 2026 if no interest has been paid on the Notes) to, but excluding, the next scheduled Interest Payment Date. This payment convention is referred to as ACTUAL/ACTUAL (ICMA) as defined in the rulebook of the International Capital Market Association. In the event that any scheduled Interest Payment Date for the Notes falls on a day that is not a Business Day, then payment of interest payable on such Interest Payment Date shall be postponed to the next succeeding day which is a Business Day (and no interest on such payment shall accrue for the period from and after such scheduled Interest Payment Date).</w:t>
      </w:r>
    </w:p>
    <w:p>
      <w:pPr>
        <w:spacing w:after="0" w:line="80"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Notes Maturity Date or the Redemption Date falls on a day that is not a Business Day, then the related payments of principal, premium, if any, and interest may be made on the next succeeding day that is a Business Day (and no additional interest shall accumulate on the amount payable for the period from and after the Notes Maturity Date or Redemption Date).</w:t>
      </w:r>
    </w:p>
    <w:p>
      <w:pPr>
        <w:spacing w:after="0" w:line="17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Place of Payment and Appointment and Funding</w:t>
      </w:r>
      <w:r>
        <w:rPr>
          <w:rFonts w:ascii="Times New Roman" w:cs="Times New Roman" w:eastAsia="Times New Roman" w:hAnsi="Times New Roman"/>
          <w:sz w:val="18"/>
          <w:szCs w:val="18"/>
          <w:color w:val="auto"/>
        </w:rPr>
        <w:t>. Principal of, the Redemption Price (if any), Change of Control Payments (if any), and interest and Additional Amounts on, the Notes shall be payable at the office or agency of the Company maintained for such purposes in London, England, which shall initially be the principal corporate trust office or agency of the Paying Agent in London, England; provided, however, that payment of interest may be made at the option of the Company by check mailed to the Person entitled thereto at such address as shall appear in the security register or by wire transfer to an account appropriately designated by the Person entitled to payment; and provided that the Company shall pay principal of, premium, if any, and interest on, the Notes in global form registered in the name of or held by Euroclear/Clearstream or such other Depositary as any officer of the Company may from time to time designate, or its respective nominee, by wire in immediately available funds to such Depositary or its nominee, as the case may be, as the registered Holder of such Notes in global form. Transfer of the Notes shall be registrable, the Notes shall be exchangeable for Notes of a like aggregate principal amount, and notices and demands to or on the Company in respect of the Notes and the Indenture, as amended and supplemented, may be served at the office or agency of the Company maintained for such purpose in New York, New York, which shall initially be the Corporate Trust Office of the Trustee in New York, New York.</w:t>
      </w:r>
    </w:p>
    <w:p>
      <w:pPr>
        <w:spacing w:after="0" w:line="194"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Paying Agent for the Notes shall initially be The Bank of New York Mellon, London Branch, and the Security Registrar for the Notes shall initially be the Trustee. Upon notice to the Trustee, the Company may change any Paying Agent or Security Registrar.</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 later than 10:00 a.m., London time, one Business Day prior to the date that any payment of principal of, the Redemption Price (if any), Change of Control Payments (if any), or interest and Additional Amounts (if any) on, or any other amount payable in respect of the Notes is due and payable, the Company shall deposit with the Paying Agent in London, England, an amount of money in euros sufficient to pay any and all such amounts due and payable in respect of the Notes on such payment date.</w:t>
      </w:r>
    </w:p>
    <w:p>
      <w:pPr>
        <w:spacing w:after="0" w:line="17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Payment of Additional Amounts</w:t>
      </w:r>
      <w:r>
        <w:rPr>
          <w:rFonts w:ascii="Times New Roman" w:cs="Times New Roman" w:eastAsia="Times New Roman" w:hAnsi="Times New Roman"/>
          <w:sz w:val="18"/>
          <w:szCs w:val="18"/>
          <w:color w:val="auto"/>
        </w:rPr>
        <w:t>. The Company shall, subject to the exceptions and limitations set forth below, pay as additional interest on the Notes such additional amounts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as are necessary in order that the net payment by the Company of the principal of, premium, if any, and interest on the Notes to a Holder who is not a United States person (as defined herein),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ind w:right="240" w:firstLine="436"/>
        <w:spacing w:after="0" w:line="266"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6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Notes, the receipt of any payment or the enforcement of any rights thereunder), including being or having been a citizen or resident of the United States;</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United States income tax purposes or a corporation that has accumulated earnings to avoid United States federal income tax;</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Company as defined in Section 871(h)(3)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any successor provision; or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w:t>
      </w:r>
    </w:p>
    <w:p>
      <w:pPr>
        <w:spacing w:after="0" w:line="53"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Additional Amounts had the beneficiary, settlor, beneficial owner or member received directly its beneficial or distributive share of the payment;</w:t>
      </w:r>
    </w:p>
    <w:p>
      <w:pPr>
        <w:spacing w:after="0" w:line="71" w:lineRule="exact"/>
        <w:rPr>
          <w:rFonts w:ascii="Times New Roman" w:cs="Times New Roman" w:eastAsia="Times New Roman" w:hAnsi="Times New Roman"/>
          <w:sz w:val="18"/>
          <w:szCs w:val="18"/>
          <w:color w:val="auto"/>
        </w:rPr>
      </w:pPr>
    </w:p>
    <w:p>
      <w:pPr>
        <w:ind w:right="100" w:firstLine="436"/>
        <w:spacing w:after="0" w:line="258"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failure of the Holder or beneficial owner of the Notes to comply with the Company’s request or a request of the Company’s agent to satisfy any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is imposed otherwise than by withholding by the Company or a paying agent from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payment;</w:t>
      </w:r>
    </w:p>
    <w:p>
      <w:pPr>
        <w:spacing w:after="0" w:line="98" w:lineRule="exact"/>
        <w:rPr>
          <w:rFonts w:ascii="Times New Roman" w:cs="Times New Roman" w:eastAsia="Times New Roman" w:hAnsi="Times New Roman"/>
          <w:sz w:val="17"/>
          <w:szCs w:val="17"/>
          <w:color w:val="auto"/>
        </w:rPr>
      </w:pPr>
    </w:p>
    <w:p>
      <w:pPr>
        <w:ind w:right="760" w:firstLine="436"/>
        <w:spacing w:after="0" w:line="282"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3" w:name="page14"/>
    <w:bookmarkEnd w:id="13"/>
    <w:p>
      <w:pPr>
        <w:ind w:right="140" w:firstLine="436"/>
        <w:spacing w:after="0" w:line="282"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75"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(a), (b), (c), (d), (e), (f), (g) and (h).</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in this Section 2.5, the Company shall not be required to make any payment for any tax, assessment or other governmental charge imposed by any government or a political subdivision or taxing authority of or in any government or political subdivision.</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As used in this Section 2.5 and Section 3.2, the term “United States” means the United States of America, the states of the United States, and the District of Columbia, and the term “United States person” means any individual who is a citizen or resident of the United States for U.S. federal income tax purposes, a corporation (or other entity taxable as a corporation), partnership (or other entity taxable as a partnership) or other entity created or organized in or under the laws of the United States, any state of the United States or the District of Columbia, or any estate or trust the income of which is subject to United States federal income taxation regardless of its source.</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Any references in this Tenth Supplemental Indenture, the Indenture and the Notes to principal, premium, interest or any other amount payable with respect to the Notes shall be deemed to include Additional Amounts, as the context shall require.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least 30 days prior to each date on which any payment under or with respect to the Notes is due and payable (unless such obligation to pay such Additional Amounts arises after the 30th day prior to the date on which payment under or with respect to the Notes is due and payable, in which case it will be promptly thereafter), if the Company shall be obligated to pay any Additional Amounts with respect to such payment, the Company shall deliver to the Trustee an Officers’ Certificate stating that such Additional Amounts shall be payable and the amounts so payable and setting forth such other information as is necessary to enable the Trustee or other paying agent to pay such Additional Amounts to the Holders of such Notes on the payment date. The Company shall make copies of such certificate, as well as copies of tax receipts or other documentation evidencing the payment of the associated taxes or other charges, available to the Holders or beneficial owners of the Notes upon written request.</w:t>
      </w:r>
    </w:p>
    <w:p>
      <w:pPr>
        <w:spacing w:after="0" w:line="18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In order to comply with applicable tax laws (inclusive of rules, regulations and interpretations promulgated by competent authorities) related to this Tenth Supplemental Indenture and the Notes in effect from time to time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that a foreign financial institution, issuer, trustee, paying agent or other party is or has agreed to be subject to, the Company agrees (i) to provide to the Paying Agent sufficient information about the parties and/or transactions (including any modification to the terms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transactions) so that the Paying Agent can determine whether it has tax related obligations under Applicable Law, (ii) that the Paying Agent shall be entitled to make any withholding or deduction from payments to the extent necessary to comply with Applicable Law for which the Paying Agent shall not have any liability, and (iii) to hold harmless the Paying Agent for any losses it may suffer due to the actions it takes to comply with Applicable Law. The terms of this section shall survive the termination for any reason of this Tenth Supplemental Indenture or the satisfaction and discharge of the Notes.</w:t>
      </w:r>
    </w:p>
    <w:p>
      <w:pPr>
        <w:spacing w:after="0" w:line="181"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The Notes shall be issuable in minimum denominations of €100,000 and integral multiples of €1,000 in excess thereof.</w:t>
      </w:r>
    </w:p>
    <w:p>
      <w:pPr>
        <w:spacing w:after="0" w:line="15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Notes shall be issued initially in the form of a permanent Global Security or Global Securities in fully registered form and shall initially be deposited with and registered in the name of a nominee of The Bank of New York Mellon, London Branch, as the common depository, for the accounts of Euroclear/Clearstream as Depositary or such other Depositary as any officer of the Company may from time to time designate. Unless and until each such Global Security is exchanged for the Notes in certificated form, each Global Security may be transferred, in whole but not in part, and any payments on the Notes shall be made only to the Depositary or a nominee of the Depositary, or to a successor Depositary selected or approved by the Company or to a nominee of such successor Depositary.</w:t>
      </w:r>
    </w:p>
    <w:p>
      <w:pPr>
        <w:spacing w:after="0" w:line="18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(i) Clearstream or Euroclear is no longer willing or able to discharge its responsibilities properly or is no longer qualified to continue as depositary for the global Note, and neither the Trustee nor the Company have approved a qualified successor within 90 days; (ii) the Company, at its option, notifies the Trustee in writing that it elects to cause the issuance of certificated notes; or (iii) a Holder shall so request upon the occurrence and continuance of an Event of Default with respect to the Notes, the Company will issue notes in definitive form in exchange, in all or in part, as the case may be, for the registered global Note that had been held by the Depositary. Any Notes issued in definitive form in exchange for a registered global Note will be registered in the name or names that the Depositary gives to the Trustee or relevant agent of the Company or the Trustee. The Company expects that the Depositary’s instructions will be based upon directions received by the Depositary from participants with respect to ownership of beneficial interests in the registered global Note that had been held by the Depositary. In addition, the Company may at any time determine that the Notes shall no longer be represented by a global Note and will issue Notes in definitive form in exchange for such global Note pursuant to the procedure described above.</w:t>
      </w:r>
    </w:p>
    <w:p>
      <w:pPr>
        <w:spacing w:after="0" w:line="19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i w:val="1"/>
          <w:iCs w:val="1"/>
          <w:color w:val="auto"/>
        </w:rPr>
        <w:t>Form of the Notes</w:t>
      </w:r>
      <w:r>
        <w:rPr>
          <w:rFonts w:ascii="Times New Roman" w:cs="Times New Roman" w:eastAsia="Times New Roman" w:hAnsi="Times New Roman"/>
          <w:sz w:val="18"/>
          <w:szCs w:val="18"/>
          <w:color w:val="auto"/>
        </w:rPr>
        <w:t>. The form of the Notes and the Trustee’s Certificate of Authentication to be endorsed thereon shall be substantially in the form attached as Exhibit A hereto, with such changes therein as the officers of the Company executing the Notes (by manual or facsimile signature) may approve, such approval to be conclusively evidenced by their execution thereof. The terms and provisions contained in the Notes, annexed hereto as Exhibit A, shall constitute, and are hereby expressly made, a part of this Indenture and, to the extent applicable, the Company, the Trustee and the Paying Agent, by their execution and delivery of this Tenth Supplemental Indenture, expressly agree to such terms and provisions and to be bound thereby. As long as the Notes are in global form, the Paying Agent (in lieu of the Trustee) shall be responsible for:</w:t>
      </w:r>
    </w:p>
    <w:p>
      <w:pPr>
        <w:spacing w:after="0" w:line="76" w:lineRule="exact"/>
        <w:rPr>
          <w:sz w:val="20"/>
          <w:szCs w:val="20"/>
          <w:color w:val="auto"/>
        </w:rPr>
      </w:pPr>
    </w:p>
    <w:p>
      <w:pPr>
        <w:ind w:left="680" w:hanging="24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sums due on the Notes; and</w:t>
      </w:r>
    </w:p>
    <w:p>
      <w:pPr>
        <w:spacing w:after="0" w:line="117"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on behalf of, and at the expense of, the Company for notices to be communicated to Holders in accordance with the terms of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5" w:name="page16"/>
    <w:bookmarkEnd w:id="15"/>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reference in the Indenture and this Tenth Supplemental Indenture to the performance of duties set forth in clauses (a) and (b) above by the Trustee includes performance of such duties by the Paying Agent.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i w:val="1"/>
          <w:iCs w:val="1"/>
          <w:color w:val="auto"/>
        </w:rPr>
        <w:t>No Sinking Fund</w:t>
      </w:r>
      <w:r>
        <w:rPr>
          <w:rFonts w:ascii="Times New Roman" w:cs="Times New Roman" w:eastAsia="Times New Roman" w:hAnsi="Times New Roman"/>
          <w:sz w:val="18"/>
          <w:szCs w:val="18"/>
          <w:color w:val="auto"/>
        </w:rPr>
        <w:t>. The Notes shall not be entitled to the benefit of any sinking fund.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THE NOTES</w:t>
      </w:r>
    </w:p>
    <w:p>
      <w:pPr>
        <w:spacing w:after="0" w:line="227"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Optional Redemption by Company</w:t>
      </w:r>
      <w:r>
        <w:rPr>
          <w:rFonts w:ascii="Times New Roman" w:cs="Times New Roman" w:eastAsia="Times New Roman" w:hAnsi="Times New Roman"/>
          <w:sz w:val="18"/>
          <w:szCs w:val="18"/>
          <w:color w:val="auto"/>
        </w:rPr>
        <w:t>. Except as otherwise may be specified in this Tenth Supplemental Indenture, the Notes may be redeemed, in whole, at any time, or in part, from time to time, at the option of the Company as follows:</w:t>
      </w:r>
    </w:p>
    <w:p>
      <w:pPr>
        <w:spacing w:after="0" w:line="160" w:lineRule="exact"/>
        <w:rPr>
          <w:sz w:val="20"/>
          <w:szCs w:val="20"/>
          <w:color w:val="auto"/>
        </w:rPr>
      </w:pPr>
    </w:p>
    <w:p>
      <w:pPr>
        <w:ind w:left="680" w:hanging="244"/>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redeemed before the Par Call Date, the Notes being redeemed shall be redeemed at a Redemption Price equal to the greater of:</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then outstanding to be redeemed; and</w:t>
      </w:r>
    </w:p>
    <w:p>
      <w:pPr>
        <w:spacing w:after="0" w:line="130" w:lineRule="exact"/>
        <w:rPr>
          <w:rFonts w:ascii="Times New Roman" w:cs="Times New Roman" w:eastAsia="Times New Roman" w:hAnsi="Times New Roman"/>
          <w:sz w:val="18"/>
          <w:szCs w:val="18"/>
          <w:color w:val="auto"/>
        </w:rPr>
      </w:pPr>
    </w:p>
    <w:p>
      <w:pPr>
        <w:ind w:left="760" w:right="140" w:hanging="332"/>
        <w:spacing w:after="0" w:line="261" w:lineRule="auto"/>
        <w:tabs>
          <w:tab w:leader="none" w:pos="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(not including any portion of such payments of interest accrued as of the Redemption Date and, for purposes of the calculation, assuming that the Notes would be redeemed on the Par Call Date), discounted to the Redemption Date on an annual basis (ACTUAL/ACTUAL (ICMA)) at the applicable Comparable Government Bond Rate, plus 20 basis points (0.20%),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each case, accrued and unpaid interest on the principal amount being redeemed to, but excluding, the Redemption Date.</w:t>
      </w:r>
    </w:p>
    <w:p>
      <w:pPr>
        <w:spacing w:after="0" w:line="117" w:lineRule="exact"/>
        <w:rPr>
          <w:sz w:val="20"/>
          <w:szCs w:val="20"/>
          <w:color w:val="auto"/>
        </w:rPr>
      </w:pPr>
    </w:p>
    <w:p>
      <w:pPr>
        <w:ind w:right="240"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redeemed on or after the Par Call Date, the Notes shall be redeemed at a Redemption Price equal to 100% of the principal amount of the Notes then outstanding to be redeemed, plus accrued and unpaid interest on the principal amount being redeemed to, but excluding, the Redemption Date.</w:t>
      </w:r>
    </w:p>
    <w:p>
      <w:pPr>
        <w:spacing w:after="0" w:line="67"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Installments of interest on the Notes being redeemed that are due and payable on Interest Payment Dates falling on or prior to a Redemption Date shall be payable on the Interest Payment Date to the Holders as of the close of business on the relevant Regular Record Date.</w:t>
      </w:r>
    </w:p>
    <w:p>
      <w:pPr>
        <w:spacing w:after="0" w:line="53"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of the Notes are to be redeemed, the Notes to be redeemed shall be selected, in the case of global notes, in accordance with the policies and procedures of Euroclear or Clearstream, and in the case of certificated notes, by the Trustee by lot, but in either case consistent with any applicable listing standards. In the event of redemption of Notes in part only, a new Note or Notes of like tenor of the unredeemed portion thereof (which shall not be less than the minimum authorized denomination for the Notes) shall be issued in the name of the Holder thereof upon cancellation thereof. The Trustee shall have no duty or obligation to calculate any Redemption Price or any component thereof, and the Trustee shall be entitled to receive and conclusively rely upon an Officers’ Certificate delivered by the Company that specifies any Redemption Price.</w:t>
      </w:r>
    </w:p>
    <w:p>
      <w:pPr>
        <w:spacing w:after="0" w:line="79"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delivered electronically in accordance with the policies and procedures of Euroclear or Clearstream, or otherwise by first-class mail, postage prepaid, sent not less than 10 nor more than 60 days prior to the Redemption Date, to each Holder of Notes to be redeemed, at his, her, or its address appearing in the Security Register.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i w:val="1"/>
          <w:iCs w:val="1"/>
          <w:color w:val="auto"/>
        </w:rPr>
        <w:t>Redemption for Tax Reasons</w:t>
      </w:r>
      <w:r>
        <w:rPr>
          <w:rFonts w:ascii="Times New Roman" w:cs="Times New Roman" w:eastAsia="Times New Roman" w:hAnsi="Times New Roman"/>
          <w:sz w:val="18"/>
          <w:szCs w:val="18"/>
          <w:color w:val="auto"/>
        </w:rPr>
        <w:t>. 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Tenth Supplemental Indenture, the Company becomes or, based upon a written opinion of independent counsel selected by the Company, will become obligated to pay Additional Amounts as described under Section 2.5 with respect to the Notes and such obligation cannot be avoided by the use of reasonable measures available to the Company, then the Company may at any time at its option redeem, in whole, but not in part, the Notes on not less than 30 nor more than 60 days’ prior notice, at a Redemption Price equal to 100% of their principal amount, together with accrued and unpaid interest on those Notes to, but not including, the Redemption Date. The Trustee shall have no duty or obligation to calculate any Redemption Price or any component thereof and the Trustee shall be entitled to receive and conclusively rely upon an Officers’ Certificate delivered by the Company that specifies any Redemption Price.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2"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with respect to the Notes, unless the Company has exercised its option to redeem the Notes, the Company shall be required to make an offer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to each Holder of the then outstanding Notes, to repurchase all or any part (equal to €1,000 or an integral multiple thereof) of that Holder’s Notes on the terms set forth herein and in the Notes; provided that a Holder tendering Notes for repurchase only in part must retain not less than €100,000 aggregate principal amount of Notes. In the Change of Control Offer, the Company shall be required to offer payment in cash equal to 101% of the aggregate principal amount of Notes repurchased, plus accrued and unpaid interest, if any, on the Notes repurchased to, but excluding, the repurchase date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Within 30 days following any Change of Control Triggering Event or, at the Company’s option, prior to the date of the consummation of any Change of Control, but after public announcement of the transaction that constitutes or may constitute the Change of Control, the Company shall electronically deliver or otherwise mail to Holders of the Notes, and furnish the Trustee with a copy thereof, a notice describing the transaction that constitutes or may constitute the Change of Control Triggering Event, offering to repurchase the Notes on the date specified in the notice, which date shall be no earlier than 30 days and no later than 60 days from the date such notice is sent (the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setting forth the instructions determined by the Company, consistent with the provisions of this Section 3.3, that a Holder must follow in order to have its Notes purchased and stating that a Holder may elect to have such Notes purchased by completing the form entitled “Option of Holder to Elect Purchase” appearing in Exhibit A, or a comparable form, together with any other procedures that a Holder must follow to accept a Change of Control Offer or effect withdrawal of such acceptance.</w:t>
      </w:r>
    </w:p>
    <w:p>
      <w:pPr>
        <w:spacing w:after="0" w:line="19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notice shall, if sent prior to the date of consummation of the Change of Control, state that the offer to purchase is conditioned on the Change of Control Triggering Event occurring on or prior to the Change of Control Payment Date.</w:t>
      </w:r>
    </w:p>
    <w:p>
      <w:pPr>
        <w:spacing w:after="0" w:line="54" w:lineRule="exact"/>
        <w:rPr>
          <w:sz w:val="20"/>
          <w:szCs w:val="20"/>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for the Notes, the Company shall, to the extent lawful:</w:t>
      </w:r>
    </w:p>
    <w:p>
      <w:pPr>
        <w:spacing w:after="0" w:line="130" w:lineRule="exact"/>
        <w:rPr>
          <w:rFonts w:ascii="Times New Roman" w:cs="Times New Roman" w:eastAsia="Times New Roman" w:hAnsi="Times New Roman"/>
          <w:sz w:val="18"/>
          <w:szCs w:val="18"/>
          <w:color w:val="auto"/>
        </w:rPr>
      </w:pPr>
    </w:p>
    <w:p>
      <w:pPr>
        <w:ind w:left="5420" w:right="2400" w:hanging="4992"/>
        <w:spacing w:after="0" w:line="454" w:lineRule="auto"/>
        <w:tabs>
          <w:tab w:leader="none" w:pos="7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 12</w:t>
      </w:r>
    </w:p>
    <w:p>
      <w:pPr>
        <w:sectPr>
          <w:pgSz w:w="11900" w:h="16838" w:orient="portrait"/>
          <w:cols w:equalWidth="0" w:num="1">
            <w:col w:w="11000"/>
          </w:cols>
          <w:pgMar w:left="440" w:top="268" w:right="459" w:bottom="1440" w:gutter="0" w:footer="0" w:header="0"/>
        </w:sectPr>
      </w:pPr>
    </w:p>
    <w:bookmarkStart w:id="17" w:name="page18"/>
    <w:bookmarkEnd w:id="17"/>
    <w:p>
      <w:pPr>
        <w:ind w:left="760" w:right="620" w:hanging="33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 with the paying agent an amount equal to the Change of Control Payment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760" w:right="680" w:hanging="33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repurchases all Notes properly tendered and not withdrawn under its offer. In addition, the Company shall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the Company shall comply with those securities laws and regulations and shall not be deemed to have breached its obligations under the Change of Control Offer provisions of the Notes by virtue of any such conflict.</w:t>
      </w:r>
    </w:p>
    <w:p>
      <w:pPr>
        <w:spacing w:after="0" w:line="75" w:lineRule="exact"/>
        <w:rPr>
          <w:rFonts w:ascii="Times New Roman" w:cs="Times New Roman" w:eastAsia="Times New Roman" w:hAnsi="Times New Roman"/>
          <w:sz w:val="18"/>
          <w:szCs w:val="18"/>
          <w:color w:val="auto"/>
        </w:rPr>
      </w:pPr>
    </w:p>
    <w:p>
      <w:pPr>
        <w:ind w:right="600" w:firstLine="436"/>
        <w:spacing w:after="0" w:line="282" w:lineRule="auto"/>
        <w:tabs>
          <w:tab w:leader="none" w:pos="68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or obligation to determine whether a Change of Control Triggering Event or any component thereof has occurred or is continuing.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ORIGINAL ISSUE OF THE NOTES</w:t>
      </w:r>
    </w:p>
    <w:p>
      <w:pPr>
        <w:spacing w:after="0" w:line="22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The Notes are initially limited in aggregate principal amount to €800,000,000. Subject to the terms and conditions contained herein, the Company may from time to time, without the consent of the existing Holders of Notes, increase the principal amount of Notes by creating and issuing additional Notes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having the same terms and conditions as the Notes in all respects, except for any differences in the issue date, issue price, interest accrued prior to the issue date of the Additional Notes and, in some cases, the first Interest Payment Date. The Additional Notes shall be fungible for United States federal income tax purposes with, and shall have the same ISIN and CUSIP numbers as, the Notes. Any Additional Notes issued at the Company’s determination and in accordance with provisions of the Indenture shall be consolidated with and form a single series with the previously outstanding Notes for all purposes under the Indenture, including, without limitation, for purposes of determining whether the required percentage of the Holders of record has given approval or consent to an amendment or waiver or joined in directing the Trustee to take certain actions on behalf of all Holders. The aggregate principal amount of any Additional Notes shall be unlimited.</w:t>
      </w:r>
    </w:p>
    <w:p>
      <w:pPr>
        <w:spacing w:after="0" w:line="188"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Issuance in Euros</w:t>
      </w:r>
      <w:r>
        <w:rPr>
          <w:rFonts w:ascii="Times New Roman" w:cs="Times New Roman" w:eastAsia="Times New Roman" w:hAnsi="Times New Roman"/>
          <w:sz w:val="18"/>
          <w:szCs w:val="18"/>
          <w:color w:val="auto"/>
        </w:rPr>
        <w:t>. Initial Holders will be required to pay for the Notes in euros, and all payments of principal of, the Redemption Price (if any), Change of Control Payments (if any), and interest and Additional Amounts (if any), on the Notes, will be payable in euros; provided, however, that if, on or after the date of this Tenth Supplemental Indenture, the euro is unavailable to the Company due to the imposition of exchange controls or other circumstances beyond the Company’s control or if the euro is no longer being used by the then member states of the European Monetary Union that have adopted the euro as their currency or for the settlement of transactions by public institutions of or within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international banking community, then all payments in respect of the Notes will be made in U.S. dollars until the euro is again available to the Company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The Wall Street Journal on or prior to the second Business Day prior to the relevant payment date. Any payment in respect of the Notes so made in U.S. dollars will not constitute an event of default under the Notes or the Indenture. Neither the Trustee nor the Paying Agent shall have any responsibility for any calculation or conversion in connection with the foregoing. Any references elsewhere in this Tenth Supplemental Indenture or the Notes to payments being made in euros notwithstanding, payments shall be made in U.S. dollars to the extent set forth in this Section 4.2.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7" w:lineRule="exact"/>
        <w:rPr>
          <w:sz w:val="20"/>
          <w:szCs w:val="20"/>
          <w:color w:val="auto"/>
        </w:rPr>
      </w:pPr>
    </w:p>
    <w:p>
      <w:pPr>
        <w:ind w:right="7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Company’s Option to Effect Defeasance or Covenant Defeasance.</w:t>
      </w:r>
      <w:r>
        <w:rPr>
          <w:rFonts w:ascii="Times New Roman" w:cs="Times New Roman" w:eastAsia="Times New Roman" w:hAnsi="Times New Roman"/>
          <w:sz w:val="18"/>
          <w:szCs w:val="18"/>
          <w:color w:val="auto"/>
        </w:rPr>
        <w:t xml:space="preserve"> The Company may elect, at its option at any time, to have Section 5.2 or Section 5.3 applied to the Notes. Any such election shall be evidenced by a Board Resolution.</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i w:val="1"/>
          <w:iCs w:val="1"/>
          <w:color w:val="auto"/>
        </w:rPr>
        <w:t>Defeasance and Discharge.</w:t>
      </w:r>
      <w:r>
        <w:rPr>
          <w:rFonts w:ascii="Times New Roman" w:cs="Times New Roman" w:eastAsia="Times New Roman" w:hAnsi="Times New Roman"/>
          <w:sz w:val="18"/>
          <w:szCs w:val="18"/>
          <w:color w:val="auto"/>
        </w:rPr>
        <w:t xml:space="preserve"> Upon the Company’s exercise of its option to have this Section applied to the Notes, the Company shall be deemed to have been discharged from its obligations with respect to the Notes as provided in this Section on and after the date the conditions set forth in Section 5.4 are satisfied (hereinafter called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For this purpose, such Defeasance means that the Company shall be deemed to have paid and discharged the entire indebtedness represented by the Notes and to have satisfied all its other obligations under the Notes and the Indenture insofar as the Notes are concerned (and the Trustee, upon the request and at the expense of the Company, shall execute proper instruments acknowledging the same), subject to the following which shall survive until otherwise terminated or discharged hereunder: (1) the rights of Holders of the Notes to receive, solely from the trust fund described in Section 5.4 and as more fully set forth in such Section, payments in respect of the principal of and any premium and interest on the Notes when payments are due, (2) the Company’s obligations with respect to the Notes under Sections 304, 305, 306, 1002 and 1003 of the Indenture, (3) the rights, powers, trusts, duties and immunities of the Trustee under the Indenture and (4) this Article. Subject to compliance with this Article, the Company may exercise its option to have this Section applied to the Notes notwithstanding the prior exercise of its option to have Section 5.3 applied to the Notes.</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xml:space="preserve"> Upon the Company’s exercise of its option to have this Section applied to the Notes, (1) the Company shall be released from its obligations under Section 801(3) and Sections 1005 through 1009, inclusive, of the Indenture, and any covenants provided pursuant to Sections 301(16), 901(2) or 901(7) of the Indenture for the benefit of the Holders of the Notes and (2) the occurrence of any event specified in Sections 501(4) (with respect to any of Section 801(3) and Sections 1005 through 1009, inclusive, of the Indenture and any such covenants provided pursuant to Sections 301(16), 901(2) or 901(7)), and 501(7) of the Indenture shall be deemed not to be or result in an Event of Default, in each case with respect to the Notes as provided in this Section on and after the date the conditions set forth in Section 5.4 are satisfied (hereinafter called “</w:t>
      </w:r>
      <w:r>
        <w:rPr>
          <w:rFonts w:ascii="Times New Roman" w:cs="Times New Roman" w:eastAsia="Times New Roman" w:hAnsi="Times New Roman"/>
          <w:sz w:val="18"/>
          <w:szCs w:val="18"/>
          <w:b w:val="1"/>
          <w:bCs w:val="1"/>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For this purpose, such Covenant Defeasance means that, with respect to the Notes, the Company may omit to comply with and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liability in respect of any term, condition or limitation set forth in any such specified Section of the Indenture (to the extent so specified in the case of Section 501(4)) of the Indenture, whether directly or indirectly by reason of any reference elsewhere in the Indenture to any such Section or by reason of any reference in any such Section to any other provision in the Indenture or in any other document, but the remainder of this Indenture and the Notes shall be unaffected thereby.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i w:val="1"/>
          <w:iCs w:val="1"/>
          <w:color w:val="auto"/>
        </w:rPr>
        <w:t>Conditions to Defeasance or Covenant Defeasance.</w:t>
      </w:r>
      <w:r>
        <w:rPr>
          <w:rFonts w:ascii="Times New Roman" w:cs="Times New Roman" w:eastAsia="Times New Roman" w:hAnsi="Times New Roman"/>
          <w:sz w:val="18"/>
          <w:szCs w:val="18"/>
          <w:color w:val="auto"/>
        </w:rPr>
        <w:t xml:space="preserve"> The following shall be the conditions to the application of Section 5.2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5.3 to the Notes:</w:t>
      </w:r>
    </w:p>
    <w:p>
      <w:pPr>
        <w:spacing w:after="0" w:line="99" w:lineRule="exact"/>
        <w:rPr>
          <w:sz w:val="20"/>
          <w:szCs w:val="20"/>
          <w:color w:val="auto"/>
        </w:rPr>
      </w:pPr>
    </w:p>
    <w:p>
      <w:pPr>
        <w:ind w:firstLine="436"/>
        <w:spacing w:after="0" w:line="253"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which for purposes of this Section 5.4 shall include The Bank of New York Mellon, London Branch,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the Notes, (A) money in an amount, or (B) Government Obligations which through the scheduled payment of principal and interest in respect thereof in accordance with their terms will provide, not later than one day before the due date of any payment, money in an amount, or (C) a combination thereof, in each case sufficient (without reinvestment of any interest earned thereon),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the Notes on the Notes Maturity Date, in accordance with the terms of the Indenture, this Tenth Supplemental Indenture and the Notes. As used herein, “</w:t>
      </w:r>
      <w:r>
        <w:rPr>
          <w:rFonts w:ascii="Times New Roman" w:cs="Times New Roman" w:eastAsia="Times New Roman" w:hAnsi="Times New Roman"/>
          <w:sz w:val="18"/>
          <w:szCs w:val="18"/>
          <w:b w:val="1"/>
          <w:bCs w:val="1"/>
          <w:color w:val="auto"/>
        </w:rPr>
        <w:t>Government Obligation</w:t>
      </w:r>
      <w:r>
        <w:rPr>
          <w:rFonts w:ascii="Times New Roman" w:cs="Times New Roman" w:eastAsia="Times New Roman" w:hAnsi="Times New Roman"/>
          <w:sz w:val="18"/>
          <w:szCs w:val="18"/>
          <w:color w:val="auto"/>
        </w:rPr>
        <w:t>” means (i) direct obligations of a Participating Member State, (ii) obligations the timely payment of the principal of and interest on which is fully and unconditionally guaranteed by such Participating Member State, a central bank of a Participating Member State or a governmental agency of such Participating Member State, and (iii) certificates, depositary receipts or other instruments which evidence a direct ownership interest in obligations described in clause (i) or (ii) above or in any specific principal or interest payments due in respect thereof.</w:t>
      </w:r>
    </w:p>
    <w:p>
      <w:pPr>
        <w:spacing w:after="0" w:line="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5.2 apply to the Notes, the Company shall have delivered to the Trustee an Opinion of Counsel stating that (A) the Company has received from, or there has been published by, the Internal Revenue Service a ruling or (B) since the date of this Tenth Supplemental Indenture, there has been a change in the applicable United States federal income tax law, in either case (A) or (B) to the effect that, and based thereon such opinion shall confirm that, the Holders of the Notes will not recognize gain or loss for United States federal income tax purposes as a result of the deposit, Defeasance and discharge to be effected with respect to the Notes and will be subject to United States federal income tax on the same amount, in the same manner and at the same times as would be the case if such deposit, Defeasance and discharge were not to occur.</w:t>
      </w:r>
    </w:p>
    <w:p>
      <w:pPr>
        <w:spacing w:after="0" w:line="79" w:lineRule="exact"/>
        <w:rPr>
          <w:rFonts w:ascii="Times New Roman" w:cs="Times New Roman" w:eastAsia="Times New Roman" w:hAnsi="Times New Roman"/>
          <w:sz w:val="18"/>
          <w:szCs w:val="18"/>
          <w:color w:val="auto"/>
        </w:rPr>
      </w:pPr>
    </w:p>
    <w:p>
      <w:pPr>
        <w:ind w:right="220" w:firstLine="436"/>
        <w:spacing w:after="0" w:line="261"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5.3 apply to the Notes, the Company shall have delivered to the Trustee an Opinion of Counsel to the effect that the Holders of the Notes will not recognize gain or loss for United States federal income tax purposes as a result of the deposit and Covenant Defeasance to be effected with respect to the Notes and will be subject to United States federal income tax on the same amount, in the same manner and at the same times as would be the case if such deposit and Covenant Defeasance were not to occur.</w:t>
      </w:r>
    </w:p>
    <w:p>
      <w:pPr>
        <w:spacing w:after="0" w:line="7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to the effect that none of the Notes of the same series as the Notes, if then listed on any securities exchange, will be delisted as a result of such deposit.</w:t>
      </w:r>
    </w:p>
    <w:p>
      <w:pPr>
        <w:spacing w:after="0" w:line="53"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which is, or after notice or lapse of time or both would become, an Event of Default with respect to the Notes or any other Securities shall have occurred and be continuing at the time of such deposit or, with regard to any such event specified in Sections 501(5) and (6) of the Indenture, at any time on or prior to the 90th day after the date of such deposit (it being understood that this condition shall not be deemed satisfied until after such 90th day).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20" w:name="page21"/>
    <w:bookmarkEnd w:id="20"/>
    <w:p>
      <w:pPr>
        <w:ind w:right="200" w:firstLine="436"/>
        <w:spacing w:after="0" w:line="282"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Defeasance or Covenant Defeasance shall not cause the Trustee to have a conflicting interest within the meaning of the Trust Indenture Act (assuming all Securities are in default within the meaning of such Act).</w:t>
      </w:r>
    </w:p>
    <w:p>
      <w:pPr>
        <w:spacing w:after="0" w:line="53"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PAYING AGENT MATTERS</w:t>
      </w:r>
    </w:p>
    <w:p>
      <w:pPr>
        <w:spacing w:after="0" w:line="227"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Rights of Paying Agent</w:t>
      </w:r>
      <w:r>
        <w:rPr>
          <w:rFonts w:ascii="Times New Roman" w:cs="Times New Roman" w:eastAsia="Times New Roman" w:hAnsi="Times New Roman"/>
          <w:sz w:val="18"/>
          <w:szCs w:val="18"/>
          <w:color w:val="auto"/>
        </w:rPr>
        <w:t xml:space="preserve">. In connection with acting hereunder, the Paying Agent shall be entitled to the rights, protections, benefits, immunities and indemnities provided to the Trustee and set forth in the Indenture. For the avoidance of doubt, the provisions of Section 607 of the Indenture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Paying Agent.</w:t>
      </w:r>
    </w:p>
    <w:p>
      <w:pPr>
        <w:spacing w:after="0" w:line="17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U.S. Tax Forms</w:t>
      </w:r>
      <w:r>
        <w:rPr>
          <w:rFonts w:ascii="Times New Roman" w:cs="Times New Roman" w:eastAsia="Times New Roman" w:hAnsi="Times New Roman"/>
          <w:sz w:val="18"/>
          <w:szCs w:val="18"/>
          <w:color w:val="auto"/>
        </w:rPr>
        <w:t>. The Paying Agent shall deliver to the Company two properly completed and executed originals of IRS Form W-9 (or appropriate successor form) upon execution of this Tenth Supplemental Indenture (and from time to time thereafter upon reasonable request of the Company). The Paying Agent agrees that if any form or certification that it previously delivered expires or becomes obsolete or inaccurate in any respect, it shall update such form or certification promptly or promptly notify the Company in writing of its legal inability to do so.</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xml:space="preserve"> The Paying Agent shall be entitled to make a deduction or withholding from any payment which it makes pursuant to the Indenture for or on account of any present or future taxes, duties, assessments or government charges if and to the extent so required by Applicable Law, in which event the Paying Agent shall make such payment after such withholding or deduction has been made and shall account to the relevant authorities for the amount so withheld or deducted.</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Any request, demand, authorization, direction, notice, consent, waiver or other documents provided or permitted by the Indenture to be made upon given or furnished to or filed with the Paying Agent by the Trustee or the Company shall be made, furnished or filed in writing and delivered by mail or email to The Bank of New York Mellon acting through its London Branch, 160 Queen Victoria Street, London, England, EC4V 4LA, Attention: Corporate Trust Administration, Tel No: +44 (0) 207 964 5028 or such other address as the Paying Agent may provide to the Trustee and the Company from time to time. All notices hereunder shall be effective when actually received by the recipient, except that a communication actually received outside normal business hours shall be deemed to be received on the next business day in the city in which the recipient is located.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1" w:name="page22"/>
    <w:bookmarkEnd w:id="21"/>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Times New Roman" w:cs="Times New Roman" w:eastAsia="Times New Roman" w:hAnsi="Times New Roman"/>
          <w:sz w:val="18"/>
          <w:szCs w:val="18"/>
          <w:i w:val="1"/>
          <w:iCs w:val="1"/>
          <w:color w:val="auto"/>
        </w:rPr>
        <w:t>Resignation and Removal; Appointment of Successor</w:t>
      </w:r>
      <w:r>
        <w:rPr>
          <w:rFonts w:ascii="Times New Roman" w:cs="Times New Roman" w:eastAsia="Times New Roman" w:hAnsi="Times New Roman"/>
          <w:sz w:val="18"/>
          <w:szCs w:val="18"/>
          <w:color w:val="auto"/>
        </w:rPr>
        <w:t>. No resignation or removal of the Paying Agent shall become effective until the acceptance of appointment by the successor Paying Agent pursuant to the Indenture.</w:t>
      </w:r>
    </w:p>
    <w:p>
      <w:pPr>
        <w:spacing w:after="0" w:line="16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Paying Agent may resign at any time, other than on a day during the 45 day period preceding any payment date for the Notes upon 45 days’ prior written notice to the Company. The Company may remove the Paying Agent at any time upon 45 days’ written notice (or such lessor period of time as may be mutually agreed by the Paying Agent and the Company). Upon the effectiveness of the resignation or removal of the Paying Agent and the appointment of successor, following payment of any outstanding fees and expenses of the Paying Agent, the outgoing Paying Agent shall, at the Company’s instruction, deliver to the successor, the Company or the Trustee, all Notes (if any) and cash (if any) belonging to the Company and provide information regarding the status of any outstanding Notes as reasonably requested by the Company or the Trustee.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Person into which a Paying Agent may be merged or consolidated or any Person resulting from any merger or consolidation to which such Paying Agent is a party or any Person to which such Paying Agent shall sell or otherwise transfer all or substantially all of its corporate trust or agency business shall on the date on which such merger, consolidation, sale or transfer becomes effective, become the successor to such Paying Agent under the Indenture without the execution or filing of any paper or any further act on the part of the parties hereto.</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Notwithstanding anything to the contrary contained herein:</w:t>
      </w:r>
    </w:p>
    <w:p>
      <w:pPr>
        <w:spacing w:after="0" w:line="119" w:lineRule="exact"/>
        <w:rPr>
          <w:sz w:val="20"/>
          <w:szCs w:val="20"/>
          <w:color w:val="auto"/>
        </w:rPr>
      </w:pPr>
    </w:p>
    <w:p>
      <w:pPr>
        <w:ind w:right="4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under the Indenture, the Paying Agent shall not (i) be under any fiduciary duty towards any Person, (ii) be responsible for or liable in respect of the authorization, validity or legality of any Note amount paid by it hereunder (except to the extent that any such liability resulted from the Paying Agent’s gross negligence or wilful misconduct as determined by a court of competent jurisdiction in a final, non-appealable judgment), (iii) be under any obligation towards any Person other than the Trustee and Company or (iv) assume any relationship of agency or trust for or with any Holder.</w:t>
      </w:r>
    </w:p>
    <w:p>
      <w:pPr>
        <w:spacing w:after="0" w:line="71"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shall not exercise any lien, right of set-off or similar claim against any Holder of a Note in respect of moneys payable by it under the Indenture.</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shall be obligated to perform only such duties as are specifically set forth in the Indenture and in the Notes, and no implied duties or obligations shall be read into the Indenture or the Notes against the Paying Agent.</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Trustee or the Paying Agent be responsible or liable for any failure or delay in the performance of its obligations under the Indenture arising out of or caused, directly or indirectly, by circumstances beyond its control, including, without limitation, any provision of any present or future law or regulation or any act of any governmental authority, acts of God; earthquakes; fire; flood; terrorism; civil unrest, wars and other military disturbances; sabotage; epidemics; riots; interruptions; loss or malfunctions of utilities, computer (hardware or software) or communication services or of any failure or delay in any clearing system; accidents; labor disputes; acts of civil or military authority.</w:t>
      </w:r>
    </w:p>
    <w:p>
      <w:pPr>
        <w:spacing w:after="0" w:line="75"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or the Paying Agent be liable for special, indirect, punitive, incidental, consequential or other similar loss or damage of any kind whatsoever (including but not limited to lost profits), even if the Trustee or the Paying Agent has been advised of the likelihood of such loss or damage and regardless of the form of action.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8" w:right="479" w:bottom="1440" w:gutter="0" w:footer="0" w:header="0"/>
        </w:sectPr>
      </w:pPr>
    </w:p>
    <w:bookmarkStart w:id="22" w:name="page23"/>
    <w:bookmarkEnd w:id="22"/>
    <w:p>
      <w:pPr>
        <w:ind w:right="260" w:firstLine="436"/>
        <w:spacing w:after="0" w:line="261"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shall retain the right not to act and shall not be held liable for refusing to act unless it has received clear and reasonable documentation which complies with the terms of the Indenture; provided, that in the event that the Paying Agent shall exercise its right not to act pursuant to this clause (f), the Paying Agent shall promptly notify the Company and the Trustee and seek additional instructions that comply with the terms of the Indenture.</w:t>
      </w:r>
    </w:p>
    <w:p>
      <w:pPr>
        <w:spacing w:after="0" w:line="71" w:lineRule="exact"/>
        <w:rPr>
          <w:rFonts w:ascii="Times New Roman" w:cs="Times New Roman" w:eastAsia="Times New Roman" w:hAnsi="Times New Roman"/>
          <w:sz w:val="18"/>
          <w:szCs w:val="18"/>
          <w:color w:val="auto"/>
        </w:rPr>
      </w:pPr>
    </w:p>
    <w:p>
      <w:pPr>
        <w:ind w:right="80" w:firstLine="436"/>
        <w:spacing w:after="0" w:line="266" w:lineRule="auto"/>
        <w:tabs>
          <w:tab w:leader="none" w:pos="6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may request that the Company deliver a certificate setting forth the names of individuals and/or titles of officers authorized at such time to take specified actions pursuant to the Indenture, which certificate may be signed by any person authorized to sign such a certificate, including any person specified as so authorized in any such certificate previously delivered and not superseded.</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Paying Agent shall not be liable for any error of judgment made in good faith by it, unless it shall be proved that the Trustee or the Paying Agent was negligent in ascertaining the pertinent facts.</w:t>
      </w:r>
    </w:p>
    <w:p>
      <w:pPr>
        <w:spacing w:after="0" w:line="53" w:lineRule="exact"/>
        <w:rPr>
          <w:rFonts w:ascii="Times New Roman" w:cs="Times New Roman" w:eastAsia="Times New Roman" w:hAnsi="Times New Roman"/>
          <w:sz w:val="18"/>
          <w:szCs w:val="18"/>
          <w:color w:val="auto"/>
        </w:rPr>
      </w:pPr>
    </w:p>
    <w:p>
      <w:pPr>
        <w:ind w:right="200" w:firstLine="436"/>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Paying Agent considers in its reasonable judgment that the amounts actually received by it pursuant to the Indenture are insufficient to satisfy all claims with respect to all payments then falling due with respect to the Notes, the Paying Agent will promptly notify the Company and the Trustee and until such time as the Paying Agent has received the full amount of all such payments, the Paying Agent shall not be obligated to pay any such claims.</w:t>
      </w:r>
    </w:p>
    <w:p>
      <w:pPr>
        <w:spacing w:after="0" w:line="71"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Paying Agent shall be entitled to take any action or to refuse to take any action which the Paying Agent regards as necessary for the Trustee or the Paying Agent to comply with any applicable law, regulation, fiscal requirement, court order, or the rules, operating procedures or market practice of any relevant stock exchange or other market or clearing system.</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shall not have any responsibility or obligation to any beneficial owner of a Note, participant or other Person with respect to the accuracy of the records of the Depositary or its nominee or of any participant, with respect to any ownership interest in the Notes or with respect to the delivery to any participant, beneficial owner or other Person (other than the Depositary) of any notice (including any notice of redemption) or the payment of any amount, under or with respect to such Notes. The rights of beneficial owners in the Notes shall be exercised only through the Depositary subject to its applicable procedures. The Paying Agent shall not have any responsibility or liability for any acts or omissions of the Depositary with respect to such Note, for the records of any such Depositary, including records in respect of beneficial ownership interests in respect of any such Note, for any transactions between the Depositary and any participant or between or among the Depositary, any such participant and/or any holder or owner of a beneficial interest in such Note, or for any transfers of beneficial interests in any such Note.</w:t>
      </w:r>
    </w:p>
    <w:p>
      <w:pPr>
        <w:spacing w:after="0" w:line="19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xml:space="preserve"> The Company shall indemnify, defend and hold harmless the Paying Agent, or any predecessor Paying Agent, and their respective officers, directors, employees, representatives and agents from and against, and reimburse the Paying Agent for, any and all claims, obligations, liabilities, losses, damages, penalties, stamp or other similar taxes (other than taxes based upon, measured by or determined by the income of the Paying Agent), actions, suits, judgments, reasonable costs and expenses (including reasonable attorney’s fees and expenses) of whatever kind or nature demanded, asserted or claimed against, or incurred by, the Paying Agent (whether demanded, asserted or claimed by any holder of a Note or any other Person), directly or indirectly relating to, or arising from, claims against the Paying Agent arising out of or in connection with the Indenture, the Notes, the administration of the transactions contemplated thereby (including disputes between the parties or enforcement of the Indenture, including this Tenth Supplemental Indenture), or the performance of its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duties under the Indenture, including reasonable attorneys’ and consultants’ fees and expenses and court costs, except to the extent caused by the Paying Agent’s gross negligence or willful misconduct. The indemnity contained in this Section 6.7 shall survive the termination for any reason or expiry of this Tenth Supplemental Indenture, the payment in full of the Notes and the resignation or removal of the Paying Agent.</w:t>
      </w:r>
    </w:p>
    <w:p>
      <w:pPr>
        <w:spacing w:after="0" w:line="17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i w:val="1"/>
          <w:iCs w:val="1"/>
          <w:color w:val="auto"/>
        </w:rPr>
        <w:t>Compensation, Fees and Expenses</w:t>
      </w:r>
      <w:r>
        <w:rPr>
          <w:rFonts w:ascii="Times New Roman" w:cs="Times New Roman" w:eastAsia="Times New Roman" w:hAnsi="Times New Roman"/>
          <w:sz w:val="18"/>
          <w:szCs w:val="18"/>
          <w:color w:val="auto"/>
        </w:rPr>
        <w:t>. The Company will pay to the Paying Agent the compensation, fees and expenses in respect of the Paying Agent’s services as separately agreed in writing from time to time with the Paying Agent. The Company will reimburse the Paying Agent upon its request for all reasonable expenses, disbursements and advances incurred or made by the Paying Agent in accordance with any provision of the Indenture (including the compensation and the expenses and disbursements of its agents and counsel and of all Persons not regularly in its employ), together with any applicable value added tax and stamp, issue, or other documentary taxes and duties (including any interest and penalties thereon or in connection therewith). The terms of this Section 6.8 shall survive the termination for any reason or expiry of this Tenth Supplemental Indenture, the payment in full of the Notes and the resignation or removal of the Paying Agent.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i w:val="1"/>
          <w:iCs w:val="1"/>
          <w:color w:val="auto"/>
        </w:rPr>
        <w:t>Waiver of Jury Trial; Jurisdiction</w:t>
      </w:r>
      <w:r>
        <w:rPr>
          <w:rFonts w:ascii="Times New Roman" w:cs="Times New Roman" w:eastAsia="Times New Roman" w:hAnsi="Times New Roman"/>
          <w:sz w:val="18"/>
          <w:szCs w:val="18"/>
          <w:color w:val="auto"/>
        </w:rPr>
        <w:t>. EACH OF THE COMPANY, THE TRUSTEE AND THE PAYING AGENT HEREBY IRREVOCABLY WAIVES, TO THE FULLEST EXTENT PERMITTED BY APPLICABLE LAW, ANY AND ALL RIGHT TO TRIAL BY JURY IN ANY LEGAL PROCEEDING ARISING OUT OF OR RELATING TO THIS TENTH SUPPLEMENTAL INDENTURE, THE NOTES OR THE TRANSACTIONS CONTEMPLATED HEREBY.</w:t>
      </w:r>
    </w:p>
    <w:p>
      <w:pPr>
        <w:spacing w:after="0" w:line="18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court action brought under or in connection with the subject matter of the Indenture or the Notes shall be brought only in the United States District Court for the Southern District of New York sitting in the Borough of Manhattan, City of New York or, if such court would not have jurisdiction over the matter, then only in a New York State court sitting in the Borough of Manhattan, City of New York. Each Party submits to the exclusive jurisdiction of these courts and agrees not to commence any legal action under or in connection with the subject matter of the Indenture or the Notes in any other court or forum.</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of the Company and the Paying Agent waives any objection to the laying of the venue of any legal action brought under or in connection with the subject matter of the Indenture or the Notes in the Federal or state courts sitting in the Borough of Manhattan, City of New York, and agrees not to plead or claim in such courts that any such action has been brought in an inconvenient forum.</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Supplemental Indentures with Consent of Holders.</w:t>
      </w:r>
      <w:r>
        <w:rPr>
          <w:rFonts w:ascii="Times New Roman" w:cs="Times New Roman" w:eastAsia="Times New Roman" w:hAnsi="Times New Roman"/>
          <w:sz w:val="18"/>
          <w:szCs w:val="18"/>
          <w:color w:val="auto"/>
        </w:rPr>
        <w:t xml:space="preserve"> As set forth in Section 902 of the Indenture, with the consent of the Holders of a majority in the aggregate principal amount of Securities of each series affected by such supplemental indenture at the time outstanding, the Company and the Trustee may from time to time and at any time enter into an indenture or indenture supplemental to the Indenture for the purpose of adding any provisions to or changing in any manner or eliminating any of the provisions of the Indenture or any Supplemental Indenture, or for the purpose of modifying in any manner the rights of the Holders of the Securities.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4" w:name="page25"/>
    <w:bookmarkEnd w:id="24"/>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Times New Roman" w:cs="Times New Roman" w:eastAsia="Times New Roman" w:hAnsi="Times New Roman"/>
          <w:sz w:val="18"/>
          <w:szCs w:val="18"/>
          <w:i w:val="1"/>
          <w:iCs w:val="1"/>
          <w:color w:val="auto"/>
        </w:rPr>
        <w:t>Supplemental Indentures Not Requiring Consent of Holders.</w:t>
      </w:r>
      <w:r>
        <w:rPr>
          <w:rFonts w:ascii="Times New Roman" w:cs="Times New Roman" w:eastAsia="Times New Roman" w:hAnsi="Times New Roman"/>
          <w:sz w:val="18"/>
          <w:szCs w:val="18"/>
          <w:color w:val="auto"/>
        </w:rPr>
        <w:t xml:space="preserve"> As set forth in Section 901 of the Indenture, without the consent of any Holders of any Securities of each series affected by such supplemental indenture at the time outstanding, the Company and Trustee may from time to time and at any time enter into one or more indentures supplemental to the Indenture for the purpose of adding any provisions to or changing in any manner or eliminating any of the provisions of the Indenture or any Supplemental Indenture including conforming the text of this Tenth Supplemental Indenture or the Notes to any provision of the “Description of Notes” in the prospectus supplement and accompanying prospectus pursuant to which the Notes are offered to the public to the extent that such provisions in the “Description of Notes” was intended to be a verbatim recitation of the Tenth Supplemental Indenture or the Notes.</w:t>
      </w:r>
    </w:p>
    <w:p>
      <w:pPr>
        <w:spacing w:after="0" w:line="183"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xml:space="preserve"> The holders of a majority in principal amount of the outstanding Notes may waive compliance with certain restrictive provisions of the Indenture as they relate to the Notes as set forth in the Indenture or this Tenth Supplemental Indenture.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7"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i w:val="1"/>
          <w:iCs w:val="1"/>
          <w:color w:val="auto"/>
        </w:rPr>
        <w:t>Confirmation of Indenture</w:t>
      </w:r>
      <w:r>
        <w:rPr>
          <w:rFonts w:ascii="Times New Roman" w:cs="Times New Roman" w:eastAsia="Times New Roman" w:hAnsi="Times New Roman"/>
          <w:sz w:val="18"/>
          <w:szCs w:val="18"/>
          <w:color w:val="auto"/>
        </w:rPr>
        <w:t>. The Indenture, as heretofore supplemented, and as supplemented by this Tenth Supplemental Indenture, is in all respects ratified and confirmed, and this Tenth Supplemental Indenture shall be deemed part of the Indenture, as heretofore supplemented, in the manner and to the extent herein and therein provided.</w:t>
      </w:r>
    </w:p>
    <w:p>
      <w:pPr>
        <w:spacing w:after="0" w:line="17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8.2 Responsibility of Recitals, Etc</w:t>
      </w:r>
      <w:r>
        <w:rPr>
          <w:rFonts w:ascii="Times New Roman" w:cs="Times New Roman" w:eastAsia="Times New Roman" w:hAnsi="Times New Roman"/>
          <w:sz w:val="18"/>
          <w:szCs w:val="18"/>
          <w:color w:val="auto"/>
        </w:rPr>
        <w:t>. The recitals herein and in the Notes (except in the Trustee’s Certificate of Authentication)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as the statements of the Company, and the Trustee assumes no responsibility for the correctness thereof. The Trustee makes no representations as to the validity or the sufficiency of this Tenth Supplemental Indenture or of the Notes. The Trustee shall not be accountable for the use or application by the Company of the Notes or the proceeds thereof.</w:t>
      </w:r>
    </w:p>
    <w:p>
      <w:pPr>
        <w:spacing w:after="0" w:line="180"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8.3 Concerning the Trustee</w:t>
      </w:r>
      <w:r>
        <w:rPr>
          <w:rFonts w:ascii="Times New Roman" w:cs="Times New Roman" w:eastAsia="Times New Roman" w:hAnsi="Times New Roman"/>
          <w:sz w:val="18"/>
          <w:szCs w:val="18"/>
          <w:color w:val="auto"/>
        </w:rPr>
        <w:t>. The Trustee does not assume any duties, responsibility or liabilities by reason of this Tenth Supplemental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other than as set forth in the Indenture and, in carrying out its responsibilities hereunder, the Trustee shall have all of the rights, powers, privileges, protections and immunities which it possesses under the Indenture.</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8.4 Consent to Jurisdiction. </w:t>
      </w:r>
      <w:r>
        <w:rPr>
          <w:rFonts w:ascii="Times New Roman" w:cs="Times New Roman" w:eastAsia="Times New Roman" w:hAnsi="Times New Roman"/>
          <w:sz w:val="18"/>
          <w:szCs w:val="18"/>
          <w:color w:val="auto"/>
        </w:rPr>
        <w:t>The Company irrevocably consents and submits to the nonexclusive jurisdiction of any court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or any United States federal court sitting, in each case, in the Borough of Manhattan, The City of New York, State of New York, United States of America, and any appellate court from any thereof in any suit, action, or proceeding that may be brought in connection with the Indenture, this Tenth Supplemental Indenture or the Notes, and waives any immunity from the jurisdiction of such courts. The Company irrevocably waives, to the fullest extent permitted by law, any objection to any such suit, action or proceeding that may be brought in such courts whether on the grounds of venue, residence or domicile or on the ground that any such suit, action or proceeding has been brought in an inconvenient forum. The Company agrees, to the fullest extent that it may lawfully do so, that final judgment in any such suit, action or proceeding brought in such a court shall be conclusive and binding upon the Company, and waives, to the fullest extent permitted by law, any objection to the enforcement by any competent court in the Company’s jurisdiction of organization of judgments validly obtained in any such court in New York on the basis of such suit, action or proceeding.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8" w:right="479" w:bottom="1440" w:gutter="0" w:footer="0" w:header="0"/>
        </w:sectPr>
      </w:pPr>
    </w:p>
    <w:bookmarkStart w:id="25" w:name="page26"/>
    <w:bookmarkEnd w:id="25"/>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Tenth Supplemental Indenture and the Notes shall be governed by, and construed and enforced in accordance with, the laws of the State of New York.</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one or more of the provisions contained in this Tenth Supplemental Indenture or in the Notes shall for any reason be held to be invalid, illegal or unenforceable in any respect, then, to the extent permitted by law, such invalidity, illegality or unenforceability shall not affect any other provisions of this Tenth Supplemental Indenture, or of the Notes, but this Tenth Supplemental Indenture and the Notes shall be construed as if such invalid or illegal or unenforceable provision had never been contained herein or therein.</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Tenth Supplemental Indenture may be executed in any number of counterparts each of which shall be an original, but such counterparts shall together constitute but one and the same instrument. The exchange of copies of this Tenth Supplemental Indenture and of signature pages by facsimile or PDF transmission shall constitute effective execution and delivery of this Tenth Supplemental Indenture as to the parties hereto and may be used in lieu of the original Tenth Supplemental Indenture for all purposes. Signatures of the parties hereto transmitted by facsimile or PDF or other electronic signatures shall be deemed to be their original signatures for all purposes.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i w:val="1"/>
          <w:iCs w:val="1"/>
          <w:color w:val="auto"/>
        </w:rPr>
        <w:t>Conflict with Trust Indenture Act</w:t>
      </w:r>
      <w:r>
        <w:rPr>
          <w:rFonts w:ascii="Times New Roman" w:cs="Times New Roman" w:eastAsia="Times New Roman" w:hAnsi="Times New Roman"/>
          <w:sz w:val="18"/>
          <w:szCs w:val="18"/>
          <w:color w:val="auto"/>
        </w:rPr>
        <w:t>. If any provision hereof limits, qualifies or conflicts with a provision of the Trust Indenture Act which is required under such Act to be a part of and govern this Tenth Supplemental Indenture, the latter provision shall control. If any provision of this Tenth Supplemental Indenture modifies or excludes any provision of the Trust Indenture Act which may be so modified or excluded, the latter provision shall be deemed to apply to this Tenth Supplemental Indenture, as so modified or excluded,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i w:val="1"/>
          <w:iCs w:val="1"/>
          <w:color w:val="auto"/>
        </w:rPr>
        <w:t>Effect of Headings</w:t>
      </w:r>
      <w:r>
        <w:rPr>
          <w:rFonts w:ascii="Times New Roman" w:cs="Times New Roman" w:eastAsia="Times New Roman" w:hAnsi="Times New Roman"/>
          <w:sz w:val="18"/>
          <w:szCs w:val="18"/>
          <w:color w:val="auto"/>
        </w:rPr>
        <w:t>. The Article and Section headings herein are for convenience only and shall not affect the construction hereof.</w:t>
      </w:r>
    </w:p>
    <w:p>
      <w:pPr>
        <w:spacing w:after="0" w:line="225" w:lineRule="exact"/>
        <w:rPr>
          <w:sz w:val="20"/>
          <w:szCs w:val="20"/>
          <w:color w:val="auto"/>
        </w:rPr>
      </w:pPr>
    </w:p>
    <w:p>
      <w:pPr>
        <w:jc w:val="both"/>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Electronic Means</w:t>
      </w:r>
      <w:r>
        <w:rPr>
          <w:rFonts w:ascii="Times New Roman" w:cs="Times New Roman" w:eastAsia="Times New Roman" w:hAnsi="Times New Roman"/>
          <w:sz w:val="18"/>
          <w:szCs w:val="18"/>
          <w:color w:val="auto"/>
        </w:rPr>
        <w:t>. The Trustee and Paying Agent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xml:space="preserve">”), pursuant to this Indenture and related documents sent by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provide to the Trustee and Paying Agent an incumbency certificate listing officers with the authority to provide such Instructions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or directions and containing specimen signatures of such Authorized Officers, which such incumbency certificate shall be amended and replaced whenever a person is to be added or deleted from the listing. If the Company elects to give the Trustee or Paying Agent Instructions using Electronic Means and the Trustee or Paying Agent in its discretion elects to act upon such Instructions, the Trustee’s or Paying Agent’s understanding of such Instructions shall be deemed controlling. The Company understands and agrees that the Trustee and Paying Agent, as applicable, cannot determine the identity of the actual sender of such Instructions and that the Trustee and Paying Agent, as applicable, shall conclusively presume that directions that purport to have been sent by an Authorized Officer listed on the incumbency certificate provided to the Trustee or Paying Agent have been sent by such Authorized Officer. The Company shall be responsible for ensuring that only Authorized Officers transmit such Instructions to the Trustee or Paying Agent, as applicable, and that the Company and all Authorized Officers are solely responsible to safeguard the use and confidentiality of applicable user and authorization codes, passwords and/or authentication keys upon receipt by the Company. The Trustee and Paying Agent, as applicable, shall not be liable for any losses, costs or expenses arising directly or indirectly from its reliance upon and compliance with such instructions notwithstanding such instructions conflict or are inconsistent with a subsequent written instruction. The Company agrees (i) to assume all risks arising out of its use of Electronic Means to submit Instructions to the Trustee or Paying Agent including the risk of the Trustee or Paying Agent acting on unauthorized Instructions, and the risk of interception and misuse by third parties; (ii) that it is fully informed of the protections and risks associated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26" w:name="page27"/>
    <w:bookmarkEnd w:id="2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various methods of transmitting Instructions to the Trustee or Paying Agent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and Paying Agent immediately upon learning of any compromise or unauthorized use of the security procedures.</w:t>
      </w:r>
    </w:p>
    <w:p>
      <w:pPr>
        <w:spacing w:after="0" w:line="17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Sanctions Representations</w:t>
      </w:r>
      <w:r>
        <w:rPr>
          <w:rFonts w:ascii="Times New Roman" w:cs="Times New Roman" w:eastAsia="Times New Roman" w:hAnsi="Times New Roman"/>
          <w:sz w:val="18"/>
          <w:szCs w:val="18"/>
          <w:color w:val="auto"/>
        </w:rPr>
        <w:t>. (a) The Company covenants and represents that neither it nor any of its affiliates, subsidiaries, directors or officers are the target or subject of Sanctions.</w:t>
      </w:r>
    </w:p>
    <w:p>
      <w:pPr>
        <w:spacing w:after="0" w:line="52" w:lineRule="exact"/>
        <w:rPr>
          <w:sz w:val="20"/>
          <w:szCs w:val="20"/>
          <w:color w:val="auto"/>
        </w:rPr>
      </w:pPr>
    </w:p>
    <w:p>
      <w:pPr>
        <w:ind w:firstLine="436"/>
        <w:spacing w:after="0" w:line="261"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represents that neither it nor any of its affiliates, subsidiaries, directors or officers will use any payments made pursuant to the Indenture or the Notes (i) to fund or facilitate any activities of or business with any person that, at the time of such funding or facilitation, is the subject or target of Sanctions, (ii) to fund or facilitate any activities of or business in any country or territory that is the target or subject of Sanctions, or (iii) in any other manner that will result in a violation of Sanctions by any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7" w:name="page28"/>
    <w:bookmarkEnd w:id="27"/>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Tenth Supplemental Indenture to be duly executed as of the day and year first written above.</w:t>
      </w:r>
    </w:p>
    <w:p>
      <w:pPr>
        <w:spacing w:after="0" w:line="18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29" w:lineRule="exact"/>
        <w:rPr>
          <w:sz w:val="20"/>
          <w:szCs w:val="20"/>
          <w:color w:val="auto"/>
        </w:rPr>
      </w:pPr>
    </w:p>
    <w:p>
      <w:pPr>
        <w:ind w:left="61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B. Woenker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17145</wp:posOffset>
            </wp:positionV>
            <wp:extent cx="2442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Christopher B. Woenker</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THE BANK OF NEW YORK MELLON</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61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Vyacheslav Egvel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17145</wp:posOffset>
            </wp:positionV>
            <wp:extent cx="2442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Vyacheslav Egvel</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b w:val="1"/>
          <w:bCs w:val="1"/>
          <w:color w:val="auto"/>
        </w:rPr>
        <w:t>THE BANK OF NEW YORK MELLON, LONDON BRANCH,</w:t>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7" w:lineRule="exact"/>
        <w:rPr>
          <w:sz w:val="20"/>
          <w:szCs w:val="20"/>
          <w:color w:val="auto"/>
        </w:rPr>
      </w:pPr>
    </w:p>
    <w:p>
      <w:pPr>
        <w:ind w:left="61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Vyacheslav Egvel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17145</wp:posOffset>
            </wp:positionV>
            <wp:extent cx="2442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Vyacheslav Egvel</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Tenth Supplemental Indenture]</w:t>
      </w:r>
    </w:p>
    <w:p>
      <w:pPr>
        <w:sectPr>
          <w:pgSz w:w="11900" w:h="16838" w:orient="portrait"/>
          <w:cols w:equalWidth="0" w:num="1">
            <w:col w:w="11020"/>
          </w:cols>
          <w:pgMar w:left="440" w:top="270" w:right="4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Note</w:t>
      </w:r>
    </w:p>
    <w:p>
      <w:pPr>
        <w:sectPr>
          <w:pgSz w:w="11900" w:h="16838" w:orient="portrait"/>
          <w:cols w:equalWidth="0" w:num="1">
            <w:col w:w="9019"/>
          </w:cols>
          <w:pgMar w:left="1440" w:top="266" w:right="1440" w:bottom="1440" w:gutter="0" w:footer="0" w:header="0"/>
        </w:sectPr>
      </w:pPr>
    </w:p>
    <w:bookmarkStart w:id="29" w:name="page30"/>
    <w:bookmarkEnd w:id="29"/>
    <w:p>
      <w:pPr>
        <w:ind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CERTIFICATE EVIDENCES A GLOBAL NOTE: UNLESS THIS CERTIFICATE IS PRESENTED BY AN AUTHORIZED REPRESENTATIVE OF EUROCLEAR BANK, S.A./N.V., AS OPERATOR OF THE EUROCLEAR SYSTEM (“EUROCLEAR”) AND CLEARSTREAM BANKING, </w:t>
      </w:r>
      <w:r>
        <w:rPr>
          <w:rFonts w:ascii="Times New Roman" w:cs="Times New Roman" w:eastAsia="Times New Roman" w:hAnsi="Times New Roman"/>
          <w:sz w:val="18"/>
          <w:szCs w:val="18"/>
          <w:b w:val="1"/>
          <w:bCs w:val="1"/>
          <w:i w:val="1"/>
          <w:iCs w:val="1"/>
          <w:color w:val="auto"/>
        </w:rPr>
        <w:t>SOCIÉTÉ ANONYME</w:t>
      </w:r>
      <w:r>
        <w:rPr>
          <w:rFonts w:ascii="Times New Roman" w:cs="Times New Roman" w:eastAsia="Times New Roman" w:hAnsi="Times New Roman"/>
          <w:sz w:val="18"/>
          <w:szCs w:val="18"/>
          <w:b w:val="1"/>
          <w:bCs w:val="1"/>
          <w:color w:val="auto"/>
        </w:rPr>
        <w:t>, LUXEMBOURG (“CLEARSTREAM, LUXEMBOURG” AND, TOGETHER WITH EUROCLEAR, “EUROCLEAR/CLEARSTREAM”), TO THE COMPANY OR ITS AGENT FOR REGISTRATION OF TRANSFER, EXCHANGE OR PAYMENT, AND ANY CERTIFICATE ISSUED IS REGISTERED IN THE NAME OF THE BANK OF NEW YORK DEPOSITORY (NOMINEES) LIMITED OR IN SUCH OTHER NAME AS IS REQUESTED BY AN AUTHORIZED REPRESENTATIVE OF EUROCLEAR/CLEARSTREAM (AND ANY PAYMENT IS MADE TO SUCH ENTITY AS IS REQUESTED BY AN AUTHORIZED REPRESENTATIVE OF EUROCLEAR/CLEARSTREAM), ANY TRANSFER, PLEDGE OR OTHER USE HEREOF FOR VALUE OR OTHERWISE BY OR TO ANY PERSON IS WRONGFUL INASMUCH AS THE REGISTERED OWNER HEREOF, THE BANK OF NEW YORK DEPOSITORY (NOMINEES) LIMITED, HAS AN INTEREST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4.350% Note due 2030</w:t>
      </w:r>
    </w:p>
    <w:p>
      <w:pPr>
        <w:spacing w:after="0" w:line="2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CUSIP:260003 AS7</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ISIN: XS3554096431</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COMMON CODE: 355409643</w:t>
      </w:r>
    </w:p>
    <w:p>
      <w:pPr>
        <w:sectPr>
          <w:pgSz w:w="11900" w:h="16838" w:orient="portrait"/>
          <w:cols w:equalWidth="0" w:num="1">
            <w:col w:w="11020"/>
          </w:cols>
          <w:pgMar w:left="440" w:top="266" w:right="4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200" w:lineRule="exact"/>
        <w:rPr>
          <w:sz w:val="20"/>
          <w:szCs w:val="20"/>
          <w:color w:val="auto"/>
        </w:rPr>
      </w:pPr>
    </w:p>
    <w:p>
      <w:pPr>
        <w:sectPr>
          <w:pgSz w:w="11900" w:h="16838" w:orient="portrait"/>
          <w:cols w:equalWidth="0" w:num="2">
            <w:col w:w="9940" w:space="720"/>
            <w:col w:w="360"/>
          </w:cols>
          <w:pgMar w:left="440" w:top="266" w:right="439" w:bottom="1440" w:gutter="0" w:footer="0" w:header="0"/>
          <w:type w:val="continuous"/>
        </w:sectPr>
      </w:pPr>
    </w:p>
    <w:p>
      <w:pPr>
        <w:spacing w:after="0" w:line="25" w:lineRule="exact"/>
        <w:rPr>
          <w:sz w:val="20"/>
          <w:szCs w:val="20"/>
          <w:color w:val="auto"/>
        </w:rPr>
      </w:pPr>
    </w:p>
    <w:p>
      <w:pPr>
        <w:ind w:right="60" w:firstLine="440"/>
        <w:spacing w:after="0" w:line="276" w:lineRule="auto"/>
        <w:rPr>
          <w:sz w:val="20"/>
          <w:szCs w:val="20"/>
          <w:color w:val="auto"/>
        </w:rPr>
      </w:pPr>
      <w:r>
        <w:rPr>
          <w:rFonts w:ascii="Times New Roman" w:cs="Times New Roman" w:eastAsia="Times New Roman" w:hAnsi="Times New Roman"/>
          <w:sz w:val="17"/>
          <w:szCs w:val="17"/>
          <w:color w:val="auto"/>
        </w:rPr>
        <w:t>Dover Corporation, a corporation duly organized and existing under the laws of Delaware (herein called the “Company”, which term includes any successor Person under the Indenture hereinafter referred to), for value received, hereby promises to pay to ____________, or registered assigns,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sum of €__________ on November 2, 2030 and to pay interest thereon from November 2, 2026 or from the most recent Interest 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which interest has been paid or duly provided for, annually on November 2 in each year, commencing on ________________, at the rate of 4.350%</w:t>
      </w:r>
    </w:p>
    <w:p>
      <w:pPr>
        <w:spacing w:after="0" w:line="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per annum, until the principal hereof is paid or made available for payment. The interest so payable, and punctually paid or duly provided for, on any Interest Payment Date shall, as provided in such Indenture, be paid to the Person in whose name this Security (or one or more Predecessor Securities) is registered at the close of business on the Regular Record Date for such interest, which shall be the October 15 (whether or not a Business Day) immediately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ectPr>
          <w:pgSz w:w="11900" w:h="16838" w:orient="portrait"/>
          <w:cols w:equalWidth="0" w:num="1">
            <w:col w:w="11020"/>
          </w:cols>
          <w:pgMar w:left="440" w:top="266" w:right="439" w:bottom="1440" w:gutter="0" w:footer="0" w:header="0"/>
          <w:type w:val="continuous"/>
        </w:sectPr>
      </w:pPr>
    </w:p>
    <w:bookmarkStart w:id="30" w:name="page31"/>
    <w:bookmarkEnd w:id="3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Principal of, the Redemption Price (if any), Change of Control Payments (as defined on the reverse hereof, if any), and interest and Additional Amounts (as defined on the reverse hereof, if any) on, the Securities shall be payable at the office or agency of the Company maintained for such purposes in London, England, which shall initially be the principal corporate trust office or agency of the Paying Agent in London, England, in euros; provided, however, that if the euro is unavailable to the Company due to the imposition of exchange controls or other circumstances beyond the Company’s control or if the euro is no longer being used by the then member states of the European Monetary Union that have adopted the euro as their currency for the settlement of transactions by public institutions of or within the international banking community, then all payments in respect of the Securities will be in U.S. dollars until the euro is again available to the Company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or prior to the second Business Day prior to the relevant payment date. Any references elsewhere in the Securities or the Tenth Supplemental Indenture (as defined on the reverse hereof) to payments being made in euros notwithstanding, payments shall be made in U.S. dollars to the extent set forth in this paragraph. At the option of the Company payment of interest may be made by check mailed to the address of the Person entitled thereto as such address shall appear in the Security Register or by wire transfer to an account maintained by the Person entitled thereto as specified in the Security Register;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Company shall pay principal of (and premium, if any) and interest on this Security in global form registered in the name of or held by Euroclear/Clearstream or such other Depositary as any officer of the Company may from time to time designate, or its respective nominee, by wire in immediately available funds to such Depositary or its nominee, as the case may be, as the registered Holder of this Security in global form. As used herein:</w:t>
      </w:r>
    </w:p>
    <w:p>
      <w:pPr>
        <w:spacing w:after="0" w:line="19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or “euros” means the single currency introduced at the third stage of the European Economic and Monetary Union pursuant to the Treaty on the functioning of the European Union,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“Participating Member State” means a member state of the European Union which has adopted or adopts the euro.</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7"/>
              </w:rPr>
              <w:t>Dated: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80"/>
        </w:trPr>
        <w:tc>
          <w:tcPr>
            <w:tcW w:w="5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980" w:type="dxa"/>
            <w:vAlign w:val="bottom"/>
            <w:gridSpan w:val="2"/>
          </w:tcPr>
          <w:p>
            <w:pPr>
              <w:ind w:left="3580"/>
              <w:spacing w:after="0"/>
              <w:rPr>
                <w:sz w:val="20"/>
                <w:szCs w:val="20"/>
                <w:color w:val="auto"/>
              </w:rPr>
            </w:pPr>
            <w:r>
              <w:rPr>
                <w:rFonts w:ascii="Times New Roman" w:cs="Times New Roman" w:eastAsia="Times New Roman" w:hAnsi="Times New Roman"/>
                <w:sz w:val="18"/>
                <w:szCs w:val="18"/>
                <w:b w:val="1"/>
                <w:bCs w:val="1"/>
                <w:color w:val="auto"/>
              </w:rPr>
              <w:t>DOVER CORPORATION</w:t>
            </w: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40" w:type="dxa"/>
            <w:vAlign w:val="bottom"/>
          </w:tcPr>
          <w:p>
            <w:pPr>
              <w:ind w:left="3580"/>
              <w:spacing w:after="0" w:line="205" w:lineRule="exact"/>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spacing w:after="0"/>
              <w:rPr>
                <w:sz w:val="17"/>
                <w:szCs w:val="17"/>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9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Title:</w:t>
            </w:r>
          </w:p>
        </w:tc>
      </w:tr>
      <w:tr>
        <w:trPr>
          <w:trHeight w:val="418"/>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7"/>
              </w:rPr>
              <w:t>Attest: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3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80" w:type="dxa"/>
            <w:vAlign w:val="bottom"/>
            <w:gridSpan w:val="2"/>
          </w:tcPr>
          <w:p>
            <w:pPr>
              <w:ind w:left="1100"/>
              <w:spacing w:after="0"/>
              <w:rPr>
                <w:sz w:val="20"/>
                <w:szCs w:val="20"/>
                <w:color w:val="auto"/>
              </w:rPr>
            </w:pPr>
            <w:r>
              <w:rPr>
                <w:rFonts w:ascii="Times New Roman" w:cs="Times New Roman" w:eastAsia="Times New Roman" w:hAnsi="Times New Roman"/>
                <w:sz w:val="18"/>
                <w:szCs w:val="18"/>
                <w:i w:val="1"/>
                <w:iCs w:val="1"/>
                <w:color w:val="auto"/>
              </w:rPr>
              <w:t>Trustee’s Certificate of Authentication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described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BANK OF NEW YORK MELLON</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1020"/>
          </w:cols>
          <w:pgMar w:left="440" w:top="270" w:right="4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22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 Indenture, dated as of February 8, 2001 (herein called the “Base Indenture”), between the Company and The Bank of New York Mellon, as Trustee (the “Trustee,” which term includes any successor trustee under the Base Indenture), as supplemented by the First Supplemental Indenture, dated as of October 13, 2005, between the Company and the Trustee (the “First Supplemental Indenture”), as further supplemented by the Second Supplemental Indenture, dated as of March 14, 2008, between the Company and the Trustee (the “Second Supplemental Indenture”), as further supplemented by the Third Supplemental Indenture, dated as of February 22, 2011, between the Company and the Trustee (the “Third Supplemental Indenture”), as further supplemented by the Fourth Supplemental Indenture, dated as of December 2, 2013, among the Company, the Trustee and The Bank of New York Mellon, London Branch, as paying agent (the “Paying Agent”) (the “Fourth Supplemental Indenture”), as further supplemented by the Fifth Supplemental Indenture, dated as of November 3, 2015, between the Company and the Trustee (the “Fifth Supplemental Indenture”), as further supplemented by the Sixth Supplemental Indenture, dated as of November 9, 2016, among the Company, the Trustee and the Paying Agent (the “Sixth Supplemental Indenture”), as further supplemented by the Seventh Supplemental Indenture, dated as of November 4, 2019, among the Company, the Trustee and the Paying Agent (the “Seventh Supplemental Indenture”), as further supplemented by the Eighth Supplemental Indenture, dated as of November 4, 2019, between the Company and the Trustee (the “Eighth Supplemental Indenture”), as further supplemented by the Ninth Supplemental Indenture, dated as of November 12, 2025, among the Company, the Trustee and the Paying Agent (the “Ninth Supplemental Indenture”) and as further supplemented by the Tenth Supplemental Indenture, dated as of November 2, 2026, among the Company, the Trustee and the Paying Agent (the “Tenth Supplemental Indenture” and, together with the Base Indenture, as supplemented by the First Supplemental Indenture, the Second Supplemental Indenture, the Third Supplemental Indenture, the Fourth Supplemental Indenture, the Fifth Supplemental Indenture, the Sixth Supplemental Indenture, the Seventh Supplemental Indenture, the Eighth Supplemental Indenture, the Ninth Supplemental Indenture and the Tenth Supplemental Indenture, the “Indenture”). Reference is hereby made to the Indenture for a statement of the respective rights, limitations of rights, duties and immunities thereunder of the Company, the Trustee, the Paying Agent and the Holders of the Securities, and of the terms upon which the Securities are, and are to be authenticated and delivered. This Security is one of a series designated on the face hereof initially limited in aggregate principal amount to €800,000,000.</w:t>
      </w:r>
    </w:p>
    <w:p>
      <w:pPr>
        <w:spacing w:after="0" w:line="20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Securities of this series are subject to redemption upon not less than 10 days’ and not more than 60 days’ notice delivered electronically in accordance with the policies and procedures of Euroclear or Clearstream, or otherwise by mail, as a whole or in part, at the election of the Company, from time to time. If the Securities of this series are redeemed before the Par Call Date, the Securities shall be redeemed at a Redemption Price equal to the greater of (i) 100% of the principal amount of such Securities then outstanding to be redeemed, and (ii) the sum of the present values of the remaining scheduled payments of principal and interest on the Securities to be redeemed (not including any portion of such payments of interest accrued to the date of redemption and, for purposes of the calculation, assuming that the Securities of this series would be redeemed on the Par Call Date) discounted to the date of redemption on an annual basis (ACTUAL/ACTUAL (ICMA)) at the applicable Comparable Government Bond Rate plus 20 basis points (0.20%), plus, in each case, accrued and unpaid interest on the principal amount being redeemed to, but excluding, the Redemption Date. If the Securities of this series are redeemed on or after the Par Call Date, the Securities may be redeemed at a Redemption Price equal to 100% of the principal amount of the Securities then outstanding to be redeemed, plus accrued and unpaid interest on the principal amount being redeemed to, but excluding, the Redemption Date. Interest installments whose Stated Maturity is on or prior to such Redemption Date shall be payable to the Holders of such Securities, or one or more Predecessor Securities, of record at the close of business on the relevant Record Date referred to on the face hereof, all as provided in the Indenture.</w:t>
      </w:r>
    </w:p>
    <w:p>
      <w:pPr>
        <w:sectPr>
          <w:pgSz w:w="11900" w:h="16838" w:orient="portrait"/>
          <w:cols w:equalWidth="0" w:num="1">
            <w:col w:w="11000"/>
          </w:cols>
          <w:pgMar w:left="440" w:top="268"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redemption provisions, the following terms are applicable:</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“Comparable Government Bond” means, with respect to the Securities of this series to be redeemed prior to the Par Call Date in relation to any Comparable Government Bond Rate calculation, at the discretion of an independent investment bank selected by the Company, a German Government Bond whose maturity is closest to the Par Call Date, or if such independent investment bank in its discretion determines that such similar bond is not in issue, such other German Government Bond as such independent investment bank may, with the advice of three brokers of, and/or market makers in, German Government Bonds selected by the Company, determine to be appropriate for determining the Comparable Government Bond Rate.</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“Comparable Government Bond Rate”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the Company in accordance with generally accepted market practice at such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“German Government Bond” means a bond that is a direct obligation of the Federal Republic of Germany.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 Call Date” means October 2, 2030 (the date that is one month prior to the Notes Maturity Date).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less than all of the Securities are to be redeemed, the Securities to be redeemed shall be selected, in the case of global notes, in accordance with the policies and procedures of Euroclear or Clearstream, and in the case of certificated notes, by the Trustee by lot, but in either case consistent with any applicable listing standards. In the event of redemption of this Security in part only, a new Security or Securities of this series for the unredeemed portion hereof (which shall not be less than the minimum authorized denomination for the Securities) shall be issued in the name of the Holder hereof upon the cancellation hereof.</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will, subject to the exceptions and limitations set forth below, pay as additional interest on the Securities such additional amounts (“Additional Amounts”) as are necessary in order that the net payment by the Company of the principal of, premium, if any, and interest on the Securities to a Holder who is not a United States person (as defined herein), after withholding or deduction for any present or future tax, assessment or other governmental charge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75" w:lineRule="exact"/>
        <w:rPr>
          <w:sz w:val="20"/>
          <w:szCs w:val="20"/>
          <w:color w:val="auto"/>
        </w:rPr>
      </w:pPr>
    </w:p>
    <w:p>
      <w:pPr>
        <w:ind w:right="220" w:firstLine="436"/>
        <w:spacing w:after="0" w:line="26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by reason of the Holder (or the beneficial owner for whose benefit such Holder holds such Security), or a fiduciary, settlor, beneficiary, member or shareholder of the Holder if the Holder is an estate, trust, partnership or corporation, or a person holding a power over an estate or trust administered by a fiduciary Holder, being considered as: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or having been engaged in a trade or business in the United States or having or having had a permanent establishment in the United</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4" w:name="page35"/>
    <w:bookmarkEnd w:id="34"/>
    <w:p>
      <w:pPr>
        <w:ind w:left="440" w:right="260" w:firstLine="419"/>
        <w:spacing w:after="0" w:line="266" w:lineRule="auto"/>
        <w:tabs>
          <w:tab w:leader="none" w:pos="11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having a current or former connection with the United States (other than a connection arising solely as a result of the ownership of the Securities, the receipt of any payment or the enforcement of any rights thereunder), including being or having been a citizen or resident of the United States;</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United States income tax purposes or a corporation that has accumulated earnings to avoid United States federal income tax;</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Company as defined in Section 871(h)(3) of the United States Internal Revenue Code of 1986, as amended (the “Code”) or any successor provision; or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w:t>
      </w:r>
    </w:p>
    <w:p>
      <w:pPr>
        <w:spacing w:after="0" w:line="53"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Additional Amounts had the beneficiary, settlor, beneficial owner or member received directly its beneficial or distributive share of the payment;</w:t>
      </w:r>
    </w:p>
    <w:p>
      <w:pPr>
        <w:spacing w:after="0" w:line="71"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failure of the Holder or beneficial owner of the Securities to comply with the Company’s request or a request of the Company’s agent to satisfy any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is imposed otherwise than by withholding by the Company or a paying agent from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payment;</w:t>
      </w:r>
    </w:p>
    <w:p>
      <w:pPr>
        <w:spacing w:after="0" w:line="98" w:lineRule="exact"/>
        <w:rPr>
          <w:rFonts w:ascii="Times New Roman" w:cs="Times New Roman" w:eastAsia="Times New Roman" w:hAnsi="Times New Roman"/>
          <w:sz w:val="17"/>
          <w:szCs w:val="17"/>
          <w:color w:val="auto"/>
        </w:rPr>
      </w:pPr>
    </w:p>
    <w:p>
      <w:pPr>
        <w:ind w:right="760" w:firstLine="436"/>
        <w:spacing w:after="0" w:line="282"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w:t>
      </w:r>
    </w:p>
    <w:p>
      <w:pPr>
        <w:spacing w:after="0" w:line="53" w:lineRule="exact"/>
        <w:rPr>
          <w:rFonts w:ascii="Times New Roman" w:cs="Times New Roman" w:eastAsia="Times New Roman" w:hAnsi="Times New Roman"/>
          <w:sz w:val="18"/>
          <w:szCs w:val="18"/>
          <w:color w:val="auto"/>
        </w:rPr>
      </w:pPr>
    </w:p>
    <w:p>
      <w:pPr>
        <w:ind w:right="160" w:firstLine="436"/>
        <w:spacing w:after="0" w:line="282"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required to be withheld by any paying agent from any payment of principal of or interest on any Security, if such payment can be made without such withholding by at least one other paying agent;</w:t>
      </w:r>
    </w:p>
    <w:p>
      <w:pPr>
        <w:spacing w:after="0" w:line="5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67"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in the case of any combination of items (a), (b), (c), (d), (e), (f), (g) and (h).</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are subject in all cases to any tax, fiscal or other law or regulation or administrative or judicial interpretation applicable to the Securities. Except as specifically provided above and in Section 2.5 of the Tenth Supplemental Indenture, the Company will not be required to make any payment for any tax, assessment or other governmental charge imposed by any government or a political subdivision or taxing authority of or in any government or political subdivision.</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Any references in the Tenth Supplemental Indenture, the Indenture and the Securities to principal, premium, interest or any other amount payable in respect of the Securities shall be deemed to include Additional Amounts, as the context shall require.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least 30 days prior to each date on which any payment under or with respect to the Securities is due and payable (unless such obligation to pay such Additional Amounts arises after the 30th day prior to the date on which payment under or with respect to the Securities is due and payable, in which case it will be promptly thereafter), if the Company shall be obligated to pay any Additional Amounts with respect to such payment, the Company shall deliver to the Trustee an Officers’ Certificate stating that such Additional Amounts shall be payable and the amounts so payable and setting forth such other information as is necessary to enable the Trustee or other paying agent to pay such Additional Amounts to the Holders of such Securities on the payment date. The Company shall make copies of such certificate, as well as copies of tax receipts or other documentation evidencing the payment of the associated taxes or other charges, available to the Holders or beneficial owners of the Securities upon written request.</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used herein and in Sections 2.5 and 3.2 of the Tenth Supplemental Indenture, the term “United States” means the United States of America, the states of the United States, and the District of Columbia, and the term “United States person” means any individual who is a citizen or resident of the United States for U.S. federal income tax purposes, a corporation (or other entity taxable as a corporation), partnership (or other entity taxable as a partnership) or other entity created or organized in or under the laws of the United States, any state of the United States or the District of Columbia, or any estate or trust the income of which is subject to United States federal income taxation regardless of its source.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Tenth Supplemental Indenture, the Company becomes or, based upon a written opinion of independent counsel selected by the Company, will become obligated to pay Additional Amounts as described herein and in the Tenth Supplemental Indenture with respect to the Securities and such obligation cannot be avoided by the use of reasonable measures available to the Company, then the Company may at any time at its option redeem, in whole, but not in part, the Securities on not less than 30 nor more than 60 days’ prior notice, at a Redemption Price equal to 100% of their principal amount, together with accrued and unpaid interest on those Securities to, but not including, the Redemption Date.</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above, the Company shall be required to make an offer (the “Change of Control Offer”) to each Holder of the Securities to repurchase all or any part (equal to €1,000 or an integral multiple thereof) of that Holder’s Securities on the terms set forth herein, provided that a Holder tendering Securities for repurchase only in part must retain not less than €100,000 aggregate principal amount of Securities. In the Change of Control Offer, the Company shall be required to offer payment in cash equal to 101% of the aggregate principal amount of Securities repurchased, plus accrued and unpaid interest, if any, on the Securities repurchased to, but excluding, the repurchase date (the “Change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Payment”). Within 30 days following any Change of Control Triggering Event or, at the Company’s option, prior to the date of the consummation of any Change of Control, but after public announcement of the transaction or transactions that constitute or may constitute the Change of Control, the Company shall electronically deliver or otherwise mail to Holders of the Securities, and furnish the Trustee with a copy thereof, a notice describing the transaction or transactions that constitute or may constitute the Change of Control Triggering Event, offering to repurchase the Securities on the date specified in the notice, which date shall be no earlier than 30 days and no later than 60 days from the date such notice is sent (the “Change of Control Payment Date”), setting forth the instructions determined by the Company, consistent with the provisions of Section 3.3 of the Tenth Supplemental Indenture, that a Holder must follow in order to have its Securities purchased and stating that a Holder may elect to have such Securities purchased by completing the form entitled “Option of Holder to Elect Purchase” appearing below, or a comparable form, together with any other procedures that a Holder must follow to accept a Change of Control Offer or effect withdrawal of such acceptance.</w:t>
      </w:r>
    </w:p>
    <w:p>
      <w:pPr>
        <w:spacing w:after="0" w:line="18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notice shall, if sent prior to the date of consummation of the Change of Control, state that the offer to purchase is conditioned on the Change of Control Triggering Event occurring on or prior to the payment date specified in the notice.</w:t>
      </w:r>
    </w:p>
    <w:p>
      <w:pPr>
        <w:spacing w:after="0" w:line="162"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On the Change of Control Payment Date, the Company shall be required, to the extent lawful: (a) to accept for payment all Securities or portions of Securities properly tendered pursuant to the Change of Control Offer; (b) to deposit with the paying agent an amount equal to the Change of Control Payment in respect of all Securities or portions of Securities properly tendered; and (c) to deliver or cause to be delivered to the Trustee the Securities properly accepted together with an Officers’ Certificate stating the aggregate principal amount of Securities or portions of Securities being repurchased.</w:t>
      </w:r>
    </w:p>
    <w:p>
      <w:pPr>
        <w:spacing w:after="0" w:line="16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shall not be required to make the Change of Control Offer upon the occurrence of a Change of Control Triggering Event if a third party makes such an offer in the manner, at the times and otherwise in compliance with the requirements for an offer made by the Company and such third party 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The Company shall comply with the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Triggering Event provisions of the Securities, the Company shall comply with those securities laws and regulations and shall not be deemed to have breached its obligations under the Indenture or the Change of Control Offer provisions of the Securities by virtue of any such conflict.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Change of Control Offer provisions, the following terms are applicable:</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(i) the consummation of any transaction (including, without limitation, any merger or consolidation) the result of which is that any “person” as the term is defined in Section 13(d)(3) of the Exchange Act (other than the Company or one of its subsidiaries) becomes the beneficial owner (as defined in Rules 13d-3 and 13d-5 under the Exchange Act), directly or indirectly, of more than 50% of the Company’s Voting Stock or other Voting Stock into which the Company’s Voting Stock is reclassified, consolidated, exchanged or changed, measured by voting power rather than number of shares; or (ii) the direct or indirect sale, transfer,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7" w:name="page38"/>
    <w:bookmarkEnd w:id="37"/>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conveyance or other disposition (other than by way of merger or consolidation), in one or more series of related transactions, of all or substantially all of the Company’s assets and the assets of its subsidiaries, taken as a whole, to one or more Persons (other than the Company or one of its subsidiaries). Notwithstanding the foregoing, a transaction shall not be deemed to involve a Change of Control if (1) the Company becomes a direct or indirect wholly-owned subsidiary of a holding company and (2)(A) the direct or indirect holders of the Voting Stock of such holding company immediately following that transaction are substantially the same as the holders of the Company’s Voting Stock immediately prior to that transaction or</w:t>
      </w:r>
    </w:p>
    <w:p>
      <w:pPr>
        <w:spacing w:after="0" w:line="3" w:lineRule="exact"/>
        <w:rPr>
          <w:sz w:val="20"/>
          <w:szCs w:val="20"/>
          <w:color w:val="auto"/>
        </w:rPr>
      </w:pPr>
    </w:p>
    <w:p>
      <w:pPr>
        <w:ind w:left="4" w:right="520" w:hanging="4"/>
        <w:spacing w:after="0" w:line="260"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satisfying the requirements of this sentence) is the beneficial owner, directly or indirectly, of more than 50% of the Voting Stock of such holding company.</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“Change of Control Triggering Event” means, with respect to the Securities, the occurrence of both a Change of Control and a Rating Event.</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Baa3 (or the equivalent) by Moody’s and BBB- (or the equivalent) by S&amp;P, and the equivalent investment grade credit rating from any additional rating agency or rating agencies selected by the Company.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“Moody’s” means Moody’s Investors Service Inc. and any successor to its rating agency business.</w:t>
      </w:r>
    </w:p>
    <w:p>
      <w:pPr>
        <w:spacing w:after="0" w:line="225"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“Person” has the meaning set forth in the Indenture and includes a “person” or “group” as these terms are used in Section 13(d)(3) of the Exchange Act.</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“Rating Agencies” means (i) each of Moody’s and S&amp;P; and (ii) if either of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Board Resolution) as a replacement agency for Moody’s or S&amp;P, or both of them, as the case may be.</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each of the Rating Agencies and the Securities are rated below an Investment Grade Rating by each of the Rating Agencies on any day within the 60-day period (which 60-day period shall be extended so long as the rating of the Securities is under publicly announced consideration for a possible downgrade by any of the Rating Agencies) after the earlier of: (i) the occurrence of a Change of Control; and (ii) public notice of the occurrence of a Change of Control or the Company’s intention to effect a Change of Control; provided, however,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if the Rating Agencies making the reduction in rating to which this definition would otherwise apply do not announce or publicly confirm or inform a Responsible Officer of the Trustee assigned to the Corporate Trust Office of the Trustee in writing at the Company’s request that the reduction was the result, in whole or in part, of any event or circumstance comprised of or arising as a result of, or in respect of, the applicable Change of Control (whether or not the applicable Change of Control has occurred at the time of the Rating Event).</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any successor to its rating agency business.</w:t>
      </w:r>
    </w:p>
    <w:p>
      <w:pPr>
        <w:spacing w:after="0" w:line="225"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8" w:name="page39"/>
    <w:bookmarkEnd w:id="3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this series are not entitled to the benefit of any sinking fund.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Tenth Supplemental Indenture contains provisions for defeasance and discharge at any time of (i) the entire indebtedness of this Security or</w:t>
      </w:r>
    </w:p>
    <w:p>
      <w:pPr>
        <w:spacing w:after="0" w:line="27" w:lineRule="exact"/>
        <w:rPr>
          <w:sz w:val="20"/>
          <w:szCs w:val="20"/>
          <w:color w:val="auto"/>
        </w:rPr>
      </w:pPr>
    </w:p>
    <w:p>
      <w:pPr>
        <w:ind w:left="4" w:right="40" w:hanging="4"/>
        <w:spacing w:after="0" w:line="260"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restrictive covenants and Events of Default with respect to this Security, in each case upon compliance with certain conditions set forth in the Indenture.</w:t>
      </w:r>
    </w:p>
    <w:p>
      <w:pPr>
        <w:spacing w:after="0" w:line="18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the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8"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duly endorsed by, or accompanied by a written instrument of transfer in form satisfactory to the Company and the Security Registrar duly executed by, the Holder hereof or his attorney duly authorized in writing; the Notes shall be exchangeable for Notes of a like aggregate principal amount; and notices and demands to or on the Company in respect of the Notes and the Indenture, as amended and supplemented, may be served at the office or agency of the Company maintained for such purpose in New York, New York, which shall initially be the Corporate Trust Office of the Trustee in New York, New York.</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9" w:name="page40"/>
    <w:bookmarkEnd w:id="3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this series are issuable only in registered form without coupons in minimum denominations of €100,000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right="440" w:firstLine="1983"/>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Security purchased by the Company pursuant to Section 3.3 of the Tenth Supplemental Indenture, check the box below:</w:t>
      </w:r>
    </w:p>
    <w:p>
      <w:pPr>
        <w:spacing w:after="0" w:line="364" w:lineRule="exact"/>
        <w:rPr>
          <w:sz w:val="20"/>
          <w:szCs w:val="20"/>
          <w:color w:val="auto"/>
        </w:rPr>
      </w:pPr>
    </w:p>
    <w:p>
      <w:pPr>
        <w:ind w:left="1980"/>
        <w:spacing w:after="0" w:line="181" w:lineRule="exact"/>
        <w:rPr>
          <w:sz w:val="20"/>
          <w:szCs w:val="20"/>
          <w:color w:val="auto"/>
        </w:rPr>
      </w:pPr>
      <w:r>
        <w:rPr>
          <w:rFonts w:ascii="MS PGothic" w:cs="MS PGothic" w:eastAsia="MS PGothic" w:hAnsi="MS PGothic"/>
          <w:sz w:val="18"/>
          <w:szCs w:val="18"/>
          <w:color w:val="auto"/>
        </w:rPr>
        <w:t>☐</w:t>
      </w:r>
    </w:p>
    <w:p>
      <w:pPr>
        <w:spacing w:after="0" w:line="293" w:lineRule="exact"/>
        <w:rPr>
          <w:sz w:val="20"/>
          <w:szCs w:val="20"/>
          <w:color w:val="auto"/>
        </w:rPr>
      </w:pPr>
    </w:p>
    <w:p>
      <w:pPr>
        <w:ind w:firstLine="1983"/>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this Security purchased by the Company pursuant to Section 3.3 of the Tenth Supplemental Indenture, state the amount below. If you tender less than all of your Securities for purchase, you must retain at least €        aggregate principal amount of Securities.</w:t>
      </w:r>
    </w:p>
    <w:p>
      <w:pPr>
        <w:spacing w:after="0" w:line="1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Signature: 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Security)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in a recognized 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signature guarantor program reasonably acceptable to the Trustee)</w:t>
      </w:r>
    </w:p>
    <w:p>
      <w:pPr>
        <w:sectPr>
          <w:pgSz w:w="11900" w:h="16838" w:orient="portrait"/>
          <w:cols w:equalWidth="0" w:num="1">
            <w:col w:w="11000"/>
          </w:cols>
          <w:pgMar w:left="440" w:top="270" w:right="4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760" w:type="dxa"/>
            <w:vAlign w:val="bottom"/>
          </w:tcPr>
          <w:p>
            <w:pPr>
              <w:ind w:left="4960"/>
              <w:spacing w:after="0"/>
              <w:rPr>
                <w:sz w:val="20"/>
                <w:szCs w:val="20"/>
                <w:color w:val="auto"/>
              </w:rPr>
            </w:pPr>
            <w:r>
              <w:rPr>
                <w:rFonts w:ascii="Times New Roman" w:cs="Times New Roman" w:eastAsia="Times New Roman" w:hAnsi="Times New Roman"/>
                <w:sz w:val="18"/>
                <w:szCs w:val="18"/>
                <w:color w:val="auto"/>
                <w:w w:val="97"/>
              </w:rPr>
              <w:t>Exhibit 5.1</w:t>
            </w:r>
          </w:p>
        </w:tc>
      </w:tr>
      <w:tr>
        <w:trPr>
          <w:trHeight w:val="441"/>
        </w:trPr>
        <w:tc>
          <w:tcPr>
            <w:tcW w:w="8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7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3005 Highland Parkway</w:t>
            </w:r>
          </w:p>
        </w:tc>
      </w:tr>
      <w:tr>
        <w:trPr>
          <w:trHeight w:val="234"/>
        </w:trPr>
        <w:tc>
          <w:tcPr>
            <w:tcW w:w="8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7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Downers Grove, IL 60515</w:t>
            </w:r>
          </w:p>
        </w:tc>
      </w:tr>
      <w:tr>
        <w:trPr>
          <w:trHeight w:val="6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Ivonne M. Cabrera</w:t>
            </w:r>
          </w:p>
        </w:tc>
        <w:tc>
          <w:tcPr>
            <w:tcW w:w="57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Phone: (630) 743-5024</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57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Fax: (630) 743-2671</w:t>
            </w: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 &amp; Secretary</w:t>
            </w:r>
          </w:p>
        </w:tc>
        <w:tc>
          <w:tcPr>
            <w:tcW w:w="57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Email:imc@dovercorp.com</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 2026</w:t>
            </w:r>
          </w:p>
        </w:tc>
        <w:tc>
          <w:tcPr>
            <w:tcW w:w="5760" w:type="dxa"/>
            <w:vAlign w:val="bottom"/>
          </w:tcPr>
          <w:p>
            <w:pPr>
              <w:spacing w:after="0"/>
              <w:rPr>
                <w:sz w:val="24"/>
                <w:szCs w:val="24"/>
                <w:color w:val="auto"/>
              </w:rPr>
            </w:pPr>
          </w:p>
        </w:tc>
      </w:tr>
      <w:tr>
        <w:trPr>
          <w:trHeight w:val="41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Dover Corporation</w:t>
            </w:r>
          </w:p>
        </w:tc>
        <w:tc>
          <w:tcPr>
            <w:tcW w:w="5760" w:type="dxa"/>
            <w:vAlign w:val="bottom"/>
          </w:tcPr>
          <w:p>
            <w:pPr>
              <w:spacing w:after="0"/>
              <w:rPr>
                <w:sz w:val="24"/>
                <w:szCs w:val="24"/>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3005 Highland Parkway</w:t>
            </w:r>
          </w:p>
        </w:tc>
        <w:tc>
          <w:tcPr>
            <w:tcW w:w="5760" w:type="dxa"/>
            <w:vAlign w:val="bottom"/>
          </w:tcPr>
          <w:p>
            <w:pPr>
              <w:spacing w:after="0"/>
              <w:rPr>
                <w:sz w:val="18"/>
                <w:szCs w:val="18"/>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Downers Grove, Illinois 60515</w:t>
            </w:r>
          </w:p>
        </w:tc>
        <w:tc>
          <w:tcPr>
            <w:tcW w:w="5760" w:type="dxa"/>
            <w:vAlign w:val="bottom"/>
          </w:tcPr>
          <w:p>
            <w:pPr>
              <w:spacing w:after="0"/>
              <w:rPr>
                <w:sz w:val="20"/>
                <w:szCs w:val="20"/>
                <w:color w:val="auto"/>
              </w:rPr>
            </w:pPr>
          </w:p>
        </w:tc>
      </w:tr>
      <w:tr>
        <w:trPr>
          <w:trHeight w:val="391"/>
        </w:trPr>
        <w:tc>
          <w:tcPr>
            <w:tcW w:w="5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7"/>
              </w:rPr>
              <w:t>Re:   Form S-3ASR Registration Statement (File No. 333-293679)</w:t>
            </w:r>
          </w:p>
        </w:tc>
        <w:tc>
          <w:tcPr>
            <w:tcW w:w="57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-2039620</wp:posOffset>
            </wp:positionV>
            <wp:extent cx="1234440" cy="471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4440" cy="4718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Senior Vice President, General Counsel and Secretary of Dover Corporation, a Delaware corporation (the “Company”), and, as such, am generally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familiar with its affairs, records, documents and obligations. I have acted as counsel to the Company in connection with the issuance and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€800,000,000 aggregate principal amount of the Company’s 4.350% Notes due 2030 (the “2026 Euro Securities”) pursuant to a Pricing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October 26, 2026 (the “Pricing Agreement”), and related Underwriting Agreement, dated as of October 26, 2026 (together with the Pricing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“Underwriting Agreement”), among the Company and the several underwriters named in Schedule I to the Pricing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“Underwriters”). The 2026 Euro Securities will be issued pursuant to an indenture, dated as of February 8, 2001 (the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entered into between the Company and The Bank of New York Mellon, as Trustee (as successor to Bank One Trust Company, N.A. and J.P.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Trust Company, National Association) (the “Trustee”), as supplemented by a first supplemental indenture, dated as of October 13, 2005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Supplemental Indenture”), between the Company and the Trustee, a second supplemental indenture, dated as of March 14, 2008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between the Company and the Trustee, a third supplemental indenture, dated as of February 22, 2011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between the Company and the Trustee, a fourth supplemental indenture, dated as of December 2, 2013 (the “Fourth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among the Company, the Trustee and The Bank of New York Mellon, London Branch, as Paying Agent (the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 fifth supplemental indenture, dated as of November 3, 2015 (the “Fifth Supplemental Indenture”), between the Company and the Trustee,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supplemental indenture, dated as of November 9, 2016 (the “Sixth Supplemental Indenture”), among the Company, the Trustee and the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 seventh supplemental indenture, dated as of November 4, 2019 (the “Seventh Supplemental Indenture”), among the Company, the Trustee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Paying Agent, an eighth supplemental indenture, dated as of November 4, 2019 (the “Eighth Supplemental Indenture”), between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a ninth supplemental indenture, dated as of November 12, 2025, among the Company, the Trustee and the Paying Agent (the “Ninth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and a tenth supplemental</w:t>
      </w:r>
    </w:p>
    <w:p>
      <w:pPr>
        <w:sectPr>
          <w:pgSz w:w="11900" w:h="16838" w:orient="portrait"/>
          <w:cols w:equalWidth="0" w:num="1">
            <w:col w:w="11020"/>
          </w:cols>
          <w:pgMar w:left="440" w:top="121" w:right="439" w:bottom="1440" w:gutter="0" w:footer="0" w:header="0"/>
        </w:sectPr>
      </w:pPr>
    </w:p>
    <w:bookmarkStart w:id="42" w:name="page43"/>
    <w:bookmarkEnd w:id="42"/>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November 2, 2026, among the Company, the Trustee and the Paying Agent (the “Tenth Supplemental Indenture” and the Base Indenture, as supplemented by the First Supplemental Indenture, the Second Supplemental Indenture, the Third Supplemental Indenture, the Fourth Supplemental Indenture, the Fifth Supplemental Indenture, the Sixth Supplemental Indenture, the Seventh Supplemental Indenture, the Eighth Supplemental Indenture, the Ninth Supplemental Indenture and the Tenth Supplemental Indenture, the “Indenture”).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 have examined the Company’s Registration Statement on Form S-3ASR (File No. 333-293679) filed by the Company with the Securities and Exchange Commission (the “Commission”) under the Securities Act of 1933, as amended (the “Securities Act”), on February 24, 2026 (the “Registration Statement”) and the prospectus, dated February 24, 2026 (the “Base Prospectus”), as supplemented by the preliminary prospectus supplement, dated October 26, 2026 (the “Preliminary Prospectus Supplement”), and the prospectus supplement, dated October 26, 2026 (the “Prospectus Supplement”), the form of Indenture and the originals or certified, photostatic, electronic or facsimile copies of such records and other documents as I have deemed relevant and necessary as the basis for the opinions set forth below. In such examination, I have assumed the legal capacity of all natural persons, the genuineness of all signatures, including electronic signatures, the authenticity of all documents submitted to me as originals, the conformity to original documents of all documents submitted to me as certified, photostatic, electronic or facsimile copies and the authenticity of the originals of such copies.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my examination described above, and subject to the assumptions and qualifications stated herein, I am of the opinion that:</w:t>
      </w:r>
    </w:p>
    <w:p>
      <w:pPr>
        <w:spacing w:after="0" w:line="131" w:lineRule="exact"/>
        <w:rPr>
          <w:sz w:val="20"/>
          <w:szCs w:val="20"/>
          <w:color w:val="auto"/>
        </w:rPr>
      </w:pPr>
    </w:p>
    <w:p>
      <w:pPr>
        <w:ind w:left="960" w:right="22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executed and delivered by the Company and constitutes a valid and legally binding instrument enforceable against the Company in accordance with its terms.</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Euro Securities have been duly authorized, executed and delivered by the Company and constitute valid and legally binding obligations of the Company enforceable against the Company, and entitled to the benefits provided by the Indenture.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and the laws of the State of New York. The foregoing opinion is also subject to: (a) applicable bankruptcy, reorganization, insolvency, moratorium, fraudulent conveyance and similar laws which relate to or affect creditors’ rights generally, and (b) general principles of equity, including (1) the possible unavailability of specific performance, injunctive relief or any other equitable remedy and (2) concepts of materiality, reasonableness, conscionability, good faith and fair dealing. In addition, I express no opinion with respect to whether acceleration of the 2026 Euro Securities may affect the collectability of any portion of the stated principal amount thereof which might be determined to constitute unearned interest thereon.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43" w:name="page44"/>
    <w:bookmarkEnd w:id="4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assume for purposes of this opinion that (i) each of the Trustee and the Paying Agent is duly organized, validly existing and in good standing under the laws of its jurisdiction of organization; (ii) each of the Trustee and the Paying Agent is duly qualified to engage in the activities contemplated by the Indenture; (iii) the Indenture will be duly authorized, executed and delivered by the Trustee and the Paying Agent and will constitute a legal, valid and binding obligation of the Trustee and the Paying Agent, enforceable against each of them in accordance with its terms; (iv) the Trustee and the Paying Agent will be in compliance, generally and with respect to acting as Trustee and Paying Agent, respectively, under the Indenture, with all applicable laws and regulations; and (v) each of the Trustee and the Paying Agent will have the requisite legal power and authority to perform their respective obligations under the Indenture.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Company’s Current Report on Form 8-K to be filed on or about November 2, 2026, which Form 8-K will be incorporated by reference into the Registration Statement, and the reference to my name therein and in the related Preliminary Prospectus Supplement and Prospectus Supplement under the caption “Legal Matters.” In giving this consent, I do not thereby admit that I am within the category of persons whose consent is required under Section 7 of the Securities Act or the Rules and Regulations of the Commission promulgated thereunder.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Ivonne M. 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 Ivonne M. Cabrera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 Senior Vice President, General Counsel and</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[Signature Page to Validity Opinion of Ivonne Cabrera]</w:t>
      </w:r>
    </w:p>
    <w:p>
      <w:pPr>
        <w:sectPr>
          <w:pgSz w:w="11900" w:h="16838" w:orient="portrait"/>
          <w:cols w:equalWidth="0" w:num="1">
            <w:col w:w="9280"/>
          </w:cols>
          <w:pgMar w:left="1440" w:top="270" w:right="11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color w:val="auto"/>
        </w:rPr>
        <w:t>October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several Underwriters named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Pricing 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Dover Corporation, a Delaware corporation (the “Company”), proposes to enter into a Pricing Agreement (the “Pricing Agreement”) in the form of Annex I hereto, with such additions and deletions as the parties thereto may determine, and, subject to the terms and conditions stated herein and therein, to issue and sell to the firms named in Schedule I to the Pricing Agreement (such firms constituting the “Underwriters” with respect to the Pricing Agreement and the securities specified therein) certain of its debt securities (the “Securities”) specified in Schedule II to the Pricing Agreement (with respect to the Pricing Agreement, the “Designated Securities”).</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terms and rights of any particular issuance of Designated Securities shall be as specified in the Pricing Agreement and in or pursuant to the indenture (the “Indenture”) identified in the Pricing Agreement.</w:t>
      </w:r>
    </w:p>
    <w:p>
      <w:pPr>
        <w:spacing w:after="0" w:line="54" w:lineRule="exact"/>
        <w:rPr>
          <w:sz w:val="20"/>
          <w:szCs w:val="20"/>
          <w:color w:val="auto"/>
        </w:rPr>
      </w:pPr>
    </w:p>
    <w:p>
      <w:pPr>
        <w:ind w:right="20" w:firstLine="987"/>
        <w:spacing w:after="0" w:line="252" w:lineRule="auto"/>
        <w:tabs>
          <w:tab w:leader="none" w:pos="11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Particular sales of Designated Securities may be made to the Underwriters of the Designated Securities, for whom the firms designated as representatives of the Underwriters of the Designated Securities in the Pricing Agreement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The Pricing Agreement shall specify the aggregate principal amount of the Designated Securities, the initial public offering price of the Designated Securities, the purchase price to the Underwriters of the Designated Securities, the names of the Underwriters of the Designated Securities, the names of the Representatives of such Underwriters and the principal amount of the Designated Securities to be purchased by each Underwriter and shall set forth the date, time and manner of delivery of the Designated Securities and payment therefor. The Pricing Agreement shall also specify (to the extent not set forth in the Indenture and the registration statement and prospectus with respect thereto) the terms of the Designated Securities. The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the Pricing Agreement shall be several and not joint.</w:t>
      </w:r>
    </w:p>
    <w:p>
      <w:pPr>
        <w:sectPr>
          <w:pgSz w:w="11900" w:h="16838" w:orient="portrait"/>
          <w:cols w:equalWidth="0" w:num="1">
            <w:col w:w="11020"/>
          </w:cols>
          <w:pgMar w:left="440" w:top="121" w:right="4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The Company represents and warrants to, and agrees with, each of the Underwriters that:</w:t>
      </w:r>
    </w:p>
    <w:p>
      <w:pPr>
        <w:spacing w:after="0" w:line="117" w:lineRule="exact"/>
        <w:rPr>
          <w:sz w:val="20"/>
          <w:szCs w:val="20"/>
          <w:color w:val="auto"/>
        </w:rPr>
      </w:pPr>
    </w:p>
    <w:p>
      <w:pPr>
        <w:ind w:firstLine="425"/>
        <w:spacing w:after="0" w:line="251" w:lineRule="auto"/>
        <w:tabs>
          <w:tab w:leader="none" w:pos="6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shelf registration statement” (as defined in Rule 405 under the Securities Act of 1933, as amended (the “Securities Act”)) on Form S-3ASR (File No. 333-293679) in respect of the Securities has been filed with the Securities and Exchange Commission (the “Commission”) within three years prior to the date hereof; such registration statement, and any post-effective amendment thereto, became effective on filing; and no stop order suspending the effectiveness of such registration statement or any part thereof has been issued, no proceeding for that purpose has been initiated or threatened by the Commission, and no notice of objection of the Commission to the use of such registration statement or any post-effective amendment thereto pursuant to Rule 401(g)(2) under the Securities Act has been received by the Company (the base prospectus filed as part of such registration statement, in the form in which it has most recently been filed with the Commission on or prior to the date of this Agreement, is hereinafter called the “Base Prospectus”); any preliminary prospectus (including any preliminary prospectus supplement) relating to the Designated Securities filed with the Commission pursuant to Rule 424(b) under the Securities Act is hereinafter called a “Preliminary Prospectus”; the various parts of such registration statement, including all exhibits thereto (but excluding the Statement of Eligibility and Qualifications on Form T-1) and including any prospectus supplement relating to the Securities that is filed with the Commission and deemed by virtue of Rule 430B under the Securities Act to be part of such registration statement, each as amended at the time such part of the registration statement became effective, are hereinafter collectively called the “Registration Statement”; the Base Prospectus, as amended and supplemented immediately prior to the Applicable Time (being the time listed on Schedule II of the Pricing Agreement), including, without limitation, any Preliminary Prospectus relating to the Designated Securities, is hereinafter called the “Pricing Prospectus”; the form of the final prospectus supplement relating to the Securities, together with the Base Prospectus, filed with the Commission pursuant to Rule 424(b) under the Securities Act in accordance with Section 5(a) hereof is hereinafter called the “Prospectus”; any reference herein to the Base Prospectus, any Preliminary Prospectus, the Pricing Prospectus or the Prospectus shall be deemed to refer to and include the documents incorporated by reference therein pursuant to Item 12 of Form S-3 under the Securities Act, as of the date of such prospectus; any reference to any amendment or supplement to the Base Prospectus, any Preliminary Prospectus, the Pricing Prospectus, or the Prospectus shall be deemed to refer to and include any post-effective amendment to the Registration Statement, any prospectus supplement relating to the Securities filed with the Commission pursuant to Rule 424(b) under the Securities Act and any documents filed under the Securities Exchange Act of 1934, as amended (the “Exchange Act”), and incorporated therein, in each case after the date of the Base Prospectus, such Preliminary Prospectus, the Pricing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Securities Act) relating to the Securities is hereinafter called an “Issuer Free Writing Prospectus”;</w:t>
      </w:r>
    </w:p>
    <w:p>
      <w:pPr>
        <w:spacing w:after="0" w:line="1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40"/>
          </w:cols>
          <w:pgMar w:left="980" w:top="270" w:right="479" w:bottom="1440" w:gutter="0" w:footer="0" w:header="0"/>
        </w:sectPr>
      </w:pPr>
    </w:p>
    <w:bookmarkStart w:id="47" w:name="page48"/>
    <w:bookmarkEnd w:id="47"/>
    <w:p>
      <w:pPr>
        <w:ind w:firstLine="425"/>
        <w:spacing w:after="0" w:line="253" w:lineRule="auto"/>
        <w:tabs>
          <w:tab w:leader="none" w:pos="6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Pricing Prospectus as supplemented by the final term sheet prepared and filed pursuant to Section 5(a) hereof and other Issuer Free Writing Prospectuses, if any, listed on Schedule II to the Pricing Agreement and specified as comprising part thereof,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conflict with the information contained in the Registration Statement, the Pricing Prospectus or the Prospectus and each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in reliance upon and in conformity with information furnished in writing to the Company by an Underwriter through the Representatives expressly for use therein (it being understood and agreed that the only such information so furnished is as described in Section 9(f) hereof);</w:t>
      </w:r>
    </w:p>
    <w:p>
      <w:pPr>
        <w:spacing w:after="0" w:line="83" w:lineRule="exact"/>
        <w:rPr>
          <w:rFonts w:ascii="Times New Roman" w:cs="Times New Roman" w:eastAsia="Times New Roman" w:hAnsi="Times New Roman"/>
          <w:sz w:val="18"/>
          <w:szCs w:val="18"/>
          <w:color w:val="auto"/>
        </w:rPr>
      </w:pPr>
    </w:p>
    <w:p>
      <w:pPr>
        <w:ind w:right="80" w:firstLine="425"/>
        <w:spacing w:after="0" w:line="253" w:lineRule="auto"/>
        <w:tabs>
          <w:tab w:leader="none" w:pos="6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Pricing Prospectus and the Pricing Disclosure Package conform, and the Prospectus and any further post-effective amendments to the Registration Statement and the Prospectus will conform, as of the date on which they become effective or are filed with the Commission, as the case may be, in all material respects to the requirements of the Securities Act and the Trust Indenture Act of 1939, as amended (the “Trust Indenture Act”), and the rules and regulations of the Commission under such Acts, and do not and will not, as of the applicable effective dates as to the Registration Statement and any post-effective amendments thereto, as of the applicable filing date as to the Pricing Prospectus, as of the Applicable Time as to the Pricing Disclosure Package and as of the applicable filing date and as of the Time of Delivery (as defined in Section 4 hereof)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the Representatives expressly for use therein (it being understood and agreed that the only such information so furnished is as described in Section 9(f) hereof);</w:t>
      </w:r>
    </w:p>
    <w:p>
      <w:pPr>
        <w:spacing w:after="0" w:line="12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20"/>
          </w:cols>
          <w:pgMar w:left="980" w:top="270" w:right="499" w:bottom="1440" w:gutter="0" w:footer="0" w:header="0"/>
        </w:sectPr>
      </w:pPr>
    </w:p>
    <w:bookmarkStart w:id="48" w:name="page49"/>
    <w:bookmarkEnd w:id="48"/>
    <w:p>
      <w:pPr>
        <w:ind w:firstLine="425"/>
        <w:spacing w:after="0" w:line="253" w:lineRule="auto"/>
        <w:tabs>
          <w:tab w:leader="none" w:pos="6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documents incorporated by reference in the Pricing Prospectus and the Prospectus, when they became effective or were filed with the Commission (in the case of documents that have been amended, as of the date of filing of such amendment), as the case may be, conformed in all material respects to the requirements of the Securities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in light of the circumstances under which they were made,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required to be stated therein or necessary to make the statements therein, in light of the circumstances under which they were made, not misleading;</w:t>
      </w:r>
    </w:p>
    <w:p>
      <w:pPr>
        <w:spacing w:after="0" w:line="86" w:lineRule="exact"/>
        <w:rPr>
          <w:rFonts w:ascii="Times New Roman" w:cs="Times New Roman" w:eastAsia="Times New Roman" w:hAnsi="Times New Roman"/>
          <w:sz w:val="18"/>
          <w:szCs w:val="18"/>
          <w:color w:val="auto"/>
        </w:rPr>
      </w:pPr>
    </w:p>
    <w:p>
      <w:pPr>
        <w:ind w:right="80" w:firstLine="425"/>
        <w:spacing w:after="0" w:line="254" w:lineRule="auto"/>
        <w:tabs>
          <w:tab w:leader="none" w:pos="6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the related notes thereto included or incorporated by reference in the Registration Statement, the Pricing Prospectus and the Prospectus comply in all material respects with the applicable requirements of the Securities Act and the Exchange Act, as applicable, and present fairly the consolidated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and the supporting schedules included or incorporated by reference in the Registration Statement, the Pricing Prospectus and the Prospectus present fairly the information required to be stated therein; and the other financial information included or incorporated by reference in the Registration Statement, the Pricing Prospectus and the Prospectus has been derived from the accounting records of the Company and its subsidiaries and presents fairly the information shown thereby;</w:t>
      </w:r>
    </w:p>
    <w:p>
      <w:pPr>
        <w:spacing w:after="0" w:line="80" w:lineRule="exact"/>
        <w:rPr>
          <w:rFonts w:ascii="Times New Roman" w:cs="Times New Roman" w:eastAsia="Times New Roman" w:hAnsi="Times New Roman"/>
          <w:sz w:val="18"/>
          <w:szCs w:val="18"/>
          <w:color w:val="auto"/>
        </w:rPr>
      </w:pPr>
    </w:p>
    <w:p>
      <w:pPr>
        <w:ind w:right="180" w:firstLine="425"/>
        <w:spacing w:after="0" w:line="282"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use of any Preliminary Prospectus or any Issuer Free Writing Prospectus has been issued by the Commission and no proceeding for that purpose has been initiated or threatened by the Commission;</w:t>
      </w:r>
    </w:p>
    <w:p>
      <w:pPr>
        <w:spacing w:after="0" w:line="53" w:lineRule="exact"/>
        <w:rPr>
          <w:rFonts w:ascii="Times New Roman" w:cs="Times New Roman" w:eastAsia="Times New Roman" w:hAnsi="Times New Roman"/>
          <w:sz w:val="18"/>
          <w:szCs w:val="18"/>
          <w:color w:val="auto"/>
        </w:rPr>
      </w:pPr>
    </w:p>
    <w:p>
      <w:pPr>
        <w:ind w:right="20" w:firstLine="425"/>
        <w:spacing w:after="0" w:line="253" w:lineRule="auto"/>
        <w:tabs>
          <w:tab w:leader="none" w:pos="6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sustained since the date of the latest audited financial statements included or incorporated by reference in the Pricing Disclosure Package and the Prospectus any material loss or interference with its business from fire, explosion, flood or other calamity, whether or not covered by insurance, or from any labor dispute or court or governmental action, order or decree, which loss or interference is material to the Company and its subsidiaries taken as a whole, otherwise than as set forth or contemplated in the Pricing Disclosure Package and the Prospectus; and, since the respective dates as of which information is given in the Pricing Disclosure Package and the Prospectus, there has not been any change in the capital stock or consolidated long-term debt of the Company, except for changes in capital stock in the ordinary course of business pursuant to Company benefit plans and arrangements, and except for changes in consolidated long-term debt of the Company, not exceeding $100,000,000, as a result of acquisitions since the respective dates as of which information is given in the Pricing Disclosure Package and the Prospectus or as a result of reclassification of long-term debt as short-term debt, or any material adverse change, or any development involving a prospective material adverse change, in or affecting the general affairs, management, properties and assets, financial position, stockholders’ equity or results of operations of the Company and its subsidiaries taken as a whole, otherwise than as set forth or contemplated in the Pricing Disclosure Package and the Prospectus;</w:t>
      </w:r>
    </w:p>
    <w:p>
      <w:pPr>
        <w:spacing w:after="0" w:line="1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0"/>
          </w:cols>
          <w:pgMar w:left="980" w:top="270" w:right="459" w:bottom="1440" w:gutter="0" w:footer="0" w:header="0"/>
        </w:sectPr>
      </w:pPr>
    </w:p>
    <w:bookmarkStart w:id="49" w:name="page50"/>
    <w:bookmarkEnd w:id="49"/>
    <w:p>
      <w:pPr>
        <w:ind w:left="-425" w:firstLine="425"/>
        <w:spacing w:after="0" w:line="254" w:lineRule="auto"/>
        <w:tabs>
          <w:tab w:leader="none" w:pos="2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good and marketable title to each item of property the gross book value of which exceeds 1% of Consolidated Net Tangible Assets (as defined in the Pricing Disclosure Package and the Prospectus under the caption “Description of Debt Securities”) owned by them, in each case free and clear of all liens, encumbrances and defects except such as are described in the Pricing Disclosure Package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which if owned by the Company would constitute a Principal Property (as defined in the Pricing Disclosure Package and the Prospectus under the caption “Description of Debt Securities”) are held by them under valid, subsisting and enforceable leases with such exceptions as are not material and do not interfere with the use made and proposed to be made of such property and buildings by the Company and its subsidiaries;</w:t>
      </w:r>
    </w:p>
    <w:p>
      <w:pPr>
        <w:spacing w:after="0" w:line="80" w:lineRule="exact"/>
        <w:rPr>
          <w:rFonts w:ascii="Times New Roman" w:cs="Times New Roman" w:eastAsia="Times New Roman" w:hAnsi="Times New Roman"/>
          <w:sz w:val="18"/>
          <w:szCs w:val="18"/>
          <w:color w:val="auto"/>
        </w:rPr>
      </w:pPr>
    </w:p>
    <w:p>
      <w:pPr>
        <w:ind w:left="-425" w:right="300" w:firstLine="425"/>
        <w:spacing w:after="0" w:line="254" w:lineRule="auto"/>
        <w:tabs>
          <w:tab w:leader="none" w:pos="2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incorporated and is validly existing as a corporation in good standing under the laws of the jurisdiction of its incorporation, with power and authority (corporate and other) to own its properties and conduct its business as described in the Pricing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Significant Subsidiary of the Company (as defined in Section 2(t) hereof) has been duly incorporated or formed and is validly existing as a corporation, limited liability company or limited partnership, as the case may be, in good standing under the laws of its jurisdiction of incorporation or formation;</w:t>
      </w:r>
    </w:p>
    <w:p>
      <w:pPr>
        <w:spacing w:after="0" w:line="83" w:lineRule="exact"/>
        <w:rPr>
          <w:rFonts w:ascii="Times New Roman" w:cs="Times New Roman" w:eastAsia="Times New Roman" w:hAnsi="Times New Roman"/>
          <w:sz w:val="18"/>
          <w:szCs w:val="18"/>
          <w:color w:val="auto"/>
        </w:rPr>
      </w:pPr>
    </w:p>
    <w:p>
      <w:pPr>
        <w:ind w:left="-425" w:right="20" w:firstLine="425"/>
        <w:spacing w:after="0" w:line="255" w:lineRule="auto"/>
        <w:tabs>
          <w:tab w:leader="none" w:pos="2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Disclosure Package and the Prospectus, and all of the issued and outstanding shares of capital stock of the Company have been duly and validly authorized and issued and are fully paid and non-assessable; and all of the issued and outstanding shares of capital stock of each subsidiary of the Company have been duly and validly authorized and issued, are fully paid and non-assessable and, except as indicated in the Pricing Disclosure Package and the Prospectus, and except for directors’ qualifying shares and certain arrangements with other stockholders of certain subsidiaries that are not Significant Subsidiaries, all of such shares of capital stock that are owned directly or indirectly by the Company are owned free and clear of any material liens, encumbrances, equities or claims;</w:t>
      </w:r>
    </w:p>
    <w:p>
      <w:pPr>
        <w:spacing w:after="0" w:line="121" w:lineRule="exact"/>
        <w:rPr>
          <w:sz w:val="20"/>
          <w:szCs w:val="20"/>
          <w:color w:val="auto"/>
        </w:rPr>
      </w:pPr>
    </w:p>
    <w:p>
      <w:pPr>
        <w:ind w:left="449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55"/>
          </w:cols>
          <w:pgMar w:left="1405" w:top="270" w:right="439" w:bottom="1440" w:gutter="0" w:footer="0" w:header="0"/>
        </w:sectPr>
      </w:pPr>
    </w:p>
    <w:bookmarkStart w:id="50" w:name="page51"/>
    <w:bookmarkEnd w:id="50"/>
    <w:p>
      <w:pPr>
        <w:ind w:right="120" w:firstLine="425"/>
        <w:spacing w:after="0" w:line="253" w:lineRule="auto"/>
        <w:tabs>
          <w:tab w:leader="none" w:pos="6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Designated Securities have been duly authorized, and, when the Designated Securities are issued and delivered pursuant to this Agreement and the Pricing Agreement, the Designated Securities will have been duly executed, authenticated, issued and delivered and will constitute valid and legally binding obligations of the Company enforceable against the Company, subject, as to enforcement, to bankruptcy, insolvency, reorganization and other laws of general applicability relating to or affecting creditors’ rights and to general equity principles, and entitled to the benefits provided by the Indenture, which will be substantially in the form filed as an exhibit to the Registration Statement; the Indenture has been duly authorized and duly qualified under the Trust Indenture Act and, at the Time of Delivery for the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Pricing Disclosure Package and the Prospectus with respect to the Designated Securities;</w:t>
      </w:r>
    </w:p>
    <w:p>
      <w:pPr>
        <w:spacing w:after="0" w:line="86" w:lineRule="exact"/>
        <w:rPr>
          <w:rFonts w:ascii="Times New Roman" w:cs="Times New Roman" w:eastAsia="Times New Roman" w:hAnsi="Times New Roman"/>
          <w:sz w:val="18"/>
          <w:szCs w:val="18"/>
          <w:color w:val="auto"/>
        </w:rPr>
      </w:pPr>
    </w:p>
    <w:p>
      <w:pPr>
        <w:ind w:right="280" w:firstLine="425"/>
        <w:spacing w:after="0" w:line="282" w:lineRule="auto"/>
        <w:tabs>
          <w:tab w:leader="none" w:pos="6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and the Pricing Agreement will be duly authorized, executed and delivered on the date thereof, by the Company;</w:t>
      </w:r>
    </w:p>
    <w:p>
      <w:pPr>
        <w:spacing w:after="0" w:line="53" w:lineRule="exact"/>
        <w:rPr>
          <w:rFonts w:ascii="Times New Roman" w:cs="Times New Roman" w:eastAsia="Times New Roman" w:hAnsi="Times New Roman"/>
          <w:sz w:val="18"/>
          <w:szCs w:val="18"/>
          <w:color w:val="auto"/>
        </w:rPr>
      </w:pPr>
    </w:p>
    <w:p>
      <w:pPr>
        <w:ind w:firstLine="425"/>
        <w:spacing w:after="0" w:line="253" w:lineRule="auto"/>
        <w:tabs>
          <w:tab w:leader="none" w:pos="7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Designated Securities and the compliance by the Company with all of the provisions of this Agreement, the Pricing Agreement, the Designated Securities and the Indenture, and the consummation of the transactions herein and therein contemplated will not result in a breach or violation of any of the terms or provisions of, or constitute a default under, any indenture, mortgage, deed of trust, loan agreement or other material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Company’s Certificate of Incorporation or By-laws or any statute or any order, rule or regulation of any court or governmental agency or body having jurisdiction over the Company or any of its subsidiaries or any of their properties; and no consent, approval, authorization, order, registration or qualification of or filing with any such court or governmental agency or body is required for the issue and sale of the Designated Securities or the consummation by the Company of the transactions contemplated by this Agreement, the Pricing Agreement or the Indenture, except such as have been, or will have been prior to the Time of Delivery, made or obtained under the Securities Act and the Trust Indenture Act and such consents, approvals, authorizations, registrations, qualifications or filings as may be required under state securities or Blue Sky laws in connection with the purchase and distribution of the Securities by the Underwriters or from The New York Stock Exchange in connection with the listing of the Designated Securities;</w:t>
      </w:r>
    </w:p>
    <w:p>
      <w:pPr>
        <w:spacing w:after="0" w:line="79" w:lineRule="exact"/>
        <w:rPr>
          <w:rFonts w:ascii="Times New Roman" w:cs="Times New Roman" w:eastAsia="Times New Roman" w:hAnsi="Times New Roman"/>
          <w:sz w:val="18"/>
          <w:szCs w:val="18"/>
          <w:color w:val="auto"/>
        </w:rPr>
      </w:pPr>
    </w:p>
    <w:p>
      <w:pPr>
        <w:ind w:right="20" w:firstLine="425"/>
        <w:spacing w:after="0" w:line="261" w:lineRule="auto"/>
        <w:tabs>
          <w:tab w:leader="none" w:pos="6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its Certificate of Incorporation or By-laws, or similar organizational documents, or in default in the performance or observance of any material obligation, covenant or condition contained in any material indenture, mortgage, deed of trust, loan agreement, lease or other agreement or instrument to which it is a party or by which it or any of its properties may be bound;</w:t>
      </w:r>
    </w:p>
    <w:p>
      <w:pPr>
        <w:spacing w:after="0" w:line="11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40"/>
          </w:cols>
          <w:pgMar w:left="980" w:top="270" w:right="479" w:bottom="1440" w:gutter="0" w:footer="0" w:header="0"/>
        </w:sectPr>
      </w:pPr>
    </w:p>
    <w:bookmarkStart w:id="51" w:name="page52"/>
    <w:bookmarkEnd w:id="51"/>
    <w:p>
      <w:pPr>
        <w:ind w:right="60" w:firstLine="425"/>
        <w:spacing w:after="0" w:line="258" w:lineRule="auto"/>
        <w:tabs>
          <w:tab w:leader="none" w:pos="6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statements set forth in the Pricing Disclosure Package and the Prospectus under the captions “Description of Notes” and “Description of Debt Securities,” insofar as they purport to constitute a summary of the terms of the Indenture and the Designated Securities, under the caption “Certain United States Federal Income Tax Considerations,” insofar as they purport to describe matters of U.S. federal income tax law and regulation and legal conclusions referred to therein, and under the captions “Underwriting” and “Plan of Distribution,” insofar as they purport to describe the provisions of the laws and documents referred to therein, are accurate and fair;</w:t>
      </w:r>
    </w:p>
    <w:p>
      <w:pPr>
        <w:spacing w:after="0" w:line="75" w:lineRule="exact"/>
        <w:rPr>
          <w:rFonts w:ascii="Times New Roman" w:cs="Times New Roman" w:eastAsia="Times New Roman" w:hAnsi="Times New Roman"/>
          <w:sz w:val="18"/>
          <w:szCs w:val="18"/>
          <w:color w:val="auto"/>
        </w:rPr>
      </w:pPr>
    </w:p>
    <w:p>
      <w:pPr>
        <w:ind w:firstLine="425"/>
        <w:spacing w:after="0" w:line="256" w:lineRule="auto"/>
        <w:tabs>
          <w:tab w:leader="none" w:pos="6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Disclosure Package and the Prospectus, there are no legal or governmental proceedings pending to which the Company or any of its subsidiaries is a party or of which any property or assets of the Company or any of its subsidiaries is the subject which, if determined adversely to the Company or any of its subsidiaries, would, individually or in the aggregate, have a material adverse effect on the financial position, stockholders’ equity or results of operations of the Company and its subsidiaries taken as a whole (a “Material Adverse Effect”); and, to the Company’s knowledge, no such proceedings are threatened or contemplated by governmental authorities or threatened by others;</w:t>
      </w:r>
    </w:p>
    <w:p>
      <w:pPr>
        <w:spacing w:after="0" w:line="79" w:lineRule="exact"/>
        <w:rPr>
          <w:rFonts w:ascii="Times New Roman" w:cs="Times New Roman" w:eastAsia="Times New Roman" w:hAnsi="Times New Roman"/>
          <w:sz w:val="18"/>
          <w:szCs w:val="18"/>
          <w:color w:val="auto"/>
        </w:rPr>
      </w:pPr>
    </w:p>
    <w:p>
      <w:pPr>
        <w:ind w:right="20" w:firstLine="425"/>
        <w:spacing w:after="0" w:line="261" w:lineRule="auto"/>
        <w:tabs>
          <w:tab w:leader="none" w:pos="6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proceeds thereof, will not be an “investment company” or an entity “controlled” by an “investment company,” as such terms are defined in the Investment Company Act of 1940, as amended (the “Investment Company Act”), or otherwise constitute “plan assets,” within the meaning of Section 3(42) of the Employee Retirement Income Security Act of 1974, as amended, and the regulations thereunder;</w:t>
      </w:r>
    </w:p>
    <w:p>
      <w:pPr>
        <w:spacing w:after="0" w:line="71" w:lineRule="exact"/>
        <w:rPr>
          <w:rFonts w:ascii="Times New Roman" w:cs="Times New Roman" w:eastAsia="Times New Roman" w:hAnsi="Times New Roman"/>
          <w:sz w:val="18"/>
          <w:szCs w:val="18"/>
          <w:color w:val="auto"/>
        </w:rPr>
      </w:pPr>
    </w:p>
    <w:p>
      <w:pPr>
        <w:ind w:firstLine="425"/>
        <w:spacing w:after="0" w:line="266"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since the initial filing of the Registration Statement, and continues to be a “well-known seasoned issuer” and has not been, since such filing of the Registration Statement, and continues not to be an “ineligible issuer” (as such terms are defined in Rule 405 under the Securities Act); and the Company is not the subject of a pending proceeding under Section 8A of the Securities Act;</w:t>
      </w:r>
    </w:p>
    <w:p>
      <w:pPr>
        <w:spacing w:after="0" w:line="67" w:lineRule="exact"/>
        <w:rPr>
          <w:rFonts w:ascii="Times New Roman" w:cs="Times New Roman" w:eastAsia="Times New Roman" w:hAnsi="Times New Roman"/>
          <w:sz w:val="18"/>
          <w:szCs w:val="18"/>
          <w:color w:val="auto"/>
        </w:rPr>
      </w:pPr>
    </w:p>
    <w:p>
      <w:pPr>
        <w:jc w:val="both"/>
        <w:ind w:right="140" w:firstLine="425"/>
        <w:spacing w:after="0" w:line="261" w:lineRule="auto"/>
        <w:tabs>
          <w:tab w:leader="none" w:pos="6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has certified certain financial statements of the Company and its subsidiaries, and have audited the Company’s internal control over financial reporting and management’s assessment thereof, is an independent registered public accounting firm as required by the Securities Act and the rules and regulations of the Commission thereunder and the rules and regulations of the Public Company Accounting Oversight Board;</w:t>
      </w:r>
    </w:p>
    <w:p>
      <w:pPr>
        <w:spacing w:after="0" w:line="71" w:lineRule="exact"/>
        <w:rPr>
          <w:rFonts w:ascii="Times New Roman" w:cs="Times New Roman" w:eastAsia="Times New Roman" w:hAnsi="Times New Roman"/>
          <w:sz w:val="18"/>
          <w:szCs w:val="18"/>
          <w:color w:val="auto"/>
        </w:rPr>
      </w:pPr>
    </w:p>
    <w:p>
      <w:pPr>
        <w:ind w:right="20" w:firstLine="425"/>
        <w:spacing w:after="0" w:line="282" w:lineRule="auto"/>
        <w:tabs>
          <w:tab w:leader="none" w:pos="6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of the Company listed in Annex II hereto constitute all of the “significant subsidiaries” (as such term is defined in Rule 1-02 of Regulation S-X) of the Company (the “Significant Subsidiaries”) as of December 31, 2025;</w:t>
      </w:r>
    </w:p>
    <w:p>
      <w:pPr>
        <w:spacing w:after="0" w:line="9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0"/>
          </w:cols>
          <w:pgMar w:left="980" w:top="270" w:right="459" w:bottom="1440" w:gutter="0" w:footer="0" w:header="0"/>
        </w:sectPr>
      </w:pPr>
    </w:p>
    <w:bookmarkStart w:id="52" w:name="page53"/>
    <w:bookmarkEnd w:id="52"/>
    <w:p>
      <w:pPr>
        <w:ind w:left="-425" w:right="40" w:firstLine="425"/>
        <w:spacing w:after="0" w:line="254"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management has evaluated the effectiveness of the Company’s internal control over financial reporting as of the end of the period covered by the Company’s Annual Report on Form 10-K for the year ended December 31, 2025, and have concluded that except as disclosed in the Registration Statement, the Pricing Disclosure Package and the Prospectus, there were, as of the end of the period covered by such reports, no material weaknesses in the Company’s internal controls;</w:t>
      </w:r>
    </w:p>
    <w:p>
      <w:pPr>
        <w:spacing w:after="0" w:line="83" w:lineRule="exact"/>
        <w:rPr>
          <w:rFonts w:ascii="Times New Roman" w:cs="Times New Roman" w:eastAsia="Times New Roman" w:hAnsi="Times New Roman"/>
          <w:sz w:val="18"/>
          <w:szCs w:val="18"/>
          <w:color w:val="auto"/>
        </w:rPr>
      </w:pPr>
    </w:p>
    <w:p>
      <w:pPr>
        <w:ind w:left="-425" w:firstLine="425"/>
        <w:spacing w:after="0" w:line="254"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are designed to ensure that information required to be disclosed by the Company in reports that it files or submits under the Exchange Act is recorded, processed, summarized and reported within the time periods specified in the Commission’s rules and forms. The Company’s management (with the participation of its principal executive officer and principal financial officer) have evaluated the effectiveness of the Company’s disclosure controls and procedures as of the end of the period covered by the Company’s Annual Report on Form 10-K for the year ended December 31, 2025, and have concluded that such disclosure controls and procedures were effective as of the end of the period covered by such report to provide reasonable assurance that information required to be disclosed by the Company in reports that it files or submits under the Exchange Act is recorded, processed, summarized and reported within the time periods specified in the rules and forms of the Commission;</w:t>
      </w:r>
    </w:p>
    <w:p>
      <w:pPr>
        <w:spacing w:after="0" w:line="83" w:lineRule="exact"/>
        <w:rPr>
          <w:rFonts w:ascii="Times New Roman" w:cs="Times New Roman" w:eastAsia="Times New Roman" w:hAnsi="Times New Roman"/>
          <w:sz w:val="18"/>
          <w:szCs w:val="18"/>
          <w:color w:val="auto"/>
        </w:rPr>
      </w:pPr>
    </w:p>
    <w:p>
      <w:pPr>
        <w:ind w:left="-425" w:right="20" w:firstLine="425"/>
        <w:spacing w:after="0" w:line="253" w:lineRule="auto"/>
        <w:tabs>
          <w:tab w:leader="none" w:pos="2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(collectively, the “Environmental Laws”),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Except as set forth in the Pricing Disclosure Package and the Prospectus, neither the Company nor any of the subsidiaries has been named as a “potentially responsible party” under the Comprehensive Environmental Response, Compensation, and Liability Act of 1980, as amended. The Company reasonably believes that with respect to the effect of Environmental Laws on the business, operations and properties of the Company and its subsidiaries any capital or operating expenditures required for clean-up, closure of properties or compliance with Environmental Laws, or any permit, license or approval, any related constraints on operating activities and any potential liabilities to third parties would not, singly or in the aggregate, have a Material Adverse Effect;</w:t>
      </w:r>
    </w:p>
    <w:p>
      <w:pPr>
        <w:spacing w:after="0" w:line="81" w:lineRule="exact"/>
        <w:rPr>
          <w:rFonts w:ascii="Times New Roman" w:cs="Times New Roman" w:eastAsia="Times New Roman" w:hAnsi="Times New Roman"/>
          <w:sz w:val="18"/>
          <w:szCs w:val="18"/>
          <w:color w:val="auto"/>
        </w:rPr>
      </w:pPr>
    </w:p>
    <w:p>
      <w:pPr>
        <w:ind w:left="-425" w:right="220" w:firstLine="425"/>
        <w:spacing w:after="0" w:line="266"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the applicable provisions of the Sarbanes-Oxley Act of 2002 and the rules and regulations of the Commission adopted pursuant thereto as such rules and regulations currently apply to the Company, except for where the failure to be in compliance would not, individually or in the aggregate, have a Material Adverse Effect;</w:t>
      </w:r>
    </w:p>
    <w:p>
      <w:pPr>
        <w:spacing w:after="0" w:line="108" w:lineRule="exact"/>
        <w:rPr>
          <w:sz w:val="20"/>
          <w:szCs w:val="20"/>
          <w:color w:val="auto"/>
        </w:rPr>
      </w:pPr>
    </w:p>
    <w:p>
      <w:pPr>
        <w:ind w:left="449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55"/>
          </w:cols>
          <w:pgMar w:left="1405" w:top="270" w:right="439" w:bottom="1440" w:gutter="0" w:footer="0" w:header="0"/>
        </w:sectPr>
      </w:pPr>
    </w:p>
    <w:bookmarkStart w:id="53" w:name="page54"/>
    <w:bookmarkEnd w:id="53"/>
    <w:p>
      <w:pPr>
        <w:ind w:right="120" w:firstLine="425"/>
        <w:spacing w:after="0" w:line="269" w:lineRule="auto"/>
        <w:tabs>
          <w:tab w:leader="none" w:pos="67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nor, to the knowledge of the Company, any director, officer, agent, employee, affiliate or other person associated with or acting on behalf of the Company or any of its subsidiaries has, within the past five years,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official” (as such term is defined in the FCPA (as defined below)) or any foreign political party or official thereof or any candidate for foreign political office;</w:t>
      </w:r>
    </w:p>
    <w:p>
      <w:pPr>
        <w:spacing w:after="0" w:line="2" w:lineRule="exact"/>
        <w:rPr>
          <w:rFonts w:ascii="Times New Roman" w:cs="Times New Roman" w:eastAsia="Times New Roman" w:hAnsi="Times New Roman"/>
          <w:sz w:val="17"/>
          <w:szCs w:val="17"/>
          <w:color w:val="auto"/>
        </w:rPr>
      </w:pPr>
    </w:p>
    <w:p>
      <w:pPr>
        <w:ind w:right="20" w:firstLine="7"/>
        <w:spacing w:after="0" w:line="252"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payment or benefit. The Company and its subsidiaries have instituted and maintain policies and procedures designed to ensure, and which are reasonably expected to continue to ensure, continued compliance with the FCPA and all other applicable anti-bribery and anti-corruption laws;</w:t>
      </w:r>
    </w:p>
    <w:p>
      <w:pPr>
        <w:spacing w:after="0" w:line="80" w:lineRule="exact"/>
        <w:rPr>
          <w:rFonts w:ascii="Times New Roman" w:cs="Times New Roman" w:eastAsia="Times New Roman" w:hAnsi="Times New Roman"/>
          <w:sz w:val="18"/>
          <w:szCs w:val="18"/>
          <w:color w:val="auto"/>
        </w:rPr>
      </w:pPr>
    </w:p>
    <w:p>
      <w:pPr>
        <w:ind w:firstLine="425"/>
        <w:spacing w:after="0" w:line="255"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relevant to the offering of the Securities in compliance with applicable financial recordkeeping and reporting requirements, including those of the Currency and Foreign Transactions Reporting Act of 1970, as amended, the applicable money laundering statutes of all other jurisdictions where the Company or its subsidiaries conduct business, the rules and regulations thereunder and any related or similar rules, regulations or guidelines, issued, administered or enforced by any governmental or regulatory agency (collectively, “Money Laundering Laws”); and no action, suit or proceeding by or before any court or governmental or regulatory agency, authority or body or any arbitrator involving the Company or any of its subsidiaries with respect to Money Laundering Laws is pending or, to the knowledge of the Company, threatened;</w:t>
      </w:r>
    </w:p>
    <w:p>
      <w:pPr>
        <w:spacing w:after="0" w:line="81" w:lineRule="exact"/>
        <w:rPr>
          <w:sz w:val="20"/>
          <w:szCs w:val="20"/>
          <w:color w:val="auto"/>
        </w:rPr>
      </w:pPr>
    </w:p>
    <w:p>
      <w:pPr>
        <w:ind w:firstLine="425"/>
        <w:spacing w:after="0" w:line="254" w:lineRule="auto"/>
        <w:tabs>
          <w:tab w:leader="none" w:pos="7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the United Kingdom or other relevant sanctions authority (collectively, “Sanctions”), nor is the Company, any of its subsidiaries located, organized or resident in a country or territory that is the subject or the target of Sanctions, including, without limitation, Cuba, Iran and North Korea (each, a “Sanctioned Country”) and the Crimea region of Ukraine,</w:t>
      </w:r>
    </w:p>
    <w:p>
      <w:pPr>
        <w:spacing w:after="0" w:line="12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80" w:top="270" w:right="459" w:bottom="1440" w:gutter="0" w:footer="0" w:header="0"/>
        </w:sectPr>
      </w:pPr>
    </w:p>
    <w:bookmarkStart w:id="54" w:name="page55"/>
    <w:bookmarkEnd w:id="5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so-called Donetsk People’s Republic, the so-called Luhansk People’s Republic, Zaporizhzhia and Kherson regions of Ukraine (each, a “Sanctioned Territory”);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of Sanctions or (ii) to fund or facilitate any activities of or business in any Sanctioned Country or Sanctioned Territory; each Underwriter established in a member state of the European Economic Area agrees that Section 2(aa) of this Agreement is not being sought by such Underwriter except to the extent that doing so would be permissible pursuant to European Union Council Regulation (EC) 2271/96; with regard to Deutsche Bank AG, London Branch, Section 2(aa) of this Agreement applies only if and to the extent that it does not result in a violation of European Union Council Regulation (EC) 2271/96, section 7 of the German Foreign Trade Ordinance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xml:space="preserve"> – AWV) or any other applicable anti-boycott or similar laws or regulations;</w:t>
      </w:r>
    </w:p>
    <w:p>
      <w:pPr>
        <w:spacing w:after="0" w:line="86" w:lineRule="exact"/>
        <w:rPr>
          <w:sz w:val="20"/>
          <w:szCs w:val="20"/>
          <w:color w:val="auto"/>
        </w:rPr>
      </w:pPr>
    </w:p>
    <w:p>
      <w:pPr>
        <w:ind w:firstLine="425"/>
        <w:spacing w:after="0" w:line="256" w:lineRule="auto"/>
        <w:tabs>
          <w:tab w:leader="none" w:pos="7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shall become a “covered foreign person,” as that term is used in the Outbound Investment Rules. Neither the Company nor any of its subsidiaries currently engages, or has plans to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any Underwriter to be in violation of the Outbound Investment Rules or cause any Underwriter to be legally prohibited by the Outbound Investment Rules from performing under this Agreement;</w:t>
      </w:r>
    </w:p>
    <w:p>
      <w:pPr>
        <w:spacing w:after="0" w:line="79" w:lineRule="exact"/>
        <w:rPr>
          <w:rFonts w:ascii="Times New Roman" w:cs="Times New Roman" w:eastAsia="Times New Roman" w:hAnsi="Times New Roman"/>
          <w:sz w:val="18"/>
          <w:szCs w:val="18"/>
          <w:color w:val="auto"/>
        </w:rPr>
      </w:pPr>
    </w:p>
    <w:p>
      <w:pPr>
        <w:ind w:right="160" w:firstLine="425"/>
        <w:spacing w:after="0" w:line="266" w:lineRule="auto"/>
        <w:tabs>
          <w:tab w:leader="none" w:pos="7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260" w:firstLine="425"/>
        <w:spacing w:after="0" w:line="282" w:lineRule="auto"/>
        <w:tabs>
          <w:tab w:leader="none" w:pos="7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any action designed to or that could reasonably be expected to cause or result in any stabilization or manipulation of the price of the Securities;</w:t>
      </w:r>
    </w:p>
    <w:p>
      <w:pPr>
        <w:spacing w:after="0" w:line="53" w:lineRule="exact"/>
        <w:rPr>
          <w:rFonts w:ascii="Times New Roman" w:cs="Times New Roman" w:eastAsia="Times New Roman" w:hAnsi="Times New Roman"/>
          <w:sz w:val="18"/>
          <w:szCs w:val="18"/>
          <w:color w:val="auto"/>
        </w:rPr>
      </w:pPr>
    </w:p>
    <w:p>
      <w:pPr>
        <w:ind w:right="40" w:firstLine="425"/>
        <w:spacing w:after="0" w:line="274" w:lineRule="auto"/>
        <w:tabs>
          <w:tab w:leader="none" w:pos="74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no security breach, unauthorized access or disclosure, corruption or other compromise relating to the Company’s or its subsidiaries’ information technology and computer systems, networks, hardware, software, data and databases (including, as applicable,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that would individually or in the aggregate, reasonably be expected to have a Material Adverse Effect. Neither the Company nor any of its subsidiaries has been notified of, and none of them has any knowledge of any event or</w:t>
      </w:r>
    </w:p>
    <w:p>
      <w:pPr>
        <w:spacing w:after="0" w:line="10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40"/>
          </w:cols>
          <w:pgMar w:left="980" w:top="270" w:right="479" w:bottom="1440" w:gutter="0" w:footer="0" w:header="0"/>
        </w:sectPr>
      </w:pPr>
    </w:p>
    <w:bookmarkStart w:id="55" w:name="page56"/>
    <w:bookmarkEnd w:id="55"/>
    <w:p>
      <w:pPr>
        <w:ind w:left="5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 that could result in, any security breach or incident, unauthorized access or disclosure, corruption or other compromise to their IT Systems and Data that would individually or in the aggregate, reasonably be expected to have a Material Adverse Effect. The Company and its subsidiaries have implemented appropriate controls, policies, procedures, and technological safeguards to maintain and protect the integrity, continuous operation, redundancy and security of their IT Systems and Data that are consistent with industry standards and practices, or as required by applicable legal and regulatory standards, and the IT Systems and Data are adequate for, and operate and perform as required in connection with, the operation of the businesses of the Company and its subsidiaries as currently conducted. The Company and its subsidiaries are presently in compliance in all material respects with (i) all applicable laws or statutes and any judgments, orders, rules and regulations of any court or arbitrator or governmental or regulatory authority applicable to the Company or any of its subsidiaries and (ii) all of the Company’s internal policies and contractual obligations, in each case of (i) and (ii), relating to the development and use of artificial intelligence, to the privacy and security of IT Systems and Data and to the protection of such IT Systems and Data from unauthorized use, access, misappropriation or modification; and</w:t>
      </w:r>
    </w:p>
    <w:p>
      <w:pPr>
        <w:spacing w:after="0" w:line="84" w:lineRule="exact"/>
        <w:rPr>
          <w:sz w:val="20"/>
          <w:szCs w:val="20"/>
          <w:color w:val="auto"/>
        </w:rPr>
      </w:pPr>
    </w:p>
    <w:p>
      <w:pPr>
        <w:ind w:left="540" w:right="20" w:firstLine="425"/>
        <w:spacing w:after="0" w:line="253"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adequate rights to use all patents, trademarks, service marks, trade names, domain names and other source indicators and related goodwill, copyrights, know-how (including trade secrets, systems, procedures, proprietary or confidential information) and all other worldwide intellectual property and proprietary rights (collectively, “Intellectual Property Rights”), necessary for the conduct of their respective businesses as described in the Prospectus, the Pricing Prospectus or the Pricing Disclosure Package, except any such failures to own or possess the right to use such Intellectual Property Rights that would not, individually or in the aggregate, reasonably be expected to have a Material Adverse Effect. The Company’s and its subsidiaries’ conduct of their respective businesses does not infringe or conflict with any Intellectual Property Rights of others, except any such infringement or conflicts that would not, individually or in the aggregate, reasonably be expected to have a Material Adverse Effect. The Company and its subsidiaries have not received any actual notice of any claim of infringement of or conflict with the asserted Intellectual Property Rights of others, except any such claims that would not, individually or in the aggregate, reasonably be expected to have a Material Adverse Effect.</w:t>
      </w:r>
    </w:p>
    <w:p>
      <w:pPr>
        <w:spacing w:after="0" w:line="194"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For purposes of this Section 2 as well as for Section 8 hereof, references to “the Pricing Disclosure Package and the Prospectus” are to each of them as a separate or stand-alone document (and not the two of them taken together), so that representations, warranties, agreements, conditions and legal opinions will be made, given or measured independently in respect of each of the Pricing Disclosure Package and the Prospectus.</w:t>
      </w:r>
    </w:p>
    <w:p>
      <w:pPr>
        <w:spacing w:after="0" w:line="68" w:lineRule="exact"/>
        <w:rPr>
          <w:sz w:val="20"/>
          <w:szCs w:val="20"/>
          <w:color w:val="auto"/>
        </w:rPr>
      </w:pPr>
    </w:p>
    <w:p>
      <w:pPr>
        <w:ind w:right="180" w:firstLine="987"/>
        <w:spacing w:after="0" w:line="282" w:lineRule="auto"/>
        <w:tabs>
          <w:tab w:leader="none" w:pos="11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of the Pricing Agreement and authorization by the Representatives of the release of the Designated Securities, the several Underwriters propose to offer the Designated Securities for sale upon the terms and conditions set forth in the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56" w:name="page57"/>
    <w:bookmarkEnd w:id="56"/>
    <w:p>
      <w:pPr>
        <w:ind w:right="20" w:firstLine="987"/>
        <w:spacing w:after="0" w:line="252" w:lineRule="auto"/>
        <w:tabs>
          <w:tab w:leader="none" w:pos="11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Designated Securities to be purchased by each Underwriter pursuant to the Pricing Agreement shall be issued in minimum denominations of €100,000 and integral multiples of €1,000 in excess thereof. The Designated Securities will be represented by global notes in registered form without interest coupons attached (the “Global Notes”). The Global Notes will be made available for inspection by the Representatives at least 24 hours prior to the Time of Delivery specified in the Pricing Agreement or at such other time and date as the Representatives and the Company may agree upon in writing, such time and date being herein called the “Time of Delivery.” The Global Notes will be registered in the name of The Bank of New York Depository (Nominees) Limited, as nominee of The Bank of New York Mellon, London Branch, as Common Depositary (the “Common Depositary”) for Clearstream Banking, société anonyme (“Clearstream”) and Euroclear Bank S.A./N.V., as operator of the Euroclear System (“Euroclear”). Payment for and delivery of the Designated Securities will be made at the offices of Simpson Thacher &amp; Bartlett LLP, 425 Lexington Avenue, New York, New York 10017, at the Time of Delivery. Payment for the Designated Securities shall be made by wire transfer in immediately available funds to the account(s) specified by the Company to the Representatives against delivery of the Designated Securities to the nominee of a common depositary for Euroclear and Clearstream, for the account of the Representatives, of one or more Global Notes representing the Designated Securities, with any transfer taxes payable in connection with the sale of the Designated Securities duly paid by the Company. The Global Notes will be made available for inspection by the Underwriters not later than 1:00 P.M., New York City time, on the business day prior to the closing. Notwithstanding the foregoing provisions:</w:t>
      </w:r>
    </w:p>
    <w:p>
      <w:pPr>
        <w:spacing w:after="0" w:line="89" w:lineRule="exact"/>
        <w:rPr>
          <w:sz w:val="20"/>
          <w:szCs w:val="20"/>
          <w:color w:val="auto"/>
        </w:rPr>
      </w:pPr>
    </w:p>
    <w:p>
      <w:pPr>
        <w:ind w:left="540" w:right="100" w:firstLine="425"/>
        <w:spacing w:after="0" w:line="255" w:lineRule="auto"/>
        <w:tabs>
          <w:tab w:leader="none" w:pos="12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HSBC Bank plc (the “Settlement Bank”) acknowledges that the Designated Securities (represented by one or more global notes in registered form without interest coupons attached) will initially be credited free of payment to an account (the “Commissionaire Account”) for the benefit of the Settlement Bank, the terms of which include a third-party beneficiary clause (stipulation pour autrui) with the Company as the third-party beneficiary and provide that such Designated Securities are to be delivered to others only against payment of the proceeds of the offering of the Designated Securities into the Commissionaire Account on a delivery against payment basis (with costs and expenses that the Company has agreed to pay pursuant to Section 7 being, in the sole discretion of the Representatives, deducted from the proceeds of the Designated Securities and such amounts not being deposited into the Commissionaire Account).</w:t>
      </w:r>
    </w:p>
    <w:p>
      <w:pPr>
        <w:spacing w:after="0" w:line="80" w:lineRule="exact"/>
        <w:rPr>
          <w:rFonts w:ascii="Times New Roman" w:cs="Times New Roman" w:eastAsia="Times New Roman" w:hAnsi="Times New Roman"/>
          <w:sz w:val="18"/>
          <w:szCs w:val="18"/>
          <w:color w:val="auto"/>
        </w:rPr>
      </w:pPr>
    </w:p>
    <w:p>
      <w:pPr>
        <w:ind w:left="540" w:firstLine="425"/>
        <w:spacing w:after="0" w:line="258" w:lineRule="auto"/>
        <w:tabs>
          <w:tab w:leader="none" w:pos="12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Bank acknowledges that (i) the Designated Securities (represented by one or more global notes) shall be held to the order of the Company as set out above and (ii) the proceeds of the offering of the Designated Securities received in the Commissionaire Account will be held on behalf of the Company until such time as they are transferred to the Company’s order. The Settlement Bank undertakes that the proceeds of the offering of the Designated Securities will be transferred to the Company’s order promptly following receipt of such monies in the Commissionaire Account.</w:t>
      </w:r>
    </w:p>
    <w:p>
      <w:pPr>
        <w:spacing w:after="0" w:line="73" w:lineRule="exact"/>
        <w:rPr>
          <w:rFonts w:ascii="Times New Roman" w:cs="Times New Roman" w:eastAsia="Times New Roman" w:hAnsi="Times New Roman"/>
          <w:sz w:val="18"/>
          <w:szCs w:val="18"/>
          <w:color w:val="auto"/>
        </w:rPr>
      </w:pPr>
    </w:p>
    <w:p>
      <w:pPr>
        <w:ind w:left="540" w:right="480" w:firstLine="425"/>
        <w:spacing w:after="0" w:line="284" w:lineRule="auto"/>
        <w:tabs>
          <w:tab w:leader="none" w:pos="12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accepts the benefit of the third-party beneficiary clause (</w:t>
      </w:r>
      <w:r>
        <w:rPr>
          <w:rFonts w:ascii="Times New Roman" w:cs="Times New Roman" w:eastAsia="Times New Roman" w:hAnsi="Times New Roman"/>
          <w:sz w:val="18"/>
          <w:szCs w:val="18"/>
          <w:i w:val="1"/>
          <w:iCs w:val="1"/>
          <w:color w:val="auto"/>
        </w:rPr>
        <w:t>stipulation pour autrui</w:t>
      </w:r>
      <w:r>
        <w:rPr>
          <w:rFonts w:ascii="Times New Roman" w:cs="Times New Roman" w:eastAsia="Times New Roman" w:hAnsi="Times New Roman"/>
          <w:sz w:val="18"/>
          <w:szCs w:val="18"/>
          <w:color w:val="auto"/>
        </w:rPr>
        <w:t>) pursuant to the Luxembourg Civil Code in respect of the Commissionaire Account.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The Company agrees with each of the Underwriters of the Designated Securities:</w:t>
      </w:r>
    </w:p>
    <w:p>
      <w:pPr>
        <w:spacing w:after="0" w:line="117" w:lineRule="exact"/>
        <w:rPr>
          <w:sz w:val="20"/>
          <w:szCs w:val="20"/>
          <w:color w:val="auto"/>
        </w:rPr>
      </w:pPr>
    </w:p>
    <w:p>
      <w:pPr>
        <w:ind w:firstLine="425"/>
        <w:spacing w:after="0" w:line="252" w:lineRule="auto"/>
        <w:tabs>
          <w:tab w:leader="none" w:pos="6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relation to the Designated Securities in a form approved by the Representatives and to file such Prospectus pursuant to Rule 424(b) under the Securities Act not later than the Commission’s close of business on the second business day following the date of the Pricing Agreement or, if applicable, such earlier time as may be required by Rule 424(b); to make no further amendment or any supplement to the Registration Statement, the Base Prospectus, the Pricing Prospectus or the Prospectus after the date of the Pricing Agreement and prior to the Time of Delivery for the Designated Securities which shall be disapproved by the Representatives for the Designated Securities promptly after reasonable notice thereof; to advise the Representatives promptly of any such amendment or supplement after such Time of Delivery and furnish the Representatives with copies thereof; to prepare a final term sheet, containing solely a description of the applicable Designated Securities, in a form agreed between the Company and the Representatives on the date hereof (the “Final Term Sheet”) and to file the Final Term Sheet pursuant to Rule 433(d) under the Securities Act as soon as practicable after the pricing of the offering of the Designated Securities and, in any event, within the time required by such Rule; to file promptly all other information or material required to be filed by the Company with the Commission pursuant to Rule 433(d) under the Securities Act; to file promptly all reports and any definitive proxy or information statements required to be filed by the Company with the Commission pursuant to Section 13(a), 13(c), 14 or 15(d) of the Exchange Act for so long as the delivery of a prospectus (or in lieu thereof, the notice referred to in Rule 173(a) of the Securities Act) is required in connection with the offering or sale of the Designated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Designated Securities, of the suspension of the qualification of the Designated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such stop order or of any such order preventing or suspending the use of any prospectus relating to the Securities or suspending any such qualification, to promptly use its reasonable best efforts to obtain the withdrawal of such order;</w:t>
      </w:r>
    </w:p>
    <w:p>
      <w:pPr>
        <w:spacing w:after="0" w:line="79" w:lineRule="exact"/>
        <w:rPr>
          <w:rFonts w:ascii="Times New Roman" w:cs="Times New Roman" w:eastAsia="Times New Roman" w:hAnsi="Times New Roman"/>
          <w:sz w:val="18"/>
          <w:szCs w:val="18"/>
          <w:color w:val="auto"/>
        </w:rPr>
      </w:pPr>
    </w:p>
    <w:p>
      <w:pPr>
        <w:ind w:right="160" w:firstLine="425"/>
        <w:spacing w:after="0" w:line="258"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Representatives may reasonably request to qualify the Designated Securities for offering and sale under the securities laws of such U.S. jurisdictions as the Representatives may request and to comply with such laws so as to permit the continuance of sales and dealings therein in such jurisdictions for as long as may be necessary to complete the distribution of the Designated Securities, provided that in connection therewith the Company shall not be required to qualify as a foreign corporation or to file a general consent to service of process in any jurisdiction;</w:t>
      </w:r>
    </w:p>
    <w:p>
      <w:pPr>
        <w:spacing w:after="0" w:line="1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980" w:top="270" w:right="459" w:bottom="1440" w:gutter="0" w:footer="0" w:header="0"/>
        </w:sectPr>
      </w:pPr>
    </w:p>
    <w:bookmarkStart w:id="58" w:name="page59"/>
    <w:bookmarkEnd w:id="58"/>
    <w:p>
      <w:pPr>
        <w:ind w:right="20" w:firstLine="425"/>
        <w:spacing w:after="0" w:line="261" w:lineRule="auto"/>
        <w:tabs>
          <w:tab w:leader="none" w:pos="6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furnish the Underwriters with written and electronic copies of the Prospectus in New York City as amended or supplemented in such quantities as the Representatives may reasonably request, and, if the delivery of a prospectus (or in lieu thereof, the notice referred to in</w:t>
      </w: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173(a) under the Securities Act) is required at any time in connection with the offering or sale of the Designated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Securities Act) is delivered, not misleading, or, if for any other reason it shall be necessary during such same period to amend or supplement the Prospectus or to file under the Exchange Act any document incorporated by reference in the Prospectus in order to comply with the Securities Act, the Exchange Act or the Trust Indenture Act, to notify the Representatives and upon their request to file such document and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w:t>
      </w:r>
    </w:p>
    <w:p>
      <w:pPr>
        <w:spacing w:after="0" w:line="85" w:lineRule="exact"/>
        <w:rPr>
          <w:rFonts w:ascii="Times New Roman" w:cs="Times New Roman" w:eastAsia="Times New Roman" w:hAnsi="Times New Roman"/>
          <w:sz w:val="18"/>
          <w:szCs w:val="18"/>
          <w:color w:val="auto"/>
        </w:rPr>
      </w:pPr>
    </w:p>
    <w:p>
      <w:pPr>
        <w:ind w:right="200" w:firstLine="425"/>
        <w:spacing w:after="0" w:line="261" w:lineRule="auto"/>
        <w:tabs>
          <w:tab w:leader="none" w:pos="6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but in any event not later than eighteen months after the effective date of the Registration Statement (as defined in Rule 158(c) under the Securities Act), an earnings statement of the Company and its subsidiaries (which need not be audited) complying with Section 11(a) of the Securities Act and the rules and regulations of the Commission thereunder (including, at the option of the Company, Rule 158);</w:t>
      </w:r>
    </w:p>
    <w:p>
      <w:pPr>
        <w:spacing w:after="0" w:line="71" w:lineRule="exact"/>
        <w:rPr>
          <w:rFonts w:ascii="Times New Roman" w:cs="Times New Roman" w:eastAsia="Times New Roman" w:hAnsi="Times New Roman"/>
          <w:sz w:val="18"/>
          <w:szCs w:val="18"/>
          <w:color w:val="auto"/>
        </w:rPr>
      </w:pPr>
    </w:p>
    <w:p>
      <w:pPr>
        <w:ind w:right="100" w:firstLine="425"/>
        <w:spacing w:after="0" w:line="258" w:lineRule="auto"/>
        <w:tabs>
          <w:tab w:leader="none" w:pos="6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from the date of the Pricing Agreement and continuing to and including the later of (i) the termination of trading restrictions for the Designated Securities, as notified to the Company by the Representatives and (ii) the Time of Delivery for the Designated Securities, not to offer, sell, contract to sell or otherwise dispose of any debt securities of the Company which mature more than one year after such Time of Delivery and which are substantially similar to the Designated Securities, without the prior written consent of the Representatives;</w:t>
      </w:r>
    </w:p>
    <w:p>
      <w:pPr>
        <w:spacing w:after="0" w:line="75" w:lineRule="exact"/>
        <w:rPr>
          <w:rFonts w:ascii="Times New Roman" w:cs="Times New Roman" w:eastAsia="Times New Roman" w:hAnsi="Times New Roman"/>
          <w:sz w:val="18"/>
          <w:szCs w:val="18"/>
          <w:color w:val="auto"/>
        </w:rPr>
      </w:pPr>
    </w:p>
    <w:p>
      <w:pPr>
        <w:ind w:right="180" w:firstLine="425"/>
        <w:spacing w:after="0" w:line="282"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required Commission filing fees relating to the Designated Securities within the time required by Rule 456(b)(1) under the Securities Act without regard to the proviso therein and otherwise in accordance with Rules 456(b) and 457(r) under the Securities Act;</w:t>
      </w:r>
    </w:p>
    <w:p>
      <w:pPr>
        <w:spacing w:after="0" w:line="53" w:lineRule="exact"/>
        <w:rPr>
          <w:rFonts w:ascii="Times New Roman" w:cs="Times New Roman" w:eastAsia="Times New Roman" w:hAnsi="Times New Roman"/>
          <w:sz w:val="18"/>
          <w:szCs w:val="18"/>
          <w:color w:val="auto"/>
        </w:rPr>
      </w:pPr>
    </w:p>
    <w:p>
      <w:pPr>
        <w:ind w:firstLine="425"/>
        <w:spacing w:after="0" w:line="258" w:lineRule="auto"/>
        <w:tabs>
          <w:tab w:leader="none" w:pos="6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any of the Designated Securities remains unsold by the Underwriters the Company receives from the Commission a notice pursuant to Rule 401(g)(2) or otherwise ceases to be eligible to use the automatic shelf registration statement form, to (i) promptly notify the Representatives, (ii) promptly file a new registration statement or post-effective amendment on the proper form relating to the Designated Securities, in a form satisfactory to the Representatives, (iii) use its best efforts to cause such registration statement or post-effective amendment to be declared effective and (iv) promptly notify the Representatives of such effectiveness. The</w:t>
      </w:r>
    </w:p>
    <w:p>
      <w:pPr>
        <w:spacing w:after="0" w:line="1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60"/>
          </w:cols>
          <w:pgMar w:left="980" w:top="270" w:right="459" w:bottom="1440" w:gutter="0" w:footer="0" w:header="0"/>
        </w:sectPr>
      </w:pPr>
    </w:p>
    <w:bookmarkStart w:id="59" w:name="page60"/>
    <w:bookmarkEnd w:id="59"/>
    <w:p>
      <w:pPr>
        <w:ind w:left="540"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will take all other action necessary or appropriate to permit the public offering and sale of the Designated Securities to continue as contemplated in the registration statement that was the subject of the Rule 401(g)(2) notice or for which the Company has otherwise become ineligible. References herein to the “Registration Statement” shall be deemed to include such new registration statement or post-effective amendment, as the case may be;</w:t>
      </w:r>
    </w:p>
    <w:p>
      <w:pPr>
        <w:spacing w:after="0" w:line="72" w:lineRule="exact"/>
        <w:rPr>
          <w:sz w:val="20"/>
          <w:szCs w:val="20"/>
          <w:color w:val="auto"/>
        </w:rPr>
      </w:pPr>
    </w:p>
    <w:p>
      <w:pPr>
        <w:ind w:left="540" w:right="60" w:firstLine="425"/>
        <w:spacing w:after="0" w:line="282" w:lineRule="auto"/>
        <w:tabs>
          <w:tab w:leader="none" w:pos="12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assist the Underwriters in arranging for the Designated Securities to be eligible for clearance and settlement through Clearstream and Euroclear; and</w:t>
      </w:r>
    </w:p>
    <w:p>
      <w:pPr>
        <w:spacing w:after="0" w:line="53" w:lineRule="exact"/>
        <w:rPr>
          <w:rFonts w:ascii="Times New Roman" w:cs="Times New Roman" w:eastAsia="Times New Roman" w:hAnsi="Times New Roman"/>
          <w:sz w:val="18"/>
          <w:szCs w:val="18"/>
          <w:color w:val="auto"/>
        </w:rPr>
      </w:pPr>
    </w:p>
    <w:p>
      <w:pPr>
        <w:ind w:left="540" w:right="60" w:firstLine="425"/>
        <w:spacing w:after="0" w:line="282" w:lineRule="auto"/>
        <w:tabs>
          <w:tab w:leader="none" w:pos="11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to list, subject to notice of issuance, the Designated Securities on The New York Stock Exchange for trading on such exchange as promptly as practicable after the date hereof.</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1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The Company represents and agrees that, other than the Final Term Sheet prepared and filed pursuant to Section 5(a) hereof, without the prior consent of the Representatives, it has not made, and will not make, any offer relating to the Designated Securities that would constitute a “free writing prospectus” (as defined in Rule 405 under the Securities Act);</w:t>
      </w:r>
    </w:p>
    <w:p>
      <w:pPr>
        <w:spacing w:after="0" w:line="67"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4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without the prior consent of the Company and the Representatives, other than one or more term sheets relating to the Designated Securities containing customary information not inconsistent with the Final Term Sheet and conveyed to purchasers of Designated Securities, it has not made and will not make any offer relating to the Designated Securities that would constitute an Issuer Free Writing Prospectus or a free writing prospectus required to be filed with the Commission pursuant to Rule</w:t>
      </w:r>
    </w:p>
    <w:p>
      <w:pPr>
        <w:spacing w:after="0" w:line="2"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and</w:t>
      </w:r>
    </w:p>
    <w:p>
      <w:pPr>
        <w:spacing w:after="0" w:line="98"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9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free writing prospectus the use of which has been consented to by the Company and the Representatives (including the Final Term Sheet) is listed on Schedule II to the Pricing Agreement;</w:t>
      </w:r>
    </w:p>
    <w:p>
      <w:pPr>
        <w:spacing w:after="0" w:line="54" w:lineRule="exact"/>
        <w:rPr>
          <w:sz w:val="20"/>
          <w:szCs w:val="20"/>
          <w:color w:val="auto"/>
        </w:rPr>
      </w:pPr>
    </w:p>
    <w:p>
      <w:pPr>
        <w:ind w:left="540" w:right="160" w:firstLine="425"/>
        <w:spacing w:after="0" w:line="282" w:lineRule="auto"/>
        <w:tabs>
          <w:tab w:leader="none" w:pos="12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Securities Act applicable to any Issuer Free Writing Prospectus, including timely filing with the Commission or retention where required and legending; and</w:t>
      </w:r>
    </w:p>
    <w:p>
      <w:pPr>
        <w:spacing w:after="0" w:line="53" w:lineRule="exact"/>
        <w:rPr>
          <w:rFonts w:ascii="Times New Roman" w:cs="Times New Roman" w:eastAsia="Times New Roman" w:hAnsi="Times New Roman"/>
          <w:sz w:val="18"/>
          <w:szCs w:val="18"/>
          <w:color w:val="auto"/>
        </w:rPr>
      </w:pPr>
    </w:p>
    <w:p>
      <w:pPr>
        <w:ind w:left="540" w:firstLine="425"/>
        <w:spacing w:after="0" w:line="258" w:lineRule="auto"/>
        <w:tabs>
          <w:tab w:leader="none" w:pos="12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Disclosure Package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60" w:name="page61"/>
    <w:bookmarkEnd w:id="60"/>
    <w:p>
      <w:pPr>
        <w:ind w:left="54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Free Writing Prospectus or other document that will correct such conflict, statement or omission; provided, however, that this representation and warranty shall not apply to any statements or omissions in an Issuer Free Writing Prospectus made in reliance upon and in conformity with information furnished in writing to the Company by an Underwriter through the Representatives expressly for use therein (it being understood and agreed that the only such information so furnished is as described in Section 9(f) hereof).</w:t>
      </w:r>
    </w:p>
    <w:p>
      <w:pPr>
        <w:spacing w:after="0" w:line="72" w:lineRule="exact"/>
        <w:rPr>
          <w:sz w:val="20"/>
          <w:szCs w:val="20"/>
          <w:color w:val="auto"/>
        </w:rPr>
      </w:pPr>
    </w:p>
    <w:p>
      <w:pPr>
        <w:ind w:left="4" w:right="20" w:firstLine="987"/>
        <w:spacing w:after="0" w:line="252" w:lineRule="auto"/>
        <w:tabs>
          <w:tab w:leader="none" w:pos="11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independent public registered accounting firm in connection with the registration of the Securities under the Securities Act and all other expenses in connection with the preparation, printing and filing of the Registration Statement, the Base Prospectus, the Pricing Prospectus,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the Pricing Agreement, the Indenture, any Blue Sky and Legal Investment Memoranda or Surveys,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reasonable fees and disbursements of counsel for the Underwriters in connection with such qualification and in connection with the Blue Sky and Legal Investment Memoranda or Surveys; (iv) any fees charged by securities rating services for rating the Securities;</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the Securities; (vi) the fees and expenses of any Trustee, any Common Depositary, and any agent of any Trustee or any Common Depositary and the fees and disbursements of counsel for any Trustee or any Common Depositary in connection with any Indenture and the Securities; (vii) the fees and expenses incurred in connection with the listing of any Securities on The New York Stock Exchange; (viii) the transportation, meetings, NetRoadshow and other expenses incurred by or on behalf of Company representatives in connection with presentations to prospective purchasers of the Securities; and (ix) all other costs and expenses incident to the performance of its obligations hereunder which are not otherwise specifically provided for in this Section. It is understood, however, that, except as provided in this Section 7, and Sections 9 and 12 hereof, the Underwriters will pay all of their own costs and expenses, including the fees of their counsel, transfer taxes on resale of any of the Securities by them, and any advertising expenses connected with any offers they may make. Each Underwriter agrees to pay the portion of such expenses represented by such Underwriter’s pro rata share (based on the proportion that the principal amount of Securities set forth opposite each Underwriter’s name in Schedule I to the Pricing Agreement bears to the aggregate principal amount of Securities set forth opposite the names of all Underwriters) of the Securities (with respect to each Underwriter, the “Pro Rata Expenses”). Notwithstanding anything contained in the International Capital Market Association Primary Market Handbook, each Underwriter hereby agrees that the Settlement Lead Manager (as defined below) may allocate the Pro Rata Expenses to the account of such Underwriter for settlement of accounts (including payment of such Underwriter’s fees by the Settlement Lead Manager) as soon as practicable but in any case no later than 90 days following the closing date.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61" w:name="page62"/>
    <w:bookmarkEnd w:id="61"/>
    <w:p>
      <w:pPr>
        <w:ind w:right="200" w:firstLine="987"/>
        <w:spacing w:after="0" w:line="261" w:lineRule="auto"/>
        <w:tabs>
          <w:tab w:leader="none" w:pos="11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Underwriters of the Designated Securities under the Pricing Agreement shall be subject, in the discretion of the Representatives, to the condition that all representations and warranties and other statements of the Company in or incorporated by reference in the Pricing Agreement are, at and as of the Time of Delivery for the Designated Securities, true and correct, the condition that the Company shall have performed all of its obligations hereunder theretofore to be performed, and the following additional conditions:</w:t>
      </w:r>
    </w:p>
    <w:p>
      <w:pPr>
        <w:spacing w:after="0" w:line="72" w:lineRule="exact"/>
        <w:rPr>
          <w:sz w:val="20"/>
          <w:szCs w:val="20"/>
          <w:color w:val="auto"/>
        </w:rPr>
      </w:pPr>
    </w:p>
    <w:p>
      <w:pPr>
        <w:ind w:left="540" w:firstLine="425"/>
        <w:spacing w:after="0" w:line="253" w:lineRule="auto"/>
        <w:tabs>
          <w:tab w:leader="none" w:pos="12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the Pricing Prospectus and the Prospectus in relation to the Designated Securities shall have been filed, to the extent required, with the Commission pursuant to Rule 424(b) within the applicable time period prescribed for such filing by the rules and regulations under the Securities Act and in accordance with Section 5(a) hereof; the Final Term Sheet prepared and filed pursuant to Section 5(a) hereof, and any other information or material required to be filed by the Company pursuant to Rule 433(d) under the Securities Act, shall have been filed with the Commission within the applicable time periods prescribed for such filings by Rule 433; no stop order suspending the effectiveness of the Registration Statement or any part thereof shall have been issued, no proceeding for that purpose shall have been initiated or threatened by the Commission and no notice of objection of the Commission to the use of the Registration Statement or any post-effective amendment thereto pursuant to Rule 401(g)(2) under the Securities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86" w:lineRule="exact"/>
        <w:rPr>
          <w:rFonts w:ascii="Times New Roman" w:cs="Times New Roman" w:eastAsia="Times New Roman" w:hAnsi="Times New Roman"/>
          <w:sz w:val="18"/>
          <w:szCs w:val="18"/>
          <w:color w:val="auto"/>
        </w:rPr>
      </w:pPr>
    </w:p>
    <w:p>
      <w:pPr>
        <w:ind w:left="540" w:right="60" w:firstLine="425"/>
        <w:spacing w:after="0" w:line="258" w:lineRule="auto"/>
        <w:tabs>
          <w:tab w:leader="none" w:pos="12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counsel for the Underwriters, shall have furnished to the Representatives such written opinion or opinions, dated the Time of Delivery for the Designated Securities, with respect to the existence of the Company, this Agreement, the validity of the Indenture and the Designated Securities, the Registration Statement, the Pricing Disclosure Package, the Prospectus and such other related matters as the Representatives may reasonably request, and such counsel shall have received such papers and information as they may reasonably request to enable them to pass upon such matters;</w:t>
      </w:r>
    </w:p>
    <w:p>
      <w:pPr>
        <w:spacing w:after="0" w:line="75" w:lineRule="exact"/>
        <w:rPr>
          <w:rFonts w:ascii="Times New Roman" w:cs="Times New Roman" w:eastAsia="Times New Roman" w:hAnsi="Times New Roman"/>
          <w:sz w:val="18"/>
          <w:szCs w:val="18"/>
          <w:color w:val="auto"/>
        </w:rPr>
      </w:pPr>
    </w:p>
    <w:p>
      <w:pPr>
        <w:ind w:left="540" w:right="640" w:firstLine="425"/>
        <w:spacing w:after="0" w:line="266" w:lineRule="auto"/>
        <w:tabs>
          <w:tab w:leader="none" w:pos="12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Counsel of the Company or such other counsel satisfactory to the Representatives shall have furnished to the Representatives their written opinion, dated the Time of Delivery for the Designated Securities, in form and substance satisfactory to the Representatives, to the effect set forth on Annex III hereto;</w:t>
      </w:r>
    </w:p>
    <w:p>
      <w:pPr>
        <w:spacing w:after="0" w:line="67" w:lineRule="exact"/>
        <w:rPr>
          <w:rFonts w:ascii="Times New Roman" w:cs="Times New Roman" w:eastAsia="Times New Roman" w:hAnsi="Times New Roman"/>
          <w:sz w:val="18"/>
          <w:szCs w:val="18"/>
          <w:color w:val="auto"/>
        </w:rPr>
      </w:pPr>
    </w:p>
    <w:p>
      <w:pPr>
        <w:jc w:val="both"/>
        <w:ind w:left="540" w:right="100" w:firstLine="425"/>
        <w:spacing w:after="0" w:line="261" w:lineRule="auto"/>
        <w:tabs>
          <w:tab w:leader="none" w:pos="12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&amp; McKenzie LLP, counsel to the Company, shall have furnished to the Representatives their written opinion, dated the Time of Delivery for the Designated Securities, in form and substance satisfactory to the Representatives, to the effect that the statements set forth in the Pricing Disclosure Package and the Prospectus under the caption “Certain United States Federal Income Tax Considerations,” insofar as they purport to summarize certain matters relating to U.S. federal laws, constitute fair summaries of such matters in all material respects;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2" w:name="page63"/>
    <w:bookmarkEnd w:id="62"/>
    <w:p>
      <w:pPr>
        <w:ind w:left="-425" w:right="80" w:firstLine="425"/>
        <w:spacing w:after="0" w:line="256" w:lineRule="auto"/>
        <w:tabs>
          <w:tab w:leader="none" w:pos="2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date of this Agreement, on the effective date of any post-effective amendment to the Registration Statement filed subsequent to the date of this Agreement and also at the Time of Delivery for the Designated Securities, PricewaterhouseCoopers LLP shall have furnished to the Representatives, at the request of the Company, a letter, dated such date and addressed to the Underwriters, in form and substance satisfactory to the Representatives, containing statements and information of the type customarily included in accountants’ “comfort letters” to underwriters with respect to the financial statements and certain financial information contained or incorporated by reference in the Registration Statement, the Pricing Prospectus and the Prospectus;</w:t>
      </w:r>
    </w:p>
    <w:p>
      <w:pPr>
        <w:spacing w:after="0" w:line="79" w:lineRule="exact"/>
        <w:rPr>
          <w:rFonts w:ascii="Times New Roman" w:cs="Times New Roman" w:eastAsia="Times New Roman" w:hAnsi="Times New Roman"/>
          <w:sz w:val="18"/>
          <w:szCs w:val="18"/>
          <w:color w:val="auto"/>
        </w:rPr>
      </w:pPr>
    </w:p>
    <w:p>
      <w:pPr>
        <w:ind w:left="-425" w:firstLine="425"/>
        <w:spacing w:after="0" w:line="253" w:lineRule="auto"/>
        <w:tabs>
          <w:tab w:leader="none" w:pos="2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Pricing Disclosure Package and the Prospectus, (i) neither the Company nor any of its subsidiaries shall have sustained any loss or interference with its business from fire, explosion, flood or other calamity, whether or not covered by insurance, or from any labor dispute or court or governmental action, order or decree, which loss or interference is material to the Company and its subsidiaries taken as a whole, otherwise than as set forth or contemplated in the Pricing Disclosure Package and the Prospectus, and (ii) there shall not have been any change in the capital stock or consolidated long-term debt of the Company, except for changes in capital stock in the ordinary course of business pursuant to Company benefit plans and arrangements, and except for changes in consolidated long-term debt of the Company as a result of acquisitions since the respective dates as of which information is given in the Pricing Disclosure Package and the Prospectus or as a result of reclassification of long-term debt as short-term debt, or any change, or any development involving a prospective change, in or affecting the general affairs, management, properties and assets, financial position, stockholders’ equity or results of operations of the Company and its subsidiaries taken as a whole, otherwise than as set forth or contemplated in the Pricing Disclosure Package and the Prospectus,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Pricing Disclosure Package and the Prospectus;</w:t>
      </w:r>
    </w:p>
    <w:p>
      <w:pPr>
        <w:spacing w:after="0" w:line="79" w:lineRule="exact"/>
        <w:rPr>
          <w:rFonts w:ascii="Times New Roman" w:cs="Times New Roman" w:eastAsia="Times New Roman" w:hAnsi="Times New Roman"/>
          <w:sz w:val="18"/>
          <w:szCs w:val="18"/>
          <w:color w:val="auto"/>
        </w:rPr>
      </w:pPr>
    </w:p>
    <w:p>
      <w:pPr>
        <w:ind w:left="-425" w:right="20" w:firstLine="425"/>
        <w:spacing w:after="0" w:line="261" w:lineRule="auto"/>
        <w:tabs>
          <w:tab w:leader="none" w:pos="2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(i) no downgrading shall have occurred in the rating accorded the Company’s debt securities or preferred stock by any “nationally recognized statistical rating organization” (as such term is defined by the Commission under Section 3(a)(62) of the Exchange Act), and (ii) no such organization shall have publicly announced that it has under surveillance or review, with possible negative implications, its rating of any of the Company’s debt securities or preferred stock;</w:t>
      </w:r>
    </w:p>
    <w:p>
      <w:pPr>
        <w:spacing w:after="0" w:line="71" w:lineRule="exact"/>
        <w:rPr>
          <w:rFonts w:ascii="Times New Roman" w:cs="Times New Roman" w:eastAsia="Times New Roman" w:hAnsi="Times New Roman"/>
          <w:sz w:val="18"/>
          <w:szCs w:val="18"/>
          <w:color w:val="auto"/>
        </w:rPr>
      </w:pPr>
    </w:p>
    <w:p>
      <w:pPr>
        <w:ind w:left="-425" w:right="80" w:firstLine="425"/>
        <w:spacing w:after="0" w:line="258" w:lineRule="auto"/>
        <w:tabs>
          <w:tab w:leader="none" w:pos="2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The New York Stock Exchange or the over the counter market; (ii) a suspension or material limitation in trading in securities issued or guaranteed by the Company on any exchange or in any over the counter market; (iii) a general moratorium on commercial banking activities declared by federal, New York state or European authorities or a material disruption in commercial banking or securities settlement or clearance services in the</w:t>
      </w:r>
    </w:p>
    <w:p>
      <w:pPr>
        <w:spacing w:after="0" w:line="116"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35"/>
          </w:cols>
          <w:pgMar w:left="1405" w:top="270" w:right="459" w:bottom="1440" w:gutter="0" w:footer="0" w:header="0"/>
        </w:sectPr>
      </w:pPr>
    </w:p>
    <w:bookmarkStart w:id="63" w:name="page64"/>
    <w:bookmarkEnd w:id="63"/>
    <w:p>
      <w:pPr>
        <w:ind w:left="48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or Europe; or (iv) the outbreak or escalation of hostilities involving the United States or the declaration by the United States of a national emergency or war, any change in financial markets or any calamity or crisis, either within or outside the United States, if, in the judgment of the Representatives, any such event specified in this clause (iv) is material and adverse and makes it impracticable or inadvisable to proceed with the public offering or the delivery of the Designated Securities on the terms and in the manner contemplated in the Pricing Disclosure Package, the Prospectus and this Agreement;</w:t>
      </w:r>
    </w:p>
    <w:p>
      <w:pPr>
        <w:spacing w:after="0" w:line="75" w:lineRule="exact"/>
        <w:rPr>
          <w:sz w:val="20"/>
          <w:szCs w:val="20"/>
          <w:color w:val="auto"/>
        </w:rPr>
      </w:pPr>
    </w:p>
    <w:p>
      <w:pPr>
        <w:ind w:left="1120" w:hanging="215"/>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5(c) hereof with respect to the furnishing of prospectuses;</w:t>
      </w:r>
    </w:p>
    <w:p>
      <w:pPr>
        <w:spacing w:after="0" w:line="117" w:lineRule="exact"/>
        <w:rPr>
          <w:rFonts w:ascii="Times New Roman" w:cs="Times New Roman" w:eastAsia="Times New Roman" w:hAnsi="Times New Roman"/>
          <w:sz w:val="18"/>
          <w:szCs w:val="18"/>
          <w:color w:val="auto"/>
        </w:rPr>
      </w:pPr>
    </w:p>
    <w:p>
      <w:pPr>
        <w:ind w:left="1120" w:hanging="215"/>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the Time of Delivery for the Designated</w:t>
      </w:r>
    </w:p>
    <w:p>
      <w:pPr>
        <w:spacing w:after="0" w:line="27" w:lineRule="exact"/>
        <w:rPr>
          <w:rFonts w:ascii="Times New Roman" w:cs="Times New Roman" w:eastAsia="Times New Roman" w:hAnsi="Times New Roman"/>
          <w:sz w:val="18"/>
          <w:szCs w:val="18"/>
          <w:color w:val="auto"/>
        </w:rPr>
      </w:pPr>
    </w:p>
    <w:p>
      <w:pPr>
        <w:ind w:left="48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 certificate or certificates of officers of the Company satisfactory to the Representatives as to the accuracy of the representations and warranties of the Company herein at and as of such Time of Delivery, as to the performance by the Company of all of its agreements and obligations hereunder to be performed at or prior to such Time of Delivery, as to the matters set forth in Sections 8(a) and 8(f) and as to such other matters as the Representatives may reasonably request;</w:t>
      </w:r>
    </w:p>
    <w:p>
      <w:pPr>
        <w:spacing w:after="0" w:line="80" w:lineRule="exact"/>
        <w:rPr>
          <w:rFonts w:ascii="Times New Roman" w:cs="Times New Roman" w:eastAsia="Times New Roman" w:hAnsi="Times New Roman"/>
          <w:sz w:val="18"/>
          <w:szCs w:val="18"/>
          <w:color w:val="auto"/>
        </w:rPr>
      </w:pPr>
    </w:p>
    <w:p>
      <w:pPr>
        <w:ind w:left="1160" w:hanging="255"/>
        <w:spacing w:after="0"/>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Securities will be eligible for clearance and settlement through Clearstream and Euroclear;</w:t>
      </w:r>
    </w:p>
    <w:p>
      <w:pPr>
        <w:spacing w:after="0" w:line="117" w:lineRule="exact"/>
        <w:rPr>
          <w:rFonts w:ascii="Times New Roman" w:cs="Times New Roman" w:eastAsia="Times New Roman" w:hAnsi="Times New Roman"/>
          <w:sz w:val="18"/>
          <w:szCs w:val="18"/>
          <w:color w:val="auto"/>
        </w:rPr>
      </w:pPr>
    </w:p>
    <w:p>
      <w:pPr>
        <w:ind w:left="480" w:right="120" w:firstLine="425"/>
        <w:spacing w:after="0" w:line="282" w:lineRule="auto"/>
        <w:tabs>
          <w:tab w:leader="none" w:pos="11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applied to list the Designated Securities on The New York Stock Exchange and satisfactory evidence of such action shall have been provided to the Representatives; and</w:t>
      </w:r>
    </w:p>
    <w:p>
      <w:pPr>
        <w:spacing w:after="0" w:line="53" w:lineRule="exact"/>
        <w:rPr>
          <w:rFonts w:ascii="Times New Roman" w:cs="Times New Roman" w:eastAsia="Times New Roman" w:hAnsi="Times New Roman"/>
          <w:sz w:val="18"/>
          <w:szCs w:val="18"/>
          <w:color w:val="auto"/>
        </w:rPr>
      </w:pPr>
    </w:p>
    <w:p>
      <w:pPr>
        <w:ind w:left="480" w:firstLine="425"/>
        <w:spacing w:after="0" w:line="261" w:lineRule="auto"/>
        <w:tabs>
          <w:tab w:leader="none" w:pos="12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also at the Time of Delivery for the Designated Securities, the Company shall have furnished or caused to be furnished to the Representatives a written certificate executed by the Chief Financial Officer, on behalf of the Company, dated as of the date hereof or the Time of Delivery, as applicable, in form and substance satisfactory to the Representatives, to the effect set forth on Annex IV hereto.</w:t>
      </w:r>
    </w:p>
    <w:p>
      <w:pPr>
        <w:spacing w:after="0" w:line="71" w:lineRule="exact"/>
        <w:rPr>
          <w:rFonts w:ascii="Times New Roman" w:cs="Times New Roman" w:eastAsia="Times New Roman" w:hAnsi="Times New Roman"/>
          <w:sz w:val="18"/>
          <w:szCs w:val="18"/>
          <w:color w:val="auto"/>
        </w:rPr>
      </w:pPr>
    </w:p>
    <w:p>
      <w:pPr>
        <w:ind w:left="-60" w:right="20" w:firstLine="987"/>
        <w:spacing w:after="0" w:line="254" w:lineRule="auto"/>
        <w:tabs>
          <w:tab w:leader="none" w:pos="111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and hold harmless each Underwriter against any losses, claims, damages or liabilities, joint or several, to which such Underwriter may become subject, under the Securities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to any thereof, any Issuer Free Writing Prospectus or any “issuer information” filed or required to be filed pursuant to Rule 433(d) under the Securities Act, or any electronic road show,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500" w:top="270" w:right="499" w:bottom="1440" w:gutter="0" w:footer="0" w:header="0"/>
        </w:sectPr>
      </w:pPr>
    </w:p>
    <w:bookmarkStart w:id="64" w:name="page65"/>
    <w:bookmarkEnd w:id="64"/>
    <w:p>
      <w:pPr>
        <w:ind w:right="2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Base Prospectus, any Preliminary Prospectus, the Pricing Prospectus or the Prospectus, or any amendment or supplement thereto, or any Issuer Free Writing Prospectus, in reliance upon and in conformity with written information furnished to the Company by any Underwriter through the Representatives expressly for use therein (it being understood and agreed that the only such information so furnished is as described in Section 9(f) hereof).</w:t>
      </w:r>
    </w:p>
    <w:p>
      <w:pPr>
        <w:spacing w:after="0" w:line="79" w:lineRule="exact"/>
        <w:rPr>
          <w:sz w:val="20"/>
          <w:szCs w:val="20"/>
          <w:color w:val="auto"/>
        </w:rPr>
      </w:pPr>
    </w:p>
    <w:p>
      <w:pPr>
        <w:ind w:right="80" w:firstLine="987"/>
        <w:spacing w:after="0" w:line="253"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any Preliminary Prospectus, the Pricing Prospectus or the Prospectus, or any amendment or supplement thereto, or any Issuer Free Writing Prospectus, in reliance upon and in conformity with written information furnished to the Company by such Underwriter through the Representatives expressly for use therein (it being understood and agreed that the only such information so furnished is as described in Section 9(f) hereof); and will reimburse the Company for any legal or other expenses reasonably incurred by the Company in connection with investigating or defending any such action or claim as such expenses are incurred.</w:t>
      </w:r>
    </w:p>
    <w:p>
      <w:pPr>
        <w:spacing w:after="0" w:line="8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Sections 9(a) or 9(b)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65" w:name="page66"/>
    <w:bookmarkEnd w:id="65"/>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68" w:lineRule="exact"/>
        <w:rPr>
          <w:sz w:val="20"/>
          <w:szCs w:val="20"/>
          <w:color w:val="auto"/>
        </w:rPr>
      </w:pPr>
    </w:p>
    <w:p>
      <w:pPr>
        <w:ind w:firstLine="987"/>
        <w:spacing w:after="0" w:line="251"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Sections 9(a) or 9(b)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Section 9(c)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Section 9(d) were determined by pro rata allocation (even if the Underwriters were treated as one entity for such purpose) or by any other method of allocation which does not take account of the equitable considerations referred to above in this Section 9(d). The amount paid or payable by an indemnified party as a result of the losses, claims, damages or liabilities (or actions in respect thereof) referred to above in this Section 9(d) shall be deemed to include any legal or other expenses reasonably incurred by such indemnified party in connection with investigating or defending any such action or claim. Notwithstanding the provisions of this Section 9(d), no Underwriter shall be required to contribute any amount in excess of the underwriting discounts and commissions applicable to the Designated Securities purchased by such Underwriter. No person guilty of fraudulent misrepresentation (within the meaning of Section 11(f) of the Securities Act) shall be entitled to contribution from any person who was not guilty of such fraudulent misrepresentation. The obligations of the Underwriters of Designated Securities in this Section 9(d) to contribute are several in proportion to their respective underwriting obligations with respect to such Securities and not joint.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66" w:name="page67"/>
    <w:bookmarkEnd w:id="66"/>
    <w:p>
      <w:pPr>
        <w:ind w:left="-20" w:firstLine="987"/>
        <w:spacing w:after="0" w:line="256"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Company under this Section 9 shall be in addition to any liability which the Company may otherwise have and shall extend, upon the same terms and conditions, to each person, if any, who controls any Underwriter within the meaning of the Securities Act (including, without limitation, any such broker-dealer affiliate of any Underwriter) and partners, members, directors and officers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Securities Act.</w:t>
      </w:r>
    </w:p>
    <w:p>
      <w:pPr>
        <w:spacing w:after="0" w:line="79"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1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and agrees that the only information that the Underwriters have furnished to the Company expressly for use in the Registration Statement, the Base Prospectus, any Preliminary Prospectus, the Pricing Prospectus or the Prospectus, or any amendment or supplement to any thereof, or any Issuer Free Writing Prospectus or any issuer information filed or required to be filed pursuant to Rule 433(d) under the Securities Act, or any road show, consists of the statements set forth in the third and seventh paragraphs under the caption “Underwriting” and the paragraphs under the caption “Underwriting—Price Stabilization” in the Pricing Prospectus and the Prospectus.</w:t>
      </w:r>
    </w:p>
    <w:p>
      <w:pPr>
        <w:spacing w:after="0" w:line="75" w:lineRule="exact"/>
        <w:rPr>
          <w:sz w:val="20"/>
          <w:szCs w:val="20"/>
          <w:color w:val="auto"/>
        </w:rPr>
      </w:pPr>
    </w:p>
    <w:p>
      <w:pPr>
        <w:ind w:left="-20" w:right="40" w:firstLine="987"/>
        <w:spacing w:after="0" w:line="253" w:lineRule="auto"/>
        <w:tabs>
          <w:tab w:leader="none" w:pos="12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Designated Securities which it has agreed to purchase under the Pricing Agreement, the Representatives may in their discretion arrange for themselves or another party or other parties to purchase the Designated Securities on the terms contained herein. If within thirty-six hours after such default by any Underwriter the Representatives do not arrange for the purchase of the Designated Securities, then the Company shall be entitled to a further period of thirty-six hours within which to procure another party or other parties satisfactory to the Representatives to purchase the Designated Securities on such terms. In the event that, within the respective prescribed period, the Representatives notify the Company that they have so arranged for the purchase of the Designated Securities, or the Company notifies the Representatives that it has so arranged for the purchase of the Designated Securities, the Representatives or the Company shall have the right to postpone the Time of Delivery for the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10 with like effect as if such person had originally been a party to the Pricing Agreement.</w:t>
      </w:r>
    </w:p>
    <w:p>
      <w:pPr>
        <w:spacing w:after="0" w:line="82" w:lineRule="exact"/>
        <w:rPr>
          <w:sz w:val="20"/>
          <w:szCs w:val="20"/>
          <w:color w:val="auto"/>
        </w:rPr>
      </w:pPr>
    </w:p>
    <w:p>
      <w:pPr>
        <w:ind w:left="-20" w:right="60" w:firstLine="987"/>
        <w:spacing w:after="0" w:line="254" w:lineRule="auto"/>
        <w:tabs>
          <w:tab w:leader="none" w:pos="12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Designated Securities of a defaulting Underwriter or Underwriters by the Representatives and the Company as provided in Section 10(a) above, the aggregate principal amount of the Designated Securities which remains unpurchased does not exceed one-eleventh of the aggregate principal amount of the Designated Securities, then the Company shall have the right to require each non-defaulting Underwriter to purchase the principal amount of Designated Securities which such Underwriter agreed to purchase under the Pricing Agreement and, in addition, to require each non-defaulting Underwriter to purchase its pro rata share (based on the principal amount of Designated Securities which such Underwriter agreed to purchase under the Pricing Agreement) of the Designated Securities of such defaulting Underwriter or Underwriters for which such arrangements have not been made; but nothing herein shall relieve a defaulting Underwriter from liability for its default.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60" w:top="270" w:right="459" w:bottom="1440" w:gutter="0" w:footer="0" w:header="0"/>
        </w:sectPr>
      </w:pPr>
    </w:p>
    <w:bookmarkStart w:id="67" w:name="page68"/>
    <w:bookmarkEnd w:id="67"/>
    <w:p>
      <w:pPr>
        <w:ind w:left="-987" w:right="60" w:firstLine="987"/>
        <w:spacing w:after="0" w:line="255" w:lineRule="auto"/>
        <w:tabs>
          <w:tab w:leader="none" w:pos="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Section 10(a) above, the aggregate principal amount of Designated Securities which remains unpurchased exceeds one-eleventh of the aggregate principal amount of the Designated Securities, as referred to in Section 10(b) above, or if the Company shall not exercise the right described in Section 10(b) above to require non-defaulting Underwriters to purchase Designated Securities of a defaulting Underwriter or Underwriters, then the Pricing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81" w:lineRule="exact"/>
        <w:rPr>
          <w:sz w:val="20"/>
          <w:szCs w:val="20"/>
          <w:color w:val="auto"/>
        </w:rPr>
      </w:pPr>
    </w:p>
    <w:p>
      <w:pPr>
        <w:ind w:left="-987" w:firstLine="987"/>
        <w:spacing w:after="0" w:line="281" w:lineRule="auto"/>
        <w:tabs>
          <w:tab w:leader="none" w:pos="26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56" w:lineRule="exact"/>
        <w:rPr>
          <w:rFonts w:ascii="Times New Roman" w:cs="Times New Roman" w:eastAsia="Times New Roman" w:hAnsi="Times New Roman"/>
          <w:sz w:val="17"/>
          <w:szCs w:val="17"/>
          <w:color w:val="auto"/>
        </w:rPr>
      </w:pPr>
    </w:p>
    <w:p>
      <w:pPr>
        <w:ind w:left="-987" w:right="140" w:firstLine="987"/>
        <w:spacing w:after="0" w:line="274" w:lineRule="auto"/>
        <w:tabs>
          <w:tab w:leader="none" w:pos="27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Pricing Agreement shall be terminated pursuant to Section 10 hereof, the Company shall not then be under any liability to any Underwriter with respect to the Designated Securities covered by the Pricing Agreement except as provided in Sections 7 and 9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7 and 9 hereof.</w:t>
      </w:r>
    </w:p>
    <w:p>
      <w:pPr>
        <w:spacing w:after="0" w:line="64" w:lineRule="exact"/>
        <w:rPr>
          <w:rFonts w:ascii="Times New Roman" w:cs="Times New Roman" w:eastAsia="Times New Roman" w:hAnsi="Times New Roman"/>
          <w:sz w:val="17"/>
          <w:szCs w:val="17"/>
          <w:color w:val="auto"/>
        </w:rPr>
      </w:pPr>
    </w:p>
    <w:p>
      <w:pPr>
        <w:ind w:left="-987" w:right="40" w:firstLine="987"/>
        <w:spacing w:after="0" w:line="261"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Notwithstanding and to the exclusion of any other term of this Agreement or any other agreements, arrangements, or understanding between the parties to this Agreement, each of the parties to this Agreement acknowledges and accepts that a BRRD Liability arising under this Agreement may be subject to the exercise of Bail-in Powers by the Relevant Resolution Authority, and acknowledges, accepts, and agrees to be bound by:</w:t>
      </w:r>
    </w:p>
    <w:p>
      <w:pPr>
        <w:spacing w:after="0" w:line="72" w:lineRule="exact"/>
        <w:rPr>
          <w:sz w:val="20"/>
          <w:szCs w:val="20"/>
          <w:color w:val="auto"/>
        </w:rPr>
      </w:pPr>
    </w:p>
    <w:p>
      <w:pPr>
        <w:jc w:val="both"/>
        <w:ind w:left="-987" w:right="220" w:firstLine="987"/>
        <w:spacing w:after="0" w:line="266"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a BRRD Party (the “Relevant BRRD Party”) to the Company under this Agreement that (without limitation) may include and result in any of the following, or some combination thereof:</w:t>
      </w:r>
    </w:p>
    <w:p>
      <w:pPr>
        <w:spacing w:after="0" w:line="68" w:lineRule="exact"/>
        <w:rPr>
          <w:sz w:val="20"/>
          <w:szCs w:val="20"/>
          <w:color w:val="auto"/>
        </w:rPr>
      </w:pPr>
    </w:p>
    <w:p>
      <w:pPr>
        <w:ind w:left="4433" w:right="3040" w:hanging="4433"/>
        <w:spacing w:after="0" w:line="454" w:lineRule="auto"/>
        <w:tabs>
          <w:tab w:leader="none" w:pos="3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 23</w:t>
      </w:r>
    </w:p>
    <w:p>
      <w:pPr>
        <w:sectPr>
          <w:pgSz w:w="11900" w:h="16838" w:orient="portrait"/>
          <w:cols w:equalWidth="0" w:num="1">
            <w:col w:w="10013"/>
          </w:cols>
          <w:pgMar w:left="1427" w:top="270" w:right="459" w:bottom="1440" w:gutter="0" w:footer="0" w:header="0"/>
        </w:sectPr>
      </w:pPr>
    </w:p>
    <w:bookmarkStart w:id="68" w:name="page69"/>
    <w:bookmarkEnd w:id="68"/>
    <w:p>
      <w:pPr>
        <w:ind w:right="40" w:firstLine="987"/>
        <w:spacing w:after="0" w:line="282" w:lineRule="auto"/>
        <w:tabs>
          <w:tab w:leader="none" w:pos="12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conversion of all, or a portion, of the BRRD Liability into shares, other securities or other obligations of the Relevant BRRD Party or another person, and the issue to or conferral on the Company of such shares, securities or obligations;</w:t>
      </w:r>
    </w:p>
    <w:p>
      <w:pPr>
        <w:spacing w:after="0" w:line="5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and/or</w:t>
      </w:r>
    </w:p>
    <w:p>
      <w:pPr>
        <w:spacing w:after="0" w:line="117" w:lineRule="exact"/>
        <w:rPr>
          <w:rFonts w:ascii="Times New Roman" w:cs="Times New Roman" w:eastAsia="Times New Roman" w:hAnsi="Times New Roman"/>
          <w:sz w:val="18"/>
          <w:szCs w:val="18"/>
          <w:color w:val="auto"/>
        </w:rPr>
      </w:pPr>
    </w:p>
    <w:p>
      <w:pPr>
        <w:ind w:right="60" w:firstLine="987"/>
        <w:spacing w:after="0" w:line="282" w:lineRule="auto"/>
        <w:tabs>
          <w:tab w:leader="none" w:pos="12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54" w:lineRule="exact"/>
        <w:rPr>
          <w:sz w:val="20"/>
          <w:szCs w:val="20"/>
          <w:color w:val="auto"/>
        </w:rPr>
      </w:pPr>
    </w:p>
    <w:p>
      <w:pPr>
        <w:ind w:right="140" w:firstLine="987"/>
        <w:spacing w:after="0" w:line="282" w:lineRule="auto"/>
        <w:tabs>
          <w:tab w:leader="none" w:pos="12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Bail-in Powers by the Relevant Resolution Authority.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For the purposes of this Section 13:</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“Bail-in Legislation” means in relation to any member state of the European Economic Area which has implemented, or which at any time implements, the BRRD, the relevant implementing law, regulation, rule or requirement as described in the EU Bail-in Legislation Schedule from time to time;</w:t>
      </w:r>
    </w:p>
    <w:p>
      <w:pPr>
        <w:spacing w:after="0" w:line="176"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“Bail-in Powers” means any Write-down and Conversion Powers as defined in the EU Bail-in Legislation Schedule, in relation to the relevant Bail-in Legislation;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“BRRD” means Directive 2014/59/EU establishing a framework for the recovery and resolution of credit institutions and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firms;</w:t>
      </w:r>
    </w:p>
    <w:p>
      <w:pPr>
        <w:spacing w:after="0" w:line="207"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“BRRD Liability” means a liability in respect of which the relevant Write-down and Conversion Powers in the applicable Bail-in Legislation may be exercised;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“BRRD Party” means each Underwriter that is subject to Bail-in Legislation;</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“EU Bail-in Legislation Schedule” means the document described as such, then in effect, and published by the Loan Market Association (or any successor person) from time to time at http://www.lma.eu.com/pages.aspx?p=499;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“Relevant Resolution Authority” means the resolution authority with the ability to exercise any Bail-in Powers in relation to the Relevant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BRRD Party.</w:t>
      </w:r>
    </w:p>
    <w:p>
      <w:pPr>
        <w:spacing w:after="0" w:line="99" w:lineRule="exact"/>
        <w:rPr>
          <w:sz w:val="20"/>
          <w:szCs w:val="20"/>
          <w:color w:val="auto"/>
        </w:rPr>
      </w:pPr>
    </w:p>
    <w:p>
      <w:pPr>
        <w:ind w:right="20" w:firstLine="987"/>
        <w:spacing w:after="0" w:line="261" w:lineRule="auto"/>
        <w:tabs>
          <w:tab w:leader="none" w:pos="12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Notwithstanding and to the exclusion of any other term of this Agreement or any other agreements, arrangements, or understanding between the parties to this Agreement, each of the parties to this Agreement acknowledges and accepts that a UK Bail-in Liability arising under this Agreement may be subject to the exercise of UK Bail-in Powers by the relevant UK resolution authority, and acknowledges, accepts, and agrees to be bound by:</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69" w:name="page70"/>
    <w:bookmarkEnd w:id="69"/>
    <w:p>
      <w:pPr>
        <w:ind w:left="960" w:right="120" w:firstLine="7"/>
        <w:spacing w:after="0" w:line="266" w:lineRule="auto"/>
        <w:tabs>
          <w:tab w:leader="none" w:pos="11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 of the exercise of UK Bail-in Powers by the relevant UK resolution authority in relation to any UK Bail-in Liability of a UK Bail-in Party (the “Relevant UK Bail-in Party”) to the Company under this agreement that (without limitation) may include and result in any of the following, or some combination thereof:</w:t>
      </w:r>
    </w:p>
    <w:p>
      <w:pPr>
        <w:spacing w:after="0" w:line="67" w:lineRule="exact"/>
        <w:rPr>
          <w:rFonts w:ascii="Times New Roman" w:cs="Times New Roman" w:eastAsia="Times New Roman" w:hAnsi="Times New Roman"/>
          <w:sz w:val="18"/>
          <w:szCs w:val="18"/>
          <w:color w:val="auto"/>
        </w:rPr>
      </w:pPr>
    </w:p>
    <w:p>
      <w:pPr>
        <w:ind w:left="1700" w:hanging="292"/>
        <w:spacing w:after="0"/>
        <w:tabs>
          <w:tab w:leader="none" w:pos="1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UK Bail-in Liability or outstanding amounts due thereon;</w:t>
      </w:r>
    </w:p>
    <w:p>
      <w:pPr>
        <w:spacing w:after="0" w:line="117" w:lineRule="exact"/>
        <w:rPr>
          <w:rFonts w:ascii="Times New Roman" w:cs="Times New Roman" w:eastAsia="Times New Roman" w:hAnsi="Times New Roman"/>
          <w:sz w:val="18"/>
          <w:szCs w:val="18"/>
          <w:color w:val="auto"/>
        </w:rPr>
      </w:pPr>
    </w:p>
    <w:p>
      <w:pPr>
        <w:ind w:left="1400" w:right="20" w:firstLine="8"/>
        <w:spacing w:after="0" w:line="282" w:lineRule="auto"/>
        <w:tabs>
          <w:tab w:leader="none" w:pos="16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UK Bail-in Liability into shares, other securities or other obligations of the relevant UK Bail-in Party or another person, and the issue to or conferral on the Company of such shares, securities or obligations;</w:t>
      </w:r>
    </w:p>
    <w:p>
      <w:pPr>
        <w:spacing w:after="0" w:line="53" w:lineRule="exact"/>
        <w:rPr>
          <w:rFonts w:ascii="Times New Roman" w:cs="Times New Roman" w:eastAsia="Times New Roman" w:hAnsi="Times New Roman"/>
          <w:sz w:val="18"/>
          <w:szCs w:val="18"/>
          <w:color w:val="auto"/>
        </w:rPr>
      </w:pPr>
    </w:p>
    <w:p>
      <w:pPr>
        <w:ind w:left="1700" w:hanging="292"/>
        <w:spacing w:after="0"/>
        <w:tabs>
          <w:tab w:leader="none" w:pos="1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UK Bail-in Liability; and/or</w:t>
      </w:r>
    </w:p>
    <w:p>
      <w:pPr>
        <w:spacing w:after="0" w:line="117" w:lineRule="exact"/>
        <w:rPr>
          <w:rFonts w:ascii="Times New Roman" w:cs="Times New Roman" w:eastAsia="Times New Roman" w:hAnsi="Times New Roman"/>
          <w:sz w:val="18"/>
          <w:szCs w:val="18"/>
          <w:color w:val="auto"/>
        </w:rPr>
      </w:pPr>
    </w:p>
    <w:p>
      <w:pPr>
        <w:ind w:left="1400" w:right="360" w:firstLine="8"/>
        <w:spacing w:after="0" w:line="282" w:lineRule="auto"/>
        <w:tabs>
          <w:tab w:leader="none" w:pos="16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53" w:lineRule="exact"/>
        <w:rPr>
          <w:rFonts w:ascii="Times New Roman" w:cs="Times New Roman" w:eastAsia="Times New Roman" w:hAnsi="Times New Roman"/>
          <w:sz w:val="18"/>
          <w:szCs w:val="18"/>
          <w:color w:val="auto"/>
        </w:rPr>
      </w:pPr>
    </w:p>
    <w:p>
      <w:pPr>
        <w:ind w:left="960" w:right="20" w:firstLine="7"/>
        <w:spacing w:after="0" w:line="282" w:lineRule="auto"/>
        <w:tabs>
          <w:tab w:leader="none" w:pos="12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UK resolution authority, to give effect to the exercise of UK Bail-in Powers by the relevant UK resolution authority.</w:t>
      </w:r>
    </w:p>
    <w:p>
      <w:pPr>
        <w:spacing w:after="0" w:line="54" w:lineRule="exact"/>
        <w:rPr>
          <w:sz w:val="20"/>
          <w:szCs w:val="20"/>
          <w:color w:val="auto"/>
        </w:rPr>
      </w:pPr>
    </w:p>
    <w:p>
      <w:pPr>
        <w:ind w:left="960" w:firstLine="7"/>
        <w:spacing w:after="0" w:line="254" w:lineRule="auto"/>
        <w:tabs>
          <w:tab w:leader="none" w:pos="1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14, “UK Bail-in Legislation”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 “UK Bail-in Liability” means a liability in respect of which the UK Bail-in Powers may be exercised; “UK Bail-in Party” means a party subject to the UK Bail-in Legislation; “UK Bail-in Powers”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spacing w:after="0" w:line="80" w:lineRule="exact"/>
        <w:rPr>
          <w:sz w:val="20"/>
          <w:szCs w:val="20"/>
          <w:color w:val="auto"/>
        </w:rPr>
      </w:pPr>
    </w:p>
    <w:p>
      <w:pPr>
        <w:ind w:left="-20" w:right="80" w:firstLine="987"/>
        <w:spacing w:after="0" w:line="261" w:lineRule="auto"/>
        <w:tabs>
          <w:tab w:leader="none" w:pos="12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70" w:name="page71"/>
    <w:bookmarkEnd w:id="70"/>
    <w:p>
      <w:pPr>
        <w:ind w:left="4" w:firstLine="987"/>
        <w:spacing w:after="0" w:line="261" w:lineRule="auto"/>
        <w:tabs>
          <w:tab w:leader="none" w:pos="12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15:</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204" w:hanging="213"/>
        <w:spacing w:after="0"/>
        <w:tabs>
          <w:tab w:leader="none" w:pos="12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264" w:hanging="264"/>
        <w:spacing w:after="0"/>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98"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6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purposes of the requirements of Article 9(8) of the MIFID Product Governance rules under EU Delegated Directive 2017/593 (the “EU MiFID Product Governance Rules”) regarding the mutual responsibilities of manufacturers under the EU MiFID Product Governance Rules:</w:t>
      </w:r>
    </w:p>
    <w:p>
      <w:pPr>
        <w:spacing w:after="0" w:line="68" w:lineRule="exact"/>
        <w:rPr>
          <w:sz w:val="20"/>
          <w:szCs w:val="20"/>
          <w:color w:val="auto"/>
        </w:rPr>
      </w:pPr>
    </w:p>
    <w:p>
      <w:pPr>
        <w:jc w:val="both"/>
        <w:ind w:left="4" w:right="60" w:firstLine="987"/>
        <w:spacing w:after="0" w:line="266" w:lineRule="auto"/>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Bank AG, London Branch ( the “EU Manufacturer”) understands the responsibilities conferred upon it under the EU MiFID Product Governance Rules relating to each of the product approval process, the target market and the proposed distribution channels as applying to the Securities and the related information set out in the Prospectus and announcements in connection with the Designated Securities; and</w:t>
      </w:r>
    </w:p>
    <w:p>
      <w:pPr>
        <w:spacing w:after="0" w:line="67"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Underwriters and the Company note the application of the EU MiFID Product Governance Rules and acknowledge the target market and distribution channels identified as applying to the Designated Securities by the EU Manufacturer and the related information set out in the Prospectus and announcements in connection with the Designated Securities.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4"/>
          </w:cols>
          <w:pgMar w:left="436" w:top="270" w:right="519" w:bottom="1440" w:gutter="0" w:footer="0" w:header="0"/>
        </w:sectPr>
      </w:pPr>
    </w:p>
    <w:bookmarkStart w:id="71" w:name="page72"/>
    <w:bookmarkEnd w:id="71"/>
    <w:p>
      <w:pPr>
        <w:ind w:firstLine="987"/>
        <w:spacing w:after="0" w:line="312" w:lineRule="auto"/>
        <w:tabs>
          <w:tab w:leader="none" w:pos="126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the purposes of the requirements of 3.2.7R of the FCA Handbook Product Intervention and Product Governance Sourcebook (the “UK MiFIR Product Governance Rules”) regarding the mutual responsibilities of manufacturers under the UK MiFIR Product Governance Rules:</w:t>
      </w:r>
    </w:p>
    <w:p>
      <w:pPr>
        <w:spacing w:after="0" w:line="31" w:lineRule="exact"/>
        <w:rPr>
          <w:rFonts w:ascii="Times New Roman" w:cs="Times New Roman" w:eastAsia="Times New Roman" w:hAnsi="Times New Roman"/>
          <w:sz w:val="17"/>
          <w:szCs w:val="17"/>
          <w:color w:val="auto"/>
        </w:rPr>
      </w:pPr>
    </w:p>
    <w:p>
      <w:pPr>
        <w:ind w:left="540" w:firstLine="425"/>
        <w:spacing w:after="0" w:line="258" w:lineRule="auto"/>
        <w:tabs>
          <w:tab w:leader="none" w:pos="12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Deutsche Bank AG, London Branch, HSBC Bank plc and J.P. Morgan Securities plc (each a “UK Manufacturer” and, together the “UK Manufacturers”) acknowledges to the other UK Manufacturer that it understands the responsibilities conferred upon it under the UK MiFIR Product Governance Rules relating to each of the product approval process, the target market and the proposed distribution channels as applying to the Designated Securities and the related information set out in the Prospectus and announcements in connection with the Designated Securities; and</w:t>
      </w:r>
    </w:p>
    <w:p>
      <w:pPr>
        <w:spacing w:after="0" w:line="75" w:lineRule="exact"/>
        <w:rPr>
          <w:rFonts w:ascii="Times New Roman" w:cs="Times New Roman" w:eastAsia="Times New Roman" w:hAnsi="Times New Roman"/>
          <w:sz w:val="18"/>
          <w:szCs w:val="18"/>
          <w:color w:val="auto"/>
        </w:rPr>
      </w:pPr>
    </w:p>
    <w:p>
      <w:pPr>
        <w:jc w:val="both"/>
        <w:ind w:left="540" w:right="40" w:firstLine="425"/>
        <w:spacing w:after="0" w:line="266" w:lineRule="auto"/>
        <w:tabs>
          <w:tab w:leader="none" w:pos="12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Underwriters and the Company note the application of the UK MiFIR Product Governance Rules and acknowledge the target market and distribution channels identified as applying to the Designated Securities by the UK Manufacturers and the related information set out in the Prospectus in connection with the Designated Securities.</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resolution measure is taken in relation to any BRRD undertaking or any member of the same group as that BRRD undertaking and that BRRD undertaking or any member of the same group as that BRRD undertaking is a party to this Agreement (any such party being an “Affected Party”), each other party to this Agreement agrees that it shall only be entitled to exercise any termination right under this Agreement against the Affected Party to the extent that it would be entitled to do so under the Special Resolution Regime if this Agreement were governed by the laws of any part of the United Kingdom. For purposes of this Section 18: “resolution measure” means a “crisis prevention measure,” “crisis management measure” or “recognised third-country resolution action,” each with the meaning given in the “PRA Rulebook: CRR Firms and Non-Authorised Persons: Stay in Resolution Instrument 2015,” as may be amended from time to time (the “PRA Contractual Stay Rules”); provided, however, that “crisis prevention measure” shall be interpreted in the manner outlined in Rule 2.3 of the PRA Contractual Stay Rules; “BRRD undertaking,” “group,” “Special Resolution Regime” and “termination right” have the respective meanings given in the PRA Contractual Stay Rules.</w:t>
      </w:r>
    </w:p>
    <w:p>
      <w:pPr>
        <w:spacing w:after="0" w:line="80" w:lineRule="exact"/>
        <w:rPr>
          <w:rFonts w:ascii="Times New Roman" w:cs="Times New Roman" w:eastAsia="Times New Roman" w:hAnsi="Times New Roman"/>
          <w:sz w:val="18"/>
          <w:szCs w:val="18"/>
          <w:color w:val="auto"/>
        </w:rPr>
      </w:pPr>
    </w:p>
    <w:p>
      <w:pPr>
        <w:ind w:right="20" w:firstLine="987"/>
        <w:spacing w:after="0" w:line="289" w:lineRule="auto"/>
        <w:tabs>
          <w:tab w:leader="none" w:pos="126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49" w:lineRule="exact"/>
        <w:rPr>
          <w:rFonts w:ascii="Times New Roman" w:cs="Times New Roman" w:eastAsia="Times New Roman" w:hAnsi="Times New Roman"/>
          <w:sz w:val="17"/>
          <w:szCs w:val="17"/>
          <w:color w:val="auto"/>
        </w:rPr>
      </w:pPr>
    </w:p>
    <w:p>
      <w:pPr>
        <w:ind w:right="120" w:firstLine="987"/>
        <w:spacing w:after="0" w:line="256" w:lineRule="auto"/>
        <w:tabs>
          <w:tab w:leader="none" w:pos="126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to the address of the Representatives as set forth in the Pricing Agreement; and if to the Company shall be delivered or sent by mail to the address of the Company set forth in the Registration Statement: Attention: Secretary; provided, however, that any notice to an Underwriter pursuant to Section 9(c) hereof shall be delivered or sent by mail to such Underwriter at its address set forth in its Underwriters’ Questionnaire, which address will be supplied to the Company by the Representatives upon request. Any such statements, requests, notices or agreements shall take effect upon receipt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72" w:name="page73"/>
    <w:bookmarkEnd w:id="72"/>
    <w:p>
      <w:pPr>
        <w:ind w:left="-20" w:firstLine="987"/>
        <w:spacing w:after="0" w:line="253" w:lineRule="auto"/>
        <w:tabs>
          <w:tab w:leader="none" w:pos="12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and agrees that the Underwriters are acting solely in the capacity of an arm’s length contractual counterparty to the Company with respect to the offering of the Designated Securities contemplated hereby (including in connection with determining the terms of the offering of the Designated Securities) and not as a financial advisor or a fiduciary to, or agent of, the Company or any other person. Additionally, the Underwriters are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86"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71" w:lineRule="exact"/>
        <w:rPr>
          <w:rFonts w:ascii="Times New Roman" w:cs="Times New Roman" w:eastAsia="Times New Roman" w:hAnsi="Times New Roman"/>
          <w:sz w:val="18"/>
          <w:szCs w:val="18"/>
          <w:color w:val="auto"/>
        </w:rPr>
      </w:pPr>
    </w:p>
    <w:p>
      <w:pPr>
        <w:ind w:left="-20" w:right="220" w:firstLine="987"/>
        <w:spacing w:after="0" w:line="277" w:lineRule="auto"/>
        <w:tabs>
          <w:tab w:leader="none" w:pos="124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agree as between themselves that they will be bound by and will comply with the International Capital Market Association Agreement Among Managers Version 1/New York Law Schedule (the “Agreement Among Managers”) as amended in the manner set out below: For purposes of the Agreement Among Managers, “Managers” means the Underwriters and the Underwriters shall be joint “Lead Managers,” “Settlement Lead Manager” and “Stabilisation Manager” mean HSBC Bank plc and “Subscription Agreement” means the Underwriting Agreement. Clause 3 of the Agreement Among Managers shall be deleted in its entirety and replaced with Section 10 of this Underwriting Agreement.</w:t>
      </w:r>
    </w:p>
    <w:p>
      <w:pPr>
        <w:spacing w:after="0" w:line="59" w:lineRule="exact"/>
        <w:rPr>
          <w:rFonts w:ascii="Times New Roman" w:cs="Times New Roman" w:eastAsia="Times New Roman" w:hAnsi="Times New Roman"/>
          <w:sz w:val="17"/>
          <w:szCs w:val="17"/>
          <w:color w:val="auto"/>
        </w:rPr>
      </w:pPr>
    </w:p>
    <w:p>
      <w:pPr>
        <w:ind w:left="-20" w:firstLine="987"/>
        <w:spacing w:after="0" w:line="254" w:lineRule="auto"/>
        <w:tabs>
          <w:tab w:leader="none" w:pos="12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of the Designated Securities HSBC Bank plc (in this capacity, the “Stabilizing Manager”) (or any person acting on behalf of the Stabilizing Manager) may over-allot Securities or effect transactions with a view to supporting the market price of the Designated Securities at a level higher than that which might otherwise prevail. However, stabilization may not necessarily occur. Any stabilization action may begin on or after the date on which adequate public disclosure of the final terms of the offer of the Designated Securities is made, and, if begun, may cease at any time. Such stabilization shall be carried out in accordance with applicable laws and regulations. Any loss or profit sustained as a consequence of any such over-allotment or stabilization shall be for the account of the Stabilizing Manager. The Stabilizing Manager may conduct these transactions in the over-the-counter market or otherwise. If the Stabilizing Manager commences any stabilization action, it may discontinue them at any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70" w:right="459" w:bottom="1440" w:gutter="0" w:footer="0" w:header="0"/>
        </w:sectPr>
      </w:pPr>
    </w:p>
    <w:bookmarkStart w:id="73" w:name="page74"/>
    <w:bookmarkEnd w:id="73"/>
    <w:p>
      <w:pPr>
        <w:ind w:firstLine="987"/>
        <w:spacing w:after="0" w:line="258" w:lineRule="auto"/>
        <w:tabs>
          <w:tab w:leader="none" w:pos="12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and the Pricing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or the Pricing Agreement. No purchaser of any of the Securities from any Underwriter shall be deemed a successor or assign by reason merely of such purchase.</w:t>
      </w:r>
    </w:p>
    <w:p>
      <w:pPr>
        <w:spacing w:after="0" w:line="75" w:lineRule="exact"/>
        <w:rPr>
          <w:rFonts w:ascii="Times New Roman" w:cs="Times New Roman" w:eastAsia="Times New Roman" w:hAnsi="Times New Roman"/>
          <w:sz w:val="18"/>
          <w:szCs w:val="18"/>
          <w:color w:val="auto"/>
        </w:rPr>
      </w:pPr>
    </w:p>
    <w:p>
      <w:pPr>
        <w:ind w:right="320" w:firstLine="987"/>
        <w:spacing w:after="0" w:line="282" w:lineRule="auto"/>
        <w:tabs>
          <w:tab w:leader="none" w:pos="12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the Pricing Agreement. As used herein, “business day” shall mean any day when the Commission’s office in Washington, D.C. is open for business.</w:t>
      </w:r>
    </w:p>
    <w:p>
      <w:pPr>
        <w:spacing w:after="0" w:line="53" w:lineRule="exact"/>
        <w:rPr>
          <w:rFonts w:ascii="Times New Roman" w:cs="Times New Roman" w:eastAsia="Times New Roman" w:hAnsi="Times New Roman"/>
          <w:sz w:val="18"/>
          <w:szCs w:val="18"/>
          <w:color w:val="auto"/>
        </w:rPr>
      </w:pPr>
    </w:p>
    <w:p>
      <w:pPr>
        <w:ind w:right="140" w:firstLine="987"/>
        <w:spacing w:after="0" w:line="282" w:lineRule="auto"/>
        <w:tabs>
          <w:tab w:leader="none" w:pos="12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PRICING AGREEMENT SHALL BE GOVERNED BY AND CONSTRUED IN ACCORDANCE WITH THE LAWS OF THE STATE OF NEW YORK.</w:t>
      </w:r>
    </w:p>
    <w:p>
      <w:pPr>
        <w:spacing w:after="0" w:line="53" w:lineRule="exact"/>
        <w:rPr>
          <w:rFonts w:ascii="Times New Roman" w:cs="Times New Roman" w:eastAsia="Times New Roman" w:hAnsi="Times New Roman"/>
          <w:sz w:val="18"/>
          <w:szCs w:val="18"/>
          <w:color w:val="auto"/>
        </w:rPr>
      </w:pPr>
    </w:p>
    <w:p>
      <w:pPr>
        <w:jc w:val="both"/>
        <w:ind w:right="100" w:firstLine="987"/>
        <w:spacing w:after="0" w:line="289" w:lineRule="auto"/>
        <w:tabs>
          <w:tab w:leader="none" w:pos="126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THE UNDERWRITERS HEREBY IRREVOCABLY WAIVE, TO THE FULLEST EXTENT PERMITTED BY APPLICABLE LAW, ANY AND ALL RIGHT TO TRIAL BY JURY IN ANY LEGAL PROCEEDING ARISING OUT OF OR RELATING TO THIS AGREEMENT OR THE PRICING AGREEMENT OR THE TRANSACTIONS CONTEMPLATED HEREBY OR THEREBY.</w:t>
      </w:r>
    </w:p>
    <w:p>
      <w:pPr>
        <w:spacing w:after="0" w:line="49" w:lineRule="exact"/>
        <w:rPr>
          <w:rFonts w:ascii="Times New Roman" w:cs="Times New Roman" w:eastAsia="Times New Roman" w:hAnsi="Times New Roman"/>
          <w:sz w:val="17"/>
          <w:szCs w:val="17"/>
          <w:color w:val="auto"/>
        </w:rPr>
      </w:pPr>
    </w:p>
    <w:p>
      <w:pPr>
        <w:ind w:right="40" w:firstLine="987"/>
        <w:spacing w:after="0" w:line="254" w:lineRule="auto"/>
        <w:tabs>
          <w:tab w:leader="none" w:pos="12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amount due hereunder in U.S. dollars, euro or any other specified currency (the “Relevant Currency”) is of the essence. To the fullest extent permitted by law, the obligations of the Company in respect of any amount due under this Agreement must,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person owing such payment shall pay such additional amounts, in the Relevant Currency, as may be necessary to compensate for the shortfall. Any obligation of any party not discharged by such payment shall, to the fullest extent permitted by applicable law, be due as a separate and independent obligation and, until discharged as provided herein, shall continue in full force and effect.</w:t>
      </w:r>
    </w:p>
    <w:p>
      <w:pPr>
        <w:spacing w:after="0" w:line="80" w:lineRule="exact"/>
        <w:rPr>
          <w:rFonts w:ascii="Times New Roman" w:cs="Times New Roman" w:eastAsia="Times New Roman" w:hAnsi="Times New Roman"/>
          <w:sz w:val="18"/>
          <w:szCs w:val="18"/>
          <w:color w:val="auto"/>
        </w:rPr>
      </w:pPr>
    </w:p>
    <w:p>
      <w:pPr>
        <w:ind w:right="40" w:firstLine="987"/>
        <w:spacing w:after="0" w:line="258" w:lineRule="auto"/>
        <w:tabs>
          <w:tab w:leader="none" w:pos="12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each Underwriter, its directors, officers, affiliates and each 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“judgment currency”) other than U.S. dollars and as a result of any variation as between (i) the rate of exchange at which the U.S. dollar amount is converted into the judgment currency for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74" w:name="page75"/>
    <w:bookmarkEnd w:id="7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72" w:lineRule="exact"/>
        <w:rPr>
          <w:sz w:val="20"/>
          <w:szCs w:val="20"/>
          <w:color w:val="auto"/>
        </w:rPr>
      </w:pPr>
    </w:p>
    <w:p>
      <w:pPr>
        <w:ind w:right="80" w:firstLine="987"/>
        <w:spacing w:after="0" w:line="277" w:lineRule="auto"/>
        <w:tabs>
          <w:tab w:leader="none" w:pos="126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and the Pricing Agreement may be executed by any one or more of the parties hereto and thereto in any number of counterparts, each of which shall be deemed to be an original, but all such respective counterparts shall together constitute one and the same instrument. Counterparts may be delivered via electronic mail (including any electronic signature covered by the U.S. federal ESIGN Act of 2000, Uniform Electronic Transactions Act, the Electronic Signatures and Records Act or other applicable law, e.g., </w:t>
      </w:r>
      <w:r>
        <w:rPr>
          <w:rFonts w:ascii="Times New Roman" w:cs="Times New Roman" w:eastAsia="Times New Roman" w:hAnsi="Times New Roman"/>
          <w:sz w:val="17"/>
          <w:szCs w:val="17"/>
          <w:u w:val="single" w:color="auto"/>
          <w:color w:val="auto"/>
        </w:rPr>
        <w:t>www.docusign.com</w:t>
      </w:r>
      <w:r>
        <w:rPr>
          <w:rFonts w:ascii="Times New Roman" w:cs="Times New Roman" w:eastAsia="Times New Roman" w:hAnsi="Times New Roman"/>
          <w:sz w:val="17"/>
          <w:szCs w:val="17"/>
          <w:color w:val="auto"/>
        </w:rPr>
        <w:t>)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agreement as of the date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James M.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James M. Moran</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Title: Vice President, Treasurer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9039"/>
          </w:cols>
          <w:pgMar w:left="1420" w:top="270" w:right="1440" w:bottom="1440" w:gutter="0" w:footer="0" w:header="0"/>
        </w:sectPr>
      </w:pPr>
    </w:p>
    <w:bookmarkStart w:id="76" w:name="page77"/>
    <w:bookmarkEnd w:id="7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 (with respect to, but subject to the terms of, the Pricing Agreement to which the undersigned is or is deemed to be a signatory):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Ritu Ketkar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Ryan Montgomery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540"/>
          </w:cols>
          <w:pgMar w:left="440" w:top="270" w:right="9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Paul Phelps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SECURITIES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Francesca Schmidt-Fischer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Francesca Schmidt-Fischer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MERRILL LYNCH INTERNATIONAL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Angus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Angus Reynolds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CITIGROUP GLOBAL MARKETS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Paula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Paula Clarke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Delegated Signatory</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R.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Jonathan R. Zwart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BANK N.V., Belgian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Valentine Goudt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Valentine Goudt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Legal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Romke van der Weerdt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Romke van der Weerdt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Rafael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Rafael Ribeiro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Pasquale A. Perraglia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Pasquale A. Perraglia IV</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SCOTIABANK (IRELAND) DESIGNATED ACTIVITY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Pauline Donohoe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Pauline Donohoe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Head of Capital Markets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SIDAC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James Walter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of Legal, Europe</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ACADEMY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Anthony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Anthony Johnson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Compliance Analyst</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Mike Dullaghan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Mike Dullaghan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87" w:name="page88"/>
    <w:bookmarkEnd w:id="87"/>
    <w:p>
      <w:pPr>
        <w:ind w:left="102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PRICING AGREEMENT</w:t>
            </w:r>
          </w:p>
        </w:tc>
        <w:tc>
          <w:tcPr>
            <w:tcW w:w="0" w:type="dxa"/>
            <w:vAlign w:val="bottom"/>
          </w:tcPr>
          <w:p>
            <w:pPr>
              <w:spacing w:after="0"/>
              <w:rPr>
                <w:sz w:val="1"/>
                <w:szCs w:val="1"/>
                <w:color w:val="auto"/>
              </w:rPr>
            </w:pPr>
          </w:p>
        </w:tc>
      </w:tr>
      <w:tr>
        <w:trPr>
          <w:trHeight w:val="44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Limited</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and the other several Underwriters</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named in Schedule I hereto,</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 Deutsche Bank AG, London Branch</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Citigroup Global Markets Limited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21 Moorfields</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Citigroup Centre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EC2Y 9DB</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Canada Square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Canary Wharf</w:t>
            </w:r>
          </w:p>
        </w:tc>
        <w:tc>
          <w:tcPr>
            <w:tcW w:w="0" w:type="dxa"/>
            <w:vAlign w:val="bottom"/>
          </w:tcPr>
          <w:p>
            <w:pPr>
              <w:spacing w:after="0"/>
              <w:rPr>
                <w:sz w:val="1"/>
                <w:szCs w:val="1"/>
                <w:color w:val="auto"/>
              </w:rPr>
            </w:pPr>
          </w:p>
        </w:tc>
      </w:tr>
      <w:tr>
        <w:trPr>
          <w:trHeight w:val="21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London E14 5LB</w:t>
            </w: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33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3"/>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 Canada Square</w:t>
            </w: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72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E14 5HQ</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Goldman Sachs &amp; Co. LLC</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200 West Street</w:t>
            </w:r>
          </w:p>
        </w:tc>
        <w:tc>
          <w:tcPr>
            <w:tcW w:w="0" w:type="dxa"/>
            <w:vAlign w:val="bottom"/>
          </w:tcPr>
          <w:p>
            <w:pPr>
              <w:spacing w:after="0"/>
              <w:rPr>
                <w:sz w:val="1"/>
                <w:szCs w:val="1"/>
                <w:color w:val="auto"/>
              </w:rPr>
            </w:pPr>
          </w:p>
        </w:tc>
      </w:tr>
      <w:tr>
        <w:trPr>
          <w:trHeight w:val="234"/>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New York, New York 10282-2198</w:t>
            </w:r>
          </w:p>
        </w:tc>
        <w:tc>
          <w:tcPr>
            <w:tcW w:w="0" w:type="dxa"/>
            <w:vAlign w:val="bottom"/>
          </w:tcPr>
          <w:p>
            <w:pPr>
              <w:spacing w:after="0"/>
              <w:rPr>
                <w:sz w:val="1"/>
                <w:szCs w:val="1"/>
                <w:color w:val="auto"/>
              </w:rPr>
            </w:pPr>
          </w:p>
        </w:tc>
      </w:tr>
      <w:tr>
        <w:trPr>
          <w:trHeight w:val="103"/>
        </w:trPr>
        <w:tc>
          <w:tcPr>
            <w:tcW w:w="372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25 Bank Street</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Canary Wharf</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Avenue Marnix 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E14 5JP</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1000 Brussels</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31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 King Edward Street</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EC1A 1HQ</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991"/>
        <w:spacing w:after="0" w:line="273" w:lineRule="auto"/>
        <w:rPr>
          <w:sz w:val="20"/>
          <w:szCs w:val="20"/>
          <w:color w:val="auto"/>
        </w:rPr>
      </w:pPr>
      <w:r>
        <w:rPr>
          <w:rFonts w:ascii="Times New Roman" w:cs="Times New Roman" w:eastAsia="Times New Roman" w:hAnsi="Times New Roman"/>
          <w:sz w:val="17"/>
          <w:szCs w:val="17"/>
          <w:color w:val="auto"/>
        </w:rPr>
        <w:t>Dover Corporation, a Delaware corporation (the “Company”), proposes, subject to the terms and conditions stated herein and in the Underwriting Agreement, dated [●], 2026 (the “Underwriting Agreement”), to issue and sell to the several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Pricing Prospectus, the Pricing Disclosure Package and the Prospectus in Section 2 of the Underwriting Agreement shall be deemed to be a representation or warranty as of the date of the Underwriting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20"/>
          </w:cols>
          <w:pgMar w:left="440" w:top="270" w:right="439" w:bottom="1440" w:gutter="0" w:footer="0" w:header="0"/>
        </w:sectPr>
      </w:pPr>
    </w:p>
    <w:bookmarkStart w:id="88" w:name="page89"/>
    <w:bookmarkEnd w:id="8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the Pricing Prospectus, the Pricing Disclosure Package and the Prospectus, and also a representation and warranty as of the date of this Pricing Agreement in relation to the Pricing Prospectus, the Pricing Disclosure Package and the Prospectus relating to the Designated Securities which are the subject of this Pricing Agreement. Each reference to the Representatives herein and in the provisions of the Underwriting Agreement so incorporated by reference shall be deemed to refer to you. The Representatives designated to act on behalf of each of the Underwriters of the Designated Securities pursuant to Section 19 of the Underwriting Agreement and the address of the Representatives referred to in such Section 19 are set forth at the end of Schedule II hereto.</w:t>
      </w:r>
    </w:p>
    <w:p>
      <w:pPr>
        <w:spacing w:after="0" w:line="18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Each of the Underwriters agrees that it will not offer or sell any of the Designated Securities in any jurisdiction outside the United States except in circumstances that will result in compliance in all material respects with the applicable laws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Prospectus relating to the Designated Securities, in the form heretofore delivered to you, is now proposed to be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otherwise defined herein, terms defined in the Underwriting Agreement are used herein as therein defined.</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counterparts hereof for the Company and each of the Representatives plus one counterpart for each counsel, and upon acceptance hereof by you, this letter and such acceptance hereof, including the provisions of the Underwriting Agreement incorporated herein by reference, shall constitute a binding agreement between each of the Underwriters and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000"/>
          </w:cols>
          <w:pgMar w:left="440" w:top="270" w:right="459" w:bottom="1440" w:gutter="0" w:footer="0" w:header="0"/>
        </w:sectPr>
      </w:pPr>
    </w:p>
    <w:bookmarkStart w:id="89" w:name="page90"/>
    <w:bookmarkEnd w:id="8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DOVER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I-3</w:t>
      </w:r>
    </w:p>
    <w:p>
      <w:pPr>
        <w:sectPr>
          <w:pgSz w:w="11900" w:h="16838" w:orient="portrait"/>
          <w:cols w:equalWidth="0" w:num="1">
            <w:col w:w="9019"/>
          </w:cols>
          <w:pgMar w:left="1440" w:top="270"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 OF UNDERWRITERS]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17145</wp:posOffset>
            </wp:positionV>
            <wp:extent cx="25374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Principal Amount of</w:t>
            </w:r>
          </w:p>
        </w:tc>
      </w:tr>
      <w:tr>
        <w:trPr>
          <w:trHeight w:val="148"/>
        </w:trPr>
        <w:tc>
          <w:tcPr>
            <w:tcW w:w="9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Designated Securities</w:t>
            </w:r>
          </w:p>
        </w:tc>
      </w:tr>
      <w:tr>
        <w:trPr>
          <w:trHeight w:val="171"/>
        </w:trPr>
        <w:tc>
          <w:tcPr>
            <w:tcW w:w="9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to be Purchased</w:t>
            </w:r>
          </w:p>
        </w:tc>
      </w:tr>
      <w:tr>
        <w:trPr>
          <w:trHeight w:val="156"/>
        </w:trPr>
        <w:tc>
          <w:tcPr>
            <w:tcW w:w="67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Underwriters</w:t>
            </w:r>
          </w:p>
        </w:tc>
        <w:tc>
          <w:tcPr>
            <w:tcW w:w="30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1"/>
        </w:trPr>
        <w:tc>
          <w:tcPr>
            <w:tcW w:w="940" w:type="dxa"/>
            <w:vAlign w:val="bottom"/>
            <w:tcBorders>
              <w:top w:val="single" w:sz="8" w:color="auto"/>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31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314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31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314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Limited</w:t>
            </w:r>
          </w:p>
        </w:tc>
        <w:tc>
          <w:tcPr>
            <w:tcW w:w="31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14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31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314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tc>
        <w:tc>
          <w:tcPr>
            <w:tcW w:w="31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14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4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9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70" w:right="439" w:bottom="1440" w:gutter="0" w:footer="0" w:header="0"/>
        </w:sectPr>
      </w:pPr>
    </w:p>
    <w:bookmarkStart w:id="92" w:name="page93"/>
    <w:bookmarkEnd w:id="9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Designated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 due ___________________ (the “Designated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 of the Designated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 of the principal amount of the Designated Securities, plus accrued interest[, if any,] from ____ to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by Underwriters: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 of the principal amount of the Designated Securities, plus accrued interest[, if any,] from ____ to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Designated Securities:</w:t>
      </w:r>
    </w:p>
    <w:p>
      <w:pPr>
        <w:spacing w:after="0" w:line="225"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[Book-entry only form represented by one or more global notes deposited with Clearstream Banking, société anonyme (“Clearstream”), and Euroclear Bank S.A./N.V., as operator of the Euroclear System (“Euroclear”), to be made available for checking by the Representatives at least twenty-four hours prior to the Time of Delivery at the offices of Clearstream and Euroclear.]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Delivery: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 a.m. ([New York City][London] time), 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440"/>
        <w:spacing w:after="0" w:line="276" w:lineRule="auto"/>
        <w:rPr>
          <w:sz w:val="20"/>
          <w:szCs w:val="20"/>
          <w:color w:val="auto"/>
        </w:rPr>
      </w:pPr>
      <w:r>
        <w:rPr>
          <w:rFonts w:ascii="Times New Roman" w:cs="Times New Roman" w:eastAsia="Times New Roman" w:hAnsi="Times New Roman"/>
          <w:sz w:val="17"/>
          <w:szCs w:val="17"/>
          <w:color w:val="auto"/>
        </w:rPr>
        <w:t>Indenture dated February 8, 2001, between the Company and Bank One Trust Company, N.A. (as predecessor to J.P. Morgan Trust Company National Association, The Bank of New York and The Bank of New York Mellon), as Trustee, as supplemented by the ________ Supplemental</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to be dated ________, 20__, between the Company and The Bank of New York Mellon (as successor to Bank One Trust Company,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 J.P. Morgan Trust Company National Association and The Bank of New York) as Trustee, relating to the Designated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[Floating rate provisions]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0760"/>
          </w:cols>
          <w:pgMar w:left="440" w:top="270" w:right="6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Payment Dates: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[months and dates, commencing ________, 20__</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[Optional redemption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provisions for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Offer Provisions:</w:t>
      </w:r>
    </w:p>
    <w:p>
      <w:pPr>
        <w:spacing w:after="0" w:line="225"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[If a change of control triggering event occurs, the Company will be required, subject to certain conditions, to make an offer to repurchase the Designated Securities at a price equal to 101% of the principal amount of the Designated Securities, plus accrued and unpaid interest to, but excluding, the date of repurchase (all as described in the Company’s preliminary prospectus supplement dated ________, 20__ relating to the Designated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change of control offer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Sinking Fund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sinking fund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[Sinking fund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Defeasance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set forth in the Indenture[, except that references to “U.S. Government Obligations” shall be replaced with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Location for Delivery of Designated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Closing Conditions: ________________</w:t>
      </w:r>
    </w:p>
    <w:p>
      <w:pPr>
        <w:spacing w:after="0" w:line="225" w:lineRule="exact"/>
        <w:rPr>
          <w:sz w:val="20"/>
          <w:szCs w:val="20"/>
          <w:color w:val="auto"/>
        </w:rPr>
      </w:pPr>
    </w:p>
    <w:p>
      <w:pPr>
        <w:jc w:val="center"/>
        <w:ind w:right="7680"/>
        <w:spacing w:after="0"/>
        <w:rPr>
          <w:sz w:val="20"/>
          <w:szCs w:val="20"/>
          <w:color w:val="auto"/>
        </w:rPr>
      </w:pPr>
      <w:r>
        <w:rPr>
          <w:rFonts w:ascii="Times New Roman" w:cs="Times New Roman" w:eastAsia="Times New Roman" w:hAnsi="Times New Roman"/>
          <w:sz w:val="17"/>
          <w:szCs w:val="17"/>
          <w:color w:val="auto"/>
        </w:rPr>
        <w:t>Names and addresses of Representatives:</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Designated Representatives: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 for Notices, etc.:</w:t>
      </w:r>
    </w:p>
    <w:p>
      <w:pPr>
        <w:spacing w:after="0" w:line="1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III-2</w:t>
      </w:r>
    </w:p>
    <w:p>
      <w:pPr>
        <w:sectPr>
          <w:pgSz w:w="11900" w:h="16838" w:orient="portrait"/>
          <w:cols w:equalWidth="0" w:num="1">
            <w:col w:w="10640"/>
          </w:cols>
          <w:pgMar w:left="440" w:top="270" w:right="819" w:bottom="1440" w:gutter="0" w:footer="0" w:header="0"/>
        </w:sectPr>
      </w:pPr>
    </w:p>
    <w:bookmarkStart w:id="94" w:name="page95"/>
    <w:bookmarkEnd w:id="9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___:___ [a.m.][p.m.] ([New York City][London] time), on ________, 20__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List of Free Writing Prospectuses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Final Term Sheet, dated ________, 20__, in the form agreed between the Company and the Representatives on the date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[Additional Free Writing Prospectuses, if 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Terms]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715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6" w:lineRule="exact"/>
        <w:rPr>
          <w:sz w:val="20"/>
          <w:szCs w:val="20"/>
          <w:color w:val="auto"/>
        </w:rPr>
      </w:pPr>
    </w:p>
    <w:p>
      <w:pPr>
        <w:ind w:left="424" w:hanging="424"/>
        <w:spacing w:after="0" w:line="227" w:lineRule="auto"/>
        <w:tabs>
          <w:tab w:leader="none" w:pos="424" w:val="left"/>
        </w:tabs>
        <w:numPr>
          <w:ilvl w:val="0"/>
          <w:numId w:val="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description of particular tax, accounting or other unusual features (such as the addition of event risk provisions) of the Designated Securities should be set forth, or referenced to an attached and accompanying description, if necessary, to ensure agreement as to the terms of the Designated Securities to be purchased and sold. Such a description might appropriately be in the form in which such features will be described in the Prospectus Supplement for the offering.</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III-3</w:t>
      </w:r>
    </w:p>
    <w:p>
      <w:pPr>
        <w:sectPr>
          <w:pgSz w:w="11900" w:h="16838" w:orient="portrait"/>
          <w:cols w:equalWidth="0" w:num="1">
            <w:col w:w="10964"/>
          </w:cols>
          <w:pgMar w:left="436" w:top="270" w:right="4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PRICING AGREEMENT</w:t>
            </w:r>
          </w:p>
        </w:tc>
        <w:tc>
          <w:tcPr>
            <w:tcW w:w="0" w:type="dxa"/>
            <w:vAlign w:val="bottom"/>
          </w:tcPr>
          <w:p>
            <w:pPr>
              <w:spacing w:after="0"/>
              <w:rPr>
                <w:sz w:val="1"/>
                <w:szCs w:val="1"/>
                <w:color w:val="auto"/>
              </w:rPr>
            </w:pPr>
          </w:p>
        </w:tc>
      </w:tr>
      <w:tr>
        <w:trPr>
          <w:trHeight w:val="44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Limited</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and the other several Underwriters</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named in Schedule I hereto,</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 Deutsche Bank AG, London Branch</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Citigroup Global Markets Limited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21 Moorfields</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Citigroup Centre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EC2Y 9DB</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Canada Square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Canary Wharf</w:t>
            </w:r>
          </w:p>
        </w:tc>
        <w:tc>
          <w:tcPr>
            <w:tcW w:w="0" w:type="dxa"/>
            <w:vAlign w:val="bottom"/>
          </w:tcPr>
          <w:p>
            <w:pPr>
              <w:spacing w:after="0"/>
              <w:rPr>
                <w:sz w:val="1"/>
                <w:szCs w:val="1"/>
                <w:color w:val="auto"/>
              </w:rPr>
            </w:pPr>
          </w:p>
        </w:tc>
      </w:tr>
      <w:tr>
        <w:trPr>
          <w:trHeight w:val="21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London E14 5LB</w:t>
            </w: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33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3"/>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 Canada Square</w:t>
            </w: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72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E14 5HQ</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Goldman Sachs &amp; Co. LLC</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200 West Street</w:t>
            </w:r>
          </w:p>
        </w:tc>
        <w:tc>
          <w:tcPr>
            <w:tcW w:w="0" w:type="dxa"/>
            <w:vAlign w:val="bottom"/>
          </w:tcPr>
          <w:p>
            <w:pPr>
              <w:spacing w:after="0"/>
              <w:rPr>
                <w:sz w:val="1"/>
                <w:szCs w:val="1"/>
                <w:color w:val="auto"/>
              </w:rPr>
            </w:pPr>
          </w:p>
        </w:tc>
      </w:tr>
      <w:tr>
        <w:trPr>
          <w:trHeight w:val="234"/>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New York, New York 10282-2198</w:t>
            </w:r>
          </w:p>
        </w:tc>
        <w:tc>
          <w:tcPr>
            <w:tcW w:w="0" w:type="dxa"/>
            <w:vAlign w:val="bottom"/>
          </w:tcPr>
          <w:p>
            <w:pPr>
              <w:spacing w:after="0"/>
              <w:rPr>
                <w:sz w:val="1"/>
                <w:szCs w:val="1"/>
                <w:color w:val="auto"/>
              </w:rPr>
            </w:pPr>
          </w:p>
        </w:tc>
      </w:tr>
      <w:tr>
        <w:trPr>
          <w:trHeight w:val="103"/>
        </w:trPr>
        <w:tc>
          <w:tcPr>
            <w:tcW w:w="372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25 Bank Street</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Canary Wharf</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Avenue Marnix 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E14 5JP</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1000 Brussels</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31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 King Edward Street</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London EC1A 1HQ</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color w:val="auto"/>
        </w:rPr>
        <w:t>October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Dover Corporation, a Delaware corporation (the “Company”), proposes, subject to the terms and conditions stated herein and in the Underwriting Agreement, dated October 26, 2026 (the “Underwriting Agreement”), to issue and sell to the several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Pricing Prospectus, the Pricing Disclosure Package and the Prospectus in Section 2 of the Underwriting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20"/>
          </w:cols>
          <w:pgMar w:left="440" w:top="121" w:right="439" w:bottom="1440" w:gutter="0" w:footer="0" w:header="0"/>
        </w:sectPr>
      </w:pPr>
    </w:p>
    <w:bookmarkStart w:id="96" w:name="page97"/>
    <w:bookmarkEnd w:id="9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shall be deemed to be a representation or warranty as of the date of the Underwriting Agreement in relation to the Pricing Prospectus, the Pricing Disclosure Package and the Prospectus, and also a representation and warranty as of the date of this Pricing Agreement in relation to the Pricing Prospectus, the Pricing Disclosure Package and the Prospectus relating to the Designated Securities which are the subject of this Pricing Agreement. Each reference to the Representatives herein and in the provisions of the Underwriting Agreement so incorporated by reference shall be deemed to refer to you. The Representatives designated to act on behalf of each of the Underwriters of the Designated Securities pursuant to Section 19 of the Underwriting Agreement and the address of the Representatives referred to in such Section 19 are set forth at the end of Schedule II hereto.</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Each of the Underwriters agrees that it will not offer or sell any of the Designated Securities in any jurisdiction outside the United States except in circumstances that will result in compliance in all material respects with the applicable laws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Prospectus relating to the Designated Securities, in the form heretofore delivered to you, is now proposed to be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otherwise defined herein, terms defined in the Underwriting Agreement are used herein as therein defined.</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counterparts hereof for the Company and each of the Representatives plus one counterpart for each counsel, and upon acceptance hereof by you, this letter and such acceptance hereof, including the provisions of the Underwriting Agreement incorporated herein by reference, shall constitute a binding agreement between each of the Underwriters and the Company.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M.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M. Moran</w:t>
      </w:r>
    </w:p>
    <w:p>
      <w:pPr>
        <w:spacing w:after="0" w:line="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Vice President, Treasurer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Pricing Agreement]</w:t>
      </w:r>
    </w:p>
    <w:p>
      <w:pPr>
        <w:sectPr>
          <w:pgSz w:w="11900" w:h="16838" w:orient="portrait"/>
          <w:cols w:equalWidth="0" w:num="1">
            <w:col w:w="9019"/>
          </w:cols>
          <w:pgMar w:left="1440" w:top="270"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Ritu Ketkar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Ryan Montgomery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Paul Phelps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 MORGAN SECURITIES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Francesca Schmidt-Fischer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Francesca Schmidt-Fischer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MERRILL LYNCH INTERNATIONAL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Angus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Angus Reynolds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CITIGROUP GLOBAL MARKETS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Paula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Paula Clarke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 Transaction Execution Group</w:t>
      </w:r>
    </w:p>
    <w:p>
      <w:pPr>
        <w:spacing w:after="0" w:line="153"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R.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Jonathan R. Zwart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Belgian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Kris Devos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Kris Devos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Global Head of Debt Syndicate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Romke van der Weerdt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Romke van der Weerdt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Rafael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Rafael Ribeiro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Pasquale A. Perraglia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Pasquale A. Perraglia IV</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SCOTIABANK (IRELAND) DESIGNATED ACTIVITY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Pauline Donohoe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Pauline Donohoe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Head of Capital Markets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SIDAC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James Walter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of Legal, Europe</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ACADEMY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Anthony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Anthony Johnson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Compliance Analyst</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Mike Dullaghan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Mike Dullaghan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Pricing Agreement]</w:t>
      </w:r>
    </w:p>
    <w:p>
      <w:pPr>
        <w:sectPr>
          <w:pgSz w:w="11900" w:h="16838" w:orient="portrait"/>
          <w:cols w:equalWidth="0" w:num="1">
            <w:col w:w="10019"/>
          </w:cols>
          <w:pgMar w:left="440" w:top="270"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1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9"/>
              </w:rPr>
              <w:t>SCHEDULE I</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r>
      <w:tr>
        <w:trPr>
          <w:trHeight w:val="216"/>
        </w:trPr>
        <w:tc>
          <w:tcPr>
            <w:tcW w:w="9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Designated Securities</w:t>
            </w:r>
          </w:p>
        </w:tc>
      </w:tr>
      <w:tr>
        <w:trPr>
          <w:trHeight w:val="238"/>
        </w:trPr>
        <w:tc>
          <w:tcPr>
            <w:tcW w:w="9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r>
      <w:tr>
        <w:trPr>
          <w:trHeight w:val="156"/>
        </w:trPr>
        <w:tc>
          <w:tcPr>
            <w:tcW w:w="43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Underwriters</w:t>
            </w:r>
          </w:p>
        </w:tc>
        <w:tc>
          <w:tcPr>
            <w:tcW w:w="49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0"/>
        </w:trPr>
        <w:tc>
          <w:tcPr>
            <w:tcW w:w="940" w:type="dxa"/>
            <w:vAlign w:val="bottom"/>
            <w:tcBorders>
              <w:top w:val="single" w:sz="8" w:color="auto"/>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4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168,000,000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176,000,000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4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168,000,000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Limited</w:t>
            </w:r>
          </w:p>
        </w:tc>
        <w:tc>
          <w:tcPr>
            <w:tcW w:w="4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4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tc>
        <w:tc>
          <w:tcPr>
            <w:tcW w:w="4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49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60" w:type="dxa"/>
            <w:vAlign w:val="bottom"/>
          </w:tcPr>
          <w:p>
            <w:pPr>
              <w:spacing w:after="0"/>
              <w:rPr>
                <w:sz w:val="19"/>
                <w:szCs w:val="19"/>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6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5"/>
              </w:rPr>
              <w:t>I-1</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0" w:name="page111"/>
    <w:bookmarkEnd w:id="11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Designated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4.350% Notes due 2030 (the “Designated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€800,000,000 of the Designated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99.917% of the principal amount of the Designated Securities, plus accrued interest, if any, from November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by Underwriters: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99.517% of the principal amount of the Designated Securities, plus accrued interest, if any, from November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Designated Securities:</w:t>
      </w:r>
    </w:p>
    <w:p>
      <w:pPr>
        <w:spacing w:after="0" w:line="223" w:lineRule="exact"/>
        <w:rPr>
          <w:sz w:val="20"/>
          <w:szCs w:val="20"/>
          <w:color w:val="auto"/>
        </w:rPr>
      </w:pPr>
    </w:p>
    <w:p>
      <w:pPr>
        <w:ind w:left="440" w:right="280"/>
        <w:spacing w:after="0" w:line="267" w:lineRule="auto"/>
        <w:rPr>
          <w:sz w:val="20"/>
          <w:szCs w:val="20"/>
          <w:color w:val="auto"/>
        </w:rPr>
      </w:pPr>
      <w:r>
        <w:rPr>
          <w:rFonts w:ascii="Times New Roman" w:cs="Times New Roman" w:eastAsia="Times New Roman" w:hAnsi="Times New Roman"/>
          <w:sz w:val="18"/>
          <w:szCs w:val="18"/>
          <w:color w:val="auto"/>
        </w:rPr>
        <w:t xml:space="preserve">Book-entry only form represented by one or more fully registered global notes deposited with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and Euroclear Bank, S.A./N.V., as operator of the Euroclear System (“Euroclear”), to be made available for checking by the Representatives at least twenty-four hours prior to the Time of Delivery at the offices of Clearstream and Euroclear.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Delivery: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9:00 a.m. (London time), or as soon as possible thereafter, on November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Indenture dated February 8, 2001, between the Company and Bank One Trust Company, N.A. (as predecessor to JP Morgan Trust Company National Association, The Bank of New York and The Bank of New York Mellon), as Trustee, as supplemented by the Tenth Supplemental Indenture, to be dated November 2, 2026, among the Company, The Bank of New York Mellon (as successor to Bank One Trust Company, N.A., JP Morgan Trust Company National Association and The Bank of New York) as Trustee, and The Bank of New York Mellon, London Branch as Paying Agent relating to the Designated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2030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880"/>
          </w:cols>
          <w:pgMar w:left="440" w:top="270" w:right="5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November 2 of each year, commencing November 2,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Record Dates: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October 15 of each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mandatory redemption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may, at its option, redeem the Designated Securities in whole at any time or in part from time to time at the redemption prices as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described under the caption “Description of Notes—Optional Redemption” in the Company’s preliminary prospectus supplement dated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October 26, 2026 relating to the Designated Securities (the “Preliminary Prospectus Supplement”). The redemption price prior to October 2, 2030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 be based on the Comparable Government Bond Rate (as defined in the Preliminary Prospectus Supplement) plus 20 basis points and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redemption price on or after October 2, 2030 will be equal to 100% of the principal amount of the Designated Securities being redeemed.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for Tax Reasons:</w:t>
      </w:r>
    </w:p>
    <w:p>
      <w:pPr>
        <w:spacing w:after="0" w:line="225"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The Company may, at its option, redeem all but not part of the Designated Securities in the event of certain changes in the tax laws of the United States (or any taxing authority in the United States). This redemption would be at 100% of the principal amount, together with accrued and unpaid interest on the Securities to, but excluding, the date fixed for redemption (all as described in the Preliminary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Amounts:</w:t>
      </w:r>
    </w:p>
    <w:p>
      <w:pPr>
        <w:spacing w:after="0" w:line="225"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The Company will, subject to certain exceptions and limitations, pay as additional interest on the Designated Securities such additional amounts as are necessary in order that the net payment by the Company of the principal of, premium, if any and interest on the Designated Securities to a holder who is not a United States person, after withholding or deduction for any present or future tax, assessment or other governmental charge imposed by the United States or a taxing authority in the United States, will not be less than the amount provided in the Designated Securities to be then due and payable (all as described in the Preliminary Prospectus Supplement).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00"/>
          </w:cols>
          <w:pgMar w:left="440" w:top="270"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 Offer Provisions:</w:t>
      </w:r>
    </w:p>
    <w:p>
      <w:pPr>
        <w:spacing w:after="0" w:line="225"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If a change of control triggering event occurs, the Company may be required, subject to certain conditions, to make an offer to repurchase the Designated Securities at a price equal to 101% of the principal amount of the Designated Securities, plus accrued and unpaid interest, if any, to, but excluding, the date of repurchase (all as described in the Company’s preliminary prospectus supplement dated October 26, 2026 relating to the Designated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Sinking Fund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sinking fund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of Payment Provisions:</w:t>
      </w:r>
    </w:p>
    <w:p>
      <w:pPr>
        <w:spacing w:after="0" w:line="225"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All payments of interest and principal, including payments made upon any redemption of the Designated Securities, if any, interest on and additional amounts, if any, will be payable in euros, provided, that if the euro is unavailable to the Company due to the imposition of exchange controls or other circumstances beyond the Company’s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Designated Securities will be made in U.S. dollars until the euro is again available to the Company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The Wall Street Journal on or prior to the second business day prior to the relevant payment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Defeasance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set forth in the Tenth Supplemental Indenture (all as described in the Preliminary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Location for Delivery of Designated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w:t>
      </w:r>
    </w:p>
    <w:p>
      <w:pPr>
        <w:spacing w:after="0" w:line="225"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The Designated Securities will be issued in minimum denominations of €100,000 in principal amount and integral multiples of €1,000 in excess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intends to apply to list the Designated Securities on The New York Stock Exchange.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80"/>
          </w:cols>
          <w:pgMar w:left="440" w:top="270"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Closing Conditions: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 additional closing conditions to those in the Underwriting Agreement.</w:t>
      </w:r>
    </w:p>
    <w:p>
      <w:pPr>
        <w:spacing w:after="0" w:line="237" w:lineRule="exact"/>
        <w:rPr>
          <w:sz w:val="20"/>
          <w:szCs w:val="20"/>
          <w:color w:val="auto"/>
        </w:rPr>
      </w:pPr>
    </w:p>
    <w:p>
      <w:pPr>
        <w:jc w:val="center"/>
        <w:ind w:right="7059"/>
        <w:spacing w:after="0"/>
        <w:rPr>
          <w:sz w:val="20"/>
          <w:szCs w:val="20"/>
          <w:color w:val="auto"/>
        </w:rPr>
      </w:pPr>
      <w:r>
        <w:rPr>
          <w:rFonts w:ascii="Times New Roman" w:cs="Times New Roman" w:eastAsia="Times New Roman" w:hAnsi="Times New Roman"/>
          <w:sz w:val="17"/>
          <w:szCs w:val="17"/>
          <w:color w:val="auto"/>
        </w:rPr>
        <w:t>Names and addresses of Representatives:</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Designated Representatives: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440" w:right="8139" w:hanging="4"/>
        <w:spacing w:after="0" w:line="277" w:lineRule="auto"/>
        <w:tabs>
          <w:tab w:leader="none" w:pos="66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Moorfields London EC2Y 9DB United Kingdom</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HSBC Bank plc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Canada Square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London E14 5HQ</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Bank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Canary Wharf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London E14 5JP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 for Notices, etc.: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440" w:right="7239" w:hanging="4"/>
        <w:spacing w:after="0" w:line="253" w:lineRule="auto"/>
        <w:tabs>
          <w:tab w:leader="none" w:pos="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Moorfields London EC2Y 9DB United Kingdom Telephone: +44 207 545 4361 Attention: DCM Debt Syndicate Email: </w:t>
      </w:r>
      <w:r>
        <w:rPr>
          <w:rFonts w:ascii="Times New Roman" w:cs="Times New Roman" w:eastAsia="Times New Roman" w:hAnsi="Times New Roman"/>
          <w:sz w:val="18"/>
          <w:szCs w:val="18"/>
          <w:u w:val="single" w:color="auto"/>
          <w:color w:val="auto"/>
        </w:rPr>
        <w:t>dcm_london@bofa.com</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HSBC Bank plc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Canada Square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London E14 5HQ</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+44 20 7991 8888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Head of DCM Legal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transaction.management@hsbcib.com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Bank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Canary Wharf</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019"/>
          </w:cols>
          <w:pgMar w:left="440" w:top="270" w:right="1440"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London E14 5JP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Head of Debt Syndicate and Head of EMEA Debt Capital Markets Group,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+44 20 3493 0682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4:35 p.m. (London time), on October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Free Writing Prospectuses: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Final Term Sheet, dated October 26, 2026, in the form agreed between the Company and the Representatives on the date hereof.</w:t>
      </w:r>
    </w:p>
    <w:p>
      <w:pPr>
        <w:spacing w:after="0" w:line="1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II-5</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lowerLetter"/>
      <w:start w:val="4"/>
    </w:lvl>
  </w:abstractNum>
  <w:abstractNum w:abstractNumId="2">
    <w:nsid w:val="6A2342EC"/>
    <w:multiLevelType w:val="hybridMultilevel"/>
    <w:lvl w:ilvl="0">
      <w:lvlJc w:val="left"/>
      <w:lvlText w:val="%1"/>
      <w:numFmt w:val="decimal"/>
      <w:start w:val="104"/>
    </w:lvl>
  </w:abstractNum>
  <w:abstractNum w:abstractNumId="3">
    <w:nsid w:val="2A487CB0"/>
    <w:multiLevelType w:val="hybridMultilevel"/>
    <w:lvl w:ilvl="0">
      <w:lvlJc w:val="left"/>
      <w:lvlText w:val="(%1)"/>
      <w:numFmt w:val="lowerLetter"/>
      <w:start w:val="1"/>
    </w:lvl>
  </w:abstractNum>
  <w:abstractNum w:abstractNumId="4">
    <w:nsid w:val="1D4ED43B"/>
    <w:multiLevelType w:val="hybridMultilevel"/>
    <w:lvl w:ilvl="0">
      <w:lvlJc w:val="left"/>
      <w:lvlText w:val="(%1)"/>
      <w:numFmt w:val="lowerLetter"/>
      <w:start w:val="1"/>
    </w:lvl>
  </w:abstractNum>
  <w:abstractNum w:abstractNumId="5">
    <w:nsid w:val="725A06FB"/>
    <w:multiLevelType w:val="hybridMultilevel"/>
    <w:lvl w:ilvl="0">
      <w:lvlJc w:val="left"/>
      <w:lvlText w:val="(%1)"/>
      <w:numFmt w:val="lowerLetter"/>
      <w:start w:val="3"/>
    </w:lvl>
  </w:abstractNum>
  <w:abstractNum w:abstractNumId="6">
    <w:nsid w:val="2CD89A32"/>
    <w:multiLevelType w:val="hybridMultilevel"/>
    <w:lvl w:ilvl="0">
      <w:lvlJc w:val="left"/>
      <w:lvlText w:val="(%1)"/>
      <w:numFmt w:val="lowerLetter"/>
      <w:start w:val="1"/>
    </w:lvl>
    <w:lvl w:ilvl="1">
      <w:lvlJc w:val="left"/>
      <w:lvlText w:val="(%2)"/>
      <w:numFmt w:val="decimal"/>
      <w:start w:val="1"/>
    </w:lvl>
  </w:abstractNum>
  <w:abstractNum w:abstractNumId="7">
    <w:nsid w:val="57E4CCAF"/>
    <w:multiLevelType w:val="hybridMultilevel"/>
    <w:lvl w:ilvl="0">
      <w:lvlJc w:val="left"/>
      <w:lvlText w:val="(%1)"/>
      <w:numFmt w:val="lowerLetter"/>
      <w:start w:val="6"/>
    </w:lvl>
  </w:abstractNum>
  <w:abstractNum w:abstractNumId="8">
    <w:nsid w:val="7A6D8D3C"/>
    <w:multiLevelType w:val="hybridMultilevel"/>
    <w:lvl w:ilvl="0">
      <w:lvlJc w:val="left"/>
      <w:lvlText w:val="(%1)"/>
      <w:numFmt w:val="lowerLetter"/>
      <w:start w:val="1"/>
    </w:lvl>
  </w:abstractNum>
  <w:abstractNum w:abstractNumId="9">
    <w:nsid w:val="4B588F54"/>
    <w:multiLevelType w:val="hybridMultilevel"/>
    <w:lvl w:ilvl="0">
      <w:lvlJc w:val="left"/>
      <w:lvlText w:val="%1"/>
      <w:numFmt w:val="lowerRoman"/>
      <w:start w:val="1"/>
    </w:lvl>
    <w:lvl w:ilvl="1">
      <w:lvlJc w:val="left"/>
      <w:lvlText w:val="(%2)"/>
      <w:numFmt w:val="lowerLetter"/>
      <w:start w:val="1"/>
    </w:lvl>
  </w:abstractNum>
  <w:abstractNum w:abstractNumId="10">
    <w:nsid w:val="542289EC"/>
    <w:multiLevelType w:val="hybridMultilevel"/>
    <w:lvl w:ilvl="0">
      <w:lvlJc w:val="left"/>
      <w:lvlText w:val="%1"/>
      <w:numFmt w:val="lowerRoman"/>
      <w:start w:val="1"/>
    </w:lvl>
    <w:lvl w:ilvl="1">
      <w:lvlJc w:val="left"/>
      <w:lvlText w:val="(%2)"/>
      <w:numFmt w:val="lowerLetter"/>
      <w:start w:val="9"/>
    </w:lvl>
  </w:abstractNum>
  <w:abstractNum w:abstractNumId="11">
    <w:nsid w:val="6DE91B18"/>
    <w:multiLevelType w:val="hybridMultilevel"/>
    <w:lvl w:ilvl="0">
      <w:lvlJc w:val="left"/>
      <w:lvlText w:val="%1"/>
      <w:numFmt w:val="lowerRoman"/>
      <w:start w:val="1"/>
    </w:lvl>
    <w:lvl w:ilvl="1">
      <w:lvlJc w:val="left"/>
      <w:lvlText w:val="(%2)"/>
      <w:numFmt w:val="lowerLetter"/>
      <w:start w:val="35"/>
    </w:lvl>
  </w:abstractNum>
  <w:abstractNum w:abstractNumId="12">
    <w:nsid w:val="38437FDB"/>
    <w:multiLevelType w:val="hybridMultilevel"/>
    <w:lvl w:ilvl="0">
      <w:lvlJc w:val="left"/>
      <w:lvlText w:val="(%1)"/>
      <w:numFmt w:val="lowerLetter"/>
      <w:start w:val="2"/>
    </w:lvl>
  </w:abstractNum>
  <w:abstractNum w:abstractNumId="13">
    <w:nsid w:val="7644A45C"/>
    <w:multiLevelType w:val="hybridMultilevel"/>
    <w:lvl w:ilvl="0">
      <w:lvlJc w:val="left"/>
      <w:lvlText w:val="(%1)"/>
      <w:numFmt w:val="lowerLetter"/>
      <w:start w:val="1"/>
    </w:lvl>
  </w:abstractNum>
  <w:abstractNum w:abstractNumId="14">
    <w:nsid w:val="32FFF902"/>
    <w:multiLevelType w:val="hybridMultilevel"/>
    <w:lvl w:ilvl="0">
      <w:lvlJc w:val="left"/>
      <w:lvlText w:val="(%1)"/>
      <w:numFmt w:val="lowerLetter"/>
      <w:start w:val="2"/>
    </w:lvl>
    <w:lvl w:ilvl="1">
      <w:lvlJc w:val="left"/>
      <w:lvlText w:val="%2"/>
      <w:numFmt w:val="lowerLetter"/>
      <w:start w:val="1"/>
    </w:lvl>
  </w:abstractNum>
  <w:abstractNum w:abstractNumId="15">
    <w:nsid w:val="684A481A"/>
    <w:multiLevelType w:val="hybridMultilevel"/>
    <w:lvl w:ilvl="0">
      <w:lvlJc w:val="left"/>
      <w:lvlText w:val="(%1)"/>
      <w:numFmt w:val="lowerLetter"/>
      <w:start w:val="9"/>
    </w:lvl>
    <w:lvl w:ilvl="1">
      <w:lvlJc w:val="left"/>
      <w:lvlText w:val="%2"/>
      <w:numFmt w:val="lowerLetter"/>
      <w:start w:val="1"/>
    </w:lvl>
  </w:abstractNum>
  <w:abstractNum w:abstractNumId="16">
    <w:nsid w:val="579478FE"/>
    <w:multiLevelType w:val="hybridMultilevel"/>
    <w:lvl w:ilvl="0">
      <w:lvlJc w:val="left"/>
      <w:lvlText w:val="(%1)"/>
      <w:numFmt w:val="lowerRoman"/>
      <w:start w:val="2"/>
    </w:lvl>
    <w:lvl w:ilvl="1">
      <w:lvlJc w:val="left"/>
      <w:lvlText w:val="(%2)"/>
      <w:numFmt w:val="lowerLetter"/>
      <w:start w:val="3"/>
    </w:lvl>
  </w:abstractNum>
  <w:abstractNum w:abstractNumId="17">
    <w:nsid w:val="749ABB43"/>
    <w:multiLevelType w:val="hybridMultilevel"/>
    <w:lvl w:ilvl="0">
      <w:lvlJc w:val="left"/>
      <w:lvlText w:val="(%1)"/>
      <w:numFmt w:val="lowerLetter"/>
      <w:start w:val="1"/>
    </w:lvl>
  </w:abstractNum>
  <w:abstractNum w:abstractNumId="18">
    <w:nsid w:val="3DC240FB"/>
    <w:multiLevelType w:val="hybridMultilevel"/>
    <w:lvl w:ilvl="0">
      <w:lvlJc w:val="left"/>
      <w:lvlText w:val="(%1)"/>
      <w:numFmt w:val="lowerLetter"/>
      <w:start w:val="6"/>
    </w:lvl>
  </w:abstractNum>
  <w:abstractNum w:abstractNumId="19">
    <w:nsid w:val="1BA026FA"/>
    <w:multiLevelType w:val="hybridMultilevel"/>
    <w:lvl w:ilvl="0">
      <w:lvlJc w:val="left"/>
      <w:lvlText w:val="(%1)"/>
      <w:numFmt w:val="lowerLetter"/>
      <w:start w:val="1"/>
    </w:lvl>
  </w:abstractNum>
  <w:abstractNum w:abstractNumId="20">
    <w:nsid w:val="79A1DEAA"/>
    <w:multiLevelType w:val="hybridMultilevel"/>
    <w:lvl w:ilvl="0">
      <w:lvlJc w:val="left"/>
      <w:lvlText w:val="(%1)"/>
      <w:numFmt w:val="lowerLetter"/>
      <w:start w:val="6"/>
    </w:lvl>
  </w:abstractNum>
  <w:abstractNum w:abstractNumId="21">
    <w:nsid w:val="75C6C33A"/>
    <w:multiLevelType w:val="hybridMultilevel"/>
    <w:lvl w:ilvl="0">
      <w:lvlJc w:val="left"/>
      <w:lvlText w:val="(%1)"/>
      <w:numFmt w:val="lowerLetter"/>
      <w:start w:val="2"/>
    </w:lvl>
  </w:abstractNum>
  <w:abstractNum w:abstractNumId="22">
    <w:nsid w:val="12E685FB"/>
    <w:multiLevelType w:val="hybridMultilevel"/>
    <w:lvl w:ilvl="0">
      <w:lvlJc w:val="left"/>
      <w:lvlText w:val="(%1)"/>
      <w:numFmt w:val="lowerLetter"/>
      <w:start w:val="1"/>
    </w:lvl>
    <w:lvl w:ilvl="1">
      <w:lvlJc w:val="left"/>
      <w:lvlText w:val="(%2)"/>
      <w:numFmt w:val="decimal"/>
      <w:start w:val="1"/>
    </w:lvl>
  </w:abstractNum>
  <w:abstractNum w:abstractNumId="23">
    <w:nsid w:val="70C6A529"/>
    <w:multiLevelType w:val="hybridMultilevel"/>
    <w:lvl w:ilvl="0">
      <w:lvlJc w:val="left"/>
      <w:lvlText w:val="%1"/>
      <w:numFmt w:val="lowerLetter"/>
      <w:start w:val="1"/>
    </w:lvl>
    <w:lvl w:ilvl="1">
      <w:lvlJc w:val="left"/>
      <w:lvlText w:val="(%2)"/>
      <w:numFmt w:val="decimal"/>
      <w:start w:val="2"/>
    </w:lvl>
  </w:abstractNum>
  <w:abstractNum w:abstractNumId="24">
    <w:nsid w:val="520EEDD1"/>
    <w:multiLevelType w:val="hybridMultilevel"/>
    <w:lvl w:ilvl="0">
      <w:lvlJc w:val="left"/>
      <w:lvlText w:val="(%1)"/>
      <w:numFmt w:val="lowerLetter"/>
      <w:start w:val="2"/>
    </w:lvl>
    <w:lvl w:ilvl="1">
      <w:lvlJc w:val="left"/>
      <w:lvlText w:val="%2"/>
      <w:numFmt w:val="decimal"/>
      <w:start w:val="1"/>
    </w:lvl>
  </w:abstractNum>
  <w:abstractNum w:abstractNumId="25">
    <w:nsid w:val="374A3FE6"/>
    <w:multiLevelType w:val="hybridMultilevel"/>
    <w:lvl w:ilvl="0">
      <w:lvlJc w:val="left"/>
      <w:lvlText w:val="(%1)"/>
      <w:numFmt w:val="upperLetter"/>
      <w:start w:val="2"/>
    </w:lvl>
  </w:abstractNum>
  <w:abstractNum w:abstractNumId="26">
    <w:nsid w:val="4F4EF005"/>
    <w:multiLevelType w:val="hybridMultilevel"/>
    <w:lvl w:ilvl="0">
      <w:lvlJc w:val="left"/>
      <w:lvlText w:val="(%1)"/>
      <w:numFmt w:val="lowerRoman"/>
      <w:start w:val="2"/>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1)"/>
      <w:numFmt w:val="lowerLetter"/>
      <w:start w:val="2"/>
    </w:lvl>
  </w:abstractNum>
  <w:abstractNum w:abstractNumId="31">
    <w:nsid w:val="1CF10FD8"/>
    <w:multiLevelType w:val="hybridMultilevel"/>
    <w:lvl w:ilvl="0">
      <w:lvlJc w:val="left"/>
      <w:lvlText w:val="(%1)"/>
      <w:numFmt w:val="lowerLetter"/>
      <w:start w:val="4"/>
    </w:lvl>
  </w:abstractNum>
  <w:abstractNum w:abstractNumId="32">
    <w:nsid w:val="180115BE"/>
    <w:multiLevelType w:val="hybridMultilevel"/>
    <w:lvl w:ilvl="0">
      <w:lvlJc w:val="left"/>
      <w:lvlText w:val="(%1)"/>
      <w:numFmt w:val="lowerLetter"/>
      <w:start w:val="8"/>
    </w:lvl>
  </w:abstractNum>
  <w:abstractNum w:abstractNumId="33">
    <w:nsid w:val="235BA861"/>
    <w:multiLevelType w:val="hybridMultilevel"/>
    <w:lvl w:ilvl="0">
      <w:lvlJc w:val="left"/>
      <w:lvlText w:val="(%1)"/>
      <w:numFmt w:val="lowerLetter"/>
      <w:start w:val="11"/>
    </w:lvl>
  </w:abstractNum>
  <w:abstractNum w:abstractNumId="34">
    <w:nsid w:val="47398C89"/>
    <w:multiLevelType w:val="hybridMultilevel"/>
    <w:lvl w:ilvl="0">
      <w:lvlJc w:val="left"/>
      <w:lvlText w:val="(%1)"/>
      <w:numFmt w:val="lowerLetter"/>
      <w:start w:val="15"/>
    </w:lvl>
  </w:abstractNum>
  <w:abstractNum w:abstractNumId="35">
    <w:nsid w:val="354FE9F9"/>
    <w:multiLevelType w:val="hybridMultilevel"/>
    <w:lvl w:ilvl="0">
      <w:lvlJc w:val="left"/>
      <w:lvlText w:val="(%1)"/>
      <w:numFmt w:val="lowerLetter"/>
      <w:start w:val="21"/>
    </w:lvl>
  </w:abstractNum>
  <w:abstractNum w:abstractNumId="36">
    <w:nsid w:val="15B5AF5C"/>
    <w:multiLevelType w:val="hybridMultilevel"/>
    <w:lvl w:ilvl="0">
      <w:lvlJc w:val="left"/>
      <w:lvlText w:val="%1"/>
      <w:numFmt w:val="lowerLetter"/>
      <w:start w:val="1"/>
    </w:lvl>
    <w:lvl w:ilvl="1">
      <w:lvlJc w:val="left"/>
      <w:lvlText w:val="(%2)"/>
      <w:numFmt w:val="lowerLetter"/>
      <w:start w:val="25"/>
    </w:lvl>
  </w:abstractNum>
  <w:abstractNum w:abstractNumId="37">
    <w:nsid w:val="741226BB"/>
    <w:multiLevelType w:val="hybridMultilevel"/>
    <w:lvl w:ilvl="0">
      <w:lvlJc w:val="left"/>
      <w:lvlText w:val="(%1)"/>
      <w:numFmt w:val="lowerLetter"/>
      <w:start w:val="61"/>
    </w:lvl>
    <w:lvl w:ilvl="1">
      <w:lvlJc w:val="left"/>
      <w:lvlText w:val="(%2)"/>
      <w:numFmt w:val="lowerLetter"/>
      <w:start w:val="26"/>
    </w:lvl>
  </w:abstractNum>
  <w:abstractNum w:abstractNumId="38">
    <w:nsid w:val="D34B6A8"/>
    <w:multiLevelType w:val="hybridMultilevel"/>
    <w:lvl w:ilvl="0">
      <w:lvlJc w:val="left"/>
      <w:lvlText w:val="(%1)"/>
      <w:numFmt w:val="lowerLetter"/>
      <w:start w:val="27"/>
    </w:lvl>
  </w:abstractNum>
  <w:abstractNum w:abstractNumId="39">
    <w:nsid w:val="10233C99"/>
    <w:multiLevelType w:val="hybridMultilevel"/>
    <w:lvl w:ilvl="0">
      <w:lvlJc w:val="left"/>
      <w:lvlText w:val="(%1)"/>
      <w:numFmt w:val="lowerLetter"/>
      <w:start w:val="28"/>
    </w:lvl>
  </w:abstractNum>
  <w:abstractNum w:abstractNumId="40">
    <w:nsid w:val="3F6AB60F"/>
    <w:multiLevelType w:val="hybridMultilevel"/>
    <w:lvl w:ilvl="0">
      <w:lvlJc w:val="left"/>
      <w:lvlText w:val="(%1)"/>
      <w:numFmt w:val="lowerLetter"/>
      <w:start w:val="32"/>
    </w:lvl>
  </w:abstractNum>
  <w:abstractNum w:abstractNumId="41">
    <w:nsid w:val="61574095"/>
    <w:multiLevelType w:val="hybridMultilevel"/>
    <w:lvl w:ilvl="0">
      <w:lvlJc w:val="left"/>
      <w:lvlText w:val="%1."/>
      <w:numFmt w:val="decimal"/>
      <w:start w:val="3"/>
    </w:lvl>
  </w:abstractNum>
  <w:abstractNum w:abstractNumId="42">
    <w:nsid w:val="7E0C57B1"/>
    <w:multiLevelType w:val="hybridMultilevel"/>
    <w:lvl w:ilvl="0">
      <w:lvlJc w:val="left"/>
      <w:lvlText w:val="%1."/>
      <w:numFmt w:val="decimal"/>
      <w:start w:val="4"/>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lowerLetter"/>
      <w:start w:val="3"/>
    </w:lvl>
  </w:abstractNum>
  <w:abstractNum w:abstractNumId="46">
    <w:nsid w:val="5FF87E05"/>
    <w:multiLevelType w:val="hybridMultilevel"/>
    <w:lvl w:ilvl="0">
      <w:lvlJc w:val="left"/>
      <w:lvlText w:val="(%1)"/>
      <w:numFmt w:val="lowerLetter"/>
      <w:start w:val="8"/>
    </w:lvl>
    <w:lvl w:ilvl="1">
      <w:lvlJc w:val="left"/>
      <w:lvlText w:val="%2."/>
      <w:numFmt w:val="decimal"/>
      <w:start w:val="6"/>
    </w:lvl>
    <w:lvl w:ilvl="2">
      <w:lvlJc w:val="left"/>
      <w:lvlText w:val="(%3)"/>
      <w:numFmt w:val="lowerRoman"/>
      <w:start w:val="2"/>
    </w:lvl>
  </w:abstractNum>
  <w:abstractNum w:abstractNumId="47">
    <w:nsid w:val="2F305DEF"/>
    <w:multiLevelType w:val="hybridMultilevel"/>
    <w:lvl w:ilvl="0">
      <w:lvlJc w:val="left"/>
      <w:lvlText w:val="%1"/>
      <w:numFmt w:val="lowerLetter"/>
      <w:start w:val="1"/>
    </w:lvl>
    <w:lvl w:ilvl="1">
      <w:lvlJc w:val="left"/>
      <w:lvlText w:val="%2"/>
      <w:numFmt w:val="decimal"/>
      <w:start w:val="433"/>
    </w:lvl>
    <w:lvl w:ilvl="2">
      <w:lvlJc w:val="left"/>
      <w:lvlText w:val="(%3)"/>
      <w:numFmt w:val="lowerRoman"/>
      <w:start w:val="3"/>
    </w:lvl>
  </w:abstractNum>
  <w:abstractNum w:abstractNumId="48">
    <w:nsid w:val="25A70BF7"/>
    <w:multiLevelType w:val="hybridMultilevel"/>
    <w:lvl w:ilvl="0">
      <w:lvlJc w:val="left"/>
      <w:lvlText w:val="(%1)"/>
      <w:numFmt w:val="lowerLetter"/>
      <w:start w:val="2"/>
    </w:lvl>
  </w:abstractNum>
  <w:abstractNum w:abstractNumId="49">
    <w:nsid w:val="1DBABF00"/>
    <w:multiLevelType w:val="hybridMultilevel"/>
    <w:lvl w:ilvl="0">
      <w:lvlJc w:val="left"/>
      <w:lvlText w:val="%1"/>
      <w:numFmt w:val="lowerRoman"/>
      <w:start w:val="1"/>
    </w:lvl>
    <w:lvl w:ilvl="1">
      <w:lvlJc w:val="left"/>
      <w:lvlText w:val="%2."/>
      <w:numFmt w:val="decimal"/>
      <w:start w:val="7"/>
    </w:lvl>
  </w:abstractNum>
  <w:abstractNum w:abstractNumId="50">
    <w:nsid w:val="4AD084E9"/>
    <w:multiLevelType w:val="hybridMultilevel"/>
    <w:lvl w:ilvl="0">
      <w:lvlJc w:val="left"/>
      <w:lvlText w:val="(%1)"/>
      <w:numFmt w:val="lowerRoman"/>
      <w:start w:val="5"/>
    </w:lvl>
    <w:lvl w:ilvl="1">
      <w:lvlJc w:val="left"/>
      <w:lvlText w:val="%2"/>
      <w:numFmt w:val="decimal"/>
      <w:start w:val="1"/>
    </w:lvl>
  </w:abstractNum>
  <w:abstractNum w:abstractNumId="51">
    <w:nsid w:val="1F48EAA1"/>
    <w:multiLevelType w:val="hybridMultilevel"/>
    <w:lvl w:ilvl="0">
      <w:lvlJc w:val="left"/>
      <w:lvlText w:val="%1."/>
      <w:numFmt w:val="decimal"/>
      <w:start w:val="8"/>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5"/>
    </w:lvl>
  </w:abstractNum>
  <w:abstractNum w:abstractNumId="54">
    <w:nsid w:val="100F8FCA"/>
    <w:multiLevelType w:val="hybridMultilevel"/>
    <w:lvl w:ilvl="0">
      <w:lvlJc w:val="left"/>
      <w:lvlText w:val="(%1)"/>
      <w:numFmt w:val="lowerLetter"/>
      <w:start w:val="9"/>
    </w:lvl>
    <w:lvl w:ilvl="1">
      <w:lvlJc w:val="left"/>
      <w:lvlText w:val="%2."/>
      <w:numFmt w:val="decimal"/>
      <w:start w:val="9"/>
    </w:lvl>
  </w:abstractNum>
  <w:abstractNum w:abstractNumId="55">
    <w:nsid w:val="6590700B"/>
    <w:multiLevelType w:val="hybridMultilevel"/>
    <w:lvl w:ilvl="0">
      <w:lvlJc w:val="left"/>
      <w:lvlText w:val="(%1)"/>
      <w:numFmt w:val="lowerLetter"/>
      <w:start w:val="2"/>
    </w:lvl>
  </w:abstractNum>
  <w:abstractNum w:abstractNumId="56">
    <w:nsid w:val="15014ACB"/>
    <w:multiLevelType w:val="hybridMultilevel"/>
    <w:lvl w:ilvl="0">
      <w:lvlJc w:val="left"/>
      <w:lvlText w:val="(%1)"/>
      <w:numFmt w:val="lowerLetter"/>
      <w:start w:val="4"/>
    </w:lvl>
  </w:abstractNum>
  <w:abstractNum w:abstractNumId="57">
    <w:nsid w:val="5F5E7FD0"/>
    <w:multiLevelType w:val="hybridMultilevel"/>
    <w:lvl w:ilvl="0">
      <w:lvlJc w:val="left"/>
      <w:lvlText w:val="(%1)"/>
      <w:numFmt w:val="lowerLetter"/>
      <w:start w:val="5"/>
    </w:lvl>
  </w:abstractNum>
  <w:abstractNum w:abstractNumId="58">
    <w:nsid w:val="98A3148"/>
    <w:multiLevelType w:val="hybridMultilevel"/>
    <w:lvl w:ilvl="0">
      <w:lvlJc w:val="left"/>
      <w:lvlText w:val="%1."/>
      <w:numFmt w:val="decimal"/>
      <w:start w:val="10"/>
    </w:lvl>
  </w:abstractNum>
  <w:abstractNum w:abstractNumId="59">
    <w:nsid w:val="799D0247"/>
    <w:multiLevelType w:val="hybridMultilevel"/>
    <w:lvl w:ilvl="0">
      <w:lvlJc w:val="left"/>
      <w:lvlText w:val="(%1)"/>
      <w:numFmt w:val="lowerLetter"/>
      <w:start w:val="2"/>
    </w:lvl>
  </w:abstractNum>
  <w:abstractNum w:abstractNumId="60">
    <w:nsid w:val="6B94764"/>
    <w:multiLevelType w:val="hybridMultilevel"/>
    <w:lvl w:ilvl="0">
      <w:lvlJc w:val="left"/>
      <w:lvlText w:val="(%1)"/>
      <w:numFmt w:val="lowerLetter"/>
      <w:start w:val="3"/>
    </w:lvl>
  </w:abstractNum>
  <w:abstractNum w:abstractNumId="61">
    <w:nsid w:val="42C296BD"/>
    <w:multiLevelType w:val="hybridMultilevel"/>
    <w:lvl w:ilvl="0">
      <w:lvlJc w:val="left"/>
      <w:lvlText w:val="%1."/>
      <w:numFmt w:val="decimal"/>
      <w:start w:val="11"/>
    </w:lvl>
  </w:abstractNum>
  <w:abstractNum w:abstractNumId="62">
    <w:nsid w:val="168E121F"/>
    <w:multiLevelType w:val="hybridMultilevel"/>
    <w:lvl w:ilvl="0">
      <w:lvlJc w:val="left"/>
      <w:lvlText w:val="(%1)"/>
      <w:numFmt w:val="lowerRoman"/>
      <w:start w:val="1"/>
    </w:lvl>
  </w:abstractNum>
  <w:abstractNum w:abstractNumId="63">
    <w:nsid w:val="1EBA5D23"/>
    <w:multiLevelType w:val="hybridMultilevel"/>
    <w:lvl w:ilvl="0">
      <w:lvlJc w:val="left"/>
      <w:lvlText w:val="(%1)"/>
      <w:numFmt w:val="upperLetter"/>
      <w:start w:val="1"/>
    </w:lvl>
  </w:abstractNum>
  <w:abstractNum w:abstractNumId="64">
    <w:nsid w:val="661E3F1E"/>
    <w:multiLevelType w:val="hybridMultilevel"/>
    <w:lvl w:ilvl="0">
      <w:lvlJc w:val="left"/>
      <w:lvlText w:val="(%1)"/>
      <w:numFmt w:val="upperLetter"/>
      <w:start w:val="2"/>
    </w:lvl>
  </w:abstractNum>
  <w:abstractNum w:abstractNumId="65">
    <w:nsid w:val="5DC79EA8"/>
    <w:multiLevelType w:val="hybridMultilevel"/>
    <w:lvl w:ilvl="0">
      <w:lvlJc w:val="left"/>
      <w:lvlText w:val="(%1)"/>
      <w:numFmt w:val="lowerRoman"/>
      <w:start w:val="2"/>
    </w:lvl>
  </w:abstractNum>
  <w:abstractNum w:abstractNumId="66">
    <w:nsid w:val="540A471C"/>
    <w:multiLevelType w:val="hybridMultilevel"/>
    <w:lvl w:ilvl="0">
      <w:lvlJc w:val="left"/>
      <w:lvlText w:val="%1."/>
      <w:numFmt w:val="decimal"/>
      <w:start w:val="14"/>
    </w:lvl>
  </w:abstractNum>
  <w:abstractNum w:abstractNumId="67">
    <w:nsid w:val="7BD3EE7B"/>
    <w:multiLevelType w:val="hybridMultilevel"/>
    <w:lvl w:ilvl="0">
      <w:lvlJc w:val="left"/>
      <w:lvlText w:val="(%1)"/>
      <w:numFmt w:val="lowerRoman"/>
      <w:start w:val="1"/>
    </w:lvl>
    <w:lvl w:ilvl="1">
      <w:lvlJc w:val="left"/>
      <w:lvlText w:val="(%2)"/>
      <w:numFmt w:val="upperLetter"/>
      <w:start w:val="1"/>
    </w:lvl>
  </w:abstractNum>
  <w:abstractNum w:abstractNumId="68">
    <w:nsid w:val="51D9C564"/>
    <w:multiLevelType w:val="hybridMultilevel"/>
    <w:lvl w:ilvl="0">
      <w:lvlJc w:val="left"/>
      <w:lvlText w:val="(%1)"/>
      <w:numFmt w:val="lowerLetter"/>
      <w:start w:val="2"/>
    </w:lvl>
  </w:abstractNum>
  <w:abstractNum w:abstractNumId="69">
    <w:nsid w:val="613EFDC5"/>
    <w:multiLevelType w:val="hybridMultilevel"/>
    <w:lvl w:ilvl="0">
      <w:lvlJc w:val="left"/>
      <w:lvlText w:val="%1."/>
      <w:numFmt w:val="decimal"/>
      <w:start w:val="15"/>
    </w:lvl>
  </w:abstractNum>
  <w:abstractNum w:abstractNumId="70">
    <w:nsid w:val="BF72B14"/>
    <w:multiLevelType w:val="hybridMultilevel"/>
    <w:lvl w:ilvl="0">
      <w:lvlJc w:val="left"/>
      <w:lvlText w:val="(%1)"/>
      <w:numFmt w:val="lowerLetter"/>
      <w:start w:val="2"/>
    </w:lvl>
  </w:abstractNum>
  <w:abstractNum w:abstractNumId="71">
    <w:nsid w:val="11447B73"/>
    <w:multiLevelType w:val="hybridMultilevel"/>
    <w:lvl w:ilvl="0">
      <w:lvlJc w:val="left"/>
      <w:lvlText w:val="(%1)"/>
      <w:numFmt w:val="lowerRoman"/>
      <w:start w:val="1"/>
    </w:lvl>
  </w:abstractNum>
  <w:abstractNum w:abstractNumId="72">
    <w:nsid w:val="42963E5A"/>
    <w:multiLevelType w:val="hybridMultilevel"/>
    <w:lvl w:ilvl="0">
      <w:lvlJc w:val="left"/>
      <w:lvlText w:val="(%1)"/>
      <w:numFmt w:val="lowerRoman"/>
      <w:start w:val="2"/>
    </w:lvl>
    <w:lvl w:ilvl="1">
      <w:lvlJc w:val="left"/>
      <w:lvlText w:val="%2."/>
      <w:numFmt w:val="decimal"/>
      <w:start w:val="16"/>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1"/>
    </w:lvl>
    <w:lvl w:ilvl="1">
      <w:lvlJc w:val="left"/>
      <w:lvlText w:val="%2."/>
      <w:numFmt w:val="decimal"/>
      <w:start w:val="17"/>
    </w:lvl>
  </w:abstractNum>
  <w:abstractNum w:abstractNumId="75">
    <w:nsid w:val="1A32234B"/>
    <w:multiLevelType w:val="hybridMultilevel"/>
    <w:lvl w:ilvl="0">
      <w:lvlJc w:val="left"/>
      <w:lvlText w:val="(%1)"/>
      <w:numFmt w:val="lowerLetter"/>
      <w:start w:val="1"/>
    </w:lvl>
    <w:lvl w:ilvl="1">
      <w:lvlJc w:val="left"/>
      <w:lvlText w:val="%2."/>
      <w:numFmt w:val="decimal"/>
      <w:start w:val="18"/>
    </w:lvl>
  </w:abstractNum>
  <w:abstractNum w:abstractNumId="76">
    <w:nsid w:val="3B0FD379"/>
    <w:multiLevelType w:val="hybridMultilevel"/>
    <w:lvl w:ilvl="0">
      <w:lvlJc w:val="left"/>
      <w:lvlText w:val="%1."/>
      <w:numFmt w:val="decimal"/>
      <w:start w:val="21"/>
    </w:lvl>
  </w:abstractNum>
  <w:abstractNum w:abstractNumId="77">
    <w:nsid w:val="68EB2F63"/>
    <w:multiLevelType w:val="hybridMultilevel"/>
    <w:lvl w:ilvl="0">
      <w:lvlJc w:val="left"/>
      <w:lvlText w:val="%1."/>
      <w:numFmt w:val="decimal"/>
      <w:start w:val="25"/>
    </w:lvl>
  </w:abstractNum>
  <w:abstractNum w:abstractNumId="78">
    <w:nsid w:val="4962813B"/>
    <w:multiLevelType w:val="hybridMultilevel"/>
    <w:lvl w:ilvl="0">
      <w:lvlJc w:val="left"/>
      <w:lvlText w:val="%1."/>
      <w:numFmt w:val="decimal"/>
      <w:start w:val="3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21"/>
    </w:lvl>
  </w:abstractNum>
  <w:abstractNum w:abstractNumId="81">
    <w:nsid w:val="14330624"/>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2026-11-02T08:04:55Z</dcterms:created>
  <dcterms:modified xsi:type="dcterms:W3CDTF">2026-11-02T08:04:55Z</dcterms:modified>
</cp:coreProperties>
</file>