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3660" w:right="2000" w:hanging="3652"/>
        <w:spacing w:after="0" w:line="397" w:lineRule="auto"/>
        <w:tabs>
          <w:tab w:leader="none" w:pos="2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19685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52"/>
        </w:trPr>
        <w:tc>
          <w:tcPr>
            <w:tcW w:w="2580" w:type="dxa"/>
            <w:vAlign w:val="bottom"/>
          </w:tcPr>
          <w:p>
            <w:pPr>
              <w:spacing w:after="0"/>
              <w:rPr>
                <w:sz w:val="21"/>
                <w:szCs w:val="21"/>
                <w:color w:val="auto"/>
              </w:rPr>
            </w:pPr>
          </w:p>
        </w:tc>
        <w:tc>
          <w:tcPr>
            <w:tcW w:w="38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53-0257888</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4860" w:type="dxa"/>
            <w:vAlign w:val="bottom"/>
          </w:tcPr>
          <w:p>
            <w:pPr>
              <w:spacing w:after="0"/>
              <w:rPr>
                <w:sz w:val="24"/>
                <w:szCs w:val="24"/>
                <w:color w:val="auto"/>
              </w:rPr>
            </w:pP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Downers Grove, Illinois</w:t>
            </w:r>
          </w:p>
        </w:tc>
        <w:tc>
          <w:tcPr>
            <w:tcW w:w="486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60515</w:t>
            </w:r>
          </w:p>
        </w:tc>
      </w:tr>
      <w:tr>
        <w:trPr>
          <w:trHeight w:val="234"/>
        </w:trPr>
        <w:tc>
          <w:tcPr>
            <w:tcW w:w="6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2580" w:type="dxa"/>
            <w:vAlign w:val="bottom"/>
          </w:tcPr>
          <w:p>
            <w:pPr>
              <w:spacing w:after="0"/>
              <w:rPr>
                <w:sz w:val="24"/>
                <w:szCs w:val="24"/>
                <w:color w:val="auto"/>
              </w:rPr>
            </w:pPr>
          </w:p>
        </w:tc>
        <w:tc>
          <w:tcPr>
            <w:tcW w:w="382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(630) 541-1540</w:t>
            </w:r>
          </w:p>
        </w:tc>
        <w:tc>
          <w:tcPr>
            <w:tcW w:w="4860" w:type="dxa"/>
            <w:vAlign w:val="bottom"/>
          </w:tcPr>
          <w:p>
            <w:pPr>
              <w:spacing w:after="0"/>
              <w:rPr>
                <w:sz w:val="24"/>
                <w:szCs w:val="24"/>
                <w:color w:val="auto"/>
              </w:rPr>
            </w:pPr>
          </w:p>
        </w:tc>
      </w:tr>
      <w:tr>
        <w:trPr>
          <w:trHeight w:val="234"/>
        </w:trPr>
        <w:tc>
          <w:tcPr>
            <w:tcW w:w="2580" w:type="dxa"/>
            <w:vAlign w:val="bottom"/>
          </w:tcPr>
          <w:p>
            <w:pPr>
              <w:spacing w:after="0"/>
              <w:rPr>
                <w:sz w:val="20"/>
                <w:szCs w:val="20"/>
                <w:color w:val="auto"/>
              </w:rPr>
            </w:pPr>
          </w:p>
        </w:tc>
        <w:tc>
          <w:tcPr>
            <w:tcW w:w="8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DOV</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 Notes due 2026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26</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3"/>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0.750% Notes due 2027</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DOV 27</w:t>
            </w:r>
          </w:p>
        </w:tc>
        <w:tc>
          <w:tcPr>
            <w:tcW w:w="1260" w:type="dxa"/>
            <w:vAlign w:val="bottom"/>
            <w:tcBorders>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57" w:lineRule="exact"/>
        <w:rPr>
          <w:sz w:val="24"/>
          <w:szCs w:val="24"/>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2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spacing w:after="0" w:line="134"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34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3820" w:type="dxa"/>
            <w:vAlign w:val="bottom"/>
          </w:tcPr>
          <w:p>
            <w:pPr>
              <w:ind w:left="1240"/>
              <w:spacing w:after="0" w:line="182" w:lineRule="exact"/>
              <w:rPr>
                <w:sz w:val="20"/>
                <w:szCs w:val="20"/>
                <w:color w:val="auto"/>
              </w:rPr>
            </w:pPr>
            <w:r>
              <w:rPr>
                <w:rFonts w:ascii="Times New Roman" w:cs="Times New Roman" w:eastAsia="Times New Roman" w:hAnsi="Times New Roman"/>
                <w:sz w:val="18"/>
                <w:szCs w:val="18"/>
                <w:color w:val="auto"/>
              </w:rPr>
              <w:t>Accelerated Filer</w:t>
            </w:r>
          </w:p>
        </w:tc>
        <w:tc>
          <w:tcPr>
            <w:tcW w:w="960" w:type="dxa"/>
            <w:vAlign w:val="bottom"/>
          </w:tcPr>
          <w:p>
            <w:pPr>
              <w:spacing w:after="0"/>
              <w:rPr>
                <w:sz w:val="15"/>
                <w:szCs w:val="15"/>
                <w:color w:val="auto"/>
              </w:rPr>
            </w:pPr>
          </w:p>
        </w:tc>
        <w:tc>
          <w:tcPr>
            <w:tcW w:w="35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209"/>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38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00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October 13, 2022 was 140,353,950.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360" w:type="dxa"/>
            <w:vAlign w:val="bottom"/>
            <w:gridSpan w:val="16"/>
          </w:tcPr>
          <w:p>
            <w:pPr>
              <w:spacing w:after="0"/>
              <w:rPr>
                <w:sz w:val="17"/>
                <w:szCs w:val="17"/>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vMerge w:val="restart"/>
          </w:tcPr>
          <w:p>
            <w:pPr>
              <w:spacing w:after="0" w:line="20" w:lineRule="exact"/>
              <w:rPr>
                <w:sz w:val="1"/>
                <w:szCs w:val="1"/>
                <w:color w:val="auto"/>
              </w:rPr>
            </w:pPr>
          </w:p>
        </w:tc>
        <w:tc>
          <w:tcPr>
            <w:tcW w:w="970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9700" w:type="dxa"/>
            <w:vAlign w:val="bottom"/>
            <w:gridSpan w:val="29"/>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for the three and nine months ended September 30, 2022 and 2021</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for the three and nine months ended September 30, 2022 and 2021</w:t>
            </w:r>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2022 and December 31, 2021</w:t>
            </w:r>
          </w:p>
        </w:tc>
        <w:tc>
          <w:tcPr>
            <w:tcW w:w="180" w:type="dxa"/>
            <w:vAlign w:val="bottom"/>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2022 and 2021</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2022 and 2021</w:t>
            </w:r>
          </w:p>
        </w:tc>
        <w:tc>
          <w:tcPr>
            <w:tcW w:w="13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5"/>
              </w:rPr>
              <w:t>Note 1 — Basis of Presentation</w:t>
            </w:r>
          </w:p>
        </w:tc>
        <w:tc>
          <w:tcPr>
            <w:tcW w:w="5620" w:type="dxa"/>
            <w:vAlign w:val="bottom"/>
            <w:gridSpan w:val="14"/>
          </w:tcPr>
          <w:p>
            <w:pPr>
              <w:spacing w:after="0"/>
              <w:rPr>
                <w:sz w:val="18"/>
                <w:szCs w:val="18"/>
                <w:color w:val="auto"/>
              </w:rPr>
            </w:pPr>
          </w:p>
        </w:tc>
        <w:tc>
          <w:tcPr>
            <w:tcW w:w="1860" w:type="dxa"/>
            <w:vAlign w:val="bottom"/>
            <w:gridSpan w:val="4"/>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2 — Revenue</w:t>
            </w:r>
          </w:p>
        </w:tc>
        <w:tc>
          <w:tcPr>
            <w:tcW w:w="7480" w:type="dxa"/>
            <w:vAlign w:val="bottom"/>
            <w:gridSpan w:val="18"/>
          </w:tcPr>
          <w:p>
            <w:pPr>
              <w:spacing w:after="0"/>
              <w:rPr>
                <w:sz w:val="18"/>
                <w:szCs w:val="18"/>
                <w:color w:val="auto"/>
              </w:rPr>
            </w:pP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3 — Acquisitions</w:t>
            </w:r>
          </w:p>
        </w:tc>
        <w:tc>
          <w:tcPr>
            <w:tcW w:w="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88"/>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 4 — Inventories, net</w:t>
            </w:r>
          </w:p>
        </w:tc>
        <w:tc>
          <w:tcPr>
            <w:tcW w:w="7820" w:type="dxa"/>
            <w:vAlign w:val="bottom"/>
            <w:gridSpan w:val="20"/>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 5 — Property, Plant and Equipment, net</w:t>
            </w:r>
          </w:p>
        </w:tc>
        <w:tc>
          <w:tcPr>
            <w:tcW w:w="6420" w:type="dxa"/>
            <w:vAlign w:val="bottom"/>
            <w:gridSpan w:val="10"/>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6 — Credit Losses</w:t>
            </w:r>
          </w:p>
        </w:tc>
        <w:tc>
          <w:tcPr>
            <w:tcW w:w="6420" w:type="dxa"/>
            <w:vAlign w:val="bottom"/>
            <w:gridSpan w:val="10"/>
          </w:tcPr>
          <w:p>
            <w:pPr>
              <w:spacing w:after="0"/>
              <w:rPr>
                <w:sz w:val="18"/>
                <w:szCs w:val="18"/>
                <w:color w:val="auto"/>
              </w:rPr>
            </w:pPr>
          </w:p>
        </w:tc>
        <w:tc>
          <w:tcPr>
            <w:tcW w:w="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Note 7 — Goodwill and Other Intangible Assets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8 — Restructuring Activities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9 — Borrowings</w:t>
            </w:r>
          </w:p>
        </w:tc>
        <w:tc>
          <w:tcPr>
            <w:tcW w:w="722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Note 10 — Financial Instruments</w:t>
            </w: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 11 — Income Taxes</w:t>
            </w: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12 — Equity Incentive Program</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Note 13 — Commitments and Contingent Liabilities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 14 — Employee Benefit Plans</w:t>
            </w:r>
          </w:p>
        </w:tc>
        <w:tc>
          <w:tcPr>
            <w:tcW w:w="590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Note 15 — Other Comprehensive Earnings</w:t>
            </w:r>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6580" w:type="dxa"/>
            <w:vAlign w:val="bottom"/>
            <w:gridSpan w:val="1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17 — Share Repurchases</w:t>
            </w:r>
          </w:p>
        </w:tc>
        <w:tc>
          <w:tcPr>
            <w:tcW w:w="160" w:type="dxa"/>
            <w:vAlign w:val="bottom"/>
            <w:gridSpan w:val="3"/>
          </w:tcPr>
          <w:p>
            <w:pPr>
              <w:spacing w:after="0"/>
              <w:rPr>
                <w:sz w:val="18"/>
                <w:szCs w:val="18"/>
                <w:color w:val="auto"/>
              </w:rPr>
            </w:pPr>
          </w:p>
        </w:tc>
        <w:tc>
          <w:tcPr>
            <w:tcW w:w="732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Note 18 — Earnings per Share</w:t>
            </w:r>
          </w:p>
        </w:tc>
        <w:tc>
          <w:tcPr>
            <w:tcW w:w="7480" w:type="dxa"/>
            <w:vAlign w:val="bottom"/>
            <w:gridSpan w:val="1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Note 19 — Recent Accounting Pronouncements</w:t>
            </w:r>
          </w:p>
        </w:tc>
        <w:tc>
          <w:tcPr>
            <w:tcW w:w="6220" w:type="dxa"/>
            <w:vAlign w:val="bottom"/>
            <w:gridSpan w:val="9"/>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60" w:type="dxa"/>
            <w:vAlign w:val="bottom"/>
            <w:gridSpan w:val="8"/>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18"/>
                <w:szCs w:val="18"/>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18"/>
                <w:szCs w:val="18"/>
                <w:color w:val="auto"/>
              </w:rPr>
            </w:pPr>
          </w:p>
        </w:tc>
        <w:tc>
          <w:tcPr>
            <w:tcW w:w="324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14"/>
          </w:tcPr>
          <w:p>
            <w:pPr>
              <w:spacing w:after="0"/>
              <w:rPr>
                <w:sz w:val="18"/>
                <w:szCs w:val="18"/>
                <w:color w:val="auto"/>
              </w:rPr>
            </w:pP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660" w:type="dxa"/>
            <w:vAlign w:val="bottom"/>
            <w:gridSpan w:val="19"/>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tcPr>
          <w:p>
            <w:pPr>
              <w:spacing w:after="0"/>
              <w:rPr>
                <w:sz w:val="18"/>
                <w:szCs w:val="18"/>
                <w:color w:val="auto"/>
              </w:rPr>
            </w:pPr>
          </w:p>
        </w:tc>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320" w:type="dxa"/>
            <w:vAlign w:val="bottom"/>
            <w:gridSpan w:val="2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2040" w:type="dxa"/>
            <w:vAlign w:val="bottom"/>
            <w:gridSpan w:val="10"/>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80" w:type="dxa"/>
            <w:vAlign w:val="bottom"/>
            <w:gridSpan w:val="2"/>
          </w:tcPr>
          <w:p>
            <w:pPr>
              <w:spacing w:after="0"/>
              <w:rPr>
                <w:sz w:val="18"/>
                <w:szCs w:val="18"/>
                <w:color w:val="auto"/>
              </w:rPr>
            </w:pPr>
          </w:p>
        </w:tc>
        <w:tc>
          <w:tcPr>
            <w:tcW w:w="4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4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8"/>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380" w:type="dxa"/>
            <w:vAlign w:val="bottom"/>
            <w:gridSpan w:val="2"/>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gridSpan w:val="4"/>
          </w:tcPr>
          <w:p>
            <w:pPr>
              <w:spacing w:after="0"/>
              <w:rPr>
                <w:sz w:val="18"/>
                <w:szCs w:val="18"/>
                <w:color w:val="auto"/>
              </w:rPr>
            </w:pPr>
          </w:p>
        </w:tc>
        <w:tc>
          <w:tcPr>
            <w:tcW w:w="7380" w:type="dxa"/>
            <w:vAlign w:val="bottom"/>
            <w:gridSpan w:val="1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7920" w:type="dxa"/>
            <w:vAlign w:val="bottom"/>
            <w:gridSpan w:val="21"/>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gridSpan w:val="4"/>
          </w:tcPr>
          <w:p>
            <w:pPr>
              <w:spacing w:after="0"/>
              <w:rPr>
                <w:sz w:val="18"/>
                <w:szCs w:val="18"/>
                <w:color w:val="auto"/>
              </w:rPr>
            </w:pPr>
          </w:p>
        </w:tc>
        <w:tc>
          <w:tcPr>
            <w:tcW w:w="7920" w:type="dxa"/>
            <w:vAlign w:val="bottom"/>
            <w:gridSpan w:val="21"/>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80" w:type="dxa"/>
            <w:vAlign w:val="bottom"/>
            <w:gridSpan w:val="2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380" w:type="dxa"/>
            <w:vAlign w:val="bottom"/>
            <w:gridSpan w:val="2"/>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80" w:type="dxa"/>
            <w:vAlign w:val="bottom"/>
            <w:gridSpan w:val="2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100" w:type="dxa"/>
            <w:vAlign w:val="bottom"/>
            <w:gridSpan w:val="2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DOVER CORPORATION</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8180" w:type="dxa"/>
            <w:vAlign w:val="bottom"/>
            <w:gridSpan w:val="8"/>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EARNINGS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34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2"/>
                <w:szCs w:val="22"/>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 w:type="dxa"/>
            <w:vAlign w:val="bottom"/>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5,917,846</w:t>
            </w: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4,071,680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3,669,547</w:t>
            </w:r>
          </w:p>
        </w:tc>
      </w:tr>
      <w:tr>
        <w:trPr>
          <w:trHeight w:val="223"/>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2,248,299</w:t>
            </w: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1,270,615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1,249,593</w:t>
            </w:r>
          </w:p>
        </w:tc>
      </w:tr>
      <w:tr>
        <w:trPr>
          <w:trHeight w:val="223"/>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998,706</w:t>
            </w:r>
          </w:p>
        </w:tc>
      </w:tr>
      <w:tr>
        <w:trPr>
          <w:trHeight w:val="229"/>
        </w:trPr>
        <w:tc>
          <w:tcPr>
            <w:tcW w:w="4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79,917</w:t>
            </w:r>
          </w:p>
        </w:tc>
      </w:tr>
      <w:tr>
        <w:trPr>
          <w:trHeight w:val="229"/>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30"/>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(18,236)</w:t>
            </w:r>
          </w:p>
        </w:tc>
      </w:tr>
      <w:tr>
        <w:trPr>
          <w:trHeight w:val="223"/>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provision for income taxes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940,113</w:t>
            </w:r>
          </w:p>
        </w:tc>
      </w:tr>
      <w:tr>
        <w:trPr>
          <w:trHeight w:val="230"/>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179,080</w:t>
            </w:r>
          </w:p>
        </w:tc>
      </w:tr>
      <w:tr>
        <w:trPr>
          <w:trHeight w:val="248"/>
        </w:trPr>
        <w:tc>
          <w:tcPr>
            <w:tcW w:w="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761,033</w:t>
            </w: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per share: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40" w:type="dxa"/>
            <w:vAlign w:val="bottom"/>
          </w:tcPr>
          <w:p>
            <w:pPr>
              <w:spacing w:after="0"/>
              <w:rPr>
                <w:sz w:val="19"/>
                <w:szCs w:val="19"/>
                <w:color w:val="auto"/>
              </w:rPr>
            </w:pP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0"/>
        </w:trPr>
        <w:tc>
          <w:tcPr>
            <w:tcW w:w="4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143,895</w:t>
            </w:r>
          </w:p>
        </w:tc>
      </w:tr>
      <w:tr>
        <w:trPr>
          <w:trHeight w:val="234"/>
        </w:trPr>
        <w:tc>
          <w:tcPr>
            <w:tcW w:w="40" w:type="dxa"/>
            <w:vAlign w:val="bottom"/>
          </w:tcPr>
          <w:p>
            <w:pPr>
              <w:spacing w:after="0"/>
              <w:rPr>
                <w:sz w:val="20"/>
                <w:szCs w:val="20"/>
                <w:color w:val="auto"/>
              </w:rPr>
            </w:pP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145,220</w:t>
            </w:r>
          </w:p>
        </w:tc>
      </w:tr>
    </w:tbl>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4"/>
        </w:trPr>
        <w:tc>
          <w:tcPr>
            <w:tcW w:w="5820" w:type="dxa"/>
            <w:vAlign w:val="bottom"/>
          </w:tcPr>
          <w:p>
            <w:pPr>
              <w:spacing w:after="0"/>
              <w:rPr>
                <w:sz w:val="16"/>
                <w:szCs w:val="16"/>
                <w:color w:val="auto"/>
              </w:rPr>
            </w:pPr>
          </w:p>
        </w:tc>
        <w:tc>
          <w:tcPr>
            <w:tcW w:w="2740" w:type="dxa"/>
            <w:vAlign w:val="bottom"/>
            <w:gridSpan w:val="6"/>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6"/>
                <w:szCs w:val="16"/>
                <w:color w:val="auto"/>
              </w:rPr>
            </w:pPr>
          </w:p>
        </w:tc>
        <w:tc>
          <w:tcPr>
            <w:tcW w:w="2560" w:type="dxa"/>
            <w:vAlign w:val="bottom"/>
            <w:gridSpan w:val="4"/>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5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60" w:type="dxa"/>
            <w:vAlign w:val="bottom"/>
            <w:tcBorders>
              <w:bottom w:val="single" w:sz="8" w:color="auto"/>
            </w:tcBorders>
          </w:tcPr>
          <w:p>
            <w:pPr>
              <w:spacing w:after="0"/>
              <w:rPr>
                <w:sz w:val="20"/>
                <w:szCs w:val="20"/>
                <w:color w:val="auto"/>
              </w:rPr>
            </w:pPr>
          </w:p>
        </w:tc>
      </w:tr>
      <w:tr>
        <w:trPr>
          <w:trHeight w:val="225"/>
        </w:trPr>
        <w:tc>
          <w:tcPr>
            <w:tcW w:w="58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761,033</w:t>
            </w: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r>
      <w:tr>
        <w:trPr>
          <w:trHeight w:val="23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foreign currency translation adjustments (net of $(21,020), $(5,446),</w:t>
            </w:r>
          </w:p>
        </w:tc>
        <w:tc>
          <w:tcPr>
            <w:tcW w:w="3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$(39,990) and $(11,669) tax provision, respectively)</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(117,460)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(210,750)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(17,567)</w:t>
            </w: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plans: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actuarial losses included in net periodic pension cost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w:t>
            </w:r>
          </w:p>
        </w:tc>
      </w:tr>
      <w:tr>
        <w:trPr>
          <w:trHeight w:val="229"/>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prior service costs included in net periodic pension cost</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156"/>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pension and other post-retirement benefit plans (net of $(195), $(771),</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$(605) and $(2,320) tax provision, respectively)</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net gains (losses) arising during period</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9"/>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gains reclassified into earnings</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156"/>
        </w:trPr>
        <w:tc>
          <w:tcPr>
            <w:tcW w:w="5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flow hedges (net of $(61), $122, $458 and $(302) tax benefit</w:t>
            </w: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respectively)</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earnings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591,155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752,222</w:t>
            </w:r>
          </w:p>
        </w:tc>
      </w:tr>
      <w:tr>
        <w:trPr>
          <w:trHeight w:val="20"/>
        </w:trPr>
        <w:tc>
          <w:tcPr>
            <w:tcW w:w="5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Receivables,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3" w:lineRule="exact"/>
        <w:rPr>
          <w:sz w:val="20"/>
          <w:szCs w:val="20"/>
          <w:color w:val="auto"/>
        </w:rPr>
      </w:pPr>
    </w:p>
    <w:p>
      <w:pPr>
        <w:ind w:left="800" w:hanging="323"/>
        <w:spacing w:after="0" w:line="276" w:lineRule="auto"/>
        <w:rPr>
          <w:sz w:val="20"/>
          <w:szCs w:val="20"/>
          <w:color w:val="auto"/>
        </w:rPr>
      </w:pPr>
      <w:r>
        <w:rPr>
          <w:rFonts w:ascii="Times New Roman" w:cs="Times New Roman" w:eastAsia="Times New Roman" w:hAnsi="Times New Roman"/>
          <w:sz w:val="18"/>
          <w:szCs w:val="18"/>
          <w:color w:val="auto"/>
        </w:rPr>
        <w:t>Prepaid and other current assets Total current assets</w:t>
      </w:r>
    </w:p>
    <w:p>
      <w:pPr>
        <w:spacing w:after="0" w:line="1" w:lineRule="exact"/>
        <w:rPr>
          <w:sz w:val="20"/>
          <w:szCs w:val="20"/>
          <w:color w:val="auto"/>
        </w:rPr>
      </w:pPr>
    </w:p>
    <w:p>
      <w:pPr>
        <w:ind w:left="40" w:right="20"/>
        <w:spacing w:after="0" w:line="271" w:lineRule="auto"/>
        <w:rPr>
          <w:sz w:val="20"/>
          <w:szCs w:val="20"/>
          <w:color w:val="auto"/>
        </w:rPr>
      </w:pPr>
      <w:r>
        <w:rPr>
          <w:rFonts w:ascii="Times New Roman" w:cs="Times New Roman" w:eastAsia="Times New Roman" w:hAnsi="Times New Roman"/>
          <w:sz w:val="18"/>
          <w:szCs w:val="18"/>
          <w:b w:val="1"/>
          <w:bCs w:val="1"/>
          <w:color w:val="auto"/>
        </w:rPr>
        <w:t>Property, plant and equipment, net Goodwill</w:t>
      </w:r>
    </w:p>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assets and deferred charges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37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664"/>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306,002</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385,504</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1,347,514</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1,191,095</w:t>
            </w:r>
          </w:p>
        </w:tc>
      </w:tr>
      <w:tr>
        <w:trPr>
          <w:trHeight w:val="234"/>
        </w:trPr>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166,184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137,596</w:t>
            </w:r>
          </w:p>
        </w:tc>
      </w:tr>
      <w:tr>
        <w:trPr>
          <w:trHeight w:val="223"/>
        </w:trPr>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3,377,045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3,061,709</w:t>
            </w:r>
          </w:p>
        </w:tc>
      </w:tr>
      <w:tr>
        <w:trPr>
          <w:trHeight w:val="218"/>
        </w:trPr>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957,310</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4,558,822</w:t>
            </w:r>
          </w:p>
        </w:tc>
      </w:tr>
      <w:tr>
        <w:trPr>
          <w:trHeight w:val="230"/>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1,359,522</w:t>
            </w:r>
          </w:p>
        </w:tc>
      </w:tr>
      <w:tr>
        <w:trPr>
          <w:trHeight w:val="234"/>
        </w:trPr>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471,068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466,264</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10,652,341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10,403,627</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-2195830</wp:posOffset>
            </wp:positionH>
            <wp:positionV relativeFrom="paragraph">
              <wp:posOffset>-1807845</wp:posOffset>
            </wp:positionV>
            <wp:extent cx="71151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-1516380</wp:posOffset>
            </wp:positionV>
            <wp:extent cx="71151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-1224915</wp:posOffset>
            </wp:positionV>
            <wp:extent cx="71151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-933450</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-624840</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-334010</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60" w:space="720"/>
            <w:col w:w="774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169"/>
        </w:trPr>
        <w:tc>
          <w:tcPr>
            <w:tcW w:w="7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borrowings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788,860</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105,702</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1,073,568</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302,978</w:t>
            </w: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227,549</w:t>
            </w:r>
          </w:p>
        </w:tc>
      </w:tr>
      <w:tr>
        <w:trPr>
          <w:trHeight w:val="230"/>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insurance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101,448</w:t>
            </w: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321,487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347,097</w:t>
            </w:r>
          </w:p>
        </w:tc>
      </w:tr>
      <w:tr>
        <w:trPr>
          <w:trHeight w:val="230"/>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Federal and other income taxes</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91,999</w:t>
            </w: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2,888,754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2,250,341</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2,842,662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3,018,714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389,133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364,117</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income tax payable</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48,385</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532,542</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3,991,426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4,189,528</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10,652,341</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10,403,627</w:t>
            </w:r>
          </w:p>
        </w:tc>
      </w:tr>
      <w:tr>
        <w:trPr>
          <w:trHeight w:val="20"/>
        </w:trPr>
        <w:tc>
          <w:tcPr>
            <w:tcW w:w="7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16"/>
                <w:szCs w:val="16"/>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6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863,717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9,816,960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(247,997)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(6,303,758)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($0.505 per share)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(72,580)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acquired, including accelerated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(400,000)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 program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(116,697)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769,866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10,030,406</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color w:val="auto"/>
              </w:rPr>
              <w:t>(364,694)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(6,703,758)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3,991,426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$1 par value</w:t>
            </w:r>
          </w:p>
        </w:tc>
        <w:tc>
          <w:tcPr>
            <w:tcW w:w="40" w:type="dxa"/>
            <w:vAlign w:val="bottom"/>
          </w:tcPr>
          <w:p>
            <w:pPr>
              <w:spacing w:after="0"/>
              <w:rPr>
                <w:sz w:val="18"/>
                <w:szCs w:val="18"/>
                <w:color w:val="auto"/>
              </w:rPr>
            </w:pPr>
          </w:p>
        </w:tc>
        <w:tc>
          <w:tcPr>
            <w:tcW w:w="12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259,371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853,887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8,962,863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(6,218,758)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3,719,304</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($0.50 per share)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(72,107)</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(1,770)</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(24,006)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259,396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858,733</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9,154,512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(6,218,758)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3,891,818</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6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9,445,245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(154,052)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(6,218,758)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4,189,528</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801,797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801,797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($1.505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(216,636)</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(12,278)</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24,657</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acquired, including accelerated</w:t>
            </w:r>
          </w:p>
        </w:tc>
        <w:tc>
          <w:tcPr>
            <w:tcW w:w="2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(585,000)</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 program</w:t>
            </w: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(210,642)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(210,642)</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259,606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769,866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10,030,406</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(364,694)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(6,703,758)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3,991,426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 par value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8,608,284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(6,197,121)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3,385,773</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761,033</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($1.49 per share)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(214,805)</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for the exercise of share-</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11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(34,838)</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awards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25,053</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acquired</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w:t>
            </w: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5"/>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9,154,512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3,891,818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8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761,033</w:t>
            </w:r>
          </w:p>
        </w:tc>
      </w:tr>
      <w:tr>
        <w:trPr>
          <w:trHeight w:val="22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cash from operating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218,236</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25,053</w:t>
            </w:r>
          </w:p>
        </w:tc>
      </w:tr>
      <w:tr>
        <w:trPr>
          <w:trHeight w:val="229"/>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Reclassification of foreign currency translation losses to earnings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Cash effect of changes in assets and 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(222,521)</w:t>
            </w:r>
          </w:p>
        </w:tc>
      </w:tr>
      <w:tr>
        <w:trPr>
          <w:trHeight w:val="229"/>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(225,522)</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199,877</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32,284</w:t>
            </w:r>
          </w:p>
        </w:tc>
      </w:tr>
      <w:tr>
        <w:trPr>
          <w:trHeight w:val="229"/>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42,084</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and deferred taxes, net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788,586</w:t>
            </w: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(121,157)</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(171,287)</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(286,642)</w:t>
            </w:r>
          </w:p>
        </w:tc>
      </w:tr>
      <w:tr>
        <w:trPr>
          <w:trHeight w:val="22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Repurchase of common stock, including prepayment under accelerated share repurchase program</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(21,637)</w:t>
            </w:r>
          </w:p>
        </w:tc>
      </w:tr>
      <w:tr>
        <w:trPr>
          <w:trHeight w:val="230"/>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commercial paper and other short-term borrowings,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(214,805)</w:t>
            </w:r>
          </w:p>
        </w:tc>
      </w:tr>
      <w:tr>
        <w:trPr>
          <w:trHeight w:val="229"/>
        </w:trPr>
        <w:tc>
          <w:tcPr>
            <w:tcW w:w="8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Payments to settle employee tax obligations on exercise of share-based awards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w:t>
            </w:r>
          </w:p>
        </w:tc>
      </w:tr>
      <w:tr>
        <w:trPr>
          <w:trHeight w:val="230"/>
        </w:trPr>
        <w:tc>
          <w:tcPr>
            <w:tcW w:w="8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2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(274,798)</w:t>
            </w:r>
          </w:p>
        </w:tc>
      </w:tr>
      <w:tr>
        <w:trPr>
          <w:trHeight w:val="230"/>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23"/>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226,069</w:t>
            </w:r>
          </w:p>
        </w:tc>
      </w:tr>
      <w:tr>
        <w:trPr>
          <w:trHeight w:val="230"/>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513,075</w:t>
            </w:r>
          </w:p>
        </w:tc>
      </w:tr>
      <w:tr>
        <w:trPr>
          <w:trHeight w:val="248"/>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739,144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2021, included in the Company's Annual Report on Form 10-K filed with the SEC on February 11, 2022. The year-end Condensed Consolidated Balance Sheet was derived from audited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95% of the Company’s revenue is recognized at a point in time rather than over time as the Company completes its performance obligations. Specifically, revenue is recognized when control transfers to the customer, typically upon shipment or completion of installation, testing, certification, or other substantive acceptance provisions required under the contract. Less than 5% of the Company’s revenue is recognized over time and relates to the sale of equipment or services in which the Company transfers control of a good or service over time and the customer simultaneously receives and consumes the benefits provided by the Company's performance as the Company performs, or our performance creates or enhances an asset the customer controls as the asset is created or enhanced, or our performance does not create an asset with an alternative use to the Company and the Company has an enforceable right to payment for its performance to date plus a reasonable margin.</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disaggregated by segment and geographic location, as they best depict the nature and amount of the Company’s revenue. See Note 16 — Segment Information for further details for revenue by segment and geographic location.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we estimated that $318 million in revenue is expected to be recognized in the future related to performance obligations that are unsatisfied (or partially unsatisfied) at the end of the reporting period. We expect to recognize approximately 73% of our unsatisfied (or partially unsatisfied) performance obligations as revenue through 2023, with the remaining balance to be recognized in 2024 and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246,181</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227,549</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184,845</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revenue recognized during the nine months ended September 30, 2022 and 2021 that was included in contract liabilities at the beginning of the period, inclusive of adjustments, amounted to $178,098 and $155,255,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acquired two businesses in separate transactions for total consideration of $229,296, net of cash acquired. Of these transactions, one includes additional consideration contingent on achieving certain financial performance targets. These businesses were acquired to complement and expand upon existing operations within the Pumps &amp; Process Solutions segment. The goodwill recorded as a result of these acquisitions represents the economic benefits expected to be derived from product line expansions and operational synergies. The goodwill is non-deductible for U.S. income tax purposes for these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Malema</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1, 2022, the Company acquired 99.7% of the equity interests in Malema Engineering Corporation and its related foreign entities ("Malema"), a designer and manufacturer of flow measurement and control instruments serving customers in the biopharmaceutical, semiconductor and industrial sectors, for $220,843, net of cash acquired, subject to contingent consideration. Subsequent to September 30, 2022, the Company acquired the remaining 0.3% of equity interests in Malema. The Malema acquisition expands the Company's biopharma single-use production offering within the Pumps &amp; Process Solutions segment. The contingent consideration is based upon meeting certain financial performance targets for each twelve-month period over the next two years from March 31, 2022, with a range of payouts from $0 to $50,000. No value is attributed to the current estimated fair value of contingent earn-out liability, which will be reassessed quarterly during the performance periods. In connection with this acquisition, the Company recorded goodwill of $151,701 and intangible assets of $64,000 for customer intangibles, $16,000 for patents, and $4,000 for trademarks. The fair value for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$2,928. The fair values of the assets acquired and liabilities assumed, and the related tax balances, are based on preliminary estimates and assumptions. These preliminary estimates and assumptions could change significantly during the measurement period as the Company finalizes the valuations of the assets acquired and liabilities assumed, and the related tax balances.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preliminary allocation of purchase price to the assets acquired and liabilities assumed under the Malema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151,701</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220,843</w:t>
            </w: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320" w:type="dxa"/>
            <w:vAlign w:val="bottom"/>
            <w:tcBorders>
              <w:bottom w:val="single" w:sz="8" w:color="CCEEFF"/>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May 2, 2022, the Company acquired 100% of the voting stock of AMN DPI ("AMN"), a designer and manufacturer of polymer pelletizing tools, for $8,453, net of cash acquired. The AMN acquisition extends the Company's reach into polymer processing equipment production within the Pumps &amp; Process Solutions segment. In connection with this acquisition, the Company recorded goodwill of $2,315 and intangible assets o</w:t>
      </w:r>
      <w:r>
        <w:rPr>
          <w:rFonts w:ascii="Arial" w:cs="Arial" w:eastAsia="Arial" w:hAnsi="Arial"/>
          <w:sz w:val="18"/>
          <w:szCs w:val="18"/>
          <w:color w:val="auto"/>
        </w:rPr>
        <w:t>f</w:t>
      </w:r>
      <w:r>
        <w:rPr>
          <w:rFonts w:ascii="Times New Roman" w:cs="Times New Roman" w:eastAsia="Times New Roman" w:hAnsi="Times New Roman"/>
          <w:sz w:val="18"/>
          <w:szCs w:val="18"/>
          <w:color w:val="auto"/>
        </w:rPr>
        <w:t xml:space="preserve"> $5,349, primarily related to customer intangibles.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acquired six businesses in separate transactions for total consideration of $179,161, net of cash acquired and including contingent consideration. These businesses were acquired to complement and expand upon existing operations within the Engineered Products, Imaging &amp; Identification, Pumps &amp; Process Solutions, and Clean Energy &amp; Fueling segments. The goodwill recorded as a result of these acquisitions represents the economic benefits expected to be derived from product line expansions and operational synergies. Goodwill of $29,317 is deductible for income tax purposes and $83,142 is non-deductible for income tax purposes for these acquisitions.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15, 2021, the Company acquired 100% of the voting stock of The Espy Corporation ("Espy"), a manufacturer of advanced electronic radio frequency sensor systems, for $60,457, net of cash acquired. The Espy acquisition strengthens the Company's offering of complete signal intelligence systems with integrated software within the Engineered Products segment. In connection with this acquisition, the Company recorded goodwill of $29,317 and intangible assets of $21,100, primarily related to customer intangibles. The Espy acquisition was treated as an asset acquisition for U.S. income tax purposes, classifying the goodwill and intangibles as tax deductible.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23, 2021, the Company acquired 100% of the voting stock of CDS Visual, Inc. ("CDS Visual"), a leading provider of 3D visualization solutions tailored for industrial applications, for $29,147, net of cash acquired. The CDS Visual acquisition extends the Company's reach of customer-facing digital capabilities within the Engineered Products segment. In connection with this acquisition, the Company recorded goodwill of $20,863 and intangible assets of $9,930, primarily related to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2021, the Company acquired 100% of the voting stock of Blue Bite LLC ("Blue Bite"), a leading provider of consumer engagement and brand protection software solutions, for $30,143, net of cash acquired and including contingent consideration. The Blue Bite acquisition strengthens the Company's offering of product traceability and authentication solutions within the Imaging &amp; Identification segment. In connection with this acquisition, the Company recorded goodwill of $20,458 and intangible assets of $13,250, primarily related to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2021, the Company acquired 100% of the voting stock of Quantex Arc Limited ("Quantex"), a leading provider of single-use, recyclable pumps, for $23,747, net of cash acquired and including contingent consideration. The Quantex acquisition enhances the offering of single-use pumps for biopharma and other hygienic applications within the Pumps &amp; Process Solutions segment. In connection with this acquisition, the Company recorded goodwill of $14,327 and intangible assets of $11,034, primarily related to patented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19, 2021, the Company acquired 100% of the voting stock of AvaLAN Wireless Systems Incorporated ("AvaLAN"), a leading provider of secure wireless communications solutions for the convenience and fuel retail industry, for $34,144, net of cash acquired. The AvaLAN acquisition extends the Company's reach into the systems and software offering within the Clean Energy &amp; Fueling segment. In connection with this acquisition, the Company recorded goodwill of $26,803 and intangible assets of $14,630, primarily related to customer intangibles.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other immaterial acquisition was completed during the nine months ended September 30, 2021 within the Pumps &amp; Process Solutions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RegO</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28, 2021, the Company acquired 100% of the voting stock of ECI Holding Company, LLC ("RegO"), a provider of highly-engineered components and services that facilitate the production, storage, and distribution of cryogenic gases, for $626,620, net of cash acquired and inclusive of the impact of measurement period adjustments discussed below. In connection with this acquisition, the Company recorded goodwill of $158,894 deductible for income tax purposes and $122,301 non-deductible for income tax purposes. The Company also recorded intangible assets of $173,000 for customer intangibles,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$40,000 for patents, and $21,000 for trademarks. The fair value of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$33,900. The gross amount is $34,606, of which $706 is expected to be uncollectible. The fair values of the assets acquired and liabilities assumed, and the related tax balances, are based on preliminary estimates and assumptions. These preliminary estimates and assumptions could change during the measurement period as the Company finalizes the valuations of the assets acquired and liabilities assumed, and the related tax balances. During the nine months ended September 30, 2022, the Company recorded measurement period adjustments primarily related to its preliminary estimates of deferred taxes and changes in net working capital. These adjustments are based on facts and circumstances that existed as of the acquisition date which resulted in an increase in goodwill of $4,219.</w:t>
      </w:r>
    </w:p>
    <w:p>
      <w:pPr>
        <w:spacing w:after="0" w:line="21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following presents the updated preliminary allocation of purchase price, net of cash acquired of $10,382, to the assets acquired and liabilities assumed under the RegO acquisition, based on their estimated fair values at their acquisition 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72,551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50,027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281,195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(28,745)</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626,620</w:t>
            </w: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400" w:type="dxa"/>
            <w:vAlign w:val="bottom"/>
          </w:tcPr>
          <w:p>
            <w:pPr>
              <w:spacing w:after="0"/>
              <w:rPr>
                <w:sz w:val="18"/>
                <w:szCs w:val="18"/>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38"/>
        </w:trPr>
        <w:tc>
          <w:tcPr>
            <w:tcW w:w="84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tax deductible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122,301</w:t>
            </w:r>
          </w:p>
        </w:tc>
        <w:tc>
          <w:tcPr>
            <w:tcW w:w="10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515,195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Acme Cryogenics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16, 2021, the Company acquired 100% of the voting stock of Acme Cryo Intermediate Inc. ("Acme Cryogenics"), a provider of highly-engineered components and services that facilitate the production, storage, and distribution of cryogenic gases, for $292,285, net of cash acquired and inclusive of the impact of measurement period adjustments discussed below. In connection with this acquisition, the Company recorded goodwill of $164,870 non-deductible for income tax purposes. The Company also recorded intangible assets of $99,000 for customer intangibles, $21,800 for unpatented technology and $6,500 for trademarks. The fair value of customer intangibles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fair value of assets acquired also includes trade receivables of $14,568. The gross amount is $14,912, of which $344 is expected to be uncollectible. The fair values of the assets acquired and liabilities assumed, and the related tax balances, are based on preliminary estimates and assumptions. These preliminary estimates and assumptions could change during the measurement period as the Company finalizes the valuations of the assets acquired and liabilities assumed, and the related tax balances. During the nine months ended September 30, 2022, the Company recorded measurement period adjustments primarily related to its preliminary estimates of deferred taxes and changes in net working capital. These adjustments are based on facts and circumstances that existed as of the acquisition date which resulted in a decrease in goodwill of $4,339.</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presents the updated preliminary allocation of purchase price to the assets acquired and liabilities assumed under the Acme Cryogenics acquisition, based on their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net of cash acquired</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164,870</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292,285</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Amount allocated</w:t>
            </w:r>
          </w:p>
        </w:tc>
        <w:tc>
          <w:tcPr>
            <w:tcW w:w="1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4"/>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 non-deductible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intangibles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3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Unpatented technologies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3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20" w:type="dxa"/>
            <w:vAlign w:val="bottom"/>
            <w:tcBorders>
              <w:bottom w:val="single" w:sz="8" w:color="CCEEFF"/>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292,170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 net</w:t>
            </w: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71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4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671,195</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271,659</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377,800</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1,539,085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1,320,654</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(129,559)</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1,407,797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1,191,095</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1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80" w:type="dxa"/>
            <w:vAlign w:val="bottom"/>
            <w:tcBorders>
              <w:top w:val="single" w:sz="8" w:color="auto"/>
              <w:bottom w:val="single" w:sz="8" w:color="CCEEFF"/>
            </w:tcBorders>
          </w:tcPr>
          <w:p>
            <w:pPr>
              <w:spacing w:after="0"/>
              <w:rPr>
                <w:sz w:val="24"/>
                <w:szCs w:val="24"/>
                <w:color w:val="auto"/>
              </w:rPr>
            </w:pPr>
          </w:p>
        </w:tc>
        <w:tc>
          <w:tcPr>
            <w:tcW w:w="1560" w:type="dxa"/>
            <w:vAlign w:val="bottom"/>
            <w:tcBorders>
              <w:top w:val="single" w:sz="8" w:color="auto"/>
              <w:bottom w:val="single" w:sz="8" w:color="CCEEFF"/>
            </w:tcBorders>
          </w:tcPr>
          <w:p>
            <w:pPr>
              <w:spacing w:after="0"/>
              <w:rPr>
                <w:sz w:val="24"/>
                <w:szCs w:val="24"/>
                <w:color w:val="auto"/>
              </w:rPr>
            </w:pPr>
          </w:p>
        </w:tc>
        <w:tc>
          <w:tcPr>
            <w:tcW w:w="4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63,656</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582,314</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1,816,473</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2,462,443</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(1,505,133)</w:t>
            </w:r>
          </w:p>
        </w:tc>
        <w:tc>
          <w:tcPr>
            <w:tcW w:w="0" w:type="dxa"/>
            <w:vAlign w:val="bottom"/>
          </w:tcPr>
          <w:p>
            <w:pPr>
              <w:spacing w:after="0"/>
              <w:rPr>
                <w:sz w:val="1"/>
                <w:szCs w:val="1"/>
                <w:color w:val="auto"/>
              </w:rPr>
            </w:pPr>
          </w:p>
        </w:tc>
      </w:tr>
      <w:tr>
        <w:trPr>
          <w:trHeight w:val="223"/>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958,894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957,310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totaled $36,889 and $36,913 for the three months ended September 30, 2022 and 2021, respectively. For the nine months ended September 30, 2022 and 2021, depreciation expense totaled $111,274 and $111,152,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Due to the short-term nature of such receivables, the estimate of the amount of accounts receivable that may not be collected is based on the aging of the accounts receivable balances and other historical and forward-looking information on the financial condition of customers. Balances are written off when determined to be uncollectible.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December 31 of the Prior Year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40,474</w:t>
            </w:r>
          </w:p>
        </w:tc>
        <w:tc>
          <w:tcPr>
            <w:tcW w:w="0" w:type="dxa"/>
            <w:vAlign w:val="bottom"/>
          </w:tcPr>
          <w:p>
            <w:pPr>
              <w:spacing w:after="0"/>
              <w:rPr>
                <w:sz w:val="1"/>
                <w:szCs w:val="1"/>
                <w:color w:val="auto"/>
              </w:rPr>
            </w:pPr>
          </w:p>
        </w:tc>
      </w:tr>
      <w:tr>
        <w:trPr>
          <w:trHeight w:val="229"/>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net of recoveries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30"/>
        </w:trPr>
        <w:tc>
          <w:tcPr>
            <w:tcW w:w="4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September 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7. Goodwill and Other Intangible Assets</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080" w:type="dxa"/>
            <w:vAlign w:val="bottom"/>
            <w:tcBorders>
              <w:bottom w:val="single" w:sz="8" w:color="auto"/>
            </w:tcBorders>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operating segments were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Clean Energy &amp;</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Pumps &amp; Process</w:t>
            </w:r>
          </w:p>
        </w:tc>
        <w:tc>
          <w:tcPr>
            <w:tcW w:w="14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Climate &amp;</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2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Fueling</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220" w:type="dxa"/>
            <w:vAlign w:val="bottom"/>
          </w:tcPr>
          <w:p>
            <w:pPr>
              <w:spacing w:after="0"/>
              <w:rPr>
                <w:sz w:val="18"/>
                <w:szCs w:val="18"/>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1,106,202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508,807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4,558,822</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154,016</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(178,719)</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506,425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4,532,333</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recognized additions of $154,016 to goodwill as a result of acquisitions as discussed in Note 3 — Acquisitions. During the nine months ended September 30, 2022, the Company recorded measurement period adjustments that decreased goodwill by $1,786, principally related to deferred taxes and working capital adjustments for 2021 acquisitions within the Imaging &amp; Identification and Engineered Products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definite-lived and indefinite-lived intangible assets by major asset class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82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Customer intangibles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919,716</w:t>
            </w: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146,734</w:t>
            </w:r>
          </w:p>
        </w:tc>
      </w:tr>
      <w:tr>
        <w:trPr>
          <w:trHeight w:val="229"/>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65,583</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Unpatented technologies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97,775</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28,944</w:t>
            </w:r>
          </w:p>
        </w:tc>
      </w:tr>
      <w:tr>
        <w:trPr>
          <w:trHeight w:val="229"/>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Drawings and manuals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2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1,262,813</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96,709</w:t>
            </w:r>
          </w:p>
        </w:tc>
      </w:tr>
      <w:tr>
        <w:trPr>
          <w:trHeight w:val="248"/>
        </w:trPr>
        <w:tc>
          <w:tcPr>
            <w:tcW w:w="282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intangible assets, net</w:t>
            </w:r>
            <w:r>
              <w:rPr>
                <w:rFonts w:ascii="Times New Roman" w:cs="Times New Roman" w:eastAsia="Times New Roman" w:hAnsi="Times New Roman"/>
                <w:sz w:val="23"/>
                <w:szCs w:val="23"/>
                <w:b w:val="1"/>
                <w:bCs w:val="1"/>
                <w:color w:val="auto"/>
                <w:vertAlign w:val="superscript"/>
              </w:rPr>
              <w:t>(1)</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1,359,522</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The change in intangible assets, net for the nine months ended September 30, 2022 includes a decrease of $48.2 million due to foreign currency translation.</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and 2021, amortization expense was $39,625 and $35,998, respectively. For the nine months ended September 30, 2022 and 2021, amortization expense was $119,534 and $107,084, respectively. Amortization expense is primarily comprised of acquisition-related intangible amortization.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acquired certain intellectual property assets related to electric refuse collection vehicles for approximately $29,750, including contingent consideration of up to $20,000. These assets were classified as unpatented technologies and included in the Engineered Products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8. Restructuring Activities</w:t>
            </w:r>
          </w:p>
        </w:tc>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8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restructuring charges by segment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20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1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2"/>
                <w:szCs w:val="22"/>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20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Engineered Products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Clean Energy &amp; Fueling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r>
      <w:tr>
        <w:trPr>
          <w:trHeight w:val="230"/>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48"/>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20,661</w:t>
            </w:r>
          </w:p>
        </w:tc>
      </w:tr>
      <w:tr>
        <w:trPr>
          <w:trHeight w:val="20"/>
        </w:trPr>
        <w:tc>
          <w:tcPr>
            <w:tcW w:w="51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70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These amounts are classified in the Condensed Consolidated Statements of Earnings as follows: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29"/>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w:t>
            </w:r>
          </w:p>
        </w:tc>
      </w:tr>
      <w:tr>
        <w:trPr>
          <w:trHeight w:val="248"/>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20,661</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restructuring expenses of $7,315 and $19,781 incurred during the three and nine months ended September 30, 2022 were primarily the result of restructuring programs initiated in 2021 and 2022 in response to demand conditions and broad-based operational efficiency initiatives focusing on footprint consolidation and IT centralization.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$7,315 of restructuring charges incurred during the third quarter of 2022 primarily included the following items:</w:t>
      </w:r>
    </w:p>
    <w:p>
      <w:pPr>
        <w:spacing w:after="0" w:line="2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Engineered Products segment recorded $2,027 of restructuring charges related primarily to headcount reductions.</w:t>
      </w:r>
    </w:p>
    <w:p>
      <w:pPr>
        <w:spacing w:after="0" w:line="23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Energy &amp; Fueling segment recorded $3,063 of restructuring charges related primarily to headcount reductions and exit costs undertaken in light of market conditions. The segment will continue to make proactive adjustments to its cost structure through restructuring and other programs to align with current demand trends.</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Imaging &amp; Identification segment recorded $516 of restructuring charges related primarily to headcount reductions and exit costs.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Pumps &amp; Process Solutions segment recorded $552 of restructuring charges related primarily to headcount reductions.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Climate &amp; Sustainability Technologies segment recorded $(85) of net restructuring reserve adjustments.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recorded $1,242 of restructuring charges related primarily to exit costs and simplification of organizational structure.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6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2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Exit</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foreign currency translation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(6,945)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170"/>
        <w:spacing w:after="0" w:line="225" w:lineRule="auto"/>
        <w:tabs>
          <w:tab w:leader="none" w:pos="353" w:val="left"/>
        </w:tabs>
        <w:numPr>
          <w:ilvl w:val="1"/>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activity includes non-cash foreign currency translation losses recorded as restructuring charges due to the substantial liquidation of businesses in certain Latin America countries.</w:t>
      </w:r>
    </w:p>
    <w:p>
      <w:pPr>
        <w:spacing w:after="0" w:line="21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Borrowings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Borrowings consisted of the following: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788,034</w:t>
            </w:r>
          </w:p>
        </w:tc>
        <w:tc>
          <w:tcPr>
            <w:tcW w:w="6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788,860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105,702</w:t>
            </w:r>
          </w:p>
        </w:tc>
        <w:tc>
          <w:tcPr>
            <w:tcW w:w="0" w:type="dxa"/>
            <w:vAlign w:val="bottom"/>
          </w:tcPr>
          <w:p>
            <w:pPr>
              <w:spacing w:after="0"/>
              <w:rPr>
                <w:sz w:val="1"/>
                <w:szCs w:val="1"/>
                <w:color w:val="auto"/>
              </w:rPr>
            </w:pPr>
          </w:p>
        </w:tc>
      </w:tr>
      <w:tr>
        <w:trPr>
          <w:trHeight w:val="345"/>
        </w:trPr>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4"/>
                <w:szCs w:val="14"/>
                <w:color w:val="auto"/>
              </w:rPr>
            </w:pPr>
          </w:p>
        </w:tc>
        <w:tc>
          <w:tcPr>
            <w:tcW w:w="1460" w:type="dxa"/>
            <w:vAlign w:val="bottom"/>
            <w:gridSpan w:val="5"/>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3.15% 10-year notes due November 15,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397,895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1.25% 10-year notes due November 9, 2026 (euro-denominated)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577,288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674,217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0.750% 8-year notes due November 4, 2027 (euro-denominated)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480,484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6.65% 30-year debentures due June 1, 2028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199,431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2.950% 10-year notes due November 4, 2029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297,313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297,029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5.375% 30-year debentures due October 15, 2035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296,746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6.60% 30-year notes due March 15, 2038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248,251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248,166</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5.375% 30-year notes due March 1, 2041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344,913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344,705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2,842,662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40" w:hanging="170"/>
        <w:spacing w:after="0"/>
        <w:tabs>
          <w:tab w:leader="none" w:pos="3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is net of unamortized debt discount and deferred debt issuance costs. Total unamortized debt discounts were</w:t>
      </w:r>
    </w:p>
    <w:p>
      <w:pPr>
        <w:ind w:left="180" w:right="20"/>
        <w:spacing w:after="0" w:line="275" w:lineRule="auto"/>
        <w:rPr>
          <w:sz w:val="20"/>
          <w:szCs w:val="20"/>
          <w:color w:val="auto"/>
        </w:rPr>
      </w:pPr>
      <w:r>
        <w:rPr>
          <w:rFonts w:ascii="Times New Roman" w:cs="Times New Roman" w:eastAsia="Times New Roman" w:hAnsi="Times New Roman"/>
          <w:sz w:val="16"/>
          <w:szCs w:val="16"/>
          <w:color w:val="auto"/>
        </w:rPr>
        <w:t>$12.8 million and $15.1 million as of September 30, 2022 and December 31, 2021, respectively. Total deferred debt issuance costs were $11.2 million and $12.5 million as of September 30, 2022 and December 31, 2021,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commercial paper borrowings increased $683,034. The borrowings outstanding under the commercial paper program had a weighted average annual interest rate of 3.34% and 0.38% as of September 30, 2022 and December 31, 2021,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2022, the Company maintained a $1.0 billion five-year unsecured revolving credit facility (the "Credit Agreement") with a syndicate of banks which expires on October 4, 2024. The Company uses the Credit Agreement principally as liquidity back-up for its commercial paper program and for general corporate purposes. At the Company's election, loans under the Credit Agreement will bear interest at a base rate plus an applicable margin. The Credit Agreement requires the Company to pay a facility fee and imposes various restrictions on the Company such as, among other things, a requirement to maintain a minimum interest coverage ratio of consolidated EBITDA to consolidated net interest expense of not less than 3.0 to 1. As of September 30, 2022 and December 31, 2021, there were no borrowings under the Credit Agreement.</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in the Credit Agreement and other long-term debt covenants at September 30, 2022 and had an interest coverage ratio of consolidated EBITDA to consolidated net interest expense of 17.5 to 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other Guarantees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approximately $168 million outstanding in letters of credit, surety bonds, and performance and other guarantees which expire on various dates through 2039. These letters of credit and bonds are primarily issued as security for insurance, warranty and other performance obligations. In general, we would only be liable for the amount of these guarantees in the event of default in the performance of our obligations.</w:t>
      </w:r>
    </w:p>
    <w:p>
      <w:pPr>
        <w:spacing w:after="0" w:line="203" w:lineRule="exact"/>
        <w:rPr>
          <w:sz w:val="20"/>
          <w:szCs w:val="20"/>
          <w:color w:val="auto"/>
        </w:rPr>
      </w:pPr>
    </w:p>
    <w:p>
      <w:pPr>
        <w:ind w:right="9260" w:firstLine="8"/>
        <w:spacing w:after="0" w:line="534" w:lineRule="auto"/>
        <w:tabs>
          <w:tab w:leader="none" w:pos="270" w:val="left"/>
        </w:tabs>
        <w:numPr>
          <w:ilvl w:val="0"/>
          <w:numId w:val="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Financial Instruments </w:t>
      </w:r>
      <w:r>
        <w:rPr>
          <w:rFonts w:ascii="Times New Roman" w:cs="Times New Roman" w:eastAsia="Times New Roman" w:hAnsi="Times New Roman"/>
          <w:sz w:val="18"/>
          <w:szCs w:val="18"/>
          <w:b w:val="1"/>
          <w:bCs w:val="1"/>
          <w:color w:val="auto"/>
        </w:rPr>
        <w:t>Derivatives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which occur within the next twelve months that are denominated in non-functional currencies, with currency forward contracts designated as cash flow hedges. At September 30, 2022 and December 31, 2021, the Company had contracts with total notional amounts of $163,384 and $180,929, respectively, to exchange currencies, principally euro, pound sterling, Swedish krona, Canadian dollar, Chinese yuan, and Swiss franc. The Company believes it is probable that all forecasted cash flow transactions will occur.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had outstanding contracts with a total notional amount of $112,646 and $108,736 as of September 30, 2022 and December 31, 2021, respectively, that are not designated as hedging instruments. These instruments are used to reduce the Company's exposure for operating receivables and payables that are denominated in non-functional currencies. Gains and losses on these contracts are recorded in other income, net in the Condensed Consolidated Statements of Earnings.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fair values of derivative instruments held by the Company as of September 30, 2022 and December 31, 2021 and the balance sheet lines in which they are recorded: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Fair Value Asset (Liability)</w:t>
            </w:r>
          </w:p>
        </w:tc>
        <w:tc>
          <w:tcPr>
            <w:tcW w:w="30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9"/>
                <w:szCs w:val="19"/>
                <w:color w:val="auto"/>
              </w:rPr>
            </w:pPr>
          </w:p>
        </w:tc>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cash flow hedge, the change in estimated fair value of a hedging instrument is recorded in accumulated other comprehensive (loss) earnings as a separate component of the Condensed Consolidated Statements of Stockholders' Equity and is reclassified into revenues, cost of goods and services, or selling, general and administrative expenses in the Condensed Consolidated Statements of Earnings during the period in which the hedged transaction is settled.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designated the €500,000 and €600,000 of euro-denominated notes issued November 4, 2019 and November 9, 2016,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earnings for the gains on net investment hedges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euro-denominated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94,731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179,221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51,571</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7"/>
              </w:rPr>
              <w:t>(21,020)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(39,990)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(11,669)</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net investment hedges,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73,711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139,231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39,902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Company’s assets and liabilities measured at fair value on a recurring basis as of September 30, 2022 and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of long-term debt at September 30, 2022 and December 31, 2021, was $2,658,903 and $3,440,501, respectively. The estimated fair value of long-term debt is based on quoted market prices for similar instruments and is, therefore, classified as Level 2 within the fair value hierarchy.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trade receivables, accounts payable and short-term borrowings are reasonable estimates of their fair values as of September 30, 2022 and December 31, 2021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rates for the three months ended September 30, 2022 and 2021 were 19.0% and 19.5%, respectively. The decrease in the effective tax rate for the three months ended September 30, 2022 relative to the prior year comparable period was primarily driven by favorable audit resolutions and recording of previously unrecognized tax attributes.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the nine months ended September 30, 2022 and 2021 were 16.8% and 19.0%, respectively. The decrease in the effective tax rate for the nine months ended September 30, 2022 relative to the prior year comparable period was primarily driven by favorable audit resolutions, as well as $22.6 million related to the Tax Cuts and Jobs Act.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$0 to $4.8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Equity Incentive Program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typically makes its annual grants of equity awards pursuant to actions taken by the Compensation Committee of the Board of Directors at its regularly scheduled first quarter meeting. During the nine months ended September 30, 2022, the Company issued stock-settled appreciation rights ("SARs") covering 335,285 shares, performance share awards of 40,087 and restricted stock units ("RSUs") of 79,556.</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determining the fair value of the SARs awarded during the respective periods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4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18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0.59 %</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30.49 %</w:t>
            </w:r>
          </w:p>
        </w:tc>
      </w:tr>
      <w:tr>
        <w:trPr>
          <w:trHeight w:val="216"/>
        </w:trPr>
        <w:tc>
          <w:tcPr>
            <w:tcW w:w="8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share awards granted in 2022 and 2021 are market condition awards as attainment is based on Dover's performance relative to its peer group (companies listed under the S&amp;P 500 Industrials sector) for the relevant performance period. The performance period and vesting period for these awards is three years. These awards were valued on the date of grant using the Monte Carlo simulation model (a binomial lattice-based valuation model) and are generally recognized ratably over the vesting period, and the fair value is not subject to change based on future market conditions. The assumptions used in determining the fair value of the performance shares granted in the respective periods were as follows: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2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Performance Shares</w:t>
            </w: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31.90 %</w:t>
            </w:r>
          </w:p>
        </w:tc>
      </w:tr>
      <w:tr>
        <w:trPr>
          <w:trHeight w:val="216"/>
        </w:trPr>
        <w:tc>
          <w:tcPr>
            <w:tcW w:w="8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price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share at date of grant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granted RSUs, and the fair value of these awards was determined using Dover's closing stock price on the date of grant, which was $160.21 and $122.73 for RSUs granted in 2022 and 2021, respectively.</w:t>
      </w:r>
    </w:p>
    <w:p>
      <w:pPr>
        <w:spacing w:after="0" w:line="18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1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24,657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25,053</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(2,357)</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22,220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22,696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estimated liabilities have been established. At September 30, 2022 and December 31, 2021, these estimated liabilities for environmental and other matters, including private party claims for exposure to hazardous substances that are probable and estimable, were not material.</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estimated liabilities for legal matters that are probable and estimable, and at September 30, 2022 and December 31, 2021, these estimated liabilities were not material.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Accruals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September 30, 2022 and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December 31 of the Prior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53,747</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(50,350)</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acquisitions and currency translation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September 30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9140" w:firstLine="8"/>
        <w:spacing w:after="0" w:line="534" w:lineRule="auto"/>
        <w:tabs>
          <w:tab w:leader="none" w:pos="270" w:val="left"/>
        </w:tabs>
        <w:numPr>
          <w:ilvl w:val="0"/>
          <w:numId w:val="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Employee Benefit Plans </w:t>
      </w:r>
      <w:r>
        <w:rPr>
          <w:rFonts w:ascii="Times New Roman" w:cs="Times New Roman" w:eastAsia="Times New Roman" w:hAnsi="Times New Roman"/>
          <w:sz w:val="18"/>
          <w:szCs w:val="18"/>
          <w:b w:val="1"/>
          <w:bCs w:val="1"/>
          <w:color w:val="auto"/>
        </w:rPr>
        <w:t>Retirement Plans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tables below set forth the components of the Company’s net periodic (income) expense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Benefits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27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00" w:type="dxa"/>
            <w:vAlign w:val="bottom"/>
            <w:tcBorders>
              <w:bottom w:val="single" w:sz="8" w:color="auto"/>
            </w:tcBorders>
          </w:tcPr>
          <w:p>
            <w:pPr>
              <w:spacing w:after="0"/>
              <w:rPr>
                <w:sz w:val="22"/>
                <w:szCs w:val="22"/>
                <w:color w:val="auto"/>
              </w:rPr>
            </w:pPr>
          </w:p>
        </w:tc>
      </w:tr>
      <w:tr>
        <w:trPr>
          <w:trHeight w:val="223"/>
        </w:trPr>
        <w:tc>
          <w:tcPr>
            <w:tcW w:w="2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U.S. Plan</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U.S. Plan</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223"/>
        </w:trPr>
        <w:tc>
          <w:tcPr>
            <w:tcW w:w="2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2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(income)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Benefits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060" w:type="dxa"/>
            <w:vAlign w:val="bottom"/>
          </w:tcPr>
          <w:p>
            <w:pPr>
              <w:spacing w:after="0"/>
              <w:rPr>
                <w:sz w:val="22"/>
                <w:szCs w:val="22"/>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2"/>
                <w:szCs w:val="22"/>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0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service cost</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9"/>
        </w:trPr>
        <w:tc>
          <w:tcPr>
            <w:tcW w:w="5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expense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0"/>
        </w:trPr>
        <w:tc>
          <w:tcPr>
            <w:tcW w:w="5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offers defined contribution retirement plans which cover the majority of its U.S. employees, as well as employees in certain other countries. The related expense is recognized within selling, general and administrative expenses and cost of goods and services, depending on the functional area of the underlying employees included in the plans. The Company’s expense relating to defined contribution plans was $14,044 and $15,001 for the three months ended September 30, 2022 and 2021, respectively, and $46,301 and $46,114 for the nine months ended September 30, 2022 and 2021,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15. Other Comprehensive Earnings</w:t>
      </w:r>
    </w:p>
    <w:p>
      <w:pPr>
        <w:spacing w:after="0" w:line="2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to earnings during the three and nine months ended September 30, 2022 and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foreign currency translation losses to earnings for</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substantial liquidation of businesses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reclassified into earnings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translation losses were recognized in selling, general and administrative expenses within the Condensed Consolidated Statement of Earnings as a result of the substantial liquidation of certain businesses.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amortization of net actuarial gains and losses and prior service costs in other income, net within the Condensed Consolidated Statements of Earnings.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16.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categorizes its operating companies into five reportable segments as follows:</w:t>
      </w:r>
    </w:p>
    <w:p>
      <w:pPr>
        <w:spacing w:after="0" w:line="252"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&amp; Sustainability Technologies segment is a provider of innovative and energy-efficient equipment and systems that serve the commercial refrigeration, heating and cooling and beverage can-making equipment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uses segment earnings to evaluate segment performance and allocate resources. Segment earnings is defined as earnings before purchase accounting expenses, restructuring and other costs (benefits), loss (gain) on dispositions, corporate expenses/other, interest expense, interest income and provision for income taxes.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 period ended September 30, 2022, the segment measure of profit and loss used by the CODM was changed to segment earnings from segment earnings (EBIT), defined as earnings before corporate expenses/other, interest expense, interest income and provision for income taxes. This change in segment measure allows the CODM to better assess operating results over time and is consistent with how the CODM evaluates our businesses. Accordingly, we have updated our segment earnings for the three and nine months ended September 30, 2021 to conform to the new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financial information and a reconciliation of segment results to consolidated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1,318,016</w:t>
            </w:r>
          </w:p>
        </w:tc>
      </w:tr>
      <w:tr>
        <w:trPr>
          <w:trHeight w:val="229"/>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1,237,281</w:t>
            </w:r>
          </w:p>
        </w:tc>
      </w:tr>
      <w:tr>
        <w:trPr>
          <w:trHeight w:val="230"/>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870,939</w:t>
            </w:r>
          </w:p>
        </w:tc>
      </w:tr>
      <w:tr>
        <w:trPr>
          <w:trHeight w:val="229"/>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1,261,318</w:t>
            </w:r>
          </w:p>
        </w:tc>
      </w:tr>
      <w:tr>
        <w:trPr>
          <w:trHeight w:val="230"/>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1,232,008</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2,158,291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2,018,269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6,368,907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5,917,846</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215,315</w:t>
            </w:r>
          </w:p>
        </w:tc>
      </w:tr>
      <w:tr>
        <w:trPr>
          <w:trHeight w:val="230"/>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253,103</w:t>
            </w:r>
          </w:p>
        </w:tc>
      </w:tr>
      <w:tr>
        <w:trPr>
          <w:trHeight w:val="229"/>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200,818</w:t>
            </w:r>
          </w:p>
        </w:tc>
      </w:tr>
      <w:tr>
        <w:trPr>
          <w:trHeight w:val="230"/>
        </w:trPr>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425,929</w:t>
            </w:r>
          </w:p>
        </w:tc>
      </w:tr>
      <w:tr>
        <w:trPr>
          <w:trHeight w:val="229"/>
        </w:trPr>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150,114</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1,245,279</w:t>
            </w: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106,265</w:t>
            </w:r>
          </w:p>
        </w:tc>
      </w:tr>
      <w:tr>
        <w:trPr>
          <w:trHeight w:val="229"/>
        </w:trPr>
        <w:tc>
          <w:tcPr>
            <w:tcW w:w="5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(benefits)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dispositions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110,332</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79,917</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940,113</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179,080</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761,033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40" w:hanging="8"/>
        <w:spacing w:after="0" w:line="223" w:lineRule="auto"/>
        <w:tabs>
          <w:tab w:leader="none" w:pos="5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 and charges related to fair value step-ups for acquired inventory sold during the period.</w:t>
      </w:r>
    </w:p>
    <w:p>
      <w:pPr>
        <w:ind w:left="340" w:hanging="8"/>
        <w:spacing w:after="0" w:line="222" w:lineRule="auto"/>
        <w:tabs>
          <w:tab w:leader="none" w:pos="517"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employee reductions, facility consolidations and site closures, product line exits, and other asset charges. Restructuring and other costs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13335</wp:posOffset>
            </wp:positionV>
            <wp:extent cx="4328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5"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27305</wp:posOffset>
            </wp:positionV>
            <wp:extent cx="21774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8" w:lineRule="exact"/>
        <w:rPr>
          <w:sz w:val="20"/>
          <w:szCs w:val="20"/>
          <w:color w:val="auto"/>
        </w:rPr>
      </w:pPr>
    </w:p>
    <w:p>
      <w:pPr>
        <w:ind w:left="4660"/>
        <w:spacing w:after="0"/>
        <w:tabs>
          <w:tab w:leader="none" w:pos="64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27305</wp:posOffset>
            </wp:positionV>
            <wp:extent cx="2091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9" w:lineRule="exact"/>
        <w:rPr>
          <w:sz w:val="20"/>
          <w:szCs w:val="20"/>
          <w:color w:val="auto"/>
        </w:rPr>
      </w:pPr>
    </w:p>
    <w:p>
      <w:pPr>
        <w:sectPr>
          <w:pgSz w:w="11900" w:h="16838" w:orient="portrait"/>
          <w:cols w:equalWidth="0" w:num="2">
            <w:col w:w="7140" w:space="720"/>
            <w:col w:w="3380"/>
          </w:cols>
          <w:pgMar w:left="320" w:top="126" w:right="339" w:bottom="1440" w:gutter="0" w:footer="0" w:header="0"/>
          <w:type w:val="continuous"/>
        </w:sectPr>
      </w:pPr>
    </w:p>
    <w:tbl>
      <w:tblPr>
        <w:tblLayout w:type="fixed"/>
        <w:tblInd w:w="340" w:type="dxa"/>
        <w:tblCellMar>
          <w:top w:w="0" w:type="dxa"/>
          <w:left w:w="0" w:type="dxa"/>
          <w:bottom w:w="0" w:type="dxa"/>
          <w:right w:w="0" w:type="dxa"/>
        </w:tblCellMar>
      </w:tblP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4,790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19,781</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20,661</w:t>
            </w:r>
          </w:p>
        </w:tc>
      </w:tr>
      <w:tr>
        <w:trPr>
          <w:trHeight w:val="21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(7,991)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(8,921)</w:t>
            </w: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 (benefits)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(3,201)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27,109</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11,740</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500" w:hanging="168"/>
        <w:spacing w:after="0"/>
        <w:tabs>
          <w:tab w:leader="none" w:pos="50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dispositions includes working capital adjustments related to dispositions.</w:t>
      </w:r>
    </w:p>
    <w:p>
      <w:pPr>
        <w:ind w:left="500" w:hanging="168"/>
        <w:spacing w:after="0" w:line="191" w:lineRule="auto"/>
        <w:tabs>
          <w:tab w:leader="none" w:pos="50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w:t>
      </w:r>
    </w:p>
    <w:p>
      <w:pPr>
        <w:spacing w:after="0" w:line="10" w:lineRule="exact"/>
        <w:rPr>
          <w:sz w:val="20"/>
          <w:szCs w:val="20"/>
          <w:color w:val="auto"/>
        </w:rPr>
      </w:pPr>
    </w:p>
    <w:p>
      <w:pPr>
        <w:ind w:left="340" w:right="20"/>
        <w:spacing w:after="0" w:line="257" w:lineRule="auto"/>
        <w:rPr>
          <w:sz w:val="20"/>
          <w:szCs w:val="20"/>
          <w:color w:val="auto"/>
        </w:rPr>
      </w:pPr>
      <w:r>
        <w:rPr>
          <w:rFonts w:ascii="Times New Roman" w:cs="Times New Roman" w:eastAsia="Times New Roman" w:hAnsi="Times New Roman"/>
          <w:sz w:val="16"/>
          <w:szCs w:val="16"/>
          <w:color w:val="auto"/>
        </w:rPr>
        <w:t>service pension costs, non-operating insurance expenses, shared business services overhead costs, deal-related expenses and various administrative expenses relating to the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the location of the Company's customers: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3,656,930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3,235,542</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1,356,435</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650,481</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468,298</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207,090</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2,158,291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2,018,269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6,368,907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5,917,846</w:t>
            </w: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17. Share Repurchases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 new standing share repurchase authorization, whereby the Company may repurchase up to 20 million shares beginning on January 1, 2021 through December 31, 2023. This share repurchase authorization replaced the February 2018 share repurchase authorization.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31, 2022, the Company entered into a $500,000 accelerated share repurchase agreement (the “ASR Agreement”) with Bank of America N.A. (“Bank of America”) to repurchase its shares in an accelerated share repurchase program (the “ASR Program”). The ASR Program is classified as equity, initially recorded at fair value with no subsequent remeasurement. The Company conducted the ASR Program under the November 2020 share repurchase authorization. The Company funded the ASR Program with proceeds from commercial paper.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ASR Agreement, the Company paid Bank of America $500,000 on September 1, 2022 and on that date received initial deliveries of 3,201,025 shares, representing a substantial majority of the shares expected to be retired over the course of the ASR Agreement. The total number of shares ultimately repurchased under the ASR Agreement will be based on the daily volume-weighted average share price of Dover's common stock during the calculation period of the ASR Program, less a discount. The ASR Program is scheduled to be completed in the fourth quarter of 2022, subject to postponement or acceleration under the terms of the ASR Agreement. The impact of these shares that will be received at the completion of the ASR Program is anti-dilutive and therefore excluded from the calculation of diluted earnings per share. The actual number of shares repurchased will be determined at the completion of the ASR Program.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November 2020 share repurchase authorization, exclusive of the ASR Program, in the three months ended September 30, 2022 and 2021, there were no share repurchases. In the nine months ended September 30, 2022, the Company repurchased 641,428 shares of common stock at a total cost of $85,000, or $132.52 per share. In the nine months ended September 30, 2021, the Company repurchased 182,951 shares of common stock at a total cost of $21,637, or $118.27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15,974,596 shares remain authorized for repurchase under the November 2020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where otherwise indicated) (Unaudited)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18.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information used in computing basic and diluted earnings per share: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0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761,033</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142,506,000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143,976,000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143,469,000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143,895,000</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55"/>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143,257,000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144,413,000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145,220,000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share amounts used in computing earnings per share: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27" w:lineRule="exact"/>
        <w:rPr>
          <w:sz w:val="20"/>
          <w:szCs w:val="20"/>
          <w:color w:val="auto"/>
        </w:rPr>
      </w:pPr>
    </w:p>
    <w:p>
      <w:pPr>
        <w:ind w:left="20" w:right="20"/>
        <w:spacing w:after="0" w:line="234" w:lineRule="auto"/>
        <w:rPr>
          <w:sz w:val="20"/>
          <w:szCs w:val="20"/>
          <w:color w:val="auto"/>
        </w:rPr>
      </w:pPr>
      <w:r>
        <w:rPr>
          <w:rFonts w:ascii="Times New Roman" w:cs="Times New Roman" w:eastAsia="Times New Roman" w:hAnsi="Times New Roman"/>
          <w:sz w:val="18"/>
          <w:szCs w:val="18"/>
          <w:color w:val="auto"/>
        </w:rPr>
        <w:t>Dilutive effect of assumed exercise of SARs and vesting of performance shares and RSUs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143,469,000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143,895,000</w:t>
            </w:r>
          </w:p>
        </w:tc>
      </w:tr>
      <w:tr>
        <w:trPr>
          <w:trHeight w:val="414"/>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944,000</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1,325,000</w:t>
            </w: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143,257,000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145,440,000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144,413,000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145,220,000</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-607695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-187960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126" w:right="339" w:bottom="1440" w:gutter="0" w:footer="0" w:header="0"/>
          <w:type w:val="continuous"/>
        </w:sectPr>
      </w:pP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number of anti-dilutive potential common shares excluded from the calculation above were approximately 19,000 and 1,000 for the three months ended September 30, 2022 and 2021, respectively, and 28,000 and 57,000 for the nine months ended September 30, 2022 and 2021, respectively.</w:t>
      </w:r>
    </w:p>
    <w:p>
      <w:pPr>
        <w:spacing w:after="0" w:line="199" w:lineRule="exact"/>
        <w:rPr>
          <w:sz w:val="20"/>
          <w:szCs w:val="20"/>
          <w:color w:val="auto"/>
        </w:rPr>
      </w:pPr>
    </w:p>
    <w:p>
      <w:pPr>
        <w:jc w:val="both"/>
        <w:ind w:right="8160" w:firstLine="8"/>
        <w:spacing w:after="0" w:line="534" w:lineRule="auto"/>
        <w:tabs>
          <w:tab w:leader="none" w:pos="270" w:val="left"/>
        </w:tabs>
        <w:numPr>
          <w:ilvl w:val="0"/>
          <w:numId w:val="1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Recent Accounting Pronouncements </w:t>
      </w:r>
      <w:r>
        <w:rPr>
          <w:rFonts w:ascii="Times New Roman" w:cs="Times New Roman" w:eastAsia="Times New Roman" w:hAnsi="Times New Roman"/>
          <w:sz w:val="18"/>
          <w:szCs w:val="18"/>
          <w:b w:val="1"/>
          <w:bCs w:val="1"/>
          <w:color w:val="auto"/>
        </w:rPr>
        <w:t>Recently Adopted Accounting Standard</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 Accounting for Contract Assets and Contract Liabilities from Contracts with Customers. The amendments in this update require that an acquirer recognize and measure contract assets and contract liabilities acquired in a business combination in accordance with Topic 606, Revenue from Contracts with Customers, as if the acquirer had originated the contracts. The Company early adopted the guidance during the first quarter of 2022. Prior to adoption, the acquirer recognized such contract assets and contract liabilities at fair value on the acquisition date. The adoption did not have a material impact on the Company's Condensed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(Topic 405-50): Disclosure of Supplier Finance Program Obligations. The amendments in this update require a buyer in a supplier finance program to disclose information about the program's nature, activity during the period, changes from period to period, and potential magnitude. The guidance will become effective January 1, 2023 and early adoption is permitted. Management is evaluating the timing and impact of adopting this ASU on the Company's Condensed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Dover's five operating segments are as follows:</w:t>
      </w:r>
    </w:p>
    <w:p>
      <w:pPr>
        <w:spacing w:after="0" w:line="252"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and systems that serve the commercial refrigeration, heating and cooling and beverage can-making equipment markets.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2022, revenue was $2.2 billion, which increased $140.0 million, or 6.9%, as compared to the third quarter of 2021. This was driven by organic revenue growth of 9.0% and acquisition-related revenue growth of 4.4%, partially offset by an unfavorable impact from foreign currency translation of 4.8% and disposition-related decline of 1.7%. Pricing initiatives continued in the quarter to offset the impact of higher commodity costs, component parts inflation and higher energy, freight and logistics costs.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9.0% organic revenue growth for the third quarter of 2022 was broad-based across most of our businesses based on solid underlying demand and our ability to produce and ship despite supply chain constraints and input cost inflation. The Engineered Products segment had organic revenue growth of 17.6% primarily as a result of pricing initiatives as well as strength in our waste handling, vehicle service, industrial automation, aerospace and defense, and industrial winch and hoist businesses. The Clean Energy &amp; Fueling segment had organic revenue decline of 0.5% principally due to reduced demand in above ground retail fueling equipment, mostly offset by solid demand in below ground retail fueling, fluid transfer solutions and vehicle wash</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solutions businesses, along with pricing initiatives. The Imaging &amp; Identification segment experienced organic revenue growth of 4.9% driven by solid activity in our marking and coding business, as underlying demand for our printers, spare parts, services and consumables remains positive, and by improvements in component availability. The Pumps &amp; Process Solutions segment had organic revenue growth of 1.9%, driven by pricing initiatives, along with continued strength in our core non-COVID-19 biopharma platform, industrial pumps, plastics and polymer processing solutions, and bearings and compression components businesses, partially offset by lower shipments for single-use pumps and connectors used in biopharmaceutical production processes for the COVID-19 vaccine. The Climate &amp; Sustainability Technologies segment posted organic revenue growth of 19.3%, reflective of pricing initiatives combined with strong demand in retail refrigeration, can-making, and heat exchangers.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 geographic perspective, organic revenue for the U.S., our largest market, increased 11.2% in the third quarter of 2022. Organic revenue in Asia and Europe grew 13.0% and 8.7%, respectively. Organic revenue in China, which represents approximately half of our business in Asia, grew 8% in the quarter as our businesses recovered from easing of COVID restrictions from the previous quarter. Other Americas declined by 5.6% organically in the quarter.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Bookings were $2.1 billion for the three months ended September 30, 2022, a decrease of $230.8 million, or 10.1% compared to the prior year comparable quarter. Included in this result was organic decline of 8.2%, an unfavorable impact from foreign currency translation of 3.8%, disposition-related decline of 1.7%, partially offset by acquisition-related growth of 3.6%. The organic bookings decline was driven by a decrease in orders in our Clean Energy &amp; Fueling, Pump &amp; Process Solutions and Climate &amp; Sustainability Technologies segments, partially offset by organic growth in our Engineered Products and Imaging &amp; Identification segments.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Backlog as of September 30, 2022 was $3.2 billion, an increase from $2.8 billion in the prior year. See definition of bookings and backlog within "Segment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we acquired 99.7% of the equity interests in Malema Engineering Corporation and its related foreign entities ("Malema"), a designer and manufacturer of flow measurement and control instruments serving customers in the biopharmaceutical, semiconductor and industrial sectors, for $220.8 million, net of cash acquired, subject to contingent consideration. Subsequent to September 30, 2022, the Company acquired the remaining 0.3% of equity interests in Malema. The Malema acquisition expands the Company's biopharma single-use production offering within the Pumps &amp; Process Solutions segment.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and other costs of $8.6 million included restructuring charges of $7.3 million and other costs of $1.3 million for the three months ended September 30, 2022. Restructuring and other costs were primarily due to headcount reductions and facility consolidations resulting from restructuring programs initiated in 2021 and 2022. See Note 8 — Restructuring Activities in the Condensed Consolidated Financial Statements in Item 1 of this Form 10-Q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Update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outbreak and associated counteracting measures implemented by governments and businesses around the world, as well as subsequent accelerated recovery in global business activity, have increased uncertainty in the global business environment and led to supply chain disruptions and shortages in global markets for commodities, logistics and labor, as well as input cost inflation. Currently our expectation is that the impact of cost inflation, including labor, energy, freight and logistics costs, as well as supplier component input availability will continue throughout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health situation, continued global response measures and corresponding impacts on various markets remain fluid and uncertain and may lead to sudden changes in trajectory and outlook. We will continue to proactively respond to the situation and may take further actions that alter our business activity as may be required by governmental authorities, or that we determine are in the best interests of our employees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CONSOLIDATED RESULTS OF OPERATIONS</w:t>
            </w:r>
          </w:p>
        </w:tc>
        <w:tc>
          <w:tcPr>
            <w:tcW w:w="7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w:t>
            </w:r>
          </w:p>
        </w:tc>
        <w:tc>
          <w:tcPr>
            <w:tcW w:w="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data)</w:t>
            </w:r>
          </w:p>
        </w:tc>
        <w:tc>
          <w:tcPr>
            <w:tcW w:w="3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2,158,291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2,018,269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6,368,907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5,917,846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1,385,541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1,263,690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4,071,680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3,669,547</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754,579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2,297,227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2,248,299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35.8 %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37.4 %</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38.0 %</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(1.9)</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402,339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412,553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1,270,615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1,249,593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3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18.6 %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20.4 %</w:t>
            </w:r>
          </w:p>
        </w:tc>
        <w:tc>
          <w:tcPr>
            <w:tcW w:w="108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20.0 %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21.1 %</w:t>
            </w:r>
          </w:p>
        </w:tc>
        <w:tc>
          <w:tcPr>
            <w:tcW w:w="108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(1.1)</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expenses as a percent of revenue</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earnings</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370,411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342,026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1,026,612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998,706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26,433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83,330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79,917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nm*</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before provision for income</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353,033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327,519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964,092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940,113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63,763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162,295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179,080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19.0 %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19.5 %</w:t>
            </w:r>
          </w:p>
        </w:tc>
        <w:tc>
          <w:tcPr>
            <w:tcW w:w="108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19.0 %</w:t>
            </w:r>
          </w:p>
        </w:tc>
        <w:tc>
          <w:tcPr>
            <w:tcW w:w="108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263,756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801,797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761,033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 - diluted $</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September 30, 2022 increased $140.0 million, or 6.9%, from the prior year comparable quarter. Results included organic revenue growth of 9.0%, primarily led by our Engineered Products and Climate &amp; Sustainability Technologies segments, and acquisition-related revenue growth of 4.4%, primarily driven by our Clean Energy &amp; Fueling segment. This growth was partially offset by an unfavorable impact from foreign currency translation of 4.8% and disposition-related decline of 1.7%. Customer pricing favorably impacted revenue by approximately 7.6% in the third quarter of 2022 compared to 3.6% in the prior year comparable quarter.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nine months ended September 30, 2022 increased $451.1 million, or 7.6%, from the prior year comparable period. The increase primarily reflects organic revenue growth of 8.6%, primarily led by our Engineered Products and Climate &amp; Sustainability Technologies segments. Acquisition-related growth was 4.3%, primarily led by our Clean Energy &amp; Fueling segment. This growth was partially offset by an unfavorable impact from foreign currency translation of 3.6% and a 1.7% impact from dispositions within the Climate &amp; Sustainability Technologies segment. Customer pricing favorably impacted revenue by approximately 6.7% for the nine months ended September 30, 2022 compared to 2.2% in the prior year comparable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three months ended September 30, 2022 increased $18.2 million, or 2.4%, while gross profit margin decreased 160 basis points to 35.8%, from the prior year comparable quarter. Our pricing initiatives which started in 2021 and into 2022 offset increased material and logistics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nine months ended September 30, 2022 increased $48.9 million, or 2.2%, while gross profit margin decreased by 190 basis points to 36.1%, from the prior year comparable period. Our pricing initiatives which started in 2021 and into 2022 offset increased material and logistics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2022 decreased $10.2 million, or 2.5%, from the prior year comparable quarter, primarily due to the impact of foreign currency and lower accrued expenses, partially offset by increased labor costs. As a percentage of revenue, selling, general and administrative expenses decreased 180 basis points as compared to the prior year comparable quarter to 18.6% due to an increase in the revenue base.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2022 increased $21.0 million, or 1.7%, from the prior year comparable period, primarily due to increased labor costs, travel and marketing expenses, and amortization expense from acquisitions. Selling, general and administrative expenses as a percentage of revenue decreased 110 basis points as compared to the prior year comparable period to 20.0% due to an increase in the revenue base.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including qualifying engineering costs, are expensed when incurred and amounted to $44.0 million and $34.4 million for the three months ended September 30, 2022 and 2021, respectively, and $123.3 million and $116.8 million, for the nine months ended September 30, 2022 and 2021, respectively. These costs as a percent of revenue were 2.0% and 1.7% for the three months ended September 30, 2022 and 2021, respectively, and 1.9% and 2.0% for the nine months ended September 30,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net includes non-service pension benefit, deferred compensation plan investments gain or loss, earnings or charges from equity method investments, foreign exchange gain or loss, and various other items. Other income, net for the three and nine months ended September 30, 2022 increased $0.7 million and $0.4 million, respectively, from the prior year comparable periods due to various immaterial items.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months ended September 30, 2022 and 2021 were 19.0% and 19.5%, respectively. The decrease in the effective tax rate for the three months ended September 30, 2022 relative to the prior year comparable quarter was primarily driven by favorable audit resolutions and recording of previously unrecognized tax attributes.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the nine months ended September 30, 2022 and 2021 were 16.8% and 19.0%, respectively. The decrease in the effective tax rate for the nine months ended September 30, 2022 relative to the prior year comparable period was primarily driven by favorable audit resolutions, as well as $22.6 million related to the Tax Cuts and Jobs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earnings for the three months ended September 30, 2022 increased 8.4% to $286.0 million, or $2.00 diluted earnings per share, from $263.8 million, or $1.81 diluted earnings per share, in the prior year comparable quarter. The increase in net earnings is mainly attributable to increased volumes, productivity initiatives, favorable business mix, and customer pricing actions, partially offset by increased material, energy, and logistics costs, increased labor costs, and unfavorable impact from foreign currency translation.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earnings for the nine months ended September 30, 2022 increased 5.4% to $801.8 million, or $5.55 diluted earnings per share, from $761.0 million, or $5.24 diluted earnings per share, in the prior year comparable period. The increase in net earnings is mainly attributable to increased volumes, favorable business mix, pricing initiatives, productivity actions, and restructuring benefits offset by higher material and logistic costs, increased labor costs and an unfavorable impact from foreign currency translation. Additionally, the nine months ended September 30, 2022 was impacted by a $22.6 million reduction to income taxes previously recorded related to the Tax Cuts and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each of our five reportable operating segments (Engineered Products, Clean Energy &amp; Fueling, Imaging &amp; Identification, Pumps &amp; Process Solutions, and Climate &amp; Sustainability Technologies). Each of these segments is comprised of various product and service offerings that serve multiple markets. We evaluate our operating segment performance based on segment earnings as defined in Note 16 — Segment Information in the Condensed Consolidated Financial Statements in Item 1 of this Form 10-Q. For further information, see "Non-GAAP Disclosures" at the end of this Item 2.</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203" w:lineRule="exact"/>
        <w:rPr>
          <w:sz w:val="20"/>
          <w:szCs w:val="20"/>
          <w:color w:val="auto"/>
        </w:rPr>
      </w:pPr>
    </w:p>
    <w:p>
      <w:pPr>
        <w:ind w:left="660" w:right="20" w:hanging="328"/>
        <w:spacing w:after="0" w:line="265"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Bookings represent total orders received from customers in the current reporting period. This metric is an important measure of performance and an indicator of revenue order trends.</w:t>
      </w:r>
    </w:p>
    <w:p>
      <w:pPr>
        <w:spacing w:after="0" w:line="190"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bookings represent total orders received from customers in the current reporting period excluding the impact of foreign currency exchange rates and the impact of acquisitions and dispositions. This metric is an important measure of performance and an indicator of revenue order trends.</w:t>
      </w:r>
    </w:p>
    <w:p>
      <w:pPr>
        <w:spacing w:after="0" w:line="19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75"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Products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Engineered Products segment provides a wide range of equipment, components, software, solutions and services for vehicle aftermarket, waste handling, industrial automation, aerospace and defense, industrial winch and hoist, and fluid dispensing end-markets.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447,798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502,767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1,528,277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30"/>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3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2022 Compared to the Third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segment revenue for the third quarter of 2022 increased $68.7 million, or 15.3%, as compared to the third quarter of 2021, comprised primarily of organic growth of 17.6%, acquisition-related growth of 0.6%, partially offset by an unfavorable impact from foreign currency translation of 2.9%. Customer pricing favorably impacted revenue in the third quarter of 2022 by approximately 10.6% compared to 6.5% in the prior year comparable quarter, reflecting actions to recover increasing costs.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organic revenue growth was most notable in our waste handling, vehicle service, industrial automation, aerospace and defense, and industrial winch and hoist businesses. Despite the strong organic growth and near record-high backlog levels for the segment, shipments continue to be challenged by supply chain and labor availability constraints. We anticipate organic revenue growth to continue into the fourth quarter driven by a healthy backlog position and strong order demand trends in several of our key end-markets, most notably in waste handling and aerospace and defense.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Engineered Products segment earnings increased $22.8 million, or 33.8%, compared to the third quarter of 2021. The increase was primarily driven by increased volumes, customer pricing actions and productivity gains, partially offset by higher material, energy, and logistic costs, increased labor costs, as well as an unfavorable impact from foreign currency translation. As a result, segment margin increased to 17.5% from 15.0% as compared to the prior year comparable quarter.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increased 1.9% for the segment, comprised primarily of acquisition-related growth of 3.1%, organic growth of 0.8%, partially offset by an unfavorable impact from foreign currency translation of 2.0%. The organic bookings growth was driven by strong demand in our waste handling and aerospace and defense businesses. Segment book-to-bill was 0.99. Backlog increased 12.1% compared to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Engineered Products revenue for the nine months ended September 30, 2022 increased $200.6 million, or 15.2%, compared to the prior year comparable period. This was comprised of organic revenue growth of 16.9% and acquisition-related growth of 1.0%, partially offset by an unfavorable impact from foreign currency translation of 2.7%. The organic revenue growth was most notable in our waste handling, vehicle service, industrial automation, and industrial winch and hoist businesses. Customer pricing favorably impacted revenue in the nine months ended September 30, 2022 by approximately 10.6% compared to 3.2% in the prior year comparable period.</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Segment earnings for the nine months ended September 30, 2022 increased $27.6 million, or 12.8%, as compared to the 2021 comparable period. The growth was primarily driven by increased volumes, favorable business mix, and customer pricing actions, partially offset by higher material, energy and logistic costs, increased labor costs, as well as an unfavorable impact from foreign currency translation. Segment margin decreased to 16.0% from 16.3% as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 Energy &amp; Fueling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Clean Energy &amp; Fueling segment provides components, equipment, and software and service solutions enabling safe transport of traditional and clean fuels and other hazardous substances along the supply chain, as well as the safe and efficient operation of convenience retail, retail fueling and vehicle wash establishments.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1,421,611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decline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29"/>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3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2022 Compared to the Third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Clean Energy &amp; Fueling segment revenue for the third quarter of 2022 increased $53.5 million, or 13.0%, as compared to the third quarter of 2021, comprised of acquisition-related growth of 18.5%, partially offset by an unfavorable impact from foreign currency translation of 5.0%, and an organic decline of 0.5%. Acquisition-related growth was driven by the acquisitions of RegO, Acme Cryogenics, and Liqal BV. Customer pricing favorably impacted revenue in the third quarter of 2022 by approximately 7.2% compared to 2.0% in the prior year comparable quarter.</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organic revenue decline was primarily driven by reduced year-over-year demand in above ground retail fueling driven by customer construction delays in North America and overall caution among operators in Europe and Asia as a result of the weakening macroeconomic environment. This was mostly offset by solid demand in our below ground retail fueling, fluid transfer solutions and vehicle wash solutions business, along with pricing actions aimed at mitigating material and logistics cost inflation. We expect a modest improvement in organic growth rates in the fourth quarter, as demand remains constructive in our key end-markets, most notably the retail fueling, fluid transfer and vehicle wash businesses, and we anticipate improvements related to supply chain and logistics constraints. In light of market conditions, we have made and will continue to make proactive adjustments to our cost structure through restructuring and other programs to align with current demand trends.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Clean Energy &amp; Fueling segment earnings increased $10.1 million, or 12.6%, over the prior year comparable quarter. The increase was primarily driven by pricing, productivity initiatives, cost actions in above ground fueling, and the favorable impact from acquisitions, which more than offset the unfavorable impact to earnings from foreign currency translation, reduced volumes in above ground retail fueling, and increased material, logistics and labor costs. Segment margin decreased to 19.4% from 19.5% in the prior year comparable quarter.</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bookings decreased 7.6% as compared to the prior year comparable quarter, driven by an organic decline of 17.6% and an unfavorable impact from foreign currency translation of 2.7%, partially offset by acquisition-related growth of 12.7%. The organic bookings decline was primarily driven by improving lead times throughout the segment as well as the decrease in demand in above ground retail fueling. Segment book-to-bill was 0.93. Backlog increased 17.9% as compared to the prior year comparable period, driven by the acquisitions completed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Clean Energy &amp; Fueling segment revenue increased $179.2 million, or 14.5%, as compared to the nine months ended September 30, 2021, attributable to acquisition-related growth of 18.4%, partially offset by an unfavorable impact from foreign currency translation of 3.4%, and an organic decline of 0.5%. Organic revenue was modestly lower in the first nine months of the year compared with the prior year's comparable period, as strong demand in our retail fueling, fluid transfer, and vehicle wash solutions markets was more than offset by the unfavorable impact from the normalization of EMV related demand in North America. Customer pricing favorably impacted revenue in the nine months ended September 30, 2022 by approximately 5.2% compared to 1.8% in the prior year comparable period.</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Clean Energy &amp; Fueling segment earnings increased $9.1 million, or 3.6%, for the nine months ended September 30, 2022. The increase in earnings was favorably impacted by acquisitions, strategic pricing, and cost actions, which more than offset reduced demand in above ground retail fueling, increased material, logistics and labor costs, and an unfavorable impact from foreign currency translation. Segment margin decreased to 18.5% from 20.5% in the prior year comparable period.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Imaging &amp; Identification</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Imaging &amp; Identification segment supplies precision marking and coding, packaging intelligence, product traceability, brand protection and digital textile printing equipment, as well as related consumables, software and services to the global packaged and consumer goods, pharmaceutical, industrial manufacturing, fashion and apparel and other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281,789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293,782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2022 Compared to the Third Quarter 2021</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revenue for the third quarter of 2022 decreased $10.2 million, or 3.5%, as compared to the third quarter of 2021, comprised of organic growth of 4.9%, which was more than offset by an unfavorable impact from foreign currency translation of 8.4%. Customer pricing favorably impacted revenue in the third quarter of 2022 by approximately 4.4% compared to 0.7% in the prior year comparable quarter.</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organic revenue growth was primarily driven by solid activity in our marking and coding business, as underlying demand for our printers, spare parts, services and consumables remains positive, and we have seen improvements in component availability and an easing of COVID-related restrictions in China experienced in the first half of 2022. We expect deliveries in our marking and coding business to remain positive in the fourth quarter, as component availability continues to improve and underlying demand for our printers and consumables remains positive.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increased $3.8 million, or 5.4%, over the prior year comparable quarter. This increase was primarily driven by pricing initiatives, organic revenue growth, productivity actions, and product mix. Segment margin increased to 26.4% from 24.1% in the prior year comparable quarter.</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Overall bookings decreased 4.1% as compared to the prior year comparable quarter, reflecting organic growth of 3.7%, more than offset by an unfavorable impact from foreign currency translation of 7.8%. Organic bookings growth was primarily driven by solid demand for new equipment, spare parts, services and consumables in our marking and coding business. Segment book-to-bill was 1.00. Backlog increased 18.1% as compared to the prior year comparable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Imaging &amp; Identification segment revenue decreased $40.4 million, or 4.6%, as compared to the nine months ended September 30, 2021, attributable to an unfavorable impact from foreign currency translation of 5.9%, partially offset by organic growth of 1.0%, and acquisition-related growth of 0.3%. The organic revenue growth was primarily driven by solid demand in our marking and coding business, partially offset by reduced demand in our digital printing business. Customer pricing favorably impacted revenue in the nine months ended September 30, 2022 by approximately 3.2% compared to 0.9% in the prior year comparable period.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Imaging &amp; Identification segment earnings decreased $6.4 million, or 3.2%, for the nine months ended September 30, 2022 over the prior year comparable period. The decrease was primarily driven by unfavorable foreign exchange impacts and higher input costs, partially offset by cost reduction initiatives, price increases, organic revenue growth and restructuring benefits. Segment margin increased to 23.4% from 23.1% in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Pumps &amp; Process Solutions</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Pumps &amp; Process Solutions segment manufactures specialty pumps and flow meters, fluid connecting solutions, plastics and polymer processing equipment, and highly-engineered precision components for rotating and reciprocating machines serving single-use biopharmaceutical production, diversified industrial manufacturing, polymer processing, midstream and downstream oil and gas and other end-markets.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490,581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1,562,956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decline: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2022 Compared to the Third Quarter 2021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Pumps &amp; Process Solutions segment revenue for the third quarter of 2022 decreased $4.7 million, or 1.1%, as compared to the third quarter of 2021, driven by acquisition-related growth of 2.3%, organic growth of 1.9%, and an unfavorable impact from foreign currency translation of 5.3%. Acquisition-related growth was primarily driven by the acquisition of AMN DPI and Malema Engineering Corporation. Customer pricing favorably impacted revenue in the third quarter of 2022 by approximately 4.4% compared to 2.3% in the prior year comparable quarter.</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organic revenue growth was driven by pricing initiatives, along with continued strength in our core non-COVID-19 biopharma platform, industrial pumps, plastics and polymer processing solutions, and bearings and compression components businesses which all grew revenue driven by solid end market demand and strong backlogs. Revenue from shipments of single-use pumps and connectors used in biopharmaceutical production processes declined compared to the third quarter of 2021, as biopharmaceutical manufacturers reduced orders for components used in COVID-19 vaccine production. While underlying demand remains positive in our core biopharmaceutical platform, we expect sales of products used in the production of COVID-19 vaccines to continue to decline in 2022 and into early 2023.</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Pumps &amp; Process Solutions segment earnings decreased $21.7 million, or 14.4%, over the prior year comparable quarter. The decrease was primarily driven by the impact of reduced revenues relating to single use components used in COVID-19 vaccine production, along with material and labor cost inflation and foreign currency translation headwinds. This was partially offset by pricing initiatives, conversion on increased revenues in industrial pumps, plastics and polymer processing solutions, and bearings and compression components, productivity actions, and restructuring benefits. Segment margin decreased to 29.7% from 34.3% from the prior year comparable quarter mainly due to revenue mix within the segment.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bookings decreased 15.4% as compared to the prior year comparable quarter, reflecting an organic decline of 12.2%, an unfavorable impact from foreign currency translation of 4.7%, partially offset by acquisition-related growth of 1.5%. The organic bookings decline was driven by a decrease in orders for biopharmaceutical components used in COVID-19 vaccine production, partially offset by continued strong order intake in our plastics and polymer processing solutions and bearings and compression components businesses. Segment book-to-bill was 0.96. Backlog decreased 0.4%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Pumps &amp; Process Solutions segment revenue increased $48.6 million, or 3.9%, as compared to the nine months ended September 30, 2021, attributable to organic growth of 6.9% and acquisition-related growth of 1.0%, partially offset by an unfavorable impact from foreign currency translation of 4.0%. The organic growth was primarily driven by continued demand strength and strong backlogs entering the year in our core non-COVID-19 biopharma platform, industrial pumps, plastics and polymer processing solutions, and bearings and compression components businesses. The increase was partially offset by reduced demand for biopharmaceutical components used in COVID-19 vaccine production. Customer pricing favorably impacted revenue in the nine months ended September 30, 2022 by approximately 3.8% compared to 1.5% in the prior comparable period.</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Pumps &amp; Process Solutions segment earnings decreased $12.7 million, or 3.0%, for the nine months ended September 30, 2022 over the prior year comparable period, predominantly driven by conversion on higher revenues, pricing initiatives, productivity actions, and restructuring benefits, which were more than offset by an unfavorable impact from material and labor cost inflation, and an unfavorable impact from foreign exchange. Segment margin decreased to 31.5% from 33.8% from the prior year comparable period.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&amp; Sustainability Technologies</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Climate &amp; Sustainability Technologies segment is a provider of innovative and energy-efficient equipment and systems that serve the commercial refrigeration, heating and cooling and beverage can-making equipment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metrics: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422,820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540,280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1,271,246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1,684,151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964,233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16"/>
        </w:trPr>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revenue growth: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Organic growth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29"/>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3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2022 Compared to the Third Quarter 2021</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revenue increased $33.2 million, or 7.7%, as compared to the third quarter of 2021, reflecting organic revenue growth of 19.3%, offset by 7.9% from our disposition of Unified Brands in fourth quarter of 2021, and an unfavorable impact from foreign currency translation of 3.7%. Customer pricing favorably impacted revenue in the third quarter of 2022 by approximately 10.3% compared to 5.7% in the prior year comparable quarter, reflecting actions to recover higher costs.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organic revenue growth was driven by customer price actions implemented to recover increased material, energy and logistics costs combined with strong demand across all of our key end-markets. Retail refrigeration revenues increased substantially from the prior year, driven by customer pricing actions and continued robust end-market demand. Beverage can-making business revenues experienced strong growth, driven by continued favorable macro trends in the global beverage industry as producers shift from plastic and glass packaging to aluminum cans for environmental sustainability and merchandising benefits offered by modern aluminum cans. Our heat exchanger business experienced healthy growth across all regions, fueled by regulation-driven heat pump demand in Europe, robust demand in Asia and strengthening commercial HVAC and industrial markets globally. We anticipate organic revenue growth to continue into the fourth quarter driven by a healthy backlog position and strong order demand trends across many of our key end-markets.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$25.5 million, or 51.2%, as compared to the third quarter of 2021. Segment margin increased to 16.3% from 11.6% in the prior year comparable quarter. The earnings increase was driven by increased volumes, favorable business mix, customer pricing actions, and productivity efficiencies, partially offset by increased material and logistics costs, most notably metals and freight, and increased energy and labor costs, along with the disposition of Unified Brands in the fourth quarter of 2021.</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Bookings in the third quarter of 2022 decreased 21.7% from the prior year comparable quarter, reflecting organic decline of 11.3%, a disposition-related decline of 7.3%, and an unfavorable impact from foreign currency translation of 3.1%. The organic bookings decline was principally driven by improving lead times, a challenging comparable quarter in the prior year in retail refrigeration and timing of large beverage equipment projects. Segment book-to-bill for the third quarter of 2022 was 0.91. Backlog increased 18.2% over the prior year comparable period, reflective of the continued strong demand outlook across all businesses within the segment.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Climate &amp; Sustainability Technologies segment revenue increased $63.9 million, or 5.2%, compared to the nine months ended September 30, 2021, reflecting an organic revenue growth of 16.0%, partially offset by 8.0% decline from the disposition of Unified Brands and an unfavorable foreign currency translation of 2.8%. The organic revenue growth for the nine months ended September 30, 2022 was driven by robust demand across all our key end-markets. Retail refrigeration revenues increased from the prior year, driven by robust remodel programs with key supermarket customers and continued growing demand for our environmentally friendly natural refrigerant systems in Europe. Our beverage equipment business experienced strong revenue growth, driven by continued favorable macro trends in the global beverage industry as producers shift from plastic and glass packaging to aluminum cans for environmental sustainability and merchandising benefits offered by modern aluminum cans. Our heat exchanger business experienced healthy growth across all regions, fueled by regulation-driven heat pump demand in Europe, robust demand in Asia and strengthening commercial HVAC and industrial markets globally. Customer pricing favorably impacted revenue in the nine months ended September 30, 2022 by approximately 9.7% compared to 3.0% in the prior comparable period.</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Climate &amp; Sustainability Technologies segment earnings increased $42.9 million, or 28.6%, for the nine months ended September 30, 2022, as compared to the prior year comparable period. Segment margin increased to 14.9% from 12.2% in the prior year. The earnings increase was driven by increased volumes, favorable business mix, and customer pricing actions, partially offset by increased material and logistics costs, most notably metals and freight, plant productivity shortfalls resulting from supply chain disruption and increased energy and labor costs, and the disposition of Unified Brands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to Net Earnings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3"/>
        </w:trPr>
        <w:tc>
          <w:tcPr>
            <w:tcW w:w="4120" w:type="dxa"/>
            <w:vAlign w:val="bottom"/>
          </w:tcPr>
          <w:p>
            <w:pPr>
              <w:spacing w:after="0"/>
              <w:rPr>
                <w:sz w:val="21"/>
                <w:szCs w:val="21"/>
                <w:color w:val="auto"/>
              </w:rPr>
            </w:pPr>
          </w:p>
        </w:tc>
        <w:tc>
          <w:tcPr>
            <w:tcW w:w="3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1"/>
                <w:szCs w:val="21"/>
                <w:color w:val="auto"/>
              </w:rPr>
            </w:pPr>
          </w:p>
        </w:tc>
        <w:tc>
          <w:tcPr>
            <w:tcW w:w="32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earnings: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Engineered Products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215,315</w:t>
            </w:r>
          </w:p>
        </w:tc>
      </w:tr>
      <w:tr>
        <w:trPr>
          <w:trHeight w:val="230"/>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Clean Energy &amp; Fueling</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253,103</w:t>
            </w:r>
          </w:p>
        </w:tc>
      </w:tr>
      <w:tr>
        <w:trPr>
          <w:trHeight w:val="229"/>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200,818</w:t>
            </w:r>
          </w:p>
        </w:tc>
      </w:tr>
      <w:tr>
        <w:trPr>
          <w:trHeight w:val="229"/>
        </w:trPr>
        <w:tc>
          <w:tcPr>
            <w:tcW w:w="4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128,573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425,929</w:t>
            </w:r>
          </w:p>
        </w:tc>
      </w:tr>
      <w:tr>
        <w:trPr>
          <w:trHeight w:val="230"/>
        </w:trPr>
        <w:tc>
          <w:tcPr>
            <w:tcW w:w="4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150,114</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458,593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1,245,279</w:t>
            </w: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expenses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106,265</w:t>
            </w: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costs (benefits) </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dispositions </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 / other </w:t>
            </w:r>
            <w:r>
              <w:rPr>
                <w:rFonts w:ascii="Times New Roman" w:cs="Times New Roman" w:eastAsia="Times New Roman" w:hAnsi="Times New Roman"/>
                <w:sz w:val="23"/>
                <w:szCs w:val="23"/>
                <w:color w:val="auto"/>
                <w:vertAlign w:val="superscript"/>
              </w:rPr>
              <w:t>(4)</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110,332</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79,917</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353,033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940,113</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179,080</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286,026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761,033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8"/>
        <w:spacing w:after="0" w:line="225" w:lineRule="auto"/>
        <w:tabs>
          <w:tab w:leader="none" w:pos="5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Purchase accounting expenses are primarily comprised of amortization of intangible assets and charges related to fair value step-ups for acquired inventory sold during the period.</w:t>
      </w:r>
    </w:p>
    <w:p>
      <w:pPr>
        <w:ind w:left="500" w:hanging="168"/>
        <w:spacing w:after="0" w:line="197" w:lineRule="auto"/>
        <w:tabs>
          <w:tab w:leader="none" w:pos="50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and other costs relate to actions taken for employee reductions, facility consolidations and site closures, product line exits, and other asset charges.</w:t>
      </w:r>
    </w:p>
    <w:p>
      <w:pPr>
        <w:ind w:left="500" w:hanging="168"/>
        <w:spacing w:after="0" w:line="187" w:lineRule="auto"/>
        <w:tabs>
          <w:tab w:leader="none" w:pos="50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dispositions includes working capital adjustments related to dispositions.</w:t>
      </w:r>
    </w:p>
    <w:p>
      <w:pPr>
        <w:jc w:val="both"/>
        <w:ind w:left="340" w:right="20" w:hanging="8"/>
        <w:spacing w:after="0" w:line="229" w:lineRule="auto"/>
        <w:tabs>
          <w:tab w:leader="none" w:pos="50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deal-related expenses and various administrative expenses relating to the corporate headquarters.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 (Benefits)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Restructuring and other costs (benefits) are not presented in our segment earnings because these costs are excluded from the segment operating performance measure reviewed by management. Restructuring and other costs of $8.6 million and $27.1 million for the three and nine months ended September 30, 2022 were primarily due to headcount reductions and facility consolidations resulting from restructuring programs initiated in 2021 and 2022. Additionally, restructuring and other costs for the nine months ended September 30, 2022 includes non-cash foreign currency translation losses and asset write-downs due to the substantial liquidation and exit from certain Latin America countries in our Climate &amp; Sustainability Technologies segment. These restructuring and other charges were recorded in cost of goods and services and selling, general and administrative expenses in the Condensed Consolidated Statement of Earnings. Additional programs beyond the scope of the announced programs may be implemented during 2022 with related 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(benefits) for the three and nine months ended September 30,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(benefits),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2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19,781</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2021, restructuring and other activities included restructuring charges of $4.8 million and $20.7 million, respectively, and other benefits, net, of $8.0 million and $8.9 million, respectively. Restructuring expense for the nine months ended September 30, 2021 was comprised primarily of $8.6 million in new actions initiated in 2020 and 2021 in response to demand conditions and broad-based operational efficiency initiatives focusing on footprint consolidation and IT centralization, and asset charges of $12.1 million, including $9.1 million related to a product line exit. Other benefits, net for the three months ended September 30, 2021 was comprised primarily of a $9.1 million payment received for previously incurred restructuring costs related to a product line exit ($7.3 million is classified within costs of goods and services and $1.8 million within selling, general and administrative expenses), partially offset by $1.0 million of restructuring related costs. Other benefits, net for the nine months ended September 30, 2021 was comprised primarily of a $9.1 million payment received for previously incurred restructuring costs related to a product line exit, $3.3 million of gains on sales of assets as a result of restructuring actions, partially offset by $3.4 million of restructuring related costs principally pertaining to footprint consolidation and IT centralization costs. These restructuring and other charges were recorded in cost of goods and services and selling, general and administrative expenses in the Condensed Consolidated Statement of Earnings.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the following restructuring and other costs (benefits) for the three and nine months ended September 30,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(7,991)</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(benefits)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Engineered</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Imaging &amp;</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Pumps &amp;</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Climate &amp;</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Process</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Products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&amp; Fueling</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Technologies</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20,661</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(benefits) costs, net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 (benefits)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Expenses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Purchase accounting expenses primarily relate to amortization of acquired assets and charges related to fair value step-ups for acquired inventory sold during the period. These expenses are not presented in our segment earnings because they are excluded from the segment operating performance measure reviewed by management. These expenses reconcile to segment earnings as follows:</w:t>
      </w: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5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accounting expenses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Engineered Products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29"/>
        </w:trPr>
        <w:tc>
          <w:tcPr>
            <w:tcW w:w="41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Clean Energy &amp; Fueling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38,976</w:t>
            </w: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Imaging &amp; Identification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Pumps &amp; Process Solutions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21,858</w:t>
            </w: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Climate &amp; Sustainability Technologies</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w:t>
            </w: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106,265</w:t>
            </w:r>
          </w:p>
        </w:tc>
      </w:tr>
    </w:tbl>
    <w:p>
      <w:pPr>
        <w:ind w:left="20" w:right="80" w:firstLine="6"/>
        <w:spacing w:after="0" w:line="248" w:lineRule="auto"/>
        <w:tabs>
          <w:tab w:leader="none" w:pos="9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increase of $6,492 and $38,665 in purchase accounting expenses for the three and nine months ended September 30, 2022, respectively, from the prior year comparable period in our Clean Energy &amp; Fueling segment is due to the acquisition of RegO and Acme Cryogenics in Q4 2021, inclusive of $0 and $18,995, respectively, in charges related to fair value step-ups for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-201930</wp:posOffset>
            </wp:positionV>
            <wp:extent cx="45002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for reinvestment in existing businesses and strategic acquisitions.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derived from our Condensed Consolidated Statements of Cash Flows:</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6"/>
        </w:trPr>
        <w:tc>
          <w:tcPr>
            <w:tcW w:w="71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i w:val="1"/>
                <w:iCs w:val="1"/>
                <w:color w:val="auto"/>
              </w:rPr>
              <w:t>(dollars in thousands)</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467,081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788,586</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(402,061)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(286,642)</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20"/>
                <w:szCs w:val="20"/>
                <w:color w:val="auto"/>
              </w:rPr>
            </w:pPr>
          </w:p>
        </w:tc>
        <w:tc>
          <w:tcPr>
            <w:tcW w:w="1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(133,579)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(274,798)</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2022 decreased approximately $321.5 million compared to the comparable period in 2021. This decrease was primarily driven by higher investments in working capital to support business growth, including investments in inventory to support increasing backlog and mitigate potential inventory shortages given the continuing supply chain disruptions and constraints, as well as higher compensation payouts. Additionally, estimated tax payments increased from 2021 to 2022, which includes a $43.5 million income tax payment in 2022 related to the gain on sale of Unified Brands in Q4 2021.</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Adjusted Working Capital: </w:t>
      </w:r>
      <w:r>
        <w:rPr>
          <w:rFonts w:ascii="Times New Roman" w:cs="Times New Roman" w:eastAsia="Times New Roman" w:hAnsi="Times New Roman"/>
          <w:sz w:val="18"/>
          <w:szCs w:val="18"/>
          <w:color w:val="auto"/>
        </w:rPr>
        <w:t>We believe adjusted working capital (a non-GAAP measure calculated as accounts receivable, plus inventory, less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provides a meaningful measure of liquidity by showing changes caused by operational results. The following table provides a calculation of adjusted working capital: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Working Capital </w:t>
            </w: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1,347,514</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1,191,095</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Accounts payable</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1,073,568</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working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1,465,041</w:t>
            </w: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working capital increased from December 31, 2021 by $296.6 million, or 20.2%, to $1.8 billion at September 30, 2022, which reflected an increase of $149.5 million in accounts receivable and $216.7 million in inventory, partially offset by an increase in accounts payable of $69.7 million. These amounts include the effects of acquisitions and foreign currency translation. Accounts receivable increased compared to the prior year as a result of higher revenue. Inventories increased to support business and backlog growth, and to also mitigate potential inventory shortages due to supply chain disruptions and constraints. These factors also led to an increase in accounts payable.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facilitate the opportunity for suppliers to participate in voluntary supply chain financing ("SCF") programs with participating financial institutions. Participating suppliers have the ability to sell receivables due from us to SCF financial institutions at the discretion of both the suppliers and the SCF financial institutions, at no economic impact to the Company. The Company and our suppliers agree on commercial terms, including payment terms, for the goods and services we procure regardless of whether the supplier participates in SCF. For participating suppliers, our responsibility is limited to making all payments to the SCF financial institutions on the terms originally negotiated with the supplier, irrespective of whether the supplier elects to sell receivables to the SCF financial institution. The SCF financial institution pays the supplier on the invoice due date for any invoices that were not previously sold by the supplier to the SCF financial institution. Thus, suppliers using SCF have additional potential flexibility in managing their liquidity by accelerating, at their option and cost, collection of receivables due from Dover.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payments related to SCF programs are recorded within accounts payable in our consolidated balance sheets. As of September 30, 2022 and December 31, 2021, amounts due to financial institutions for suppliers using SCF were approximately $190 million and $211 million, respectively. SCF-related payments are classified as a reduction to cash flows from operations. During the nine months ended September 30, 2022 and 2021, amounts paid to SCF financial institutions were approximately $689 million and $596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is derived from cash outflows for capital expenditures and acquisitions, offset by proceeds from sales of property, plant and equipment. For the nine months ended September 30, 2022 and 2021, we used cash in investing activities of $402.1 million and $286.6 million, respectively, primarily driven by the the following factors:</w:t>
      </w:r>
    </w:p>
    <w:p>
      <w:pPr>
        <w:spacing w:after="0" w:line="201"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nine months ended September 30, 2022, we deployed approximately $229.3 million, net, to acquire AMN and Malema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Pumps &amp; Process Solutions segment. In comparison, during the nine months ended September 30, 2021, we acquired Espy and CDS Visual within the Engineered Products segment, AvaLAN and Blue Bite within the Clean Energy &amp; Fueling and Imaging &amp; Identification segments, respectively, and Quantex and one other immaterial acquisition within the Pumps &amp; Process Solutions segment for an aggregate of $171.3 million, net.</w:t>
      </w:r>
    </w:p>
    <w:p>
      <w:pPr>
        <w:spacing w:after="0" w:line="210" w:lineRule="exact"/>
        <w:rPr>
          <w:rFonts w:ascii="Times New Roman" w:cs="Times New Roman" w:eastAsia="Times New Roman" w:hAnsi="Times New Roman"/>
          <w:sz w:val="18"/>
          <w:szCs w:val="18"/>
          <w:b w:val="1"/>
          <w:bCs w:val="1"/>
          <w:i w:val="1"/>
          <w:iCs w:val="1"/>
          <w:color w:val="auto"/>
        </w:rPr>
      </w:pPr>
    </w:p>
    <w:p>
      <w:pPr>
        <w:ind w:left="660" w:right="20" w:hanging="328"/>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spending: </w:t>
      </w:r>
      <w:r>
        <w:rPr>
          <w:rFonts w:ascii="Times New Roman" w:cs="Times New Roman" w:eastAsia="Times New Roman" w:hAnsi="Times New Roman"/>
          <w:sz w:val="18"/>
          <w:szCs w:val="18"/>
          <w:color w:val="auto"/>
        </w:rPr>
        <w:t>Our capital expenditures increased $44.9 million during the nine months ended September 30, 2022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We expect full year 2022 capital expenditures to be approximately $200-$220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capital expenditures and any acquisitions we make through the remainder of 2022 will be funded from available cash and internally generated funds and through the issuance of commercial paper, use of lines of credit or public or private debt markets, as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 from financing activities generally relates to the use of cash for repurchases of our common stock and payment of dividends, offset by net borrowing activity. For the nine months ended September 30, 2022 and 2021, we used cash totaling $133.6 million and $274.8 million, respectively, for financing activities, with the activity primarily attributable to the following:</w:t>
      </w:r>
    </w:p>
    <w:p>
      <w:pPr>
        <w:spacing w:after="0" w:line="201" w:lineRule="exact"/>
        <w:rPr>
          <w:sz w:val="20"/>
          <w:szCs w:val="20"/>
          <w:color w:val="auto"/>
        </w:rPr>
      </w:pPr>
    </w:p>
    <w:p>
      <w:pPr>
        <w:jc w:val="both"/>
        <w:ind w:left="660" w:hanging="328"/>
        <w:spacing w:after="0" w:line="267" w:lineRule="auto"/>
        <w:tabs>
          <w:tab w:leader="none" w:pos="649" w:val="left"/>
        </w:tabs>
        <w:numPr>
          <w:ilvl w:val="0"/>
          <w:numId w:val="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i w:val="1"/>
          <w:iCs w:val="1"/>
          <w:color w:val="auto"/>
        </w:rPr>
        <w:t xml:space="preserve">Repurchase of common stock, including prepayment under an accelerated share repurchase program: </w:t>
      </w:r>
      <w:r>
        <w:rPr>
          <w:rFonts w:ascii="Times New Roman" w:cs="Times New Roman" w:eastAsia="Times New Roman" w:hAnsi="Times New Roman"/>
          <w:sz w:val="18"/>
          <w:szCs w:val="18"/>
          <w:color w:val="auto"/>
        </w:rPr>
        <w:t>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we used $85.0 million to repurchase 641,428 shares and $500.0 million to repurchase a variable number of shares through an accelerated share repurchase transaction. During the nine months ended September 30, 2021, we used $21.6 million to repurchase 182,951 shares.</w:t>
      </w:r>
    </w:p>
    <w:p>
      <w:pPr>
        <w:spacing w:after="0" w:line="200" w:lineRule="exact"/>
        <w:rPr>
          <w:rFonts w:ascii="Times New Roman" w:cs="Times New Roman" w:eastAsia="Times New Roman" w:hAnsi="Times New Roman"/>
          <w:sz w:val="16"/>
          <w:szCs w:val="16"/>
          <w:b w:val="1"/>
          <w:bCs w:val="1"/>
          <w:i w:val="1"/>
          <w:iCs w:val="1"/>
          <w:color w:val="auto"/>
        </w:rPr>
      </w:pPr>
    </w:p>
    <w:p>
      <w:pPr>
        <w:jc w:val="both"/>
        <w:ind w:left="660" w:hanging="328"/>
        <w:spacing w:after="0" w:line="267"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Commercial paper and other: </w:t>
      </w:r>
      <w:r>
        <w:rPr>
          <w:rFonts w:ascii="Times New Roman" w:cs="Times New Roman" w:eastAsia="Times New Roman" w:hAnsi="Times New Roman"/>
          <w:sz w:val="18"/>
          <w:szCs w:val="18"/>
          <w:color w:val="auto"/>
        </w:rPr>
        <w:t>During the nine months ended September 30, 2022, we received net proceeds of $682.9 million from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and other short-term borrowings, primarily used to fund our accelerated share repurchase transaction and acquisition of Malema. During the nine months ended September 30, 2021, we did not borrow or have proceeds from commercial paper or other short-term borrowings.</w:t>
      </w:r>
    </w:p>
    <w:p>
      <w:pPr>
        <w:spacing w:after="0" w:line="200"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payments: </w:t>
      </w:r>
      <w:r>
        <w:rPr>
          <w:rFonts w:ascii="Times New Roman" w:cs="Times New Roman" w:eastAsia="Times New Roman" w:hAnsi="Times New Roman"/>
          <w:sz w:val="18"/>
          <w:szCs w:val="18"/>
          <w:color w:val="auto"/>
        </w:rPr>
        <w:t>Dividends paid to shareholders during the nine months ended September 30, 2022 totaled $216.6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$214.8 million during the same period in 2021. Our dividends paid per common share increased 1.0% to $1.505 during the nine months ended September 30, 2022 compared to $1.49 during the same period in 2021.</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Payments to settle employee tax obligations: </w:t>
      </w:r>
      <w:r>
        <w:rPr>
          <w:rFonts w:ascii="Times New Roman" w:cs="Times New Roman" w:eastAsia="Times New Roman" w:hAnsi="Times New Roman"/>
          <w:sz w:val="18"/>
          <w:szCs w:val="18"/>
          <w:color w:val="auto"/>
        </w:rPr>
        <w:t>Payments to settle tax obligations from the exercise of share-based awards declined $22.6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period, primarily due to the decrease in the number of shares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liquidity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free cash flow to cash flow provided by operating activities: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7"/>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467,081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788,586</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(166,039)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(121,157)</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301,042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667,429</w:t>
            </w:r>
          </w:p>
        </w:tc>
      </w:tr>
      <w:tr>
        <w:trPr>
          <w:trHeight w:val="122"/>
        </w:trPr>
        <w:tc>
          <w:tcPr>
            <w:tcW w:w="7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revenue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122"/>
        </w:trPr>
        <w:tc>
          <w:tcPr>
            <w:tcW w:w="7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 as a percentage of net earnings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103.6 %</w:t>
            </w:r>
          </w:p>
        </w:tc>
      </w:tr>
      <w:tr>
        <w:trPr>
          <w:trHeight w:val="122"/>
        </w:trPr>
        <w:tc>
          <w:tcPr>
            <w:tcW w:w="7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revenue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122"/>
        </w:trPr>
        <w:tc>
          <w:tcPr>
            <w:tcW w:w="7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as a percentage of net earnings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2022, we generated cash flow from operating activities of $467.1 million, representing 7.3% of revenue and 58.3% of net earnings, and we generated free cash flow of $301.0 million, representing 4.7% of revenue and 37.5% of net earnings. Free cash flow for the nine months ended September 30, 2022 decreased $366.4 million compared to the prior year period due to lower operating cash flow, primarily as a result of increases in working capital, compensation payouts, estimated tax payments, and investments in capital expenditures compared to the prior year. The nine months ended September 30, 2022 include a $43.5 million income tax payment related to the gain on sale of Unified Brands in the fourth quarter of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commercial paper borrowings for general corporate purposes, including the funding of acquisitions and the repurchase of our common stock. As of September 30, 2022, we maintained a $1.0 billion five-year unsecured revolving credit facility (the "Credit Agreement") with a syndicate of banks which expires on October 4, 2024. The Credit Agreement is used as liquidity back-up for our commercial paper program and for general corporate purposes.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Credit Agreement, we are required to pay a facility fee and to maintain an interest coverage ratio of consolidated EBITDA to consolidated net interest expense of not less than 3.0 to 1.0. We were in compliance with this covenant and our other long-term debt covenants at September 30, 2022 and had an interest coverage ratio of 17.5 to 1. We are not aware of any potential impairment to our liquidity and expect to remain in compliance with all of our debt covenants. Additionally, our earliest long-term debt maturity is in 2025.</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September 30, 2022, our cash and cash equivalents totaled $306.0 million, of which $250.8 million was held outside the United States. At December 31, 2021, our cash and cash equivalents totaled $385.5 million, of which $257.5 million was held outside the United States. Cash and cash equivalents in excess of near-term requirements are invested in highly liquid investment-grade money market instruments, short-term investments, or bank deposits, which consist of investment-grade time deposits with original maturity dates at the time of purchase of no greater than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Debt to Net Capitalization Ratio </w:t>
            </w: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0"/>
                <w:szCs w:val="20"/>
                <w:color w:val="auto"/>
              </w:rPr>
            </w:pP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788,034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105,000</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702</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788,860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105,702</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2,842,662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3,018,714</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3,631,522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3,124,416</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(306,002)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(385,504)</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3,325,520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2,738,912</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Stockholders' equity</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3,991,426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4,189,528</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7,316,946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6,928,440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debt to net capitalization</w:t>
            </w: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39.5 %</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debt to net capitalization ratio increased to 45.4% at September 30, 2022 compared to 39.5% at December 31, 2021. Net debt increased $586.6 million during the period primarily due to an increase in commercial paper borrowings used to fund our accelerated share repurchase transaction and acquisition of Malema. Stockholders' equity decreased $198.1 million primarily as a result of share repurchases, dividends paid and unfavorable impact of foreign currency on accumulated other comprehensive loss, partially offset by net earnings during the period.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 existing capacity of our Credit Agreement, and access to capital markets are expected to satisfy our various cash flow requirements, including acquisitions, capital expenditures, purchase obligations, lease obligations, and share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are consistently applied. We review valuations based on estimates for reasonableness on a consistent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19 — Recent Accounting Pronouncements in the Condensed Consolidated Financial Statements in Item 1 of this Form 10-Q. The adoption of recent accounting standards as included in Note 19 — Recent Accounting Pronouncements in the Condensed Consolidated Financial Statements has not had, and is not expected to have, a significant impact on our revenue, earnings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Notes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especially MD&amp;A,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 "intend", "guidance", "estimates", "suggest", "will", "plan", "should", "would", "could", "forecast", "headwind", "tailwind"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supply chain constraints and labor shortages that could result in production stoppages, inflation in material input costs and freight logistics, other general economic conditions and conditions in the particular markets in which we operate, changes in customer demand and capital spending, competitive factors and pricing pressures, our ability to develop and launch new products in a cost-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manner, changes in law, including the effect of tax laws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2021. The Company undertakes no obligation to publicly update any forward-looking statement, whether as a result of new information, future events or otherwise.</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provide investors with additional information regarding our results as determined by GAAP, we also disclose non-GAAP information, which we believe provides useful information to investors. Free cash flow, free cash flow as a percentage of revenue, free cash flow as a percentage of net earnings, net debt, net capitalization, net debt to net capitalization ratio, adjusted working capital, and organic revenue growth are not financial measures under GAAP and should not be considered as a substitute for cash flows from operating activities, debt or equity, working capital or revenue as determined in accordance with GAAP, and they may not be comparable to similarly titled measures reported by other companies.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net earnings equals free cash flow divided by net earnings. We believe that reporting adjusted working capital provides a meaningful measure of liquidity by showing changes caused by operational results. We believe that reporting organic revenue growth, which excludes the impact of foreign currency exchange rates and the impact of acquisitions and divestitures, provides a useful comparison of our revenue performance and trends between periods.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non-GAAP measures can be found above in this Item 2, Management's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nine months ended September 30, 2022. For a discussion of our exposure to market risk, refer to Item 7A, "Quantitative and Qualitative Disclosures about Market Risk," contained in our Annual Report on Form 10-K for the fiscal year ended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September 30,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2022, there were no changes in the Company’s internal control over financial reporting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 Commitments and Contingent Liabilities in the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shares of Dover stock that we acquired during the quarter.</w:t>
      </w:r>
    </w:p>
    <w:p>
      <w:pPr>
        <w:spacing w:after="0" w:line="4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Maximum Number (or</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 to July 31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to August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1 to September 30</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 the Third Quarter</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8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3,201,025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-333375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-633730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p>
      <w:pPr>
        <w:spacing w:after="0" w:line="18" w:lineRule="exact"/>
        <w:rPr>
          <w:sz w:val="20"/>
          <w:szCs w:val="20"/>
          <w:color w:val="auto"/>
        </w:rPr>
      </w:pPr>
    </w:p>
    <w:p>
      <w:pPr>
        <w:jc w:val="both"/>
        <w:ind w:left="100" w:right="120" w:firstLine="13"/>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Purchased as Part of Publicly Announced Plans or Programs </w:t>
      </w:r>
      <w:r>
        <w:rPr>
          <w:rFonts w:ascii="Times New Roman" w:cs="Times New Roman" w:eastAsia="Times New Roman" w:hAnsi="Times New Roman"/>
          <w:sz w:val="22"/>
          <w:szCs w:val="22"/>
          <w:b w:val="1"/>
          <w:bCs w:val="1"/>
          <w:color w:val="auto"/>
          <w:vertAlign w:val="superscript"/>
        </w:rPr>
        <w:t>(1)</w:t>
      </w:r>
    </w:p>
    <w:p>
      <w:pPr>
        <w:spacing w:after="0" w:line="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3,201,025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12084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3,201,025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208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43180</wp:posOffset>
            </wp:positionV>
            <wp:extent cx="1208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line="220" w:lineRule="auto"/>
        <w:rPr>
          <w:sz w:val="20"/>
          <w:szCs w:val="20"/>
          <w:color w:val="auto"/>
        </w:rPr>
      </w:pPr>
      <w:r>
        <w:rPr>
          <w:rFonts w:ascii="Times New Roman" w:cs="Times New Roman" w:eastAsia="Times New Roman" w:hAnsi="Times New Roman"/>
          <w:sz w:val="17"/>
          <w:szCs w:val="17"/>
          <w:b w:val="1"/>
          <w:bCs w:val="1"/>
          <w:color w:val="auto"/>
        </w:rPr>
        <w:t>Approximate Dollar Value) of Shares that May Yet Be Purchased</w:t>
      </w:r>
    </w:p>
    <w:p>
      <w:pPr>
        <w:jc w:val="center"/>
        <w:ind w:right="100"/>
        <w:spacing w:after="0" w:line="193" w:lineRule="auto"/>
        <w:rPr>
          <w:sz w:val="20"/>
          <w:szCs w:val="20"/>
          <w:color w:val="auto"/>
        </w:rPr>
      </w:pPr>
      <w:r>
        <w:rPr>
          <w:rFonts w:ascii="Times New Roman" w:cs="Times New Roman" w:eastAsia="Times New Roman" w:hAnsi="Times New Roman"/>
          <w:sz w:val="18"/>
          <w:szCs w:val="18"/>
          <w:b w:val="1"/>
          <w:bCs w:val="1"/>
          <w:color w:val="auto"/>
        </w:rPr>
        <w:t>under the Plans or</w:t>
      </w:r>
    </w:p>
    <w:p>
      <w:pPr>
        <w:jc w:val="center"/>
        <w:ind w:right="100"/>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Programs </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19,175,621</w:t>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19,175,621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15,974,596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1234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15,974,596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17145</wp:posOffset>
            </wp:positionV>
            <wp:extent cx="1234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43180</wp:posOffset>
            </wp:positionV>
            <wp:extent cx="1234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4">
            <w:col w:w="3400" w:space="720"/>
            <w:col w:w="3060" w:space="140"/>
            <w:col w:w="1840" w:space="240"/>
            <w:col w:w="1840"/>
          </w:cols>
          <w:pgMar w:left="320" w:top="126" w:right="339" w:bottom="1440" w:gutter="0" w:footer="0" w:header="0"/>
          <w:type w:val="continuous"/>
        </w:sectPr>
      </w:pPr>
    </w:p>
    <w:p>
      <w:pPr>
        <w:spacing w:after="0" w:line="38" w:lineRule="exact"/>
        <w:rPr>
          <w:sz w:val="20"/>
          <w:szCs w:val="20"/>
          <w:color w:val="auto"/>
        </w:rPr>
      </w:pPr>
    </w:p>
    <w:p>
      <w:pPr>
        <w:jc w:val="both"/>
        <w:ind w:firstLine="8"/>
        <w:spacing w:after="0" w:line="239" w:lineRule="auto"/>
        <w:tabs>
          <w:tab w:leader="none" w:pos="18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November 2020, the Company's Board of Directors approved a new standing share repurchase authorization, whereby the Company may repurchase up to 20 million shares beginning on January 1, 2021 through December 31, 2023. The Company repurchased 3,201,025 shares under the November 2020 authorization during the three months ended September 30, 2022. As of September 30, 2022, the number of shares still available for repurchase under the November 2020 share repurchase authorization was 15,974,596.</w:t>
      </w:r>
    </w:p>
    <w:p>
      <w:pPr>
        <w:spacing w:after="0" w:line="144" w:lineRule="exact"/>
        <w:rPr>
          <w:rFonts w:ascii="Times New Roman" w:cs="Times New Roman" w:eastAsia="Times New Roman" w:hAnsi="Times New Roman"/>
          <w:sz w:val="23"/>
          <w:szCs w:val="23"/>
          <w:color w:val="auto"/>
          <w:vertAlign w:val="superscript"/>
        </w:rPr>
      </w:pPr>
    </w:p>
    <w:p>
      <w:pPr>
        <w:jc w:val="both"/>
        <w:ind w:firstLine="8"/>
        <w:spacing w:after="0" w:line="261" w:lineRule="auto"/>
        <w:tabs>
          <w:tab w:leader="none" w:pos="187"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August 31, 2022, the Company entered into an accelerated share repurchase agreement (the “ASR Agreement”) with Bank of America N.A. (“Bank of America”) pursuant to which it will repurchase $500.0 million of shares (the “ASR Program”). The Company is conducting the ASR Program under the November 2020 share repurchase authorization. The Company funded the ASR Program with commercial paper. Under the terms of the ASR Agreement, the Company paid Bank of America $500.0 million on September 1, 2022 and on that date received initial deliveries of 3,201,025 shares, representing a substantial majority of the shares expected to be retired over the course of the ASR Agreement. The total number of shares ultimately repurchased under the ASR Agreement will be based on the daily volume-weighted average share price of Dover's common stock during the calculation period of the ASR Program, less a discount. The ASR Program is scheduled to be completed in the fourth quarter of 2022, subject to postponement or acceleration under the terms of the ASR Agreement. The actual number of shares repurchased will be determined at the completion of the ASR Program.</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Brad M. Cerepak.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Certificate pursuant to Rule 13a-14(a) of the Securities Exchange Act of 1934, as amended, signed and dated by Richard J. Tobin.</w:t>
      </w:r>
    </w:p>
    <w:p>
      <w:pPr>
        <w:spacing w:after="0" w:line="144" w:lineRule="exact"/>
        <w:rPr>
          <w:sz w:val="20"/>
          <w:szCs w:val="20"/>
          <w:color w:val="auto"/>
        </w:rPr>
      </w:pPr>
    </w:p>
    <w:p>
      <w:pPr>
        <w:ind w:left="980" w:right="60" w:hanging="215"/>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signed and dated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Richard J. Tobin and Brad M. Cerepak.</w:t>
      </w:r>
    </w:p>
    <w:p>
      <w:pPr>
        <w:spacing w:after="0" w:line="158" w:lineRule="exact"/>
        <w:rPr>
          <w:sz w:val="20"/>
          <w:szCs w:val="20"/>
          <w:color w:val="auto"/>
        </w:rPr>
      </w:pPr>
    </w:p>
    <w:p>
      <w:pPr>
        <w:jc w:val="both"/>
        <w:ind w:left="980" w:hanging="369"/>
        <w:spacing w:after="0" w:line="22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Dover Corporation’s Quarterly Report on Form 10-Q for the quarter ended September 30, 2022 formatted in iXBRL (Inline eXtensible Business Reporting Language): (i) the Condensed Consolidated Statements of Earnings, (ii) the Condensed Consolidated Statements of Comprehensive Earnings, (iii) the Condensed Consolidated Balance Sheets, (iv) the Condensed Consolidated Statements of Stockholders’ Equity, (v) the Condensed Consolidated Statements of Cash Flows, and (vi) Notes to the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 Cover Page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00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26DC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DOVER CORPORATION</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20,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5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20,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W. Paulson</w:t>
            </w:r>
          </w:p>
        </w:tc>
      </w:tr>
      <w:tr>
        <w:trPr>
          <w:trHeight w:val="218"/>
        </w:trPr>
        <w:tc>
          <w:tcPr>
            <w:tcW w:w="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W. Paulson</w:t>
            </w:r>
          </w:p>
        </w:tc>
      </w:tr>
      <w:tr>
        <w:trPr>
          <w:trHeight w:val="230"/>
        </w:trPr>
        <w:tc>
          <w:tcPr>
            <w:tcW w:w="5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r>
      <w:tr>
        <w:trPr>
          <w:trHeight w:val="234"/>
        </w:trPr>
        <w:tc>
          <w:tcPr>
            <w:tcW w:w="5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240"/>
          </w:cols>
          <w:pgMar w:left="320" w:top="12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20, 2022</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Dover Corporation;</w:t>
      </w:r>
    </w:p>
    <w:p>
      <w:pPr>
        <w:spacing w:after="0" w:line="17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20, 2022</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554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30"/>
        </w:trPr>
        <w:tc>
          <w:tcPr>
            <w:tcW w:w="554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Dover Corporation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104" w:lineRule="exact"/>
        <w:rPr>
          <w:sz w:val="20"/>
          <w:szCs w:val="20"/>
          <w:color w:val="auto"/>
        </w:rPr>
      </w:pPr>
    </w:p>
    <w:p>
      <w:pPr>
        <w:ind w:left="660" w:right="2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2022 (the “Form 10-Q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fully complies with the requirements of Section 13(a)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Form 10-Q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20,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J. Tobin</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J. Tobin</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20,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M. Cerepak</w:t>
            </w:r>
          </w:p>
        </w:tc>
      </w:tr>
      <w:tr>
        <w:trPr>
          <w:trHeight w:val="218"/>
        </w:trPr>
        <w:tc>
          <w:tcPr>
            <w:tcW w:w="6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M. Cerepak</w:t>
            </w:r>
          </w:p>
        </w:tc>
      </w:tr>
      <w:tr>
        <w:trPr>
          <w:trHeight w:val="229"/>
        </w:trPr>
        <w:tc>
          <w:tcPr>
            <w:tcW w:w="6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6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lvl w:ilvl="1">
      <w:lvlJc w:val="left"/>
      <w:lvlText w:val="(%2)"/>
      <w:numFmt w:val="decimal"/>
      <w:start w:val="1"/>
    </w:lvl>
  </w:abstractNum>
  <w:abstractNum w:abstractNumId="4">
    <w:nsid w:val="1BEFD79F"/>
    <w:multiLevelType w:val="hybridMultilevel"/>
    <w:lvl w:ilvl="0">
      <w:lvlJc w:val="left"/>
      <w:lvlText w:val="%1."/>
      <w:numFmt w:val="decimal"/>
      <w:start w:val="9"/>
    </w:lvl>
    <w:lvl w:ilvl="1">
      <w:lvlJc w:val="left"/>
      <w:lvlText w:val="%2"/>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decimal"/>
      <w:start w:val="1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1."/>
      <w:numFmt w:val="decimal"/>
      <w:start w:val="19"/>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0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2022-10-20T05:43:51Z</dcterms:created>
  <dcterms:modified xsi:type="dcterms:W3CDTF">2022-10-20T05:43:51Z</dcterms:modified>
</cp:coreProperties>
</file>