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 w:lineRule="exact"/>
        <w:rPr>
          <w:sz w:val="24"/>
          <w:szCs w:val="24"/>
          <w:color w:val="auto"/>
        </w:rPr>
      </w:pPr>
    </w:p>
    <w:p>
      <w:pPr>
        <w:ind w:left="3660" w:right="2000" w:hanging="3652"/>
        <w:spacing w:after="0" w:line="391" w:lineRule="auto"/>
        <w:tabs>
          <w:tab w:leader="none" w:pos="22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OF 1934</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For the transition period from to</w:t>
      </w:r>
    </w:p>
    <w:p>
      <w:pPr>
        <w:spacing w:after="0" w:line="99"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Commission File Number: 1-4018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17145</wp:posOffset>
            </wp:positionV>
            <wp:extent cx="377190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56"/>
        </w:trPr>
        <w:tc>
          <w:tcPr>
            <w:tcW w:w="2580" w:type="dxa"/>
            <w:vAlign w:val="bottom"/>
          </w:tcPr>
          <w:p>
            <w:pPr>
              <w:spacing w:after="0"/>
              <w:rPr>
                <w:sz w:val="22"/>
                <w:szCs w:val="22"/>
                <w:color w:val="auto"/>
              </w:rPr>
            </w:pPr>
          </w:p>
        </w:tc>
        <w:tc>
          <w:tcPr>
            <w:tcW w:w="3820" w:type="dxa"/>
            <w:vAlign w:val="bottom"/>
            <w:gridSpan w:val="2"/>
          </w:tcPr>
          <w:p>
            <w:pPr>
              <w:jc w:val="center"/>
              <w:ind w:right="2980"/>
              <w:spacing w:after="0"/>
              <w:rPr>
                <w:sz w:val="20"/>
                <w:szCs w:val="20"/>
                <w:color w:val="auto"/>
              </w:rPr>
            </w:pPr>
            <w:r>
              <w:rPr>
                <w:rFonts w:ascii="Arial" w:cs="Arial" w:eastAsia="Arial" w:hAnsi="Arial"/>
                <w:sz w:val="18"/>
                <w:szCs w:val="18"/>
                <w:b w:val="1"/>
                <w:bCs w:val="1"/>
                <w:color w:val="auto"/>
                <w:w w:val="91"/>
              </w:rPr>
              <w:t>Delaware</w:t>
            </w:r>
          </w:p>
        </w:tc>
        <w:tc>
          <w:tcPr>
            <w:tcW w:w="4860" w:type="dxa"/>
            <w:vAlign w:val="bottom"/>
          </w:tcPr>
          <w:p>
            <w:pPr>
              <w:jc w:val="right"/>
              <w:ind w:right="2110"/>
              <w:spacing w:after="0"/>
              <w:rPr>
                <w:sz w:val="20"/>
                <w:szCs w:val="20"/>
                <w:color w:val="auto"/>
              </w:rPr>
            </w:pPr>
            <w:r>
              <w:rPr>
                <w:rFonts w:ascii="Arial" w:cs="Arial" w:eastAsia="Arial" w:hAnsi="Arial"/>
                <w:sz w:val="18"/>
                <w:szCs w:val="18"/>
                <w:b w:val="1"/>
                <w:bCs w:val="1"/>
                <w:color w:val="auto"/>
              </w:rPr>
              <w:t>53-0257888</w:t>
            </w:r>
          </w:p>
        </w:tc>
      </w:tr>
      <w:tr>
        <w:trPr>
          <w:trHeight w:val="230"/>
        </w:trPr>
        <w:tc>
          <w:tcPr>
            <w:tcW w:w="640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60" w:type="dxa"/>
            <w:vAlign w:val="bottom"/>
          </w:tcPr>
          <w:p>
            <w:pPr>
              <w:jc w:val="center"/>
              <w:ind w:right="330"/>
              <w:spacing w:after="0"/>
              <w:rPr>
                <w:sz w:val="20"/>
                <w:szCs w:val="20"/>
                <w:color w:val="auto"/>
              </w:rPr>
            </w:pPr>
            <w:r>
              <w:rPr>
                <w:rFonts w:ascii="Arial" w:cs="Arial" w:eastAsia="Arial" w:hAnsi="Arial"/>
                <w:sz w:val="18"/>
                <w:szCs w:val="18"/>
                <w:color w:val="auto"/>
                <w:w w:val="93"/>
              </w:rPr>
              <w:t>(I.R.S. Employer Identification No.)</w:t>
            </w:r>
          </w:p>
        </w:tc>
      </w:tr>
      <w:tr>
        <w:trPr>
          <w:trHeight w:val="454"/>
        </w:trPr>
        <w:tc>
          <w:tcPr>
            <w:tcW w:w="6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3005 Highland Parkway</w:t>
            </w:r>
          </w:p>
        </w:tc>
        <w:tc>
          <w:tcPr>
            <w:tcW w:w="4860" w:type="dxa"/>
            <w:vAlign w:val="bottom"/>
          </w:tcPr>
          <w:p>
            <w:pPr>
              <w:spacing w:after="0"/>
              <w:rPr>
                <w:sz w:val="24"/>
                <w:szCs w:val="24"/>
                <w:color w:val="auto"/>
              </w:rPr>
            </w:pPr>
          </w:p>
        </w:tc>
      </w:tr>
      <w:tr>
        <w:trPr>
          <w:trHeight w:val="234"/>
        </w:trPr>
        <w:tc>
          <w:tcPr>
            <w:tcW w:w="6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Downers Grove, Illinois</w:t>
            </w:r>
          </w:p>
        </w:tc>
        <w:tc>
          <w:tcPr>
            <w:tcW w:w="4860" w:type="dxa"/>
            <w:vAlign w:val="bottom"/>
          </w:tcPr>
          <w:p>
            <w:pPr>
              <w:jc w:val="right"/>
              <w:ind w:right="2330"/>
              <w:spacing w:after="0"/>
              <w:rPr>
                <w:sz w:val="20"/>
                <w:szCs w:val="20"/>
                <w:color w:val="auto"/>
              </w:rPr>
            </w:pPr>
            <w:r>
              <w:rPr>
                <w:rFonts w:ascii="Arial" w:cs="Arial" w:eastAsia="Arial" w:hAnsi="Arial"/>
                <w:sz w:val="18"/>
                <w:szCs w:val="18"/>
                <w:b w:val="1"/>
                <w:bCs w:val="1"/>
                <w:color w:val="auto"/>
              </w:rPr>
              <w:t>60515</w:t>
            </w:r>
          </w:p>
        </w:tc>
      </w:tr>
      <w:tr>
        <w:trPr>
          <w:trHeight w:val="230"/>
        </w:trPr>
        <w:tc>
          <w:tcPr>
            <w:tcW w:w="640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(Address of principal executive offices)</w:t>
            </w:r>
          </w:p>
        </w:tc>
        <w:tc>
          <w:tcPr>
            <w:tcW w:w="4860" w:type="dxa"/>
            <w:vAlign w:val="bottom"/>
          </w:tcPr>
          <w:p>
            <w:pPr>
              <w:jc w:val="center"/>
              <w:ind w:right="330"/>
              <w:spacing w:after="0"/>
              <w:rPr>
                <w:sz w:val="20"/>
                <w:szCs w:val="20"/>
                <w:color w:val="auto"/>
              </w:rPr>
            </w:pPr>
            <w:r>
              <w:rPr>
                <w:rFonts w:ascii="Arial" w:cs="Arial" w:eastAsia="Arial" w:hAnsi="Arial"/>
                <w:sz w:val="18"/>
                <w:szCs w:val="18"/>
                <w:color w:val="auto"/>
                <w:w w:val="94"/>
              </w:rPr>
              <w:t>(Zip Code)</w:t>
            </w:r>
          </w:p>
        </w:tc>
      </w:tr>
      <w:tr>
        <w:trPr>
          <w:trHeight w:val="283"/>
        </w:trPr>
        <w:tc>
          <w:tcPr>
            <w:tcW w:w="2580" w:type="dxa"/>
            <w:vAlign w:val="bottom"/>
          </w:tcPr>
          <w:p>
            <w:pPr>
              <w:spacing w:after="0"/>
              <w:rPr>
                <w:sz w:val="24"/>
                <w:szCs w:val="24"/>
                <w:color w:val="auto"/>
              </w:rPr>
            </w:pPr>
          </w:p>
        </w:tc>
        <w:tc>
          <w:tcPr>
            <w:tcW w:w="3820" w:type="dxa"/>
            <w:vAlign w:val="bottom"/>
            <w:gridSpan w:val="2"/>
          </w:tcPr>
          <w:p>
            <w:pPr>
              <w:jc w:val="center"/>
              <w:ind w:left="2170"/>
              <w:spacing w:after="0"/>
              <w:rPr>
                <w:sz w:val="20"/>
                <w:szCs w:val="20"/>
                <w:color w:val="auto"/>
              </w:rPr>
            </w:pPr>
            <w:r>
              <w:rPr>
                <w:rFonts w:ascii="Arial" w:cs="Arial" w:eastAsia="Arial" w:hAnsi="Arial"/>
                <w:sz w:val="18"/>
                <w:szCs w:val="18"/>
                <w:b w:val="1"/>
                <w:bCs w:val="1"/>
                <w:color w:val="auto"/>
                <w:w w:val="90"/>
              </w:rPr>
              <w:t>(630) 541-1540</w:t>
            </w:r>
          </w:p>
        </w:tc>
        <w:tc>
          <w:tcPr>
            <w:tcW w:w="4860" w:type="dxa"/>
            <w:vAlign w:val="bottom"/>
          </w:tcPr>
          <w:p>
            <w:pPr>
              <w:spacing w:after="0"/>
              <w:rPr>
                <w:sz w:val="24"/>
                <w:szCs w:val="24"/>
                <w:color w:val="auto"/>
              </w:rPr>
            </w:pPr>
          </w:p>
        </w:tc>
      </w:tr>
      <w:tr>
        <w:trPr>
          <w:trHeight w:val="230"/>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24"/>
        </w:trPr>
        <w:tc>
          <w:tcPr>
            <w:tcW w:w="64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860" w:type="dxa"/>
            <w:vAlign w:val="bottom"/>
          </w:tcPr>
          <w:p>
            <w:pPr>
              <w:spacing w:after="0"/>
              <w:rPr>
                <w:sz w:val="24"/>
                <w:szCs w:val="24"/>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DOV</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Arial" w:cs="Arial" w:eastAsia="Arial" w:hAnsi="Arial"/>
                <w:sz w:val="18"/>
                <w:szCs w:val="18"/>
                <w:color w:val="auto"/>
                <w:w w:val="91"/>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1.250% Notes due 2026</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DOV 26</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Arial" w:cs="Arial" w:eastAsia="Arial" w:hAnsi="Arial"/>
                <w:sz w:val="18"/>
                <w:szCs w:val="18"/>
                <w:color w:val="auto"/>
                <w:w w:val="91"/>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0.750% Notes due 2027</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DOV 27</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Arial" w:cs="Arial" w:eastAsia="Arial" w:hAnsi="Arial"/>
                <w:sz w:val="18"/>
                <w:szCs w:val="18"/>
                <w:color w:val="auto"/>
                <w:w w:val="91"/>
              </w:rPr>
              <w:t>New York Stock Exchange</w:t>
            </w:r>
          </w:p>
        </w:tc>
      </w:tr>
    </w:tbl>
    <w:p>
      <w:pPr>
        <w:spacing w:after="0" w:line="242" w:lineRule="exact"/>
        <w:rPr>
          <w:sz w:val="24"/>
          <w:szCs w:val="24"/>
          <w:color w:val="auto"/>
        </w:rPr>
      </w:pPr>
    </w:p>
    <w:p>
      <w:pPr>
        <w:jc w:val="both"/>
        <w:ind w:right="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2"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34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3820" w:type="dxa"/>
            <w:vAlign w:val="bottom"/>
          </w:tcPr>
          <w:p>
            <w:pPr>
              <w:ind w:left="1240"/>
              <w:spacing w:after="0" w:line="182" w:lineRule="exact"/>
              <w:rPr>
                <w:sz w:val="20"/>
                <w:szCs w:val="20"/>
                <w:color w:val="auto"/>
              </w:rPr>
            </w:pPr>
            <w:r>
              <w:rPr>
                <w:rFonts w:ascii="Arial" w:cs="Arial" w:eastAsia="Arial" w:hAnsi="Arial"/>
                <w:sz w:val="18"/>
                <w:szCs w:val="18"/>
                <w:color w:val="auto"/>
              </w:rPr>
              <w:t>Accelerated Filer</w:t>
            </w:r>
          </w:p>
        </w:tc>
        <w:tc>
          <w:tcPr>
            <w:tcW w:w="960" w:type="dxa"/>
            <w:vAlign w:val="bottom"/>
          </w:tcPr>
          <w:p>
            <w:pPr>
              <w:spacing w:after="0"/>
              <w:rPr>
                <w:sz w:val="15"/>
                <w:szCs w:val="15"/>
                <w:color w:val="auto"/>
              </w:rPr>
            </w:pPr>
          </w:p>
        </w:tc>
        <w:tc>
          <w:tcPr>
            <w:tcW w:w="3560" w:type="dxa"/>
            <w:vAlign w:val="bottom"/>
          </w:tcPr>
          <w:p>
            <w:pPr>
              <w:ind w:left="280"/>
              <w:spacing w:after="0" w:line="182" w:lineRule="exact"/>
              <w:rPr>
                <w:sz w:val="20"/>
                <w:szCs w:val="20"/>
                <w:color w:val="auto"/>
              </w:rPr>
            </w:pPr>
            <w:r>
              <w:rPr>
                <w:rFonts w:ascii="Arial" w:cs="Arial" w:eastAsia="Arial" w:hAnsi="Arial"/>
                <w:sz w:val="18"/>
                <w:szCs w:val="18"/>
                <w:color w:val="auto"/>
              </w:rPr>
              <w:t>Emerging Growth Company</w:t>
            </w:r>
          </w:p>
        </w:tc>
        <w:tc>
          <w:tcPr>
            <w:tcW w:w="0" w:type="dxa"/>
            <w:vAlign w:val="bottom"/>
          </w:tcPr>
          <w:p>
            <w:pPr>
              <w:spacing w:after="0"/>
              <w:rPr>
                <w:sz w:val="1"/>
                <w:szCs w:val="1"/>
                <w:color w:val="auto"/>
              </w:rPr>
            </w:pPr>
          </w:p>
        </w:tc>
      </w:tr>
      <w:tr>
        <w:trPr>
          <w:trHeight w:val="209"/>
        </w:trPr>
        <w:tc>
          <w:tcPr>
            <w:tcW w:w="216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vMerge w:val="continue"/>
          </w:tcPr>
          <w:p>
            <w:pPr>
              <w:spacing w:after="0"/>
              <w:rPr>
                <w:sz w:val="20"/>
                <w:szCs w:val="20"/>
                <w:color w:val="auto"/>
              </w:rPr>
            </w:pPr>
          </w:p>
        </w:tc>
        <w:tc>
          <w:tcPr>
            <w:tcW w:w="382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9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200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outstanding of the Registrant’s common stock as of October 12, 2021 was 143,984,653.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56"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00" w:type="dxa"/>
            <w:vAlign w:val="bottom"/>
            <w:tcBorders>
              <w:bottom w:val="single" w:sz="8" w:color="0000FF"/>
            </w:tcBorders>
            <w:gridSpan w:val="18"/>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7320" w:type="dxa"/>
            <w:vAlign w:val="bottom"/>
            <w:gridSpan w:val="15"/>
          </w:tcPr>
          <w:p>
            <w:pPr>
              <w:spacing w:after="0"/>
              <w:rPr>
                <w:sz w:val="17"/>
                <w:szCs w:val="17"/>
                <w:color w:val="auto"/>
              </w:rPr>
            </w:pPr>
          </w:p>
        </w:tc>
        <w:tc>
          <w:tcPr>
            <w:tcW w:w="600" w:type="dxa"/>
            <w:vAlign w:val="bottom"/>
            <w:gridSpan w:val="3"/>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400" w:type="dxa"/>
            <w:vAlign w:val="bottom"/>
            <w:gridSpan w:val="3"/>
            <w:vMerge w:val="restart"/>
          </w:tcPr>
          <w:p>
            <w:pPr>
              <w:spacing w:after="0" w:line="20" w:lineRule="exact"/>
              <w:rPr>
                <w:sz w:val="1"/>
                <w:szCs w:val="1"/>
                <w:color w:val="auto"/>
              </w:rPr>
            </w:pPr>
          </w:p>
        </w:tc>
        <w:tc>
          <w:tcPr>
            <w:tcW w:w="9700" w:type="dxa"/>
            <w:vAlign w:val="bottom"/>
            <w:gridSpan w:val="29"/>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9700" w:type="dxa"/>
            <w:vAlign w:val="bottom"/>
            <w:gridSpan w:val="29"/>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Earnings for the three and nine months ended September 30, 2021 and 2020</w:t>
              </w:r>
            </w:hyperlink>
          </w:p>
        </w:tc>
        <w:tc>
          <w:tcPr>
            <w:tcW w:w="340" w:type="dxa"/>
            <w:vAlign w:val="bottom"/>
            <w:gridSpan w:val="2"/>
          </w:tcPr>
          <w:p>
            <w:pPr>
              <w:jc w:val="center"/>
              <w:ind w:left="17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520" w:type="dxa"/>
            <w:vAlign w:val="bottom"/>
            <w:gridSpan w:val="28"/>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Comprehensive Earnings for the three and nine months ended September 30, 2021 and 2020</w:t>
              </w:r>
            </w:hyperlink>
          </w:p>
        </w:tc>
        <w:tc>
          <w:tcPr>
            <w:tcW w:w="180" w:type="dxa"/>
            <w:vAlign w:val="bottom"/>
          </w:tcPr>
          <w:p>
            <w:pPr>
              <w:spacing w:after="0"/>
              <w:rPr>
                <w:sz w:val="18"/>
                <w:szCs w:val="18"/>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520" w:type="dxa"/>
            <w:vAlign w:val="bottom"/>
            <w:gridSpan w:val="2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at September 30, 2021 and December 31, 2020</w:t>
              </w:r>
            </w:hyperlink>
          </w:p>
        </w:tc>
        <w:tc>
          <w:tcPr>
            <w:tcW w:w="180" w:type="dxa"/>
            <w:vAlign w:val="bottom"/>
          </w:tcPr>
          <w:p>
            <w:pPr>
              <w:spacing w:after="0"/>
              <w:rPr>
                <w:sz w:val="18"/>
                <w:szCs w:val="18"/>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rFonts w:ascii="Arial" w:cs="Arial" w:eastAsia="Arial" w:hAnsi="Arial"/>
                <w:sz w:val="18"/>
                <w:szCs w:val="18"/>
                <w:color w:val="0000FF"/>
                <w:w w:val="94"/>
              </w:rPr>
            </w:pPr>
            <w:hyperlink w:anchor="page6">
              <w:r>
                <w:rPr>
                  <w:rFonts w:ascii="Arial" w:cs="Arial" w:eastAsia="Arial" w:hAnsi="Arial"/>
                  <w:sz w:val="18"/>
                  <w:szCs w:val="18"/>
                  <w:color w:val="0000FF"/>
                  <w:w w:val="94"/>
                </w:rPr>
                <w:t>Condensed Consolidated Statements of Stockholders’ Equity for the three and nine months ended September 30, 2021 and 2020</w:t>
              </w:r>
            </w:hyperlink>
          </w:p>
        </w:tc>
        <w:tc>
          <w:tcPr>
            <w:tcW w:w="340" w:type="dxa"/>
            <w:vAlign w:val="bottom"/>
            <w:gridSpan w:val="2"/>
          </w:tcPr>
          <w:p>
            <w:pPr>
              <w:jc w:val="center"/>
              <w:ind w:left="1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5"/>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Condensed Consolidated Statements of Cash Flows for the nine months ended September 30, 2021 and 2020</w:t>
              </w:r>
            </w:hyperlink>
          </w:p>
        </w:tc>
        <w:tc>
          <w:tcPr>
            <w:tcW w:w="138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2"/>
          </w:tcPr>
          <w:p>
            <w:pPr>
              <w:spacing w:after="0"/>
              <w:rPr>
                <w:rFonts w:ascii="Arial" w:cs="Arial" w:eastAsia="Arial" w:hAnsi="Arial"/>
                <w:sz w:val="18"/>
                <w:szCs w:val="18"/>
                <w:color w:val="0000FF"/>
                <w:w w:val="86"/>
              </w:rPr>
            </w:pPr>
            <w:hyperlink w:anchor="page9">
              <w:r>
                <w:rPr>
                  <w:rFonts w:ascii="Arial" w:cs="Arial" w:eastAsia="Arial" w:hAnsi="Arial"/>
                  <w:sz w:val="18"/>
                  <w:szCs w:val="18"/>
                  <w:color w:val="0000FF"/>
                  <w:w w:val="86"/>
                </w:rPr>
                <w:t>Note 1 — Basis of Presentation</w:t>
              </w:r>
            </w:hyperlink>
          </w:p>
        </w:tc>
        <w:tc>
          <w:tcPr>
            <w:tcW w:w="5620" w:type="dxa"/>
            <w:vAlign w:val="bottom"/>
            <w:gridSpan w:val="13"/>
          </w:tcPr>
          <w:p>
            <w:pPr>
              <w:spacing w:after="0"/>
              <w:rPr>
                <w:sz w:val="18"/>
                <w:szCs w:val="18"/>
                <w:color w:val="auto"/>
              </w:rPr>
            </w:pPr>
          </w:p>
        </w:tc>
        <w:tc>
          <w:tcPr>
            <w:tcW w:w="1860" w:type="dxa"/>
            <w:vAlign w:val="bottom"/>
            <w:gridSpan w:val="4"/>
          </w:tcPr>
          <w:p>
            <w:pPr>
              <w:spacing w:after="0"/>
              <w:rPr>
                <w:sz w:val="18"/>
                <w:szCs w:val="18"/>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7</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2"/>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 2 — Revenue</w:t>
              </w:r>
            </w:hyperlink>
          </w:p>
        </w:tc>
        <w:tc>
          <w:tcPr>
            <w:tcW w:w="7480" w:type="dxa"/>
            <w:vAlign w:val="bottom"/>
            <w:gridSpan w:val="17"/>
          </w:tcPr>
          <w:p>
            <w:pPr>
              <w:spacing w:after="0"/>
              <w:rPr>
                <w:sz w:val="18"/>
                <w:szCs w:val="18"/>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7</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 3 — Acquisitions</w:t>
              </w:r>
            </w:hyperlink>
          </w:p>
        </w:tc>
        <w:tc>
          <w:tcPr>
            <w:tcW w:w="340" w:type="dxa"/>
            <w:vAlign w:val="bottom"/>
            <w:gridSpan w:val="2"/>
          </w:tcPr>
          <w:p>
            <w:pPr>
              <w:jc w:val="center"/>
              <w:ind w:left="17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Note 4 — Disposed Operations</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10</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2"/>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Note 5 — Inventories</w:t>
              </w:r>
            </w:hyperlink>
          </w:p>
        </w:tc>
        <w:tc>
          <w:tcPr>
            <w:tcW w:w="7480" w:type="dxa"/>
            <w:vAlign w:val="bottom"/>
            <w:gridSpan w:val="17"/>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10</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9"/>
          </w:tcPr>
          <w:p>
            <w:pPr>
              <w:spacing w:after="0"/>
              <w:rPr>
                <w:rFonts w:ascii="Arial" w:cs="Arial" w:eastAsia="Arial" w:hAnsi="Arial"/>
                <w:sz w:val="18"/>
                <w:szCs w:val="18"/>
                <w:color w:val="0000FF"/>
                <w:w w:val="90"/>
              </w:rPr>
            </w:pPr>
            <w:hyperlink w:anchor="page12">
              <w:r>
                <w:rPr>
                  <w:rFonts w:ascii="Arial" w:cs="Arial" w:eastAsia="Arial" w:hAnsi="Arial"/>
                  <w:sz w:val="18"/>
                  <w:szCs w:val="18"/>
                  <w:color w:val="0000FF"/>
                  <w:w w:val="90"/>
                </w:rPr>
                <w:t>Note 6 — Property, Plant and Equipment, net</w:t>
              </w:r>
            </w:hyperlink>
          </w:p>
        </w:tc>
        <w:tc>
          <w:tcPr>
            <w:tcW w:w="6420" w:type="dxa"/>
            <w:vAlign w:val="bottom"/>
            <w:gridSpan w:val="10"/>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10</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9"/>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Note 7 — Credit Losses</w:t>
              </w:r>
            </w:hyperlink>
          </w:p>
        </w:tc>
        <w:tc>
          <w:tcPr>
            <w:tcW w:w="6420" w:type="dxa"/>
            <w:vAlign w:val="bottom"/>
            <w:gridSpan w:val="10"/>
          </w:tcPr>
          <w:p>
            <w:pPr>
              <w:spacing w:after="0"/>
              <w:rPr>
                <w:sz w:val="18"/>
                <w:szCs w:val="18"/>
                <w:color w:val="auto"/>
              </w:rPr>
            </w:pPr>
          </w:p>
        </w:tc>
        <w:tc>
          <w:tcPr>
            <w:tcW w:w="340" w:type="dxa"/>
            <w:vAlign w:val="bottom"/>
            <w:gridSpan w:val="2"/>
          </w:tcPr>
          <w:p>
            <w:pPr>
              <w:jc w:val="center"/>
              <w:ind w:left="90"/>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11</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0"/>
          </w:tcPr>
          <w:p>
            <w:pPr>
              <w:spacing w:after="0"/>
              <w:rPr>
                <w:rFonts w:ascii="Arial" w:cs="Arial" w:eastAsia="Arial" w:hAnsi="Arial"/>
                <w:sz w:val="18"/>
                <w:szCs w:val="18"/>
                <w:color w:val="0000FF"/>
                <w:w w:val="91"/>
              </w:rPr>
            </w:pPr>
            <w:hyperlink w:anchor="page13">
              <w:r>
                <w:rPr>
                  <w:rFonts w:ascii="Arial" w:cs="Arial" w:eastAsia="Arial" w:hAnsi="Arial"/>
                  <w:sz w:val="18"/>
                  <w:szCs w:val="18"/>
                  <w:color w:val="0000FF"/>
                  <w:w w:val="91"/>
                </w:rPr>
                <w:t>Note 8 — Goodwill and Other Intangible Assets</w:t>
              </w:r>
            </w:hyperlink>
          </w:p>
        </w:tc>
        <w:tc>
          <w:tcPr>
            <w:tcW w:w="6220" w:type="dxa"/>
            <w:vAlign w:val="bottom"/>
            <w:gridSpan w:val="9"/>
          </w:tcPr>
          <w:p>
            <w:pPr>
              <w:spacing w:after="0"/>
              <w:rPr>
                <w:sz w:val="18"/>
                <w:szCs w:val="18"/>
                <w:color w:val="auto"/>
              </w:rPr>
            </w:pPr>
          </w:p>
        </w:tc>
        <w:tc>
          <w:tcPr>
            <w:tcW w:w="340" w:type="dxa"/>
            <w:vAlign w:val="bottom"/>
            <w:gridSpan w:val="2"/>
          </w:tcPr>
          <w:p>
            <w:pPr>
              <w:jc w:val="center"/>
              <w:ind w:left="90"/>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0"/>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Note 9 — Restructuring Activities</w:t>
              </w:r>
            </w:hyperlink>
          </w:p>
        </w:tc>
        <w:tc>
          <w:tcPr>
            <w:tcW w:w="6220" w:type="dxa"/>
            <w:vAlign w:val="bottom"/>
            <w:gridSpan w:val="9"/>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12</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7"/>
          </w:tcPr>
          <w:p>
            <w:pPr>
              <w:spacing w:after="0"/>
              <w:rPr>
                <w:rFonts w:ascii="Arial" w:cs="Arial" w:eastAsia="Arial" w:hAnsi="Arial"/>
                <w:sz w:val="18"/>
                <w:szCs w:val="18"/>
                <w:color w:val="0000FF"/>
                <w:w w:val="91"/>
              </w:rPr>
            </w:pPr>
            <w:hyperlink w:anchor="page15">
              <w:r>
                <w:rPr>
                  <w:rFonts w:ascii="Arial" w:cs="Arial" w:eastAsia="Arial" w:hAnsi="Arial"/>
                  <w:sz w:val="18"/>
                  <w:szCs w:val="18"/>
                  <w:color w:val="0000FF"/>
                  <w:w w:val="91"/>
                </w:rPr>
                <w:t>Note 10 — Borrowings</w:t>
              </w:r>
            </w:hyperlink>
          </w:p>
        </w:tc>
        <w:tc>
          <w:tcPr>
            <w:tcW w:w="780" w:type="dxa"/>
            <w:vAlign w:val="bottom"/>
            <w:gridSpan w:val="8"/>
          </w:tcPr>
          <w:p>
            <w:pPr>
              <w:spacing w:after="0"/>
              <w:rPr>
                <w:sz w:val="18"/>
                <w:szCs w:val="18"/>
                <w:color w:val="auto"/>
              </w:rPr>
            </w:pPr>
          </w:p>
        </w:tc>
        <w:tc>
          <w:tcPr>
            <w:tcW w:w="7220" w:type="dxa"/>
            <w:vAlign w:val="bottom"/>
            <w:gridSpan w:val="14"/>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13</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Note 11 — Financial Instruments</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14</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9"/>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Note 12 — Income Taxes</w:t>
              </w:r>
            </w:hyperlink>
          </w:p>
        </w:tc>
        <w:tc>
          <w:tcPr>
            <w:tcW w:w="520" w:type="dxa"/>
            <w:vAlign w:val="bottom"/>
            <w:gridSpan w:val="5"/>
          </w:tcPr>
          <w:p>
            <w:pPr>
              <w:spacing w:after="0"/>
              <w:rPr>
                <w:sz w:val="18"/>
                <w:szCs w:val="18"/>
                <w:color w:val="auto"/>
              </w:rPr>
            </w:pPr>
          </w:p>
        </w:tc>
        <w:tc>
          <w:tcPr>
            <w:tcW w:w="7320" w:type="dxa"/>
            <w:vAlign w:val="bottom"/>
            <w:gridSpan w:val="15"/>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15</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Note 13 — Equity Incentive Program</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16</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1"/>
          </w:tcPr>
          <w:p>
            <w:pPr>
              <w:spacing w:after="0"/>
              <w:rPr>
                <w:rFonts w:ascii="Arial" w:cs="Arial" w:eastAsia="Arial" w:hAnsi="Arial"/>
                <w:sz w:val="18"/>
                <w:szCs w:val="18"/>
                <w:color w:val="0000FF"/>
                <w:w w:val="92"/>
              </w:rPr>
            </w:pPr>
            <w:hyperlink w:anchor="page19">
              <w:r>
                <w:rPr>
                  <w:rFonts w:ascii="Arial" w:cs="Arial" w:eastAsia="Arial" w:hAnsi="Arial"/>
                  <w:sz w:val="18"/>
                  <w:szCs w:val="18"/>
                  <w:color w:val="0000FF"/>
                  <w:w w:val="92"/>
                </w:rPr>
                <w:t>Note 14 — Commitments and Contingent Liabilities</w:t>
              </w:r>
            </w:hyperlink>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17</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1"/>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Note 15 — Employee Benefit Plans</w:t>
              </w:r>
            </w:hyperlink>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18</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8"/>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Note 16 — Other Comprehensive Earnings</w:t>
              </w:r>
            </w:hyperlink>
          </w:p>
        </w:tc>
        <w:tc>
          <w:tcPr>
            <w:tcW w:w="6580" w:type="dxa"/>
            <w:vAlign w:val="bottom"/>
            <w:gridSpan w:val="11"/>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19</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8"/>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Note 17 — Segment Information</w:t>
              </w:r>
            </w:hyperlink>
          </w:p>
        </w:tc>
        <w:tc>
          <w:tcPr>
            <w:tcW w:w="6580" w:type="dxa"/>
            <w:vAlign w:val="bottom"/>
            <w:gridSpan w:val="11"/>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2"/>
          </w:tcPr>
          <w:p>
            <w:pPr>
              <w:spacing w:after="0"/>
              <w:rPr>
                <w:rFonts w:ascii="Arial" w:cs="Arial" w:eastAsia="Arial" w:hAnsi="Arial"/>
                <w:sz w:val="18"/>
                <w:szCs w:val="18"/>
                <w:color w:val="0000FF"/>
                <w:w w:val="87"/>
              </w:rPr>
            </w:pPr>
            <w:hyperlink w:anchor="page22">
              <w:r>
                <w:rPr>
                  <w:rFonts w:ascii="Arial" w:cs="Arial" w:eastAsia="Arial" w:hAnsi="Arial"/>
                  <w:sz w:val="18"/>
                  <w:szCs w:val="18"/>
                  <w:color w:val="0000FF"/>
                  <w:w w:val="87"/>
                </w:rPr>
                <w:t>Note 18 — Share Repurchases</w:t>
              </w:r>
            </w:hyperlink>
          </w:p>
        </w:tc>
        <w:tc>
          <w:tcPr>
            <w:tcW w:w="160" w:type="dxa"/>
            <w:vAlign w:val="bottom"/>
            <w:gridSpan w:val="2"/>
          </w:tcPr>
          <w:p>
            <w:pPr>
              <w:spacing w:after="0"/>
              <w:rPr>
                <w:sz w:val="18"/>
                <w:szCs w:val="18"/>
                <w:color w:val="auto"/>
              </w:rPr>
            </w:pPr>
          </w:p>
        </w:tc>
        <w:tc>
          <w:tcPr>
            <w:tcW w:w="7320" w:type="dxa"/>
            <w:vAlign w:val="bottom"/>
            <w:gridSpan w:val="15"/>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2"/>
          </w:tcPr>
          <w:p>
            <w:pPr>
              <w:spacing w:after="0"/>
              <w:rPr>
                <w:rFonts w:ascii="Arial" w:cs="Arial" w:eastAsia="Arial" w:hAnsi="Arial"/>
                <w:sz w:val="18"/>
                <w:szCs w:val="18"/>
                <w:color w:val="0000FF"/>
                <w:w w:val="88"/>
              </w:rPr>
            </w:pPr>
            <w:hyperlink w:anchor="page23">
              <w:r>
                <w:rPr>
                  <w:rFonts w:ascii="Arial" w:cs="Arial" w:eastAsia="Arial" w:hAnsi="Arial"/>
                  <w:sz w:val="18"/>
                  <w:szCs w:val="18"/>
                  <w:color w:val="0000FF"/>
                  <w:w w:val="88"/>
                </w:rPr>
                <w:t>Note 19 — Earnings per Share</w:t>
              </w:r>
            </w:hyperlink>
          </w:p>
        </w:tc>
        <w:tc>
          <w:tcPr>
            <w:tcW w:w="7480" w:type="dxa"/>
            <w:vAlign w:val="bottom"/>
            <w:gridSpan w:val="17"/>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0"/>
          </w:tcPr>
          <w:p>
            <w:pP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Note 20 — Recent Accounting Pronouncements</w:t>
              </w:r>
            </w:hyperlink>
          </w:p>
        </w:tc>
        <w:tc>
          <w:tcPr>
            <w:tcW w:w="6220" w:type="dxa"/>
            <w:vAlign w:val="bottom"/>
            <w:gridSpan w:val="9"/>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60" w:type="dxa"/>
            <w:vAlign w:val="bottom"/>
            <w:gridSpan w:val="7"/>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0"/>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Note 21 — Subsequent Event</w:t>
              </w:r>
            </w:hyperlink>
          </w:p>
        </w:tc>
        <w:tc>
          <w:tcPr>
            <w:tcW w:w="6220" w:type="dxa"/>
            <w:vAlign w:val="bottom"/>
            <w:gridSpan w:val="9"/>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22</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24">
              <w:r>
                <w:rPr>
                  <w:rFonts w:ascii="Arial" w:cs="Arial" w:eastAsia="Arial" w:hAnsi="Arial"/>
                  <w:sz w:val="18"/>
                  <w:szCs w:val="18"/>
                  <w:color w:val="0000FF"/>
                  <w:w w:val="94"/>
                </w:rPr>
                <w:t>Item 2.</w:t>
              </w:r>
            </w:hyperlink>
          </w:p>
        </w:tc>
        <w:tc>
          <w:tcPr>
            <w:tcW w:w="380" w:type="dxa"/>
            <w:vAlign w:val="bottom"/>
            <w:gridSpan w:val="2"/>
          </w:tcPr>
          <w:p>
            <w:pPr>
              <w:spacing w:after="0"/>
              <w:rPr>
                <w:sz w:val="18"/>
                <w:szCs w:val="18"/>
                <w:color w:val="auto"/>
              </w:rPr>
            </w:pPr>
          </w:p>
        </w:tc>
        <w:tc>
          <w:tcPr>
            <w:tcW w:w="9700" w:type="dxa"/>
            <w:vAlign w:val="bottom"/>
            <w:gridSpan w:val="29"/>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23</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40" w:type="dxa"/>
            <w:vAlign w:val="bottom"/>
            <w:gridSpan w:val="9"/>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45">
              <w:r>
                <w:rPr>
                  <w:rFonts w:ascii="Arial" w:cs="Arial" w:eastAsia="Arial" w:hAnsi="Arial"/>
                  <w:sz w:val="18"/>
                  <w:szCs w:val="18"/>
                  <w:color w:val="0000FF"/>
                  <w:w w:val="94"/>
                </w:rPr>
                <w:t>Item 3.</w:t>
              </w:r>
            </w:hyperlink>
          </w:p>
        </w:tc>
        <w:tc>
          <w:tcPr>
            <w:tcW w:w="380" w:type="dxa"/>
            <w:vAlign w:val="bottom"/>
            <w:gridSpan w:val="2"/>
          </w:tcPr>
          <w:p>
            <w:pPr>
              <w:spacing w:after="0"/>
              <w:rPr>
                <w:sz w:val="18"/>
                <w:szCs w:val="18"/>
                <w:color w:val="auto"/>
              </w:rPr>
            </w:pPr>
          </w:p>
        </w:tc>
        <w:tc>
          <w:tcPr>
            <w:tcW w:w="4360" w:type="dxa"/>
            <w:vAlign w:val="bottom"/>
            <w:gridSpan w:val="22"/>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18"/>
                <w:szCs w:val="18"/>
                <w:color w:val="auto"/>
              </w:rPr>
            </w:pPr>
          </w:p>
        </w:tc>
        <w:tc>
          <w:tcPr>
            <w:tcW w:w="3240" w:type="dxa"/>
            <w:vAlign w:val="bottom"/>
            <w:gridSpan w:val="5"/>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40" w:type="dxa"/>
            <w:vAlign w:val="bottom"/>
            <w:gridSpan w:val="9"/>
            <w:shd w:val="clear" w:color="auto" w:fill="0000FF"/>
          </w:tcPr>
          <w:p>
            <w:pPr>
              <w:spacing w:after="0" w:line="20" w:lineRule="exact"/>
              <w:rPr>
                <w:sz w:val="1"/>
                <w:szCs w:val="1"/>
                <w:color w:val="auto"/>
              </w:rPr>
            </w:pPr>
          </w:p>
        </w:tc>
        <w:tc>
          <w:tcPr>
            <w:tcW w:w="5340" w:type="dxa"/>
            <w:vAlign w:val="bottom"/>
            <w:tcBorders>
              <w:left w:val="single" w:sz="8" w:color="0000FF"/>
            </w:tcBorders>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4.</w:t>
              </w:r>
            </w:hyperlink>
          </w:p>
        </w:tc>
        <w:tc>
          <w:tcPr>
            <w:tcW w:w="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780" w:type="dxa"/>
            <w:vAlign w:val="bottom"/>
            <w:gridSpan w:val="8"/>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Controls and Procedures</w:t>
              </w:r>
            </w:hyperlink>
          </w:p>
        </w:tc>
        <w:tc>
          <w:tcPr>
            <w:tcW w:w="2580" w:type="dxa"/>
            <w:vAlign w:val="bottom"/>
            <w:gridSpan w:val="14"/>
          </w:tcPr>
          <w:p>
            <w:pPr>
              <w:spacing w:after="0"/>
              <w:rPr>
                <w:sz w:val="18"/>
                <w:szCs w:val="18"/>
                <w:color w:val="auto"/>
              </w:rPr>
            </w:pP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960" w:type="dxa"/>
            <w:vAlign w:val="bottom"/>
            <w:tcBorders>
              <w:bottom w:val="single" w:sz="8" w:color="0000FF"/>
            </w:tcBorders>
            <w:gridSpan w:val="14"/>
          </w:tcPr>
          <w:p>
            <w:pPr>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PART II — OTHER INFORMATION</w:t>
              </w:r>
            </w:hyperlink>
          </w:p>
        </w:tc>
        <w:tc>
          <w:tcPr>
            <w:tcW w:w="7660" w:type="dxa"/>
            <w:vAlign w:val="bottom"/>
            <w:gridSpan w:val="19"/>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46">
              <w:r>
                <w:rPr>
                  <w:rFonts w:ascii="Arial" w:cs="Arial" w:eastAsia="Arial" w:hAnsi="Arial"/>
                  <w:sz w:val="18"/>
                  <w:szCs w:val="18"/>
                  <w:color w:val="0000FF"/>
                  <w:w w:val="94"/>
                </w:rPr>
                <w:t>Item 1.</w:t>
              </w:r>
            </w:hyperlink>
          </w:p>
        </w:tc>
        <w:tc>
          <w:tcPr>
            <w:tcW w:w="380" w:type="dxa"/>
            <w:vAlign w:val="bottom"/>
            <w:gridSpan w:val="2"/>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w w:val="85"/>
              </w:rPr>
            </w:pPr>
            <w:hyperlink w:anchor="page46">
              <w:r>
                <w:rPr>
                  <w:rFonts w:ascii="Arial" w:cs="Arial" w:eastAsia="Arial" w:hAnsi="Arial"/>
                  <w:sz w:val="18"/>
                  <w:szCs w:val="18"/>
                  <w:color w:val="0000FF"/>
                  <w:w w:val="85"/>
                </w:rPr>
                <w:t>Legal Proceedings</w:t>
              </w:r>
            </w:hyperlink>
          </w:p>
        </w:tc>
        <w:tc>
          <w:tcPr>
            <w:tcW w:w="8380" w:type="dxa"/>
            <w:vAlign w:val="bottom"/>
            <w:gridSpan w:val="25"/>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4"/>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1A.</w:t>
              </w:r>
            </w:hyperlink>
          </w:p>
        </w:tc>
        <w:tc>
          <w:tcPr>
            <w:tcW w:w="9700" w:type="dxa"/>
            <w:vAlign w:val="bottom"/>
            <w:gridSpan w:val="29"/>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Risk Factors</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46">
              <w:r>
                <w:rPr>
                  <w:rFonts w:ascii="Arial" w:cs="Arial" w:eastAsia="Arial" w:hAnsi="Arial"/>
                  <w:sz w:val="18"/>
                  <w:szCs w:val="18"/>
                  <w:color w:val="0000FF"/>
                  <w:w w:val="94"/>
                </w:rPr>
                <w:t>Item 2.</w:t>
              </w:r>
            </w:hyperlink>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60" w:type="dxa"/>
            <w:vAlign w:val="bottom"/>
            <w:gridSpan w:val="22"/>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Unregistered Sales of Equity Securities and Use of Proceeds</w:t>
              </w:r>
            </w:hyperlink>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9"/>
            <w:shd w:val="clear" w:color="auto" w:fill="0000FF"/>
          </w:tcPr>
          <w:p>
            <w:pPr>
              <w:spacing w:after="0" w:line="20" w:lineRule="exact"/>
              <w:rPr>
                <w:sz w:val="1"/>
                <w:szCs w:val="1"/>
                <w:color w:val="auto"/>
              </w:rPr>
            </w:pPr>
          </w:p>
        </w:tc>
        <w:tc>
          <w:tcPr>
            <w:tcW w:w="2040" w:type="dxa"/>
            <w:vAlign w:val="bottom"/>
            <w:gridSpan w:val="9"/>
            <w:shd w:val="clear" w:color="auto" w:fill="0000FF"/>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46">
              <w:r>
                <w:rPr>
                  <w:rFonts w:ascii="Arial" w:cs="Arial" w:eastAsia="Arial" w:hAnsi="Arial"/>
                  <w:sz w:val="18"/>
                  <w:szCs w:val="18"/>
                  <w:color w:val="0000FF"/>
                  <w:w w:val="94"/>
                </w:rPr>
                <w:t>Item 3.</w:t>
              </w:r>
            </w:hyperlink>
          </w:p>
        </w:tc>
        <w:tc>
          <w:tcPr>
            <w:tcW w:w="380" w:type="dxa"/>
            <w:vAlign w:val="bottom"/>
            <w:gridSpan w:val="2"/>
          </w:tcPr>
          <w:p>
            <w:pPr>
              <w:spacing w:after="0"/>
              <w:rPr>
                <w:sz w:val="18"/>
                <w:szCs w:val="18"/>
                <w:color w:val="auto"/>
              </w:rPr>
            </w:pPr>
          </w:p>
        </w:tc>
        <w:tc>
          <w:tcPr>
            <w:tcW w:w="4360" w:type="dxa"/>
            <w:vAlign w:val="bottom"/>
            <w:gridSpan w:val="22"/>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Defaults Upon Senior Securities</w:t>
              </w:r>
            </w:hyperlink>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Borders>
              <w:top w:val="single" w:sz="8" w:color="0000FF"/>
            </w:tcBorders>
            <w:gridSpan w:val="2"/>
          </w:tcPr>
          <w:p>
            <w:pPr>
              <w:spacing w:after="0"/>
              <w:rPr>
                <w:rFonts w:ascii="Arial" w:cs="Arial" w:eastAsia="Arial" w:hAnsi="Arial"/>
                <w:sz w:val="18"/>
                <w:szCs w:val="18"/>
                <w:color w:val="0000FF"/>
                <w:w w:val="94"/>
              </w:rPr>
            </w:pPr>
            <w:hyperlink w:anchor="page46">
              <w:r>
                <w:rPr>
                  <w:rFonts w:ascii="Arial" w:cs="Arial" w:eastAsia="Arial" w:hAnsi="Arial"/>
                  <w:sz w:val="18"/>
                  <w:szCs w:val="18"/>
                  <w:color w:val="0000FF"/>
                  <w:w w:val="94"/>
                </w:rPr>
                <w:t>Item 4.</w:t>
              </w:r>
            </w:hyperlink>
          </w:p>
        </w:tc>
        <w:tc>
          <w:tcPr>
            <w:tcW w:w="380" w:type="dxa"/>
            <w:vAlign w:val="bottom"/>
            <w:tcBorders>
              <w:top w:val="single" w:sz="8" w:color="0000FF"/>
            </w:tcBorders>
            <w:gridSpan w:val="2"/>
          </w:tcPr>
          <w:p>
            <w:pPr>
              <w:spacing w:after="0"/>
              <w:rPr>
                <w:sz w:val="18"/>
                <w:szCs w:val="18"/>
                <w:color w:val="auto"/>
              </w:rPr>
            </w:pPr>
          </w:p>
        </w:tc>
        <w:tc>
          <w:tcPr>
            <w:tcW w:w="1780" w:type="dxa"/>
            <w:vAlign w:val="bottom"/>
            <w:tcBorders>
              <w:top w:val="single" w:sz="8" w:color="0000FF"/>
            </w:tcBorders>
            <w:gridSpan w:val="8"/>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Mine Safety Disclosures</w:t>
              </w:r>
            </w:hyperlink>
          </w:p>
        </w:tc>
        <w:tc>
          <w:tcPr>
            <w:tcW w:w="540" w:type="dxa"/>
            <w:vAlign w:val="bottom"/>
            <w:tcBorders>
              <w:top w:val="single" w:sz="8" w:color="0000FF"/>
            </w:tcBorders>
            <w:gridSpan w:val="5"/>
          </w:tcPr>
          <w:p>
            <w:pPr>
              <w:spacing w:after="0"/>
              <w:rPr>
                <w:sz w:val="18"/>
                <w:szCs w:val="18"/>
                <w:color w:val="auto"/>
              </w:rPr>
            </w:pPr>
          </w:p>
        </w:tc>
        <w:tc>
          <w:tcPr>
            <w:tcW w:w="7380" w:type="dxa"/>
            <w:vAlign w:val="bottom"/>
            <w:gridSpan w:val="16"/>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7920" w:type="dxa"/>
            <w:vAlign w:val="bottom"/>
            <w:gridSpan w:val="21"/>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46">
              <w:r>
                <w:rPr>
                  <w:rFonts w:ascii="Arial" w:cs="Arial" w:eastAsia="Arial" w:hAnsi="Arial"/>
                  <w:sz w:val="18"/>
                  <w:szCs w:val="18"/>
                  <w:color w:val="0000FF"/>
                  <w:w w:val="94"/>
                </w:rPr>
                <w:t>Item 5.</w:t>
              </w:r>
            </w:hyperlink>
          </w:p>
        </w:tc>
        <w:tc>
          <w:tcPr>
            <w:tcW w:w="380" w:type="dxa"/>
            <w:vAlign w:val="bottom"/>
            <w:gridSpan w:val="2"/>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Other Information</w:t>
              </w:r>
            </w:hyperlink>
          </w:p>
        </w:tc>
        <w:tc>
          <w:tcPr>
            <w:tcW w:w="460" w:type="dxa"/>
            <w:vAlign w:val="bottom"/>
            <w:gridSpan w:val="4"/>
          </w:tcPr>
          <w:p>
            <w:pPr>
              <w:spacing w:after="0"/>
              <w:rPr>
                <w:sz w:val="18"/>
                <w:szCs w:val="18"/>
                <w:color w:val="auto"/>
              </w:rPr>
            </w:pPr>
          </w:p>
        </w:tc>
        <w:tc>
          <w:tcPr>
            <w:tcW w:w="7920" w:type="dxa"/>
            <w:vAlign w:val="bottom"/>
            <w:gridSpan w:val="21"/>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380" w:type="dxa"/>
            <w:vAlign w:val="bottom"/>
            <w:gridSpan w:val="2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46">
              <w:r>
                <w:rPr>
                  <w:rFonts w:ascii="Arial" w:cs="Arial" w:eastAsia="Arial" w:hAnsi="Arial"/>
                  <w:sz w:val="18"/>
                  <w:szCs w:val="18"/>
                  <w:color w:val="0000FF"/>
                  <w:w w:val="94"/>
                </w:rPr>
                <w:t>Item 6.</w:t>
              </w:r>
            </w:hyperlink>
          </w:p>
        </w:tc>
        <w:tc>
          <w:tcPr>
            <w:tcW w:w="380" w:type="dxa"/>
            <w:vAlign w:val="bottom"/>
            <w:gridSpan w:val="2"/>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Exhibits</w:t>
              </w:r>
            </w:hyperlink>
          </w:p>
        </w:tc>
        <w:tc>
          <w:tcPr>
            <w:tcW w:w="8380" w:type="dxa"/>
            <w:vAlign w:val="bottom"/>
            <w:gridSpan w:val="25"/>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45</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100" w:type="dxa"/>
            <w:vAlign w:val="bottom"/>
            <w:gridSpan w:val="2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20" w:type="dxa"/>
            <w:vAlign w:val="bottom"/>
            <w:gridSpan w:val="33"/>
          </w:tcPr>
          <w:p>
            <w:pP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SIGNATURES</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46</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41"/>
        </w:trPr>
        <w:tc>
          <w:tcPr>
            <w:tcW w:w="3760" w:type="dxa"/>
            <w:vAlign w:val="bottom"/>
          </w:tcPr>
          <w:p>
            <w:pPr>
              <w:spacing w:after="0"/>
              <w:rPr>
                <w:sz w:val="24"/>
                <w:szCs w:val="24"/>
                <w:color w:val="auto"/>
              </w:rPr>
            </w:pPr>
          </w:p>
        </w:tc>
        <w:tc>
          <w:tcPr>
            <w:tcW w:w="2980" w:type="dxa"/>
            <w:vAlign w:val="bottom"/>
            <w:gridSpan w:val="4"/>
          </w:tcPr>
          <w:p>
            <w:pPr>
              <w:jc w:val="center"/>
              <w:ind w:left="650"/>
              <w:spacing w:after="0"/>
              <w:rPr>
                <w:sz w:val="20"/>
                <w:szCs w:val="20"/>
                <w:color w:val="auto"/>
              </w:rPr>
            </w:pPr>
            <w:r>
              <w:rPr>
                <w:rFonts w:ascii="Arial" w:cs="Arial" w:eastAsia="Arial" w:hAnsi="Arial"/>
                <w:sz w:val="18"/>
                <w:szCs w:val="18"/>
                <w:b w:val="1"/>
                <w:bCs w:val="1"/>
                <w:color w:val="auto"/>
                <w:w w:val="99"/>
              </w:rPr>
              <w:t>DOVER CORPORATION</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8260" w:type="dxa"/>
            <w:vAlign w:val="bottom"/>
            <w:gridSpan w:val="8"/>
          </w:tcPr>
          <w:p>
            <w:pPr>
              <w:jc w:val="center"/>
              <w:ind w:left="2890"/>
              <w:spacing w:after="0"/>
              <w:rPr>
                <w:sz w:val="20"/>
                <w:szCs w:val="20"/>
                <w:color w:val="auto"/>
              </w:rPr>
            </w:pPr>
            <w:r>
              <w:rPr>
                <w:rFonts w:ascii="Arial" w:cs="Arial" w:eastAsia="Arial" w:hAnsi="Arial"/>
                <w:sz w:val="18"/>
                <w:szCs w:val="18"/>
                <w:b w:val="1"/>
                <w:bCs w:val="1"/>
                <w:color w:val="auto"/>
                <w:w w:val="99"/>
              </w:rPr>
              <w:t>CONDENSED CONSOLIDATED STATEMENTS OF EARNINGS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3400" w:type="dxa"/>
            <w:vAlign w:val="bottom"/>
            <w:gridSpan w:val="5"/>
          </w:tcPr>
          <w:p>
            <w:pPr>
              <w:jc w:val="center"/>
              <w:ind w:left="23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760" w:type="dxa"/>
            <w:vAlign w:val="bottom"/>
          </w:tcPr>
          <w:p>
            <w:pPr>
              <w:spacing w:after="0"/>
              <w:rPr>
                <w:sz w:val="20"/>
                <w:szCs w:val="20"/>
                <w:color w:val="auto"/>
              </w:rPr>
            </w:pPr>
          </w:p>
        </w:tc>
        <w:tc>
          <w:tcPr>
            <w:tcW w:w="2980" w:type="dxa"/>
            <w:vAlign w:val="bottom"/>
            <w:gridSpan w:val="4"/>
          </w:tcPr>
          <w:p>
            <w:pPr>
              <w:jc w:val="center"/>
              <w:ind w:left="650"/>
              <w:spacing w:after="0"/>
              <w:rPr>
                <w:sz w:val="20"/>
                <w:szCs w:val="20"/>
                <w:color w:val="auto"/>
              </w:rPr>
            </w:pPr>
            <w:r>
              <w:rPr>
                <w:rFonts w:ascii="Arial" w:cs="Arial" w:eastAsia="Arial" w:hAnsi="Arial"/>
                <w:sz w:val="18"/>
                <w:szCs w:val="18"/>
                <w:b w:val="1"/>
                <w:bCs w:val="1"/>
                <w:color w:val="auto"/>
                <w:w w:val="91"/>
              </w:rPr>
              <w:t>(Unaudited)</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3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06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2"/>
                <w:szCs w:val="22"/>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37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2,018,269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1,748,256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4,903,370</w:t>
            </w:r>
          </w:p>
        </w:tc>
      </w:tr>
      <w:tr>
        <w:trPr>
          <w:trHeight w:val="229"/>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w:t>
            </w:r>
          </w:p>
        </w:tc>
        <w:tc>
          <w:tcPr>
            <w:tcW w:w="1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1,263,690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1,089,527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3,669,547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3,080,800</w:t>
            </w: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1,822,570</w:t>
            </w:r>
          </w:p>
        </w:tc>
      </w:tr>
      <w:tr>
        <w:trPr>
          <w:trHeight w:val="229"/>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412,553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1,249,593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1,135,512</w:t>
            </w: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687,058</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83,703</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Loss (gain) on sale of a business</w:t>
            </w: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(5,213)</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(9,887)</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Earnings before provision for income taxes</w:t>
            </w: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327,519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250,997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940,113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621,326</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63,763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119,981</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Net earnings</w:t>
            </w:r>
          </w:p>
        </w:tc>
        <w:tc>
          <w:tcPr>
            <w:tcW w:w="14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263,756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761,033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501,345</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37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Net earnings per share:</w:t>
            </w: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Diluted</w:t>
            </w: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3760" w:type="dxa"/>
            <w:vAlign w:val="bottom"/>
          </w:tcPr>
          <w:p>
            <w:pPr>
              <w:ind w:left="140"/>
              <w:spacing w:after="0"/>
              <w:rPr>
                <w:sz w:val="20"/>
                <w:szCs w:val="20"/>
                <w:color w:val="auto"/>
              </w:rPr>
            </w:pPr>
            <w:r>
              <w:rPr>
                <w:rFonts w:ascii="Arial" w:cs="Arial" w:eastAsia="Arial" w:hAnsi="Arial"/>
                <w:sz w:val="18"/>
                <w:szCs w:val="18"/>
                <w:color w:val="auto"/>
              </w:rPr>
              <w:t>Basic</w:t>
            </w: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143,976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144,032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144,082</w:t>
            </w:r>
          </w:p>
        </w:tc>
      </w:tr>
      <w:tr>
        <w:trPr>
          <w:trHeight w:val="230"/>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145,313</w:t>
            </w: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58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w w:val="89"/>
              </w:rPr>
              <w:t>(Unaudited)</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60" w:type="dxa"/>
            <w:vAlign w:val="bottom"/>
            <w:gridSpan w:val="6"/>
          </w:tcPr>
          <w:p>
            <w:pPr>
              <w:ind w:left="10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761,033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501,345</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earnings, net of tax</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Foreign currency translation (losses) gains</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(19,714)</w:t>
            </w:r>
          </w:p>
        </w:tc>
        <w:tc>
          <w:tcPr>
            <w:tcW w:w="0" w:type="dxa"/>
            <w:vAlign w:val="bottom"/>
          </w:tcPr>
          <w:p>
            <w:pPr>
              <w:spacing w:after="0"/>
              <w:rPr>
                <w:sz w:val="1"/>
                <w:szCs w:val="1"/>
                <w:color w:val="auto"/>
              </w:rPr>
            </w:pPr>
          </w:p>
        </w:tc>
      </w:tr>
      <w:tr>
        <w:trPr>
          <w:trHeight w:val="156"/>
        </w:trPr>
        <w:tc>
          <w:tcPr>
            <w:tcW w:w="51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Total foreign currency translation adjustments (net of $(5,446), $9,872,</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(26,155)</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(17,567)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(19,714)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$(11,669), $12,761 tax (provision) benefit, respectively)</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8"/>
                <w:szCs w:val="18"/>
                <w:color w:val="auto"/>
              </w:rPr>
              <w:t>Pension and other post-retirement benefit plans:</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2"/>
              </w:rPr>
              <w:t>Amortization of actuarial losses included in net periodic pension</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cost</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460"/>
              <w:spacing w:after="0" w:line="176" w:lineRule="exact"/>
              <w:rPr>
                <w:sz w:val="20"/>
                <w:szCs w:val="20"/>
                <w:color w:val="auto"/>
              </w:rPr>
            </w:pPr>
            <w:r>
              <w:rPr>
                <w:rFonts w:ascii="Arial" w:cs="Arial" w:eastAsia="Arial" w:hAnsi="Arial"/>
                <w:sz w:val="18"/>
                <w:szCs w:val="18"/>
                <w:color w:val="auto"/>
              </w:rPr>
              <w:t>Amortization of prior service costs included in net periodic</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pension cost</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1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Total pension and other post-retirement benefit plans (net of $(771),</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$(421), $(2,320), $(1,408) tax provision, respectively)</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Arial" w:cs="Arial" w:eastAsia="Arial" w:hAnsi="Arial"/>
                <w:sz w:val="18"/>
                <w:szCs w:val="18"/>
                <w:color w:val="auto"/>
              </w:rPr>
              <w:t>Changes in fair value of cash flow hedges:</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Unrealized net (losses) gains arising during period</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(gains) losses reclassified into earnings</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155"/>
        </w:trPr>
        <w:tc>
          <w:tcPr>
            <w:tcW w:w="51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Total cash flow hedges (net of $122, $139, $(302), $896 tax benefit</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respectively)</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earnings, net of tax</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(16,689)</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earnings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752,222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484,656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10"/>
        </w:trPr>
        <w:tc>
          <w:tcPr>
            <w:tcW w:w="7160" w:type="dxa"/>
            <w:vAlign w:val="bottom"/>
            <w:tcBorders>
              <w:top w:val="single" w:sz="8" w:color="CCEEFF"/>
            </w:tcBorders>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513,075</w:t>
            </w:r>
          </w:p>
        </w:tc>
      </w:tr>
      <w:tr>
        <w:trPr>
          <w:trHeight w:val="230"/>
        </w:trPr>
        <w:tc>
          <w:tcPr>
            <w:tcW w:w="7160" w:type="dxa"/>
            <w:vAlign w:val="bottom"/>
          </w:tcPr>
          <w:p>
            <w:pPr>
              <w:ind w:left="460"/>
              <w:spacing w:after="0"/>
              <w:rPr>
                <w:sz w:val="20"/>
                <w:szCs w:val="20"/>
                <w:color w:val="auto"/>
              </w:rPr>
            </w:pPr>
            <w:r>
              <w:rPr>
                <w:rFonts w:ascii="Arial" w:cs="Arial" w:eastAsia="Arial" w:hAnsi="Arial"/>
                <w:sz w:val="18"/>
                <w:szCs w:val="18"/>
                <w:color w:val="auto"/>
              </w:rPr>
              <w:t>Receivables, net of allowances of $41,598 and $40,474</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1,351,144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1,137,223</w:t>
            </w:r>
          </w:p>
        </w:tc>
      </w:tr>
      <w:tr>
        <w:trPr>
          <w:trHeight w:val="229"/>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1,055,831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835,804</w:t>
            </w:r>
          </w:p>
        </w:tc>
      </w:tr>
      <w:tr>
        <w:trPr>
          <w:trHeight w:val="230"/>
        </w:trPr>
        <w:tc>
          <w:tcPr>
            <w:tcW w:w="7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133,085</w:t>
            </w:r>
          </w:p>
        </w:tc>
      </w:tr>
      <w:tr>
        <w:trPr>
          <w:trHeight w:val="223"/>
        </w:trPr>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3,299,415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2,619,187</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906,268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897,326</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4,153,846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4,072,542</w:t>
            </w: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1,036,085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1,083,772</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 and deferred charges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507,369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479,247</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9,902,983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9,152,074</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29"/>
        </w:trPr>
        <w:tc>
          <w:tcPr>
            <w:tcW w:w="7160" w:type="dxa"/>
            <w:vAlign w:val="bottom"/>
          </w:tcPr>
          <w:p>
            <w:pPr>
              <w:ind w:left="4220"/>
              <w:spacing w:after="0"/>
              <w:rPr>
                <w:sz w:val="20"/>
                <w:szCs w:val="20"/>
                <w:color w:val="auto"/>
              </w:rPr>
            </w:pPr>
            <w:r>
              <w:rPr>
                <w:rFonts w:ascii="Arial" w:cs="Arial" w:eastAsia="Arial" w:hAnsi="Arial"/>
                <w:sz w:val="18"/>
                <w:szCs w:val="18"/>
                <w:b w:val="1"/>
                <w:bCs w:val="1"/>
                <w:color w:val="auto"/>
                <w:w w:val="96"/>
              </w:rPr>
              <w:t>Liabilities and Stockholders' Equity</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16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1,047,824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853,942</w:t>
            </w:r>
          </w:p>
        </w:tc>
      </w:tr>
      <w:tr>
        <w:trPr>
          <w:trHeight w:val="229"/>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compensation and employee benefits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239,750</w:t>
            </w:r>
          </w:p>
        </w:tc>
      </w:tr>
      <w:tr>
        <w:trPr>
          <w:trHeight w:val="230"/>
        </w:trPr>
        <w:tc>
          <w:tcPr>
            <w:tcW w:w="716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195,509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184,845</w:t>
            </w:r>
          </w:p>
        </w:tc>
      </w:tr>
      <w:tr>
        <w:trPr>
          <w:trHeight w:val="229"/>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insurance</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98,954</w:t>
            </w:r>
          </w:p>
        </w:tc>
      </w:tr>
      <w:tr>
        <w:trPr>
          <w:trHeight w:val="230"/>
        </w:trPr>
        <w:tc>
          <w:tcPr>
            <w:tcW w:w="7160" w:type="dxa"/>
            <w:vAlign w:val="bottom"/>
          </w:tcPr>
          <w:p>
            <w:pPr>
              <w:ind w:left="460"/>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350,222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343,637</w:t>
            </w:r>
          </w:p>
        </w:tc>
      </w:tr>
      <w:tr>
        <w:trPr>
          <w:trHeight w:val="230"/>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Federal and other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17,670</w:t>
            </w:r>
          </w:p>
        </w:tc>
      </w:tr>
      <w:tr>
        <w:trPr>
          <w:trHeight w:val="223"/>
        </w:trPr>
        <w:tc>
          <w:tcPr>
            <w:tcW w:w="71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2,005,881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1,738,798</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3,060,184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3,108,829</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321,610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298,423</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income tax payable</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49,937</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575,114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570,314</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3,891,818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3,385,773</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9,902,983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9,152,074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89"/>
              </w:rPr>
              <w:t>Common stock</w:t>
            </w:r>
          </w:p>
        </w:tc>
        <w:tc>
          <w:tcPr>
            <w:tcW w:w="20" w:type="dxa"/>
            <w:vAlign w:val="bottom"/>
          </w:tcPr>
          <w:p>
            <w:pPr>
              <w:spacing w:after="0"/>
              <w:rPr>
                <w:sz w:val="16"/>
                <w:szCs w:val="16"/>
                <w:color w:val="auto"/>
              </w:rPr>
            </w:pPr>
          </w:p>
        </w:tc>
        <w:tc>
          <w:tcPr>
            <w:tcW w:w="116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94"/>
              </w:rPr>
              <w:t>Additional paid-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Retained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3"/>
              </w:rPr>
              <w:t>Accumulated other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w w:val="96"/>
              </w:rPr>
              <w:t>Treasury stock</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2"/>
              </w:rPr>
              <w:t>$1 par value</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5"/>
              </w:rPr>
              <w:t>in capital</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earnings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88"/>
              </w:rPr>
              <w:t>comprehensive loss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equity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259,371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853,887</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8,962,863</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(138,059)</w:t>
            </w:r>
          </w:p>
        </w:tc>
        <w:tc>
          <w:tcPr>
            <w:tcW w:w="3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2"/>
              </w:rPr>
              <w:t>(6,218,758)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3,719,304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263,756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263,756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($0.50 per share)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93"/>
              </w:rPr>
              <w:t>(72,107)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180" w:type="dxa"/>
            <w:vAlign w:val="bottom"/>
          </w:tcPr>
          <w:p>
            <w:pPr>
              <w:ind w:left="20"/>
              <w:spacing w:after="0" w:line="166" w:lineRule="exact"/>
              <w:rPr>
                <w:sz w:val="20"/>
                <w:szCs w:val="20"/>
                <w:color w:val="auto"/>
              </w:rPr>
            </w:pPr>
            <w:r>
              <w:rPr>
                <w:rFonts w:ascii="Arial" w:cs="Arial" w:eastAsia="Arial" w:hAnsi="Arial"/>
                <w:sz w:val="16"/>
                <w:szCs w:val="16"/>
                <w:color w:val="auto"/>
                <w:w w:val="92"/>
              </w:rPr>
              <w:t>Common stock issued for the exercise of share-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(1,795)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(1,770)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80" w:type="dxa"/>
            <w:vAlign w:val="bottom"/>
          </w:tcPr>
          <w:p>
            <w:pPr>
              <w:ind w:left="20"/>
              <w:spacing w:after="0"/>
              <w:rPr>
                <w:sz w:val="20"/>
                <w:szCs w:val="20"/>
                <w:color w:val="auto"/>
              </w:rPr>
            </w:pPr>
            <w:r>
              <w:rPr>
                <w:rFonts w:ascii="Arial" w:cs="Arial" w:eastAsia="Arial" w:hAnsi="Arial"/>
                <w:sz w:val="16"/>
                <w:szCs w:val="16"/>
                <w:color w:val="auto"/>
              </w:rPr>
              <w:t>based awards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(24,006)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259,396</w:t>
            </w:r>
          </w:p>
        </w:tc>
        <w:tc>
          <w:tcPr>
            <w:tcW w:w="1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858,733</w:t>
            </w:r>
          </w:p>
        </w:tc>
        <w:tc>
          <w:tcPr>
            <w:tcW w:w="20" w:type="dxa"/>
            <w:vAlign w:val="bottom"/>
          </w:tcPr>
          <w:p>
            <w:pPr>
              <w:spacing w:after="0"/>
              <w:rPr>
                <w:sz w:val="18"/>
                <w:szCs w:val="18"/>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9,154,512</w:t>
            </w:r>
          </w:p>
        </w:tc>
        <w:tc>
          <w:tcPr>
            <w:tcW w:w="40" w:type="dxa"/>
            <w:vAlign w:val="bottom"/>
          </w:tcPr>
          <w:p>
            <w:pPr>
              <w:spacing w:after="0"/>
              <w:rPr>
                <w:sz w:val="18"/>
                <w:szCs w:val="18"/>
                <w:color w:val="auto"/>
              </w:rPr>
            </w:pPr>
          </w:p>
        </w:tc>
        <w:tc>
          <w:tcPr>
            <w:tcW w:w="24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(162,065)</w:t>
            </w:r>
          </w:p>
        </w:tc>
        <w:tc>
          <w:tcPr>
            <w:tcW w:w="34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180"/>
              <w:spacing w:after="0"/>
              <w:rPr>
                <w:sz w:val="20"/>
                <w:szCs w:val="20"/>
                <w:color w:val="auto"/>
              </w:rPr>
            </w:pPr>
            <w:r>
              <w:rPr>
                <w:rFonts w:ascii="Arial" w:cs="Arial" w:eastAsia="Arial" w:hAnsi="Arial"/>
                <w:sz w:val="16"/>
                <w:szCs w:val="16"/>
                <w:color w:val="auto"/>
                <w:w w:val="92"/>
              </w:rPr>
              <w:t>(6,218,758)</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3,891,818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9"/>
              </w:rPr>
              <w:t>Common stock</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Accumulated other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vMerge w:val="restart"/>
          </w:tcPr>
          <w:p>
            <w:pPr>
              <w:jc w:val="center"/>
              <w:ind w:right="20"/>
              <w:spacing w:after="0"/>
              <w:rPr>
                <w:sz w:val="20"/>
                <w:szCs w:val="20"/>
                <w:color w:val="auto"/>
              </w:rPr>
            </w:pPr>
            <w:r>
              <w:rPr>
                <w:rFonts w:ascii="Arial" w:cs="Arial" w:eastAsia="Arial" w:hAnsi="Arial"/>
                <w:sz w:val="16"/>
                <w:szCs w:val="16"/>
                <w:b w:val="1"/>
                <w:bCs w:val="1"/>
                <w:color w:val="auto"/>
                <w:w w:val="88"/>
              </w:rPr>
              <w:t>Total stockholders'</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4"/>
              </w:rPr>
              <w:t>Treasury stock</w:t>
            </w:r>
          </w:p>
        </w:tc>
        <w:tc>
          <w:tcPr>
            <w:tcW w:w="4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$1 par value</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paid-in capital</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earnings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(loss) earnings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258,768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869,526</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8,368,620</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(263,629)</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(6,143,758)</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200,300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200,300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($0.495 per share)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(71,458)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(71,458)</w:t>
            </w:r>
          </w:p>
        </w:tc>
        <w:tc>
          <w:tcPr>
            <w:tcW w:w="0" w:type="dxa"/>
            <w:vAlign w:val="bottom"/>
          </w:tcPr>
          <w:p>
            <w:pPr>
              <w:spacing w:after="0"/>
              <w:rPr>
                <w:sz w:val="1"/>
                <w:szCs w:val="1"/>
                <w:color w:val="auto"/>
              </w:rPr>
            </w:pPr>
          </w:p>
        </w:tc>
      </w:tr>
      <w:tr>
        <w:trPr>
          <w:trHeight w:val="166"/>
        </w:trPr>
        <w:tc>
          <w:tcPr>
            <w:tcW w:w="3180" w:type="dxa"/>
            <w:vAlign w:val="bottom"/>
          </w:tcPr>
          <w:p>
            <w:pPr>
              <w:ind w:left="20"/>
              <w:spacing w:after="0" w:line="166" w:lineRule="exact"/>
              <w:rPr>
                <w:sz w:val="20"/>
                <w:szCs w:val="20"/>
                <w:color w:val="auto"/>
              </w:rPr>
            </w:pPr>
            <w:r>
              <w:rPr>
                <w:rFonts w:ascii="Arial" w:cs="Arial" w:eastAsia="Arial" w:hAnsi="Arial"/>
                <w:sz w:val="16"/>
                <w:szCs w:val="16"/>
                <w:color w:val="auto"/>
                <w:w w:val="92"/>
              </w:rPr>
              <w:t>Common stock issued for the exercise of share-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(10,358)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(10,233)</w:t>
            </w:r>
          </w:p>
        </w:tc>
        <w:tc>
          <w:tcPr>
            <w:tcW w:w="0" w:type="dxa"/>
            <w:vAlign w:val="bottom"/>
          </w:tcPr>
          <w:p>
            <w:pPr>
              <w:spacing w:after="0"/>
              <w:rPr>
                <w:sz w:val="1"/>
                <w:szCs w:val="1"/>
                <w:color w:val="auto"/>
              </w:rPr>
            </w:pPr>
          </w:p>
        </w:tc>
      </w:tr>
      <w:tr>
        <w:trPr>
          <w:trHeight w:val="209"/>
        </w:trPr>
        <w:tc>
          <w:tcPr>
            <w:tcW w:w="3180" w:type="dxa"/>
            <w:vAlign w:val="bottom"/>
          </w:tcPr>
          <w:p>
            <w:pPr>
              <w:ind w:left="20"/>
              <w:spacing w:after="0"/>
              <w:rPr>
                <w:sz w:val="20"/>
                <w:szCs w:val="20"/>
                <w:color w:val="auto"/>
              </w:rPr>
            </w:pPr>
            <w:r>
              <w:rPr>
                <w:rFonts w:ascii="Arial" w:cs="Arial" w:eastAsia="Arial" w:hAnsi="Arial"/>
                <w:sz w:val="16"/>
                <w:szCs w:val="16"/>
                <w:color w:val="auto"/>
              </w:rPr>
              <w:t>based awards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earnings, net of tax</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30,914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30,914</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258,893</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866,539</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8,497,462</w:t>
            </w:r>
          </w:p>
        </w:tc>
        <w:tc>
          <w:tcPr>
            <w:tcW w:w="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(232,715)</w:t>
            </w: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(6,143,758)</w:t>
            </w:r>
          </w:p>
        </w:tc>
        <w:tc>
          <w:tcPr>
            <w:tcW w:w="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3,246,421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Common stock</w:t>
            </w:r>
          </w:p>
        </w:tc>
        <w:tc>
          <w:tcPr>
            <w:tcW w:w="13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Additional paid-</w:t>
            </w:r>
          </w:p>
        </w:tc>
        <w:tc>
          <w:tcPr>
            <w:tcW w:w="180" w:type="dxa"/>
            <w:vAlign w:val="bottom"/>
          </w:tcPr>
          <w:p>
            <w:pPr>
              <w:spacing w:after="0"/>
              <w:rPr>
                <w:sz w:val="16"/>
                <w:szCs w:val="16"/>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Retained</w:t>
            </w:r>
          </w:p>
        </w:tc>
        <w:tc>
          <w:tcPr>
            <w:tcW w:w="15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Accumulated other</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Treasury stock</w:t>
            </w:r>
          </w:p>
        </w:tc>
        <w:tc>
          <w:tcPr>
            <w:tcW w:w="16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in capital</w:t>
            </w:r>
          </w:p>
        </w:tc>
        <w:tc>
          <w:tcPr>
            <w:tcW w:w="1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comprehensive loss</w:t>
            </w:r>
          </w:p>
        </w:tc>
        <w:tc>
          <w:tcPr>
            <w:tcW w:w="12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212"/>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258,982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868,882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8,608,284</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(153,254)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(6,197,121)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3,385,773</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761,033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761,033</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($1.49 per share)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(214,805)</w:t>
            </w:r>
          </w:p>
        </w:tc>
        <w:tc>
          <w:tcPr>
            <w:tcW w:w="0" w:type="dxa"/>
            <w:vAlign w:val="bottom"/>
          </w:tcPr>
          <w:p>
            <w:pPr>
              <w:spacing w:after="0"/>
              <w:rPr>
                <w:sz w:val="1"/>
                <w:szCs w:val="1"/>
                <w:color w:val="auto"/>
              </w:rPr>
            </w:pPr>
          </w:p>
        </w:tc>
      </w:tr>
      <w:tr>
        <w:trPr>
          <w:trHeight w:val="166"/>
        </w:trPr>
        <w:tc>
          <w:tcPr>
            <w:tcW w:w="3160" w:type="dxa"/>
            <w:vAlign w:val="bottom"/>
          </w:tcPr>
          <w:p>
            <w:pPr>
              <w:ind w:left="20"/>
              <w:spacing w:after="0" w:line="166" w:lineRule="exact"/>
              <w:rPr>
                <w:sz w:val="20"/>
                <w:szCs w:val="20"/>
                <w:color w:val="auto"/>
              </w:rPr>
            </w:pPr>
            <w:r>
              <w:rPr>
                <w:rFonts w:ascii="Arial" w:cs="Arial" w:eastAsia="Arial" w:hAnsi="Arial"/>
                <w:sz w:val="16"/>
                <w:szCs w:val="16"/>
                <w:color w:val="auto"/>
                <w:w w:val="92"/>
              </w:rPr>
              <w:t>Common stock issued for the exercise of share-</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(35,252)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112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(34,838)</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Arial" w:cs="Arial" w:eastAsia="Arial" w:hAnsi="Arial"/>
                <w:sz w:val="16"/>
                <w:szCs w:val="16"/>
                <w:color w:val="auto"/>
              </w:rPr>
              <w:t>based awards</w:t>
            </w: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25,053</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Common stock acquired</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(21,637)</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(8,811)</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7"/>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259,396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858,733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9,154,512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(6,218,758)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3,891,818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rPr>
              <w:t>Accumulated other</w:t>
            </w:r>
          </w:p>
        </w:tc>
        <w:tc>
          <w:tcPr>
            <w:tcW w:w="13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Treasury stock</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Total stockholders'</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paid-in capital</w:t>
            </w:r>
          </w:p>
        </w:tc>
        <w:tc>
          <w:tcPr>
            <w:tcW w:w="1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4"/>
              </w:rPr>
              <w:t>comprehensive loss</w:t>
            </w:r>
          </w:p>
        </w:tc>
        <w:tc>
          <w:tcPr>
            <w:tcW w:w="130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2"/>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258,552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869,719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8,211,257</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(216,026)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(6,090,842)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3,032,660</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6"/>
                <w:szCs w:val="16"/>
                <w:color w:val="auto"/>
              </w:rPr>
              <w:t>Adoption of ASU 2016-13</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501,345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501,345</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6"/>
                <w:szCs w:val="16"/>
                <w:color w:val="auto"/>
              </w:rPr>
              <w:t>Dividends paid ($1.475 per share)</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(213,028)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(213,028)</w:t>
            </w:r>
          </w:p>
        </w:tc>
        <w:tc>
          <w:tcPr>
            <w:tcW w:w="0" w:type="dxa"/>
            <w:vAlign w:val="bottom"/>
          </w:tcPr>
          <w:p>
            <w:pPr>
              <w:spacing w:after="0"/>
              <w:rPr>
                <w:sz w:val="1"/>
                <w:szCs w:val="1"/>
                <w:color w:val="auto"/>
              </w:rPr>
            </w:pPr>
          </w:p>
        </w:tc>
      </w:tr>
      <w:tr>
        <w:trPr>
          <w:trHeight w:val="166"/>
        </w:trPr>
        <w:tc>
          <w:tcPr>
            <w:tcW w:w="318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2"/>
              </w:rPr>
              <w:t>Common stock issued for the exercise of share-</w:t>
            </w: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(21,791)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(21,450)</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based awards</w:t>
            </w: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15,591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acquired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(52,916)</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(16,689)</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w:t>
            </w: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258,893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866,539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8,497,462</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(232,715)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(6,143,758)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3,246,421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8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761,033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501,345</w:t>
            </w:r>
          </w:p>
        </w:tc>
      </w:tr>
      <w:tr>
        <w:trPr>
          <w:trHeight w:val="229"/>
        </w:trPr>
        <w:tc>
          <w:tcPr>
            <w:tcW w:w="8260" w:type="dxa"/>
            <w:vAlign w:val="bottom"/>
            <w:shd w:val="clear" w:color="auto" w:fill="BFE4FF"/>
          </w:tcPr>
          <w:p>
            <w:pPr>
              <w:ind w:left="20"/>
              <w:spacing w:after="0"/>
              <w:rPr>
                <w:sz w:val="20"/>
                <w:szCs w:val="20"/>
                <w:color w:val="auto"/>
              </w:rPr>
            </w:pPr>
            <w:r>
              <w:rPr>
                <w:rFonts w:ascii="Arial" w:cs="Arial" w:eastAsia="Arial" w:hAnsi="Arial"/>
                <w:sz w:val="18"/>
                <w:szCs w:val="18"/>
                <w:color w:val="auto"/>
              </w:rPr>
              <w:t>Adjustments to reconcile net earnings to cash from operating activities:</w:t>
            </w:r>
          </w:p>
        </w:tc>
        <w:tc>
          <w:tcPr>
            <w:tcW w:w="140" w:type="dxa"/>
            <w:vAlign w:val="bottom"/>
            <w:shd w:val="clear" w:color="auto" w:fill="BFE4FF"/>
          </w:tcPr>
          <w:p>
            <w:pPr>
              <w:spacing w:after="0"/>
              <w:rPr>
                <w:sz w:val="19"/>
                <w:szCs w:val="19"/>
                <w:color w:val="auto"/>
              </w:rPr>
            </w:pPr>
          </w:p>
        </w:tc>
        <w:tc>
          <w:tcPr>
            <w:tcW w:w="13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00" w:type="dxa"/>
            <w:vAlign w:val="bottom"/>
            <w:shd w:val="clear" w:color="auto" w:fill="BFE4FF"/>
          </w:tcPr>
          <w:p>
            <w:pPr>
              <w:spacing w:after="0"/>
              <w:rPr>
                <w:sz w:val="19"/>
                <w:szCs w:val="19"/>
                <w:color w:val="auto"/>
              </w:rPr>
            </w:pPr>
          </w:p>
        </w:tc>
      </w:tr>
      <w:tr>
        <w:trPr>
          <w:trHeight w:val="230"/>
        </w:trPr>
        <w:tc>
          <w:tcPr>
            <w:tcW w:w="826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205,844</w:t>
            </w:r>
          </w:p>
        </w:tc>
      </w:tr>
      <w:tr>
        <w:trPr>
          <w:trHeight w:val="229"/>
        </w:trPr>
        <w:tc>
          <w:tcPr>
            <w:tcW w:w="8260" w:type="dxa"/>
            <w:vAlign w:val="bottom"/>
            <w:shd w:val="clear" w:color="auto" w:fill="BFE4FF"/>
          </w:tcPr>
          <w:p>
            <w:pPr>
              <w:ind w:left="6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25,053</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15,591</w:t>
            </w:r>
          </w:p>
        </w:tc>
      </w:tr>
      <w:tr>
        <w:trPr>
          <w:trHeight w:val="229"/>
        </w:trPr>
        <w:tc>
          <w:tcPr>
            <w:tcW w:w="8260" w:type="dxa"/>
            <w:vAlign w:val="bottom"/>
          </w:tcPr>
          <w:p>
            <w:pPr>
              <w:ind w:left="680"/>
              <w:spacing w:after="0"/>
              <w:rPr>
                <w:sz w:val="20"/>
                <w:szCs w:val="20"/>
                <w:color w:val="auto"/>
              </w:rPr>
            </w:pPr>
            <w:r>
              <w:rPr>
                <w:rFonts w:ascii="Arial" w:cs="Arial" w:eastAsia="Arial" w:hAnsi="Arial"/>
                <w:sz w:val="18"/>
                <w:szCs w:val="18"/>
                <w:color w:val="auto"/>
              </w:rPr>
              <w:t>Gain on sale of a business</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(5,213)</w:t>
            </w:r>
          </w:p>
        </w:tc>
      </w:tr>
      <w:tr>
        <w:trPr>
          <w:trHeight w:val="230"/>
        </w:trPr>
        <w:tc>
          <w:tcPr>
            <w:tcW w:w="8260" w:type="dxa"/>
            <w:vAlign w:val="bottom"/>
            <w:shd w:val="clear" w:color="auto" w:fill="BFE4FF"/>
          </w:tcPr>
          <w:p>
            <w:pPr>
              <w:ind w:left="68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(11,969)</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(7,731)</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Cash effect of changes in assets and liabilities: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BFE4FF"/>
          </w:tcPr>
          <w:p>
            <w:pPr>
              <w:ind w:left="68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(222,521)</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31,631</w:t>
            </w:r>
          </w:p>
        </w:tc>
      </w:tr>
      <w:tr>
        <w:trPr>
          <w:trHeight w:val="229"/>
        </w:trPr>
        <w:tc>
          <w:tcPr>
            <w:tcW w:w="826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(225,522)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(19,360)</w:t>
            </w:r>
          </w:p>
        </w:tc>
      </w:tr>
      <w:tr>
        <w:trPr>
          <w:trHeight w:val="229"/>
        </w:trPr>
        <w:tc>
          <w:tcPr>
            <w:tcW w:w="8260" w:type="dxa"/>
            <w:vAlign w:val="bottom"/>
            <w:shd w:val="clear" w:color="auto" w:fill="BFE4FF"/>
          </w:tcPr>
          <w:p>
            <w:pPr>
              <w:ind w:left="6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(38,290)</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(24,198)</w:t>
            </w:r>
          </w:p>
        </w:tc>
      </w:tr>
      <w:tr>
        <w:trPr>
          <w:trHeight w:val="230"/>
        </w:trPr>
        <w:tc>
          <w:tcPr>
            <w:tcW w:w="8260" w:type="dxa"/>
            <w:vAlign w:val="bottom"/>
          </w:tcPr>
          <w:p>
            <w:pPr>
              <w:ind w:left="68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199,877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(104,571)</w:t>
            </w:r>
          </w:p>
        </w:tc>
      </w:tr>
      <w:tr>
        <w:trPr>
          <w:trHeight w:val="229"/>
        </w:trPr>
        <w:tc>
          <w:tcPr>
            <w:tcW w:w="8260" w:type="dxa"/>
            <w:vAlign w:val="bottom"/>
            <w:shd w:val="clear" w:color="auto" w:fill="BFE4FF"/>
          </w:tcPr>
          <w:p>
            <w:pPr>
              <w:ind w:left="680"/>
              <w:spacing w:after="0"/>
              <w:rPr>
                <w:sz w:val="20"/>
                <w:szCs w:val="20"/>
                <w:color w:val="auto"/>
              </w:rPr>
            </w:pPr>
            <w:r>
              <w:rPr>
                <w:rFonts w:ascii="Arial" w:cs="Arial" w:eastAsia="Arial" w:hAnsi="Arial"/>
                <w:sz w:val="18"/>
                <w:szCs w:val="18"/>
                <w:color w:val="auto"/>
              </w:rPr>
              <w:t>Accrued compensation and employee benefits</w:t>
            </w:r>
          </w:p>
        </w:tc>
        <w:tc>
          <w:tcPr>
            <w:tcW w:w="14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32,284</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(13,136)</w:t>
            </w:r>
          </w:p>
        </w:tc>
      </w:tr>
      <w:tr>
        <w:trPr>
          <w:trHeight w:val="229"/>
        </w:trPr>
        <w:tc>
          <w:tcPr>
            <w:tcW w:w="8260" w:type="dxa"/>
            <w:vAlign w:val="bottom"/>
          </w:tcPr>
          <w:p>
            <w:pPr>
              <w:ind w:left="68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131,279</w:t>
            </w:r>
          </w:p>
        </w:tc>
      </w:tr>
      <w:tr>
        <w:trPr>
          <w:trHeight w:val="230"/>
        </w:trPr>
        <w:tc>
          <w:tcPr>
            <w:tcW w:w="8260" w:type="dxa"/>
            <w:vAlign w:val="bottom"/>
            <w:shd w:val="clear" w:color="auto" w:fill="BFE4FF"/>
          </w:tcPr>
          <w:p>
            <w:pPr>
              <w:ind w:left="680"/>
              <w:spacing w:after="0"/>
              <w:rPr>
                <w:sz w:val="20"/>
                <w:szCs w:val="20"/>
                <w:color w:val="auto"/>
              </w:rPr>
            </w:pPr>
            <w:r>
              <w:rPr>
                <w:rFonts w:ascii="Arial" w:cs="Arial" w:eastAsia="Arial" w:hAnsi="Arial"/>
                <w:sz w:val="18"/>
                <w:szCs w:val="18"/>
                <w:color w:val="auto"/>
              </w:rPr>
              <w:t>Accrued and deferred taxes, net</w:t>
            </w:r>
          </w:p>
        </w:tc>
        <w:tc>
          <w:tcPr>
            <w:tcW w:w="140" w:type="dxa"/>
            <w:vAlign w:val="bottom"/>
            <w:tcBorders>
              <w:bottom w:val="single" w:sz="8" w:color="auto"/>
            </w:tcBorders>
            <w:shd w:val="clear" w:color="auto" w:fill="BFE4FF"/>
          </w:tcPr>
          <w:p>
            <w:pPr>
              <w:spacing w:after="0"/>
              <w:rPr>
                <w:sz w:val="19"/>
                <w:szCs w:val="19"/>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8,321</w:t>
            </w:r>
          </w:p>
        </w:tc>
        <w:tc>
          <w:tcPr>
            <w:tcW w:w="10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(24,562)</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788,586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686,919</w:t>
            </w:r>
          </w:p>
        </w:tc>
      </w:tr>
      <w:tr>
        <w:trPr>
          <w:trHeight w:val="230"/>
        </w:trPr>
        <w:tc>
          <w:tcPr>
            <w:tcW w:w="826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shd w:val="clear" w:color="auto" w:fill="BFE4FF"/>
          </w:tcPr>
          <w:p>
            <w:pPr>
              <w:spacing w:after="0"/>
              <w:rPr>
                <w:sz w:val="19"/>
                <w:szCs w:val="19"/>
                <w:color w:val="auto"/>
              </w:rPr>
            </w:pPr>
          </w:p>
        </w:tc>
        <w:tc>
          <w:tcPr>
            <w:tcW w:w="13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00" w:type="dxa"/>
            <w:vAlign w:val="bottom"/>
            <w:shd w:val="clear" w:color="auto" w:fill="BFE4FF"/>
          </w:tcPr>
          <w:p>
            <w:pPr>
              <w:spacing w:after="0"/>
              <w:rPr>
                <w:sz w:val="19"/>
                <w:szCs w:val="19"/>
                <w:color w:val="auto"/>
              </w:rPr>
            </w:pPr>
          </w:p>
        </w:tc>
      </w:tr>
      <w:tr>
        <w:trPr>
          <w:trHeight w:val="229"/>
        </w:trPr>
        <w:tc>
          <w:tcPr>
            <w:tcW w:w="8260" w:type="dxa"/>
            <w:vAlign w:val="bottom"/>
          </w:tcPr>
          <w:p>
            <w:pPr>
              <w:ind w:left="68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(123,564)</w:t>
            </w:r>
          </w:p>
        </w:tc>
      </w:tr>
      <w:tr>
        <w:trPr>
          <w:trHeight w:val="230"/>
        </w:trPr>
        <w:tc>
          <w:tcPr>
            <w:tcW w:w="8260" w:type="dxa"/>
            <w:vAlign w:val="bottom"/>
            <w:shd w:val="clear" w:color="auto" w:fill="BFE4FF"/>
          </w:tcPr>
          <w:p>
            <w:pPr>
              <w:ind w:left="68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(171,287)</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(258,674)</w:t>
            </w:r>
          </w:p>
        </w:tc>
      </w:tr>
      <w:tr>
        <w:trPr>
          <w:trHeight w:val="230"/>
        </w:trPr>
        <w:tc>
          <w:tcPr>
            <w:tcW w:w="8260" w:type="dxa"/>
            <w:vAlign w:val="bottom"/>
          </w:tcPr>
          <w:p>
            <w:pPr>
              <w:ind w:left="680"/>
              <w:spacing w:after="0"/>
              <w:rPr>
                <w:sz w:val="20"/>
                <w:szCs w:val="20"/>
                <w:color w:val="auto"/>
              </w:rPr>
            </w:pPr>
            <w:r>
              <w:rPr>
                <w:rFonts w:ascii="Arial" w:cs="Arial" w:eastAsia="Arial" w:hAnsi="Arial"/>
                <w:sz w:val="18"/>
                <w:szCs w:val="18"/>
                <w:color w:val="auto"/>
              </w:rPr>
              <w:t>Proceeds from sale of property, plant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5,090</w:t>
            </w:r>
          </w:p>
        </w:tc>
      </w:tr>
      <w:tr>
        <w:trPr>
          <w:trHeight w:val="230"/>
        </w:trPr>
        <w:tc>
          <w:tcPr>
            <w:tcW w:w="8260" w:type="dxa"/>
            <w:vAlign w:val="bottom"/>
            <w:shd w:val="clear" w:color="auto" w:fill="BFE4FF"/>
          </w:tcPr>
          <w:p>
            <w:pPr>
              <w:ind w:left="680"/>
              <w:spacing w:after="0"/>
              <w:rPr>
                <w:sz w:val="20"/>
                <w:szCs w:val="20"/>
                <w:color w:val="auto"/>
              </w:rPr>
            </w:pPr>
            <w:r>
              <w:rPr>
                <w:rFonts w:ascii="Arial" w:cs="Arial" w:eastAsia="Arial" w:hAnsi="Arial"/>
                <w:sz w:val="18"/>
                <w:szCs w:val="18"/>
                <w:color w:val="auto"/>
              </w:rPr>
              <w:t>Proceeds from sale of businesses</w:t>
            </w:r>
          </w:p>
        </w:tc>
        <w:tc>
          <w:tcPr>
            <w:tcW w:w="140" w:type="dxa"/>
            <w:vAlign w:val="bottom"/>
            <w:shd w:val="clear" w:color="auto" w:fill="BFE4FF"/>
          </w:tcPr>
          <w:p>
            <w:pPr>
              <w:spacing w:after="0"/>
              <w:rPr>
                <w:sz w:val="19"/>
                <w:szCs w:val="19"/>
                <w:color w:val="auto"/>
              </w:rPr>
            </w:pPr>
          </w:p>
        </w:tc>
        <w:tc>
          <w:tcPr>
            <w:tcW w:w="140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15,400</w:t>
            </w:r>
          </w:p>
        </w:tc>
      </w:tr>
      <w:tr>
        <w:trPr>
          <w:trHeight w:val="229"/>
        </w:trPr>
        <w:tc>
          <w:tcPr>
            <w:tcW w:w="8260" w:type="dxa"/>
            <w:vAlign w:val="bottom"/>
            <w:tcBorders>
              <w:bottom w:val="single" w:sz="8" w:color="BFE4FF"/>
            </w:tcBorders>
          </w:tcPr>
          <w:p>
            <w:pPr>
              <w:ind w:left="6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r>
      <w:tr>
        <w:trPr>
          <w:trHeight w:val="223"/>
        </w:trPr>
        <w:tc>
          <w:tcPr>
            <w:tcW w:w="826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(286,642)</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(362,998)</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BFE4FF"/>
          </w:tcPr>
          <w:p>
            <w:pPr>
              <w:ind w:left="68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(21,637)</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(52,916)</w:t>
            </w:r>
          </w:p>
        </w:tc>
      </w:tr>
      <w:tr>
        <w:trPr>
          <w:trHeight w:val="230"/>
        </w:trPr>
        <w:tc>
          <w:tcPr>
            <w:tcW w:w="8260" w:type="dxa"/>
            <w:vAlign w:val="bottom"/>
          </w:tcPr>
          <w:p>
            <w:pPr>
              <w:ind w:left="680"/>
              <w:spacing w:after="0"/>
              <w:rPr>
                <w:sz w:val="20"/>
                <w:szCs w:val="20"/>
                <w:color w:val="auto"/>
              </w:rPr>
            </w:pPr>
            <w:r>
              <w:rPr>
                <w:rFonts w:ascii="Arial" w:cs="Arial" w:eastAsia="Arial" w:hAnsi="Arial"/>
                <w:sz w:val="18"/>
                <w:szCs w:val="18"/>
                <w:color w:val="auto"/>
              </w:rPr>
              <w:t>Change in notes payable</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5,811</w:t>
            </w:r>
          </w:p>
        </w:tc>
      </w:tr>
      <w:tr>
        <w:trPr>
          <w:trHeight w:val="229"/>
        </w:trPr>
        <w:tc>
          <w:tcPr>
            <w:tcW w:w="8260" w:type="dxa"/>
            <w:vAlign w:val="bottom"/>
            <w:shd w:val="clear" w:color="auto" w:fill="BFE4FF"/>
          </w:tcPr>
          <w:p>
            <w:pPr>
              <w:ind w:left="680"/>
              <w:spacing w:after="0"/>
              <w:rPr>
                <w:sz w:val="20"/>
                <w:szCs w:val="20"/>
                <w:color w:val="auto"/>
              </w:rPr>
            </w:pPr>
            <w:r>
              <w:rPr>
                <w:rFonts w:ascii="Arial" w:cs="Arial" w:eastAsia="Arial" w:hAnsi="Arial"/>
                <w:sz w:val="18"/>
                <w:szCs w:val="18"/>
                <w:color w:val="auto"/>
              </w:rPr>
              <w:t>Dividends paid to stockholders</w:t>
            </w:r>
          </w:p>
        </w:tc>
        <w:tc>
          <w:tcPr>
            <w:tcW w:w="14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(214,805)</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(213,028)</w:t>
            </w:r>
          </w:p>
        </w:tc>
      </w:tr>
      <w:tr>
        <w:trPr>
          <w:trHeight w:val="230"/>
        </w:trPr>
        <w:tc>
          <w:tcPr>
            <w:tcW w:w="8260" w:type="dxa"/>
            <w:vAlign w:val="bottom"/>
          </w:tcPr>
          <w:p>
            <w:pPr>
              <w:ind w:left="680"/>
              <w:spacing w:after="0"/>
              <w:rPr>
                <w:sz w:val="20"/>
                <w:szCs w:val="20"/>
                <w:color w:val="auto"/>
              </w:rPr>
            </w:pPr>
            <w:r>
              <w:rPr>
                <w:rFonts w:ascii="Arial" w:cs="Arial" w:eastAsia="Arial" w:hAnsi="Arial"/>
                <w:sz w:val="18"/>
                <w:szCs w:val="18"/>
                <w:color w:val="auto"/>
              </w:rPr>
              <w:t>Payments to settle employee tax obligations on exercise of share-based awards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(21,450)</w:t>
            </w:r>
          </w:p>
        </w:tc>
      </w:tr>
      <w:tr>
        <w:trPr>
          <w:trHeight w:val="230"/>
        </w:trPr>
        <w:tc>
          <w:tcPr>
            <w:tcW w:w="8260" w:type="dxa"/>
            <w:vAlign w:val="bottom"/>
            <w:shd w:val="clear" w:color="auto" w:fill="BFE4FF"/>
          </w:tcPr>
          <w:p>
            <w:pPr>
              <w:ind w:left="6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BFE4FF"/>
          </w:tcPr>
          <w:p>
            <w:pPr>
              <w:spacing w:after="0"/>
              <w:rPr>
                <w:sz w:val="19"/>
                <w:szCs w:val="19"/>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(3,518)</w:t>
            </w:r>
          </w:p>
        </w:tc>
        <w:tc>
          <w:tcPr>
            <w:tcW w:w="10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(1,753)</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(274,798)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(283,336)</w:t>
            </w:r>
          </w:p>
        </w:tc>
      </w:tr>
      <w:tr>
        <w:trPr>
          <w:trHeight w:val="230"/>
        </w:trPr>
        <w:tc>
          <w:tcPr>
            <w:tcW w:w="8260" w:type="dxa"/>
            <w:vAlign w:val="bottom"/>
            <w:shd w:val="clear" w:color="auto" w:fill="BFE4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auto"/>
            </w:tcBorders>
            <w:shd w:val="clear" w:color="auto" w:fill="BFE4FF"/>
          </w:tcPr>
          <w:p>
            <w:pPr>
              <w:spacing w:after="0"/>
              <w:rPr>
                <w:sz w:val="19"/>
                <w:szCs w:val="19"/>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(10,337)</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226,069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30,248</w:t>
            </w:r>
          </w:p>
        </w:tc>
      </w:tr>
      <w:tr>
        <w:trPr>
          <w:trHeight w:val="230"/>
        </w:trPr>
        <w:tc>
          <w:tcPr>
            <w:tcW w:w="8260" w:type="dxa"/>
            <w:vAlign w:val="bottom"/>
            <w:shd w:val="clear" w:color="auto" w:fill="BFE4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auto"/>
            </w:tcBorders>
            <w:shd w:val="clear" w:color="auto" w:fill="BFE4FF"/>
          </w:tcPr>
          <w:p>
            <w:pPr>
              <w:spacing w:after="0"/>
              <w:rPr>
                <w:sz w:val="19"/>
                <w:szCs w:val="19"/>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513,075</w:t>
            </w:r>
          </w:p>
        </w:tc>
        <w:tc>
          <w:tcPr>
            <w:tcW w:w="10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397,253</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739,144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427,501</w:t>
            </w:r>
          </w:p>
        </w:tc>
      </w:tr>
      <w:tr>
        <w:trPr>
          <w:trHeight w:val="20"/>
        </w:trPr>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 Basis of Presentation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2020, included in the Company's Annual Report on Form 10-K filed with the SEC on February 12, 2021. The year-end Condensed Consolidated Balance Sheet was derived from audited financial statements. Certain amounts in the prior periods have been reclassified to conform to the current year presentation.</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U.S. GAAP, which requires management to make estimates and assumptions that affect amounts reported in the Condensed Consolidated Financial Statements and accompanying disclosures. Although these estimates are based on management’s best knowledge of current events and actions that the Company may undertake in the future, actual results may differ from those estimates. The Condensed Consolidated Financial Statements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Revenue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Over 95% of the Company’s performance obligations are recognized at a point in time that relate to the manufacture and sale of a broad range of products and components. Revenue is recognized when control transfers to the customer upon shipment or completion of installation, testing, certification, or other substantive acceptance provisions required under the contract. Less than 5% of the Company’s revenue is recognized over time and relates to the sale of equipment or services in which the Company transfers control of a good or service over time and the customer simultaneously receives and consumes the benefits provided by the Company's performance as the Company performs, or our performance creates or enhances an asset the customer controls as the asset is created or enhanced, or our performance does not create an asset with an alternative use to the Company and the Company has an enforceable right to payment for its performance to date plus a reasonable margin.</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from contracts with customers is disaggregated by segment and geographic location, as they best depict the nature and amount of the Company’s revenue. See Note 17 — Segment Information for revenue by segment and geographic location.</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September 30, 2021, we estimated that $260 million in revenue is expected to be recognized in the future related to performance obligations that are unsatisfied (or partially unsatisfied) at the end of the reporting period. We expect to recognize approximately 48% of our unsatisfied (or partially unsatisfied) performance obligations as revenue through 2022, with the remaining balance to be recognized in 2023 and thereafter.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2019</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14,894</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Contract liabilities - current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195,509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184,845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104,901</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non-current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w:t>
            </w: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fourth quarter of 2020, the Company adjusted its prior year balance sheet classification and footnote disclosure related to certain upfront cash consideration received from customers that should have been classified as contract liabilities (included in deferred revenue or other liabilities) rather than customer deposits (included in accounts payable).</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revenue recognized during the nine months ended September 30, 2021 and 2020 that was included in contract liabilities at the beginning of the period, inclusive of adjustments, amounted to $155,255 and $76,766, respectively.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nine months ended September 30, 2021, the Company acquired six businesses in separate transactions for total consideration of $178,556, net of cash acquired and including contingent consideration. These businesses were acquired to complement and expand upon existing operations within the Engineered Products, Imaging &amp; Identification, Pumps &amp; Process Solutions, and Fueling Solutions segments. The goodwill recorded as a result of these acquisitions represents the economic benefits expected to be derived from product line expansions and operational synergies. Goodwill of $29,808 is deductible for income tax purposes and $81,561 is non-deductible for income tax purposes for these acquisitions.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15, 2021, the Company acquired 100% of the voting stock of The Espy Corporation ("Espy"), a manufacturer of advanced electronic radio frequency sensor systems, for $60,611, net of cash acquired. The Espy acquisition strengthens the Company's offering of complete signal intelligence systems with integrated software within the Engineered Products segment. In connection with this acquisition, the Company recorded goodwill of $29,808 and intangible assets of $20,200, primarily related to customer intangibles. The Espy acquisition will be treated as an asset acquisition for U.S. income tax purposes, classifying the goodwill and intangibles as tax deductible.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23, 2021, the Company acquired 100% of the voting stock of CDS Visual, Inc. ("CDS Visual"), a leading provider of 3D visualization solutions tailored for industrial applications, for $29,347, net of cash acquired. The CDS Visual acquisition extends the Company's reach of customer-facing digital capabilities within the Engineered Products segment. In connection with this acquisition, the Company recorded goodwill of $20,337 and intangible assets of $9,930, primarily related to technology.</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24, 2021, the Company acquired 100% of the voting stock of Blue Bite LLC ("Blue Bite"), a leading provider of consumer engagement and brand protection software solutions, for $29,035, net of cash acquired and including contingent consideration. The Blue Bite acquisition strengthens the Company's offering of product traceability and authentication solutions within the Imaging &amp; Identification segment. In connection with this acquisition, the Company recorded goodwill of $19,378 and intangible assets of $13,250, primarily related to technology.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23, 2021, the Company acquired 100% of the voting stock of Quantex Arc Limited ("Quantex"), a leading provider of single-use, recyclable pumps, for $23,896, net of cash acquired and including contingent consideration. The Quantex acquisition enhances the offering of single-use pumps for biopharma and other hygienic applications within the Pumps &amp; Process Solutions segment. In connection with this acquisition, the Company recorded goodwill of $14,476 and intangible assets of $11,034, primarily related to patented technology.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19, 2021, the Company acquired 100% of the voting stock of AvaLAN Wireless Systems, Incorporated ("AvaLAN"), a leading provider of secure wireless communications solutions for the convenience and fuel retail industry, for $34,144, net of cash acquired. The AvaLAN acquisition extends the Company's reach into the systems and software offering within the Fueling Solutions segment. In connection with this acquisition, the Company recorded goodwill of $26,679 and intangible assets of $14,630, primarily related to customer intangibles.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One other immaterial acquisition was completed during the nine months ended September 30, 2021 within the Pumps &amp; Process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presents the preliminary allocation of purchase price to the assets acquired and liabilities assumed, based on their estimated fair values at their acquisition dates: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net of cash acquired</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12,343</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8,088</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111,369</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69,044</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4,104</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w w:val="92"/>
              </w:rPr>
              <w:t>(12,097)</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92"/>
              </w:rPr>
              <w:t>(14,295)</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178,556</w:t>
            </w:r>
          </w:p>
        </w:tc>
        <w:tc>
          <w:tcPr>
            <w:tcW w:w="0" w:type="dxa"/>
            <w:vAlign w:val="bottom"/>
          </w:tcPr>
          <w:p>
            <w:pPr>
              <w:spacing w:after="0"/>
              <w:rPr>
                <w:sz w:val="1"/>
                <w:szCs w:val="1"/>
                <w:color w:val="auto"/>
              </w:rPr>
            </w:pPr>
          </w:p>
        </w:tc>
      </w:tr>
      <w:tr>
        <w:trPr>
          <w:trHeight w:val="21"/>
        </w:trPr>
        <w:tc>
          <w:tcPr>
            <w:tcW w:w="8400" w:type="dxa"/>
            <w:vAlign w:val="bottom"/>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0" w:type="dxa"/>
            <w:vAlign w:val="bottom"/>
          </w:tcPr>
          <w:p>
            <w:pPr>
              <w:spacing w:after="0"/>
              <w:rPr>
                <w:sz w:val="17"/>
                <w:szCs w:val="17"/>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3"/>
              </w:rPr>
              <w:t>Amount allocated</w:t>
            </w:r>
          </w:p>
        </w:tc>
        <w:tc>
          <w:tcPr>
            <w:tcW w:w="100" w:type="dxa"/>
            <w:vAlign w:val="bottom"/>
          </w:tcPr>
          <w:p>
            <w:pPr>
              <w:spacing w:after="0"/>
              <w:rPr>
                <w:sz w:val="17"/>
                <w:szCs w:val="17"/>
                <w:color w:val="auto"/>
              </w:rPr>
            </w:pPr>
          </w:p>
        </w:tc>
        <w:tc>
          <w:tcPr>
            <w:tcW w:w="1220" w:type="dxa"/>
            <w:vAlign w:val="bottom"/>
            <w:gridSpan w:val="3"/>
          </w:tcPr>
          <w:p>
            <w:pPr>
              <w:jc w:val="right"/>
              <w:ind w:right="150"/>
              <w:spacing w:after="0" w:line="202" w:lineRule="exact"/>
              <w:rPr>
                <w:sz w:val="20"/>
                <w:szCs w:val="20"/>
                <w:color w:val="auto"/>
              </w:rPr>
            </w:pPr>
            <w:r>
              <w:rPr>
                <w:rFonts w:ascii="Arial" w:cs="Arial" w:eastAsia="Arial" w:hAnsi="Arial"/>
                <w:sz w:val="18"/>
                <w:szCs w:val="18"/>
                <w:b w:val="1"/>
                <w:bCs w:val="1"/>
                <w:color w:val="auto"/>
              </w:rPr>
              <w:t>Useful life</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(in years)</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 tax deductible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na</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Goodwill - non-deductible</w:t>
            </w:r>
          </w:p>
        </w:tc>
        <w:tc>
          <w:tcPr>
            <w:tcW w:w="4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81,561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9"/>
              </w:rPr>
              <w:t>na</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intangibles</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33,692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Unpatented technologies</w:t>
            </w:r>
          </w:p>
        </w:tc>
        <w:tc>
          <w:tcPr>
            <w:tcW w:w="4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22,680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6,666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9"/>
              </w:rPr>
              <w:t>15</w:t>
            </w:r>
          </w:p>
        </w:tc>
        <w:tc>
          <w:tcPr>
            <w:tcW w:w="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180,413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nine months ended September 30, 2020, the Company acquired five businesses in separate transactions for total consideration of $258,674, net of cash acquired. These businesses were acquired to complement and expand upon existing operations within the Imaging &amp; Identification, Engineered Products and Pumps &amp; Process Solutions segments. The goodwill recorded as a result of these acquisitions represents the economic benefits expected to be derived from product line expansions and operational synergies. Goodwill in the amount of $33,183 is deductible for U.S. income tax purposes and goodwill in the amount of $124,691 is non-deductible for U.S. income tax purposes for these acquisitions.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August 20, 2020, the Company acquired 100% of the voting stock of Solaris Laser S.A. ("Solaris"), a global manufacturer of product identification and traceability solutions for $18,605, net of cash acquired. The Solaris acquisition enhances the Imaging &amp; Identification segment's growing laser technology product line and further strengthens its position as a leading provider of marking and coding equipment and solutions. In connection with this acquisition, the Company recorded goodwill of $11,693 and intangible assets of $3,280, primarily related to unpatented technology.</w:t>
      </w:r>
    </w:p>
    <w:p>
      <w:pPr>
        <w:spacing w:after="0" w:line="19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April 30, 2020, the Company acquired 100% of the voting stock of em-tec GmbH ("Em-tec"), a leading designer and manufacturer of flow measurement devices that serve a wide array of medical and biopharmaceutical applications for $30,396, net of cash acquired. The Em-tec acquisition further expands the Company's reach into biopharma and other hygienic applications and enhances its portfolio of flow control technologies within the Pumps &amp; Process Solutions segment. In connection with this acquisition, the Company recorded goodwill of $19,572 and intangible assets of $8,344, primarily related to customer intangibles.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February 18, 2020, the Company acquired 100% of the voting stock of So. Cal. Soft-Pak, Incorporated ("Soft-Pak"), a leading specialized provider of integrated back office, route management and customer relationship management software solutions to the waste and recycling fleet industry for $45,500, net of cash acquired. The Soft-Pak acquisition strengthens the digital offerings within the Engineered Products segment. In connection with this acquisition, the Company recorded goodwill of $33,183 and intangible assets of $12,800, primarily related to customer intangibles.</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24, 2020, the Company acquired 100% of the voting stock of Sys-Tech Solutions, Inc. ("Systech"), a leading provider of product traceability, regulatory compliance and brand-protection software and solutions to pharmaceutical and consumer products manufacturers, for $161,830, net of cash acquired. The Systech acquisition strengthens the portfolio of solutions offered by the Imaging &amp; Identification segment. In connection with this acquisition, the Company recorded goodwill</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of $91,493 and intangible assets of $76,100, primarily related to customer intangibles.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One other immaterial acquisition was completed during the nine months ended September 30, 2020, within the Pumps &amp; Process Solutions segment.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pro forma effects of the 2021 and 2020 acquisitions are not material to the Company's Consolidated Statements of Earnings.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Disposed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evaluates Dover's businesses periodically for their strategic fit within its operations and may from time to time sell or discontinue certain operations for various reasons.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dispositions for the nine months ended September 30, 2021.</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Note 21 — Subsequent Events for information on a definitive agreement to sell Unified Brands business ("Unified Brands") which is part of the Refrigeration &amp; Food Equipment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6, 2020, the Company completed the sale of the Chino, California branch of The AMS Group ("AMS Chino"), a wholly owned subsidiary of the Company. The Company recognized a net consideration of $15,400, which included a working capital adjustment recognized in the second quarter and paid in the third quarter of 2020. This sale resulted in a pre-tax gain on sale of $5,213 included within the Condensed Consolidated Statements of Earnings and within the Refrigeration &amp; Food Equipment Segment for the nine months ended September 30, 2020. The sale did not represent a strategic shift that had a major effect on operations and financial results and, therefore, did not qualify for presentation as a discontinued operation.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sz w:val="20"/>
                <w:szCs w:val="20"/>
                <w:color w:val="auto"/>
              </w:rPr>
            </w:pPr>
            <w:r>
              <w:rPr>
                <w:rFonts w:ascii="Arial" w:cs="Arial" w:eastAsia="Arial" w:hAnsi="Arial"/>
                <w:sz w:val="18"/>
                <w:szCs w:val="18"/>
                <w:b w:val="1"/>
                <w:bCs w:val="1"/>
                <w:color w:val="auto"/>
              </w:rPr>
              <w:t>5. Inventories, net</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497,604</w:t>
            </w:r>
          </w:p>
        </w:tc>
        <w:tc>
          <w:tcPr>
            <w:tcW w:w="0" w:type="dxa"/>
            <w:vAlign w:val="bottom"/>
          </w:tcPr>
          <w:p>
            <w:pPr>
              <w:spacing w:after="0"/>
              <w:rPr>
                <w:sz w:val="1"/>
                <w:szCs w:val="1"/>
                <w:color w:val="auto"/>
              </w:rPr>
            </w:pPr>
          </w:p>
        </w:tc>
      </w:tr>
      <w:tr>
        <w:trPr>
          <w:trHeight w:val="230"/>
        </w:trPr>
        <w:tc>
          <w:tcPr>
            <w:tcW w:w="7180" w:type="dxa"/>
            <w:vAlign w:val="bottom"/>
            <w:gridSpan w:val="3"/>
          </w:tcPr>
          <w:p>
            <w:pPr>
              <w:ind w:left="20"/>
              <w:spacing w:after="0"/>
              <w:rPr>
                <w:sz w:val="20"/>
                <w:szCs w:val="20"/>
                <w:color w:val="auto"/>
              </w:rPr>
            </w:pPr>
            <w:r>
              <w:rPr>
                <w:rFonts w:ascii="Arial" w:cs="Arial" w:eastAsia="Arial" w:hAnsi="Arial"/>
                <w:sz w:val="18"/>
                <w:szCs w:val="18"/>
                <w:color w:val="auto"/>
              </w:rPr>
              <w:t>Work in progress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232,264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152,360</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304,760</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Arial" w:cs="Arial" w:eastAsia="Arial" w:hAnsi="Arial"/>
                <w:sz w:val="18"/>
                <w:szCs w:val="18"/>
                <w:b w:val="1"/>
                <w:bCs w:val="1"/>
                <w:color w:val="auto"/>
              </w:rPr>
              <w:t>Subtotal</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1,189,650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954,724</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reserves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(118,920)</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835,804</w:t>
            </w:r>
          </w:p>
        </w:tc>
        <w:tc>
          <w:tcPr>
            <w:tcW w:w="0" w:type="dxa"/>
            <w:vAlign w:val="bottom"/>
          </w:tcPr>
          <w:p>
            <w:pPr>
              <w:spacing w:after="0"/>
              <w:rPr>
                <w:sz w:val="1"/>
                <w:szCs w:val="1"/>
                <w:color w:val="auto"/>
              </w:rPr>
            </w:pPr>
          </w:p>
        </w:tc>
      </w:tr>
      <w:tr>
        <w:trPr>
          <w:trHeight w:val="21"/>
        </w:trPr>
        <w:tc>
          <w:tcPr>
            <w:tcW w:w="7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71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60,287</w:t>
            </w:r>
          </w:p>
        </w:tc>
        <w:tc>
          <w:tcPr>
            <w:tcW w:w="0" w:type="dxa"/>
            <w:vAlign w:val="bottom"/>
          </w:tcPr>
          <w:p>
            <w:pPr>
              <w:spacing w:after="0"/>
              <w:rPr>
                <w:sz w:val="1"/>
                <w:szCs w:val="1"/>
                <w:color w:val="auto"/>
              </w:rPr>
            </w:pPr>
          </w:p>
        </w:tc>
      </w:tr>
      <w:tr>
        <w:trPr>
          <w:trHeight w:val="230"/>
        </w:trPr>
        <w:tc>
          <w:tcPr>
            <w:tcW w:w="7180" w:type="dxa"/>
            <w:vAlign w:val="bottom"/>
            <w:gridSpan w:val="3"/>
          </w:tcPr>
          <w:p>
            <w:pPr>
              <w:ind w:left="20"/>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576,597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570,366</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Machinery, equipment and other</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1,817,417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1,772,772</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Property, plant and equipment, gross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2,455,447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2,403,425</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(1,549,179)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(1,506,099)</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906,268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897,326</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totaled $36,913 and $34,096 for the three months ended September 30, 2021 and 2020, respectively. For the nine months ended September 30, 2021 and 2020, depreciation expense was $111,152 and $102,016,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7. Credit Losses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January 1, 2020, the Company adopted ASU 2016-13, Financial Instruments – Credit Losses (Topic 326): Measurement of Credit Losses on Financial Instruments prospectively. This ASU replaces the incurred loss impairment model with an expected credit loss impairment model for financial instruments, including trade receivables. The amendment requires entities to consider forward-looking information to estimate expected credit losses, resulting in earlier recognition of losses for receivables that are current or not yet due, which were not considered under the previous accounting guidance. Upon adoption, the Company recorded a noncash cumulative effect adjustment to retained earnings of $2.1 million, net of $0.6 million of income taxes, on the opening consolidated balance sheet as of January 1, 2020.</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exposed to credit losses primarily through sales of products and services. Due to the short-term nature of such receivables, the estimate of amount of accounts receivable that may not be collected is based on aging of the accounts receivable balances and other historical and forward-looking information on the financial condition of customers. Balances are written off when determined to be uncollectible.</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provides a roll-forward of the allowance for credit losses that is deducted from the amortized cost basis of accounts receivable to present the net amount expected to be collected.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434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December 31 of the Prior Year</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29,381</w:t>
            </w:r>
          </w:p>
        </w:tc>
        <w:tc>
          <w:tcPr>
            <w:tcW w:w="0" w:type="dxa"/>
            <w:vAlign w:val="bottom"/>
          </w:tcPr>
          <w:p>
            <w:pPr>
              <w:spacing w:after="0"/>
              <w:rPr>
                <w:sz w:val="1"/>
                <w:szCs w:val="1"/>
                <w:color w:val="auto"/>
              </w:rPr>
            </w:pPr>
          </w:p>
        </w:tc>
      </w:tr>
      <w:tr>
        <w:trPr>
          <w:trHeight w:val="230"/>
        </w:trPr>
        <w:tc>
          <w:tcPr>
            <w:tcW w:w="5700" w:type="dxa"/>
            <w:vAlign w:val="bottom"/>
            <w:gridSpan w:val="7"/>
          </w:tcPr>
          <w:p>
            <w:pPr>
              <w:ind w:left="20"/>
              <w:spacing w:after="0"/>
              <w:rPr>
                <w:sz w:val="20"/>
                <w:szCs w:val="20"/>
                <w:color w:val="auto"/>
              </w:rPr>
            </w:pPr>
            <w:r>
              <w:rPr>
                <w:rFonts w:ascii="Arial" w:cs="Arial" w:eastAsia="Arial" w:hAnsi="Arial"/>
                <w:sz w:val="18"/>
                <w:szCs w:val="18"/>
                <w:color w:val="auto"/>
                <w:w w:val="93"/>
              </w:rPr>
              <w:t>Adoption of ASU 2016-13, cumulative-effect adjustment to retained earnings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29"/>
        </w:trPr>
        <w:tc>
          <w:tcPr>
            <w:tcW w:w="43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Provision for expected credit losses, net of recoveries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0" w:type="dxa"/>
            <w:vAlign w:val="bottom"/>
          </w:tcPr>
          <w:p>
            <w:pPr>
              <w:spacing w:after="0"/>
              <w:rPr>
                <w:sz w:val="1"/>
                <w:szCs w:val="1"/>
                <w:color w:val="auto"/>
              </w:rPr>
            </w:pPr>
          </w:p>
        </w:tc>
      </w:tr>
      <w:tr>
        <w:trPr>
          <w:trHeight w:val="230"/>
        </w:trPr>
        <w:tc>
          <w:tcPr>
            <w:tcW w:w="4340" w:type="dxa"/>
            <w:vAlign w:val="bottom"/>
            <w:gridSpan w:val="4"/>
          </w:tcPr>
          <w:p>
            <w:pPr>
              <w:ind w:left="20"/>
              <w:spacing w:after="0"/>
              <w:rPr>
                <w:sz w:val="20"/>
                <w:szCs w:val="20"/>
                <w:color w:val="auto"/>
              </w:rPr>
            </w:pPr>
            <w:r>
              <w:rPr>
                <w:rFonts w:ascii="Arial" w:cs="Arial" w:eastAsia="Arial" w:hAnsi="Arial"/>
                <w:sz w:val="18"/>
                <w:szCs w:val="18"/>
                <w:color w:val="auto"/>
              </w:rPr>
              <w:t>Amounts written off charged against the allowance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29"/>
        </w:trPr>
        <w:tc>
          <w:tcPr>
            <w:tcW w:w="4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3"/>
              </w:rPr>
              <w:t>Other, including dispositions and foreign currency translation</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Ending balance, September 30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40,393</w:t>
            </w:r>
          </w:p>
        </w:tc>
        <w:tc>
          <w:tcPr>
            <w:tcW w:w="0" w:type="dxa"/>
            <w:vAlign w:val="bottom"/>
          </w:tcPr>
          <w:p>
            <w:pPr>
              <w:spacing w:after="0"/>
              <w:rPr>
                <w:sz w:val="1"/>
                <w:szCs w:val="1"/>
                <w:color w:val="auto"/>
              </w:rPr>
            </w:pPr>
          </w:p>
        </w:tc>
      </w:tr>
      <w:tr>
        <w:trPr>
          <w:trHeight w:val="21"/>
        </w:trPr>
        <w:tc>
          <w:tcPr>
            <w:tcW w:w="30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9"/>
              </w:rPr>
              <w:t>8. Goodwill and Other Intangible Assets</w:t>
            </w: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2"/>
        </w:trPr>
        <w:tc>
          <w:tcPr>
            <w:tcW w:w="3080" w:type="dxa"/>
            <w:vAlign w:val="bottom"/>
            <w:tcBorders>
              <w:bottom w:val="single" w:sz="8" w:color="auto"/>
            </w:tcBorders>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180" w:type="dxa"/>
            <w:vAlign w:val="bottom"/>
            <w:gridSpan w:val="10"/>
          </w:tcPr>
          <w:p>
            <w:pPr>
              <w:spacing w:after="0"/>
              <w:rPr>
                <w:sz w:val="20"/>
                <w:szCs w:val="20"/>
                <w:color w:val="auto"/>
              </w:rPr>
            </w:pPr>
            <w:r>
              <w:rPr>
                <w:rFonts w:ascii="Arial" w:cs="Arial" w:eastAsia="Arial" w:hAnsi="Arial"/>
                <w:sz w:val="18"/>
                <w:szCs w:val="18"/>
                <w:color w:val="auto"/>
                <w:w w:val="93"/>
              </w:rPr>
              <w:t>The changes in the carrying value of goodwill by reportable operating segments were as follows: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9"/>
              </w:rPr>
              <w:t>Engineered</w:t>
            </w:r>
          </w:p>
        </w:tc>
        <w:tc>
          <w:tcPr>
            <w:tcW w:w="200" w:type="dxa"/>
            <w:vAlign w:val="bottom"/>
          </w:tcPr>
          <w:p>
            <w:pPr>
              <w:spacing w:after="0"/>
              <w:rPr>
                <w:sz w:val="17"/>
                <w:szCs w:val="17"/>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0"/>
              </w:rPr>
              <w:t>Fueling</w:t>
            </w:r>
          </w:p>
        </w:tc>
        <w:tc>
          <w:tcPr>
            <w:tcW w:w="140" w:type="dxa"/>
            <w:vAlign w:val="bottom"/>
          </w:tcPr>
          <w:p>
            <w:pPr>
              <w:spacing w:after="0"/>
              <w:rPr>
                <w:sz w:val="17"/>
                <w:szCs w:val="17"/>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6"/>
              </w:rPr>
              <w:t>Imaging &amp;</w:t>
            </w:r>
          </w:p>
        </w:tc>
        <w:tc>
          <w:tcPr>
            <w:tcW w:w="200" w:type="dxa"/>
            <w:vAlign w:val="bottom"/>
          </w:tcPr>
          <w:p>
            <w:pPr>
              <w:spacing w:after="0"/>
              <w:rPr>
                <w:sz w:val="17"/>
                <w:szCs w:val="17"/>
                <w:color w:val="auto"/>
              </w:rPr>
            </w:pPr>
          </w:p>
        </w:tc>
        <w:tc>
          <w:tcPr>
            <w:tcW w:w="1220" w:type="dxa"/>
            <w:vAlign w:val="bottom"/>
            <w:gridSpan w:val="3"/>
          </w:tcPr>
          <w:p>
            <w:pPr>
              <w:jc w:val="center"/>
              <w:ind w:right="300"/>
              <w:spacing w:after="0" w:line="202" w:lineRule="exact"/>
              <w:rPr>
                <w:sz w:val="20"/>
                <w:szCs w:val="20"/>
                <w:color w:val="auto"/>
              </w:rPr>
            </w:pPr>
            <w:r>
              <w:rPr>
                <w:rFonts w:ascii="Arial" w:cs="Arial" w:eastAsia="Arial" w:hAnsi="Arial"/>
                <w:sz w:val="18"/>
                <w:szCs w:val="18"/>
                <w:b w:val="1"/>
                <w:bCs w:val="1"/>
                <w:color w:val="auto"/>
                <w:w w:val="92"/>
              </w:rPr>
              <w:t>Pumps &amp;</w:t>
            </w:r>
          </w:p>
        </w:tc>
        <w:tc>
          <w:tcPr>
            <w:tcW w:w="1500" w:type="dxa"/>
            <w:vAlign w:val="bottom"/>
            <w:gridSpan w:val="5"/>
            <w:vMerge w:val="restart"/>
          </w:tcPr>
          <w:p>
            <w:pPr>
              <w:jc w:val="center"/>
              <w:ind w:right="100"/>
              <w:spacing w:after="0"/>
              <w:rPr>
                <w:sz w:val="20"/>
                <w:szCs w:val="20"/>
                <w:color w:val="auto"/>
              </w:rPr>
            </w:pPr>
            <w:r>
              <w:rPr>
                <w:rFonts w:ascii="Arial" w:cs="Arial" w:eastAsia="Arial" w:hAnsi="Arial"/>
                <w:sz w:val="18"/>
                <w:szCs w:val="18"/>
                <w:b w:val="1"/>
                <w:bCs w:val="1"/>
                <w:color w:val="auto"/>
                <w:w w:val="95"/>
              </w:rPr>
              <w:t>Refrigeration &amp;</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jc w:val="center"/>
              <w:ind w:right="320"/>
              <w:spacing w:after="0" w:line="176" w:lineRule="exact"/>
              <w:rPr>
                <w:sz w:val="20"/>
                <w:szCs w:val="20"/>
                <w:color w:val="auto"/>
              </w:rPr>
            </w:pPr>
            <w:r>
              <w:rPr>
                <w:rFonts w:ascii="Arial" w:cs="Arial" w:eastAsia="Arial" w:hAnsi="Arial"/>
                <w:sz w:val="18"/>
                <w:szCs w:val="18"/>
                <w:b w:val="1"/>
                <w:bCs w:val="1"/>
                <w:color w:val="auto"/>
                <w:w w:val="82"/>
              </w:rPr>
              <w:t>Process</w:t>
            </w:r>
          </w:p>
        </w:tc>
        <w:tc>
          <w:tcPr>
            <w:tcW w:w="150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Solutions</w:t>
            </w:r>
          </w:p>
        </w:tc>
        <w:tc>
          <w:tcPr>
            <w:tcW w:w="14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Identification</w:t>
            </w:r>
          </w:p>
        </w:tc>
        <w:tc>
          <w:tcPr>
            <w:tcW w:w="200" w:type="dxa"/>
            <w:vAlign w:val="bottom"/>
          </w:tcPr>
          <w:p>
            <w:pPr>
              <w:spacing w:after="0"/>
              <w:rPr>
                <w:sz w:val="19"/>
                <w:szCs w:val="19"/>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Solutions</w:t>
            </w:r>
          </w:p>
        </w:tc>
        <w:tc>
          <w:tcPr>
            <w:tcW w:w="15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1"/>
              </w:rPr>
              <w:t>Food Equipment</w:t>
            </w: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1,117,589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786,280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544,715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4,072,542</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15,167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111,369</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 adjustments</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(29,453)</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1,118,480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797,217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544,035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4,153,846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nine months ended September 30, 2021, the Company recognized additions of $111,369 to goodwill as a result of acquisitions as discussed in Note 3 — Acquisitions. During the nine months ended September 30, 2021, the Company recorded purchase price adjustments that reduced goodwill by $612, principally related to working capital adjustments for 2020 acquisitions within the Fueling Solutions and Imaging &amp; Identification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definite-lived and indefinite-lived intangible assets by major asset class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9"/>
              </w:rPr>
              <w:t>September 30, 2021</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7"/>
              </w:rPr>
              <w:t>December 31, 2020</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126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w w:val="91"/>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12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4"/>
              </w:rPr>
              <w:t>Net Carrying</w:t>
            </w:r>
          </w:p>
        </w:tc>
        <w:tc>
          <w:tcPr>
            <w:tcW w:w="120" w:type="dxa"/>
            <w:vAlign w:val="bottom"/>
          </w:tcPr>
          <w:p>
            <w:pPr>
              <w:spacing w:after="0"/>
              <w:rPr>
                <w:sz w:val="14"/>
                <w:szCs w:val="14"/>
                <w:color w:val="auto"/>
              </w:rPr>
            </w:pPr>
          </w:p>
        </w:tc>
        <w:tc>
          <w:tcPr>
            <w:tcW w:w="124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w w:val="91"/>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80"/>
              <w:spacing w:after="0" w:line="169" w:lineRule="exact"/>
              <w:rPr>
                <w:sz w:val="20"/>
                <w:szCs w:val="20"/>
                <w:color w:val="auto"/>
              </w:rPr>
            </w:pPr>
            <w:r>
              <w:rPr>
                <w:rFonts w:ascii="Arial" w:cs="Arial" w:eastAsia="Arial" w:hAnsi="Arial"/>
                <w:sz w:val="18"/>
                <w:szCs w:val="18"/>
                <w:b w:val="1"/>
                <w:bCs w:val="1"/>
                <w:color w:val="auto"/>
              </w:rPr>
              <w:t>Accumulated</w:t>
            </w:r>
          </w:p>
        </w:tc>
        <w:tc>
          <w:tcPr>
            <w:tcW w:w="12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rPr>
              <w:t>Net Carrying</w:t>
            </w:r>
          </w:p>
        </w:tc>
        <w:tc>
          <w:tcPr>
            <w:tcW w:w="0" w:type="dxa"/>
            <w:vAlign w:val="bottom"/>
          </w:tcPr>
          <w:p>
            <w:pPr>
              <w:spacing w:after="0"/>
              <w:rPr>
                <w:sz w:val="1"/>
                <w:szCs w:val="1"/>
                <w:color w:val="auto"/>
              </w:rPr>
            </w:pPr>
          </w:p>
        </w:tc>
      </w:tr>
      <w:tr>
        <w:trPr>
          <w:trHeight w:val="229"/>
        </w:trPr>
        <w:tc>
          <w:tcPr>
            <w:tcW w:w="2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220" w:type="dxa"/>
            <w:vAlign w:val="bottom"/>
          </w:tcPr>
          <w:p>
            <w:pPr>
              <w:spacing w:after="0"/>
              <w:rPr>
                <w:sz w:val="19"/>
                <w:szCs w:val="19"/>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82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Customer intangibles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1,577,058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1,559,771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724,973</w:t>
            </w:r>
          </w:p>
        </w:tc>
        <w:tc>
          <w:tcPr>
            <w:tcW w:w="0" w:type="dxa"/>
            <w:vAlign w:val="bottom"/>
          </w:tcPr>
          <w:p>
            <w:pPr>
              <w:spacing w:after="0"/>
              <w:rPr>
                <w:sz w:val="1"/>
                <w:szCs w:val="1"/>
                <w:color w:val="auto"/>
              </w:rPr>
            </w:pPr>
          </w:p>
        </w:tc>
      </w:tr>
      <w:tr>
        <w:trPr>
          <w:trHeight w:val="229"/>
        </w:trPr>
        <w:tc>
          <w:tcPr>
            <w:tcW w:w="2820" w:type="dxa"/>
            <w:vAlign w:val="bottom"/>
          </w:tcPr>
          <w:p>
            <w:pPr>
              <w:ind w:left="460"/>
              <w:spacing w:after="0"/>
              <w:rPr>
                <w:sz w:val="20"/>
                <w:szCs w:val="20"/>
                <w:color w:val="auto"/>
              </w:rPr>
            </w:pPr>
            <w:r>
              <w:rPr>
                <w:rFonts w:ascii="Arial" w:cs="Arial" w:eastAsia="Arial" w:hAnsi="Arial"/>
                <w:sz w:val="18"/>
                <w:szCs w:val="18"/>
                <w:color w:val="auto"/>
              </w:rPr>
              <w:t>Trademarks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115,076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123,045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233,205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103,907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129,298</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Patents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22,117</w:t>
            </w:r>
          </w:p>
        </w:tc>
        <w:tc>
          <w:tcPr>
            <w:tcW w:w="0" w:type="dxa"/>
            <w:vAlign w:val="bottom"/>
          </w:tcPr>
          <w:p>
            <w:pPr>
              <w:spacing w:after="0"/>
              <w:rPr>
                <w:sz w:val="1"/>
                <w:szCs w:val="1"/>
                <w:color w:val="auto"/>
              </w:rPr>
            </w:pPr>
          </w:p>
        </w:tc>
      </w:tr>
      <w:tr>
        <w:trPr>
          <w:trHeight w:val="229"/>
        </w:trPr>
        <w:tc>
          <w:tcPr>
            <w:tcW w:w="2820" w:type="dxa"/>
            <w:vAlign w:val="bottom"/>
          </w:tcPr>
          <w:p>
            <w:pPr>
              <w:ind w:left="460"/>
              <w:spacing w:after="0"/>
              <w:rPr>
                <w:sz w:val="20"/>
                <w:szCs w:val="20"/>
                <w:color w:val="auto"/>
              </w:rPr>
            </w:pPr>
            <w:r>
              <w:rPr>
                <w:rFonts w:ascii="Arial" w:cs="Arial" w:eastAsia="Arial" w:hAnsi="Arial"/>
                <w:sz w:val="18"/>
                <w:szCs w:val="18"/>
                <w:color w:val="auto"/>
              </w:rPr>
              <w:t>Unpatented technologies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201,573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121,243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80,330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180,947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113,404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67,543</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Distributor relationships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35,417</w:t>
            </w:r>
          </w:p>
        </w:tc>
        <w:tc>
          <w:tcPr>
            <w:tcW w:w="0" w:type="dxa"/>
            <w:vAlign w:val="bottom"/>
          </w:tcPr>
          <w:p>
            <w:pPr>
              <w:spacing w:after="0"/>
              <w:rPr>
                <w:sz w:val="1"/>
                <w:szCs w:val="1"/>
                <w:color w:val="auto"/>
              </w:rPr>
            </w:pPr>
          </w:p>
        </w:tc>
      </w:tr>
      <w:tr>
        <w:trPr>
          <w:trHeight w:val="229"/>
        </w:trPr>
        <w:tc>
          <w:tcPr>
            <w:tcW w:w="2820" w:type="dxa"/>
            <w:vAlign w:val="bottom"/>
          </w:tcPr>
          <w:p>
            <w:pPr>
              <w:ind w:left="460"/>
              <w:spacing w:after="0"/>
              <w:rPr>
                <w:sz w:val="20"/>
                <w:szCs w:val="20"/>
                <w:color w:val="auto"/>
              </w:rPr>
            </w:pPr>
            <w:r>
              <w:rPr>
                <w:rFonts w:ascii="Arial" w:cs="Arial" w:eastAsia="Arial" w:hAnsi="Arial"/>
                <w:sz w:val="18"/>
                <w:szCs w:val="18"/>
                <w:color w:val="auto"/>
              </w:rPr>
              <w:t>Drawings and manuals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26,193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2,322,298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1,382,993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939,305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2,277,349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1,290,419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986,930</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460"/>
              <w:spacing w:after="0"/>
              <w:rPr>
                <w:sz w:val="20"/>
                <w:szCs w:val="20"/>
                <w:color w:val="auto"/>
              </w:rPr>
            </w:pPr>
            <w:r>
              <w:rPr>
                <w:rFonts w:ascii="Arial" w:cs="Arial" w:eastAsia="Arial" w:hAnsi="Arial"/>
                <w:sz w:val="18"/>
                <w:szCs w:val="18"/>
                <w:color w:val="auto"/>
              </w:rPr>
              <w:t>Trademarks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96,780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96,780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96,842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96,842</w:t>
            </w:r>
          </w:p>
        </w:tc>
        <w:tc>
          <w:tcPr>
            <w:tcW w:w="0" w:type="dxa"/>
            <w:vAlign w:val="bottom"/>
          </w:tcPr>
          <w:p>
            <w:pPr>
              <w:spacing w:after="0"/>
              <w:rPr>
                <w:sz w:val="1"/>
                <w:szCs w:val="1"/>
                <w:color w:val="auto"/>
              </w:rPr>
            </w:pPr>
          </w:p>
        </w:tc>
      </w:tr>
      <w:tr>
        <w:trPr>
          <w:trHeight w:val="248"/>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1,382,993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1,036,085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1,083,772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September 30, 2021 and 2020, amortization expense was $35,998 and $35,393, respectively, including acquisition-related intangible amortization of $35,587 and $34,797, respectively. For the nine months ended September 30, 2021 and 2020, amortization expense was $107,084 and $103,828, respectively, including acquisition-related intangible amortization of $105,808 and $102,443,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9. Restructuring Activities</w:t>
            </w:r>
          </w:p>
        </w:tc>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79"/>
        </w:trPr>
        <w:tc>
          <w:tcPr>
            <w:tcW w:w="5140" w:type="dxa"/>
            <w:vAlign w:val="bottom"/>
            <w:gridSpan w:val="2"/>
          </w:tcPr>
          <w:p>
            <w:pPr>
              <w:spacing w:after="0"/>
              <w:rPr>
                <w:sz w:val="20"/>
                <w:szCs w:val="20"/>
                <w:color w:val="auto"/>
              </w:rPr>
            </w:pPr>
            <w:r>
              <w:rPr>
                <w:rFonts w:ascii="Arial" w:cs="Arial" w:eastAsia="Arial" w:hAnsi="Arial"/>
                <w:sz w:val="18"/>
                <w:szCs w:val="18"/>
                <w:color w:val="auto"/>
                <w:w w:val="96"/>
              </w:rPr>
              <w:t>The Company's restructuring charges by segment were as follows: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7"/>
        </w:trPr>
        <w:tc>
          <w:tcPr>
            <w:tcW w:w="20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120" w:type="dxa"/>
            <w:vAlign w:val="bottom"/>
            <w:gridSpan w:val="6"/>
          </w:tcPr>
          <w:p>
            <w:pPr>
              <w:ind w:left="80"/>
              <w:spacing w:after="0"/>
              <w:rPr>
                <w:sz w:val="20"/>
                <w:szCs w:val="20"/>
                <w:color w:val="auto"/>
              </w:rPr>
            </w:pPr>
            <w:r>
              <w:rPr>
                <w:rFonts w:ascii="Arial" w:cs="Arial" w:eastAsia="Arial" w:hAnsi="Arial"/>
                <w:sz w:val="18"/>
                <w:szCs w:val="18"/>
                <w:b w:val="1"/>
                <w:bCs w:val="1"/>
                <w:color w:val="auto"/>
                <w:w w:val="98"/>
              </w:rPr>
              <w:t>Three Months Ended September 30,</w:t>
            </w:r>
          </w:p>
        </w:tc>
        <w:tc>
          <w:tcPr>
            <w:tcW w:w="140" w:type="dxa"/>
            <w:vAlign w:val="bottom"/>
          </w:tcPr>
          <w:p>
            <w:pPr>
              <w:spacing w:after="0"/>
              <w:rPr>
                <w:sz w:val="22"/>
                <w:szCs w:val="22"/>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204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w:t>
            </w:r>
          </w:p>
        </w:tc>
      </w:tr>
      <w:tr>
        <w:trPr>
          <w:trHeight w:val="230"/>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Fueling Solutions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3,958</w:t>
            </w:r>
          </w:p>
        </w:tc>
      </w:tr>
      <w:tr>
        <w:trPr>
          <w:trHeight w:val="229"/>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Pumps &amp; Process Solutions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10,271</w:t>
            </w:r>
          </w:p>
        </w:tc>
      </w:tr>
      <w:tr>
        <w:trPr>
          <w:trHeight w:val="230"/>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Refrigeration &amp; Food Equipment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r>
      <w:tr>
        <w:trPr>
          <w:trHeight w:val="230"/>
        </w:trPr>
        <w:tc>
          <w:tcPr>
            <w:tcW w:w="5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w:t>
            </w:r>
          </w:p>
        </w:tc>
      </w:tr>
      <w:tr>
        <w:trPr>
          <w:trHeight w:val="248"/>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26,365</w:t>
            </w:r>
          </w:p>
        </w:tc>
      </w:tr>
      <w:tr>
        <w:trPr>
          <w:trHeight w:val="20"/>
        </w:trPr>
        <w:tc>
          <w:tcPr>
            <w:tcW w:w="51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85"/>
        </w:trPr>
        <w:tc>
          <w:tcPr>
            <w:tcW w:w="7060" w:type="dxa"/>
            <w:vAlign w:val="bottom"/>
            <w:gridSpan w:val="6"/>
          </w:tcPr>
          <w:p>
            <w:pPr>
              <w:ind w:left="20"/>
              <w:spacing w:after="0"/>
              <w:rPr>
                <w:sz w:val="20"/>
                <w:szCs w:val="20"/>
                <w:color w:val="auto"/>
              </w:rPr>
            </w:pPr>
            <w:r>
              <w:rPr>
                <w:rFonts w:ascii="Arial" w:cs="Arial" w:eastAsia="Arial" w:hAnsi="Arial"/>
                <w:sz w:val="18"/>
                <w:szCs w:val="18"/>
                <w:color w:val="auto"/>
                <w:w w:val="91"/>
              </w:rPr>
              <w:t>These amounts are classified in the Condensed Consolidated Statements of Earnings as follows:</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11,809</w:t>
            </w:r>
          </w:p>
        </w:tc>
      </w:tr>
      <w:tr>
        <w:trPr>
          <w:trHeight w:val="230"/>
        </w:trPr>
        <w:tc>
          <w:tcPr>
            <w:tcW w:w="5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14,556</w:t>
            </w:r>
          </w:p>
        </w:tc>
      </w:tr>
      <w:tr>
        <w:trPr>
          <w:trHeight w:val="248"/>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26,365</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restructuring expenses of $4,790 and $20,661 incurred during the three and nine months ended September 30, 2021 were primarily the result of restructuring programs initiated in 2020 and 2021 in response to demand conditions, asset charges related to a product line exit and broad-based operational efficiency initiatives focusing on footprint consolidation and IT centralization. Additional programs, beyond the scope of the announced programs, may be implemented during 2021 with related restructuring charges.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$4,790 of restructuring charges incurred during the third quarter of 2021 primarily included the following items:</w:t>
      </w:r>
    </w:p>
    <w:p>
      <w:pPr>
        <w:spacing w:after="0" w:line="2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Engineered Products segment recorded $870 of restructuring charges related principally to asset charges related to a product line exit.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Fueling Solutions segment recorded $1,620 of restructuring charges primarily due to asset charges, headcount reductions and facility exit costs.</w:t>
      </w:r>
    </w:p>
    <w:p>
      <w:pPr>
        <w:spacing w:after="0" w:line="275"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Imaging &amp; Identification segment recorded restructuring charges of $168 primarily related to headcount reductions.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Pumps &amp; Process Solutions segment recorded $639 of restructuring charges primarily related to asset charges.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Refrigeration &amp; Food Equipment segment recorded $1,293 of restructuring expense primarily due to asset charges.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recorded $200 of restructuring charges primarily related to exit costs associated with IT centralization initiatives.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The Company’s severance and exit accrual activities were as follows: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7"/>
        </w:trPr>
        <w:tc>
          <w:tcPr>
            <w:tcW w:w="6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Severance</w:t>
            </w:r>
          </w:p>
        </w:tc>
        <w:tc>
          <w:tcPr>
            <w:tcW w:w="320" w:type="dxa"/>
            <w:vAlign w:val="bottom"/>
          </w:tcPr>
          <w:p>
            <w:pPr>
              <w:spacing w:after="0"/>
              <w:rPr>
                <w:sz w:val="22"/>
                <w:szCs w:val="22"/>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Exit</w:t>
            </w: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3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12,728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20,661</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(4,500)</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(14,125)</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ind w:left="480"/>
              <w:spacing w:after="0" w:line="230" w:lineRule="exact"/>
              <w:rPr>
                <w:sz w:val="20"/>
                <w:szCs w:val="20"/>
                <w:color w:val="auto"/>
              </w:rPr>
            </w:pPr>
            <w:r>
              <w:rPr>
                <w:rFonts w:ascii="Arial" w:cs="Arial" w:eastAsia="Arial" w:hAnsi="Arial"/>
                <w:sz w:val="18"/>
                <w:szCs w:val="18"/>
                <w:color w:val="auto"/>
              </w:rPr>
              <w:t xml:space="preserve">(9,342)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(9,532)</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340" w:hanging="170"/>
        <w:spacing w:after="0"/>
        <w:tabs>
          <w:tab w:leader="none" w:pos="340" w:val="left"/>
        </w:tabs>
        <w:numPr>
          <w:ilvl w:val="1"/>
          <w:numId w:val="5"/>
        </w:numPr>
        <w:rPr>
          <w:rFonts w:ascii="Arial" w:cs="Arial" w:eastAsia="Arial" w:hAnsi="Arial"/>
          <w:sz w:val="20"/>
          <w:szCs w:val="20"/>
          <w:color w:val="auto"/>
          <w:vertAlign w:val="superscript"/>
        </w:rPr>
      </w:pPr>
      <w:r>
        <w:rPr>
          <w:rFonts w:ascii="Arial" w:cs="Arial" w:eastAsia="Arial" w:hAnsi="Arial"/>
          <w:sz w:val="15"/>
          <w:szCs w:val="15"/>
          <w:color w:val="auto"/>
        </w:rPr>
        <w:t>Other activity in exit reserves primarily represents asset charges related to a product line exit.</w:t>
      </w:r>
    </w:p>
    <w:p>
      <w:pPr>
        <w:spacing w:after="0" w:line="217" w:lineRule="exact"/>
        <w:rPr>
          <w:rFonts w:ascii="Arial" w:cs="Arial" w:eastAsia="Arial" w:hAnsi="Arial"/>
          <w:sz w:val="20"/>
          <w:szCs w:val="20"/>
          <w:color w:val="auto"/>
          <w:vertAlign w:val="superscript"/>
        </w:rPr>
      </w:pPr>
    </w:p>
    <w:p>
      <w:pPr>
        <w:ind w:left="280" w:hanging="272"/>
        <w:spacing w:after="0"/>
        <w:tabs>
          <w:tab w:leader="none" w:pos="280" w:val="left"/>
        </w:tabs>
        <w:numPr>
          <w:ilvl w:val="0"/>
          <w:numId w:val="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Borrowings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Borrowings consisted of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 xml:space="preserve">Carrying amount </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Principal</w:t>
            </w: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4"/>
                <w:szCs w:val="14"/>
                <w:color w:val="auto"/>
              </w:rPr>
            </w:pPr>
          </w:p>
        </w:tc>
        <w:tc>
          <w:tcPr>
            <w:tcW w:w="126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67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Long-term</w:t>
            </w:r>
          </w:p>
        </w:tc>
        <w:tc>
          <w:tcPr>
            <w:tcW w:w="2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6700" w:type="dxa"/>
            <w:vAlign w:val="bottom"/>
            <w:gridSpan w:val="3"/>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3.15%</w:t>
            </w:r>
          </w:p>
        </w:tc>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10-year notes due November 15, 2025</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396,716</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1.25%</w:t>
            </w: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10-year notes due November 9, 2026 (euro-denominated)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697,073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724,310</w:t>
            </w:r>
          </w:p>
        </w:tc>
        <w:tc>
          <w:tcPr>
            <w:tcW w:w="0" w:type="dxa"/>
            <w:vAlign w:val="bottom"/>
          </w:tcPr>
          <w:p>
            <w:pPr>
              <w:spacing w:after="0"/>
              <w:rPr>
                <w:sz w:val="1"/>
                <w:szCs w:val="1"/>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0.750%</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8-year notes due November 4, 2027 (euro denominated)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603,107</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6.65%</w:t>
            </w: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30-year debentures due June 1, 2028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199,331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199,255</w:t>
            </w:r>
          </w:p>
        </w:tc>
        <w:tc>
          <w:tcPr>
            <w:tcW w:w="0" w:type="dxa"/>
            <w:vAlign w:val="bottom"/>
          </w:tcPr>
          <w:p>
            <w:pPr>
              <w:spacing w:after="0"/>
              <w:rPr>
                <w:sz w:val="1"/>
                <w:szCs w:val="1"/>
                <w:color w:val="auto"/>
              </w:rPr>
            </w:pPr>
          </w:p>
        </w:tc>
      </w:tr>
      <w:tr>
        <w:trPr>
          <w:trHeight w:val="230"/>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2.950%</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10-year notes due November 4, 2029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296,650</w:t>
            </w:r>
          </w:p>
        </w:tc>
        <w:tc>
          <w:tcPr>
            <w:tcW w:w="0" w:type="dxa"/>
            <w:vAlign w:val="bottom"/>
          </w:tcPr>
          <w:p>
            <w:pPr>
              <w:spacing w:after="0"/>
              <w:rPr>
                <w:sz w:val="1"/>
                <w:szCs w:val="1"/>
                <w:color w:val="auto"/>
              </w:rPr>
            </w:pPr>
          </w:p>
        </w:tc>
      </w:tr>
      <w:tr>
        <w:trPr>
          <w:trHeight w:val="230"/>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5.375%</w:t>
            </w:r>
          </w:p>
        </w:tc>
        <w:tc>
          <w:tcPr>
            <w:tcW w:w="6100" w:type="dxa"/>
            <w:vAlign w:val="bottom"/>
          </w:tcPr>
          <w:p>
            <w:pPr>
              <w:ind w:left="20"/>
              <w:spacing w:after="0"/>
              <w:rPr>
                <w:sz w:val="20"/>
                <w:szCs w:val="20"/>
                <w:color w:val="auto"/>
              </w:rPr>
            </w:pPr>
            <w:r>
              <w:rPr>
                <w:rFonts w:ascii="Arial" w:cs="Arial" w:eastAsia="Arial" w:hAnsi="Arial"/>
                <w:sz w:val="18"/>
                <w:szCs w:val="18"/>
                <w:color w:val="auto"/>
              </w:rPr>
              <w:t>30-year debentures due October 15, 2035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296,497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296,309</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6.60%</w:t>
            </w:r>
          </w:p>
        </w:tc>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30-year notes due March 15, 2038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248,053</w:t>
            </w:r>
          </w:p>
        </w:tc>
        <w:tc>
          <w:tcPr>
            <w:tcW w:w="0" w:type="dxa"/>
            <w:vAlign w:val="bottom"/>
          </w:tcPr>
          <w:p>
            <w:pPr>
              <w:spacing w:after="0"/>
              <w:rPr>
                <w:sz w:val="1"/>
                <w:szCs w:val="1"/>
                <w:color w:val="auto"/>
              </w:rPr>
            </w:pPr>
          </w:p>
        </w:tc>
      </w:tr>
      <w:tr>
        <w:trPr>
          <w:trHeight w:val="230"/>
        </w:trPr>
        <w:tc>
          <w:tcPr>
            <w:tcW w:w="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1"/>
              </w:rPr>
              <w:t>5.375%</w:t>
            </w:r>
          </w:p>
        </w:tc>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30-year notes due March 1, 2041</w:t>
            </w: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344,636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344,429</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3,060,184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3,108,829</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340" w:hanging="170"/>
        <w:spacing w:after="0"/>
        <w:tabs>
          <w:tab w:leader="none" w:pos="340"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Carrying amount is net of unamortized debt discount and deferred debt issuance costs. Total unamortized debt discounts were</w:t>
      </w:r>
    </w:p>
    <w:p>
      <w:pPr>
        <w:ind w:left="180"/>
        <w:spacing w:after="0" w:line="257" w:lineRule="auto"/>
        <w:rPr>
          <w:sz w:val="20"/>
          <w:szCs w:val="20"/>
          <w:color w:val="auto"/>
        </w:rPr>
      </w:pPr>
      <w:r>
        <w:rPr>
          <w:rFonts w:ascii="Arial" w:cs="Arial" w:eastAsia="Arial" w:hAnsi="Arial"/>
          <w:sz w:val="16"/>
          <w:szCs w:val="16"/>
          <w:color w:val="auto"/>
        </w:rPr>
        <w:t>$15.8 million and $17.6 million as of September 30, 2021 and December 31, 2020, respectively. Total deferred debt issuance costs were $13.0 million and $14.4 million as of September 30, 2021 and December 31, 2020, respectively.</w:t>
      </w: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September 30, 2021, the Company maintained a $1.0 billion five-year unsecured revolving credit facility (the "Credit Agreement") with a syndicate of banks which expires on October 4, 2024. At the Company's election, loans under the Credit Agreement will bear interest at a base rate plus an applicable margin. The Credit Agreement requires the Company to pay a facility fee and imposes various restrictions on the Company such as, among other things, a requirement to maintain a minimum interest coverage ratio of EBITDA to consolidated net interest expense of not less than 3.0 to 1. The Company uses the Credit Agreement principally as liquidity back-up for its commercial paper program and for general corporate purposes.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was in compliance with all covenants in the Credit Agreement and other long-term debt covenants at September 30, 2021 and had an interest coverage ratio of consolidated EBITDA to consolidated net interest expense of 14.9 to 1.</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the Company had approximately $154.8 million outstanding in letters of credit, surety bonds, and performance and other guarantees which expire on various dates through 2029. These letters of credit and bonds are primarily issued as security for insurance, warranty and other performance obligations. In general, we would only be liable for the amount of these guarantees in the event of default in the performance of our obligations.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ind w:right="9260" w:firstLine="8"/>
        <w:spacing w:after="0" w:line="566" w:lineRule="auto"/>
        <w:tabs>
          <w:tab w:leader="none" w:pos="260" w:val="left"/>
        </w:tabs>
        <w:numPr>
          <w:ilvl w:val="0"/>
          <w:numId w:val="8"/>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 xml:space="preserve">Financial Instruments </w:t>
      </w:r>
      <w:r>
        <w:rPr>
          <w:rFonts w:ascii="Arial" w:cs="Arial" w:eastAsia="Arial" w:hAnsi="Arial"/>
          <w:sz w:val="17"/>
          <w:szCs w:val="17"/>
          <w:b w:val="1"/>
          <w:bCs w:val="1"/>
          <w:color w:val="auto"/>
        </w:rPr>
        <w:t>Derivatives</w:t>
      </w:r>
    </w:p>
    <w:p>
      <w:pPr>
        <w:jc w:val="both"/>
        <w:spacing w:after="0" w:line="255" w:lineRule="auto"/>
        <w:rPr>
          <w:sz w:val="20"/>
          <w:szCs w:val="20"/>
          <w:color w:val="auto"/>
        </w:rPr>
      </w:pPr>
      <w:r>
        <w:rPr>
          <w:rFonts w:ascii="Arial" w:cs="Arial" w:eastAsia="Arial" w:hAnsi="Arial"/>
          <w:sz w:val="18"/>
          <w:szCs w:val="18"/>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to occur within the next twelve months that are denominated in non-functional currencies, with currency forward contracts designated as cash flow hedges. At September 30, 2021 and December 31, 2020, the Company had contracts with total notional amounts of $178,702 and $173,674, respectively, to exchange currencies, principally Euro, Pound Sterling, Swedish Krona, Chinese Yuan, Canadian Dollar, and Swiss Franc. The Company believes it is probable that all forecasted cash flow transactions will occur.</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had outstanding contracts with a total notional amount of $90,088 and $73,755 as of September 30, 2021 and December 31, 2020,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Condensed Consolidated Statements of Earnings.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fair values of derivative instruments held by the Company as of September 30, 2021 and December 31, 2020 and the balance sheet lines in which they are recorded: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60" w:type="dxa"/>
            <w:vAlign w:val="bottom"/>
            <w:gridSpan w:val="5"/>
          </w:tcPr>
          <w:p>
            <w:pPr>
              <w:ind w:left="800"/>
              <w:spacing w:after="0"/>
              <w:rPr>
                <w:sz w:val="20"/>
                <w:szCs w:val="20"/>
                <w:color w:val="auto"/>
              </w:rPr>
            </w:pPr>
            <w:r>
              <w:rPr>
                <w:rFonts w:ascii="Arial" w:cs="Arial" w:eastAsia="Arial" w:hAnsi="Arial"/>
                <w:sz w:val="18"/>
                <w:szCs w:val="18"/>
                <w:b w:val="1"/>
                <w:bCs w:val="1"/>
                <w:color w:val="auto"/>
              </w:rPr>
              <w:t>Fair Value Asset (Liability)</w:t>
            </w:r>
          </w:p>
        </w:tc>
        <w:tc>
          <w:tcPr>
            <w:tcW w:w="306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19"/>
                <w:szCs w:val="19"/>
                <w:color w:val="auto"/>
              </w:rPr>
            </w:pPr>
          </w:p>
        </w:tc>
        <w:tc>
          <w:tcPr>
            <w:tcW w:w="30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Balance Sheet Caption</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2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Foreign currency forward</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(2,057)</w:t>
            </w:r>
          </w:p>
        </w:tc>
        <w:tc>
          <w:tcPr>
            <w:tcW w:w="1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Other accrued expenses</w:t>
            </w:r>
          </w:p>
        </w:tc>
      </w:tr>
    </w:tbl>
    <w:p>
      <w:pPr>
        <w:spacing w:after="0" w:line="3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 cash flow hedge, the change in estimated fair value of a hedging instrument is recorded in accumulated other comprehensive (loss) earnings as a separate component of the Condensed Consolidated Statements of Stockholders' Equity and is reclassified into revenues and cost of goods and services in the Condensed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designated the €600,000 and €500,000 of euro-denominated notes issued November 9, 2016 and November 4, 2019, respectively, as hedges of a portion of its net investment in euro-denominated operations. Changes in the value of the euro-denominated debt are recognized in foreign currency translation adjustments within other comprehensive earnings of the Condensed Consolidated Statements of Comprehensive Earnings to offset changes in the value of the net investment in euro-denominated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earnings for the gains (losses) on net investment hedges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220" w:type="dxa"/>
            <w:vAlign w:val="bottom"/>
            <w:gridSpan w:val="6"/>
          </w:tcPr>
          <w:p>
            <w:pPr>
              <w:ind w:left="180"/>
              <w:spacing w:after="0"/>
              <w:rPr>
                <w:sz w:val="20"/>
                <w:szCs w:val="20"/>
                <w:color w:val="auto"/>
              </w:rPr>
            </w:pPr>
            <w:r>
              <w:rPr>
                <w:rFonts w:ascii="Arial" w:cs="Arial" w:eastAsia="Arial" w:hAnsi="Arial"/>
                <w:sz w:val="18"/>
                <w:szCs w:val="18"/>
                <w:b w:val="1"/>
                <w:bCs w:val="1"/>
                <w:color w:val="auto"/>
                <w:w w:val="98"/>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0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euro-denominated debt</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24,032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7"/>
              </w:rPr>
              <w:t>51,571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2"/>
              </w:rPr>
              <w:t>(58,659)</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(expense) benefit</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1"/>
              </w:rPr>
              <w:t>(5,446)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2"/>
              </w:rPr>
              <w:t>(11,669)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87"/>
              </w:rPr>
              <w:t>12,761</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(loss) on net investment hedges, net of tax</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18,586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87"/>
              </w:rPr>
              <w:t>39,902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2"/>
              </w:rPr>
              <w:t>(45,898)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are unobservable inputs in which little or no market data exists, therefore requiring an entity to develop its own assumptions.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September 30, 2021 and December 31, 2020:</w:t>
      </w:r>
    </w:p>
    <w:p>
      <w:pPr>
        <w:sectPr>
          <w:pgSz w:w="11900" w:h="16838" w:orient="portrait"/>
          <w:cols w:equalWidth="0" w:num="1">
            <w:col w:w="11240"/>
          </w:cols>
          <w:pgMar w:left="320" w:top="130" w:right="339" w:bottom="1440" w:gutter="0" w:footer="0" w:header="0"/>
        </w:sectPr>
      </w:pPr>
    </w:p>
    <w:p>
      <w:pPr>
        <w:spacing w:after="0" w:line="1" w:lineRule="exact"/>
        <w:rPr>
          <w:sz w:val="20"/>
          <w:szCs w:val="20"/>
          <w:color w:val="auto"/>
        </w:rPr>
      </w:pPr>
    </w:p>
    <w:p>
      <w:pPr>
        <w:jc w:val="center"/>
        <w:ind w:left="7300"/>
        <w:spacing w:after="0"/>
        <w:rPr>
          <w:sz w:val="20"/>
          <w:szCs w:val="20"/>
          <w:color w:val="auto"/>
        </w:rPr>
      </w:pPr>
      <w:r>
        <w:rPr>
          <w:rFonts w:ascii="Arial" w:cs="Arial" w:eastAsia="Arial" w:hAnsi="Arial"/>
          <w:sz w:val="16"/>
          <w:szCs w:val="16"/>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31750</wp:posOffset>
            </wp:positionV>
            <wp:extent cx="12941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43" w:lineRule="exact"/>
        <w:rPr>
          <w:sz w:val="20"/>
          <w:szCs w:val="20"/>
          <w:color w:val="auto"/>
        </w:rPr>
      </w:pPr>
    </w:p>
    <w:p>
      <w:pPr>
        <w:jc w:val="center"/>
        <w:ind w:left="7300"/>
        <w:spacing w:after="0"/>
        <w:rPr>
          <w:sz w:val="20"/>
          <w:szCs w:val="20"/>
          <w:color w:val="auto"/>
        </w:rPr>
      </w:pPr>
      <w:r>
        <w:rPr>
          <w:rFonts w:ascii="Arial" w:cs="Arial" w:eastAsia="Arial" w:hAnsi="Arial"/>
          <w:sz w:val="18"/>
          <w:szCs w:val="18"/>
          <w:color w:val="auto"/>
        </w:rPr>
        <w:t>Level 2</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Arial" w:cs="Arial" w:eastAsia="Arial" w:hAnsi="Arial"/>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31750</wp:posOffset>
            </wp:positionV>
            <wp:extent cx="12947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Level 2</w:t>
      </w:r>
    </w:p>
    <w:p>
      <w:pPr>
        <w:spacing w:after="0" w:line="23" w:lineRule="exact"/>
        <w:rPr>
          <w:sz w:val="20"/>
          <w:szCs w:val="20"/>
          <w:color w:val="auto"/>
        </w:rPr>
      </w:pPr>
    </w:p>
    <w:p>
      <w:pPr>
        <w:sectPr>
          <w:pgSz w:w="11900" w:h="16838" w:orient="portrait"/>
          <w:cols w:equalWidth="0" w:num="2">
            <w:col w:w="8800" w:space="660"/>
            <w:col w:w="178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020" w:type="dxa"/>
            <w:vAlign w:val="bottom"/>
          </w:tcPr>
          <w:p>
            <w:pPr>
              <w:ind w:left="20"/>
              <w:spacing w:after="0"/>
              <w:rPr>
                <w:sz w:val="20"/>
                <w:szCs w:val="20"/>
                <w:color w:val="auto"/>
              </w:rPr>
            </w:pPr>
            <w:r>
              <w:rPr>
                <w:rFonts w:ascii="Arial" w:cs="Arial" w:eastAsia="Arial" w:hAnsi="Arial"/>
                <w:sz w:val="18"/>
                <w:szCs w:val="18"/>
                <w:color w:val="auto"/>
              </w:rPr>
              <w:t>Assets:</w:t>
            </w:r>
          </w:p>
        </w:tc>
        <w:tc>
          <w:tcPr>
            <w:tcW w:w="8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29"/>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cash flow hedges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cash flow hedges</w:t>
            </w: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interim disclosures regarding the fair value of all of the Company’s financial instruments.</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estimated fair value of long-term debt at September 30, 2021 and December 31, 2020, was $3,520,716 and $3,635,673, respectively. The estimated fair value of long-term debt is based on quoted market prices for similar instruments and is, therefore, classified as Level 2 within the fair value hierarchy.</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trade receivables, accounts payable and notes payable are reasonable estimates of their fair values as of September 30, 2021 and December 31, 2020 due to the short-term nature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12. Income Taxes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effective tax rates for the three months ended September 30, 2021 and 2020 were 19.5% and 20.2%, respectively. The decrease in the effective tax rate for the three months ended September 30, 2021 relative to the prior comparable period was primarily driven by favorable audit settlements.</w:t>
      </w:r>
    </w:p>
    <w:p>
      <w:pPr>
        <w:spacing w:after="0" w:line="1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effective tax rates for the nine months ended September 30, 2021 and 2020 were 19.0% and 19.3%, respectively. The decrease in the effective tax rate for the nine months ended September 30, 2021 relative to the prior year comparable period was primarily driven by favorable audit settlements.</w:t>
      </w:r>
    </w:p>
    <w:p>
      <w:pPr>
        <w:spacing w:after="0" w:line="15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zero to $9.7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13. Equity Incentive Program</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typically grants equity awards annually at its regularly scheduled first quarter meeting of the Compensation Committee of the Board of Directors. During the nine months ended September 30, 2021, the Company issued stock-settled appreciation rights ("SARs") covering 413,173 shares, performance share awards of 50,371 and restricted stock units ("RSUs") of 83,993.</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SARs is based on the U.S. Treasury yield curve in effect at the time of grant.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determining the fair value of the SARs awarded during the respective periods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2040" w:type="dxa"/>
            <w:vAlign w:val="bottom"/>
            <w:tcBorders>
              <w:bottom w:val="single" w:sz="8" w:color="auto"/>
            </w:tcBorders>
            <w:gridSpan w:val="3"/>
          </w:tcPr>
          <w:p>
            <w:pPr>
              <w:ind w:left="1400"/>
              <w:spacing w:after="0"/>
              <w:rPr>
                <w:sz w:val="20"/>
                <w:szCs w:val="20"/>
                <w:color w:val="auto"/>
              </w:rPr>
            </w:pPr>
            <w:r>
              <w:rPr>
                <w:rFonts w:ascii="Arial" w:cs="Arial" w:eastAsia="Arial" w:hAnsi="Arial"/>
                <w:sz w:val="18"/>
                <w:szCs w:val="18"/>
                <w:b w:val="1"/>
                <w:bCs w:val="1"/>
                <w:color w:val="auto"/>
              </w:rPr>
              <w:t>SARs</w:t>
            </w:r>
          </w:p>
        </w:tc>
        <w:tc>
          <w:tcPr>
            <w:tcW w:w="1180" w:type="dxa"/>
            <w:vAlign w:val="bottom"/>
            <w:tcBorders>
              <w:bottom w:val="single" w:sz="8" w:color="auto"/>
            </w:tcBorders>
          </w:tcPr>
          <w:p>
            <w:pPr>
              <w:spacing w:after="0"/>
              <w:rPr>
                <w:sz w:val="20"/>
                <w:szCs w:val="20"/>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560" w:type="dxa"/>
            <w:vAlign w:val="bottom"/>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1.65 %</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560" w:type="dxa"/>
            <w:vAlign w:val="bottom"/>
          </w:tcPr>
          <w:p>
            <w:pPr>
              <w:jc w:val="right"/>
              <w:spacing w:after="0"/>
              <w:rPr>
                <w:sz w:val="20"/>
                <w:szCs w:val="20"/>
                <w:color w:val="auto"/>
              </w:rPr>
            </w:pPr>
            <w:r>
              <w:rPr>
                <w:rFonts w:ascii="Arial" w:cs="Arial" w:eastAsia="Arial" w:hAnsi="Arial"/>
                <w:sz w:val="18"/>
                <w:szCs w:val="18"/>
                <w:color w:val="auto"/>
              </w:rPr>
              <w:t>30.49 %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22.76 %</w:t>
            </w:r>
          </w:p>
        </w:tc>
      </w:tr>
      <w:tr>
        <w:trPr>
          <w:trHeight w:val="216"/>
        </w:trPr>
        <w:tc>
          <w:tcPr>
            <w:tcW w:w="80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Grant price</w:t>
            </w:r>
          </w:p>
        </w:tc>
        <w:tc>
          <w:tcPr>
            <w:tcW w:w="1560" w:type="dxa"/>
            <w:vAlign w:val="bottom"/>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$119.86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r>
    </w:tbl>
    <w:p>
      <w:pPr>
        <w:spacing w:after="0" w:line="3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performance share awards granted in 2021 and 2020 are market condition awards as attainment is based on Dover's performance relative to its peer group (companies listed under the S&amp;P 500 Industrials sector) for the relevant performance period. The performance period and vesting period for these awards is three years. These awards were valued on the date of grant using the Monte Carlo simulation model (a binomial lattice-based valuation model) and are generally recognized ratably over the vesting period, and the fair value is not subject to change based on future market conditions. The assumptions used in determining the fair value of the performance shares granted in the respective periods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320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Performance Shares</w:t>
            </w:r>
          </w:p>
        </w:tc>
      </w:tr>
      <w:tr>
        <w:trPr>
          <w:trHeight w:val="223"/>
        </w:trPr>
        <w:tc>
          <w:tcPr>
            <w:tcW w:w="80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560" w:type="dxa"/>
            <w:vAlign w:val="bottom"/>
          </w:tcPr>
          <w:p>
            <w:pPr>
              <w:jc w:val="right"/>
              <w:spacing w:after="0"/>
              <w:rPr>
                <w:sz w:val="20"/>
                <w:szCs w:val="20"/>
                <w:color w:val="auto"/>
              </w:rPr>
            </w:pPr>
            <w:r>
              <w:rPr>
                <w:rFonts w:ascii="Arial" w:cs="Arial" w:eastAsia="Arial" w:hAnsi="Arial"/>
                <w:sz w:val="18"/>
                <w:szCs w:val="18"/>
                <w:color w:val="auto"/>
              </w:rPr>
              <w:t>1.62 %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1.65 %</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560" w:type="dxa"/>
            <w:vAlign w:val="bottom"/>
          </w:tcPr>
          <w:p>
            <w:pPr>
              <w:jc w:val="right"/>
              <w:spacing w:after="0"/>
              <w:rPr>
                <w:sz w:val="20"/>
                <w:szCs w:val="20"/>
                <w:color w:val="auto"/>
              </w:rPr>
            </w:pPr>
            <w:r>
              <w:rPr>
                <w:rFonts w:ascii="Arial" w:cs="Arial" w:eastAsia="Arial" w:hAnsi="Arial"/>
                <w:sz w:val="18"/>
                <w:szCs w:val="18"/>
                <w:color w:val="auto"/>
              </w:rPr>
              <w:t>31.90 %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23.30 %</w:t>
            </w:r>
          </w:p>
        </w:tc>
      </w:tr>
      <w:tr>
        <w:trPr>
          <w:trHeight w:val="216"/>
        </w:trPr>
        <w:tc>
          <w:tcPr>
            <w:tcW w:w="8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Grant price</w:t>
            </w:r>
          </w:p>
        </w:tc>
        <w:tc>
          <w:tcPr>
            <w:tcW w:w="1560" w:type="dxa"/>
            <w:vAlign w:val="bottom"/>
          </w:tcPr>
          <w:p>
            <w:pPr>
              <w:jc w:val="right"/>
              <w:spacing w:after="0"/>
              <w:rPr>
                <w:sz w:val="20"/>
                <w:szCs w:val="20"/>
                <w:color w:val="auto"/>
              </w:rPr>
            </w:pPr>
            <w:r>
              <w:rPr>
                <w:rFonts w:ascii="Arial" w:cs="Arial" w:eastAsia="Arial" w:hAnsi="Arial"/>
                <w:sz w:val="18"/>
                <w:szCs w:val="18"/>
                <w:color w:val="auto"/>
              </w:rPr>
              <w:t>$122.73</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$119.86</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has granted RSUs, and the fair value of these awards was determined using Dover's closing stock price on the date of grant.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Stock-based compensation is reported within selling, general and administrative expenses in the Condensed Consolidated Statements of Earnings. The following table summarizes the Company’s compensation expense relating to all stock-based incentive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40" w:type="dxa"/>
            <w:vAlign w:val="bottom"/>
          </w:tcPr>
          <w:p>
            <w:pPr>
              <w:spacing w:after="0"/>
              <w:rPr>
                <w:sz w:val="20"/>
                <w:szCs w:val="20"/>
                <w:color w:val="auto"/>
              </w:rPr>
            </w:pPr>
          </w:p>
        </w:tc>
        <w:tc>
          <w:tcPr>
            <w:tcW w:w="2840" w:type="dxa"/>
            <w:vAlign w:val="bottom"/>
            <w:gridSpan w:val="4"/>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506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stock-based compensation expense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8"/>
              </w:rPr>
              <w:t>25,053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15,591</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4"/>
              </w:rPr>
              <w:t>(2,357)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4"/>
              </w:rPr>
              <w:t>(1,822)</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8"/>
              </w:rPr>
              <w:t>22,696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8"/>
              </w:rPr>
              <w:t>13,769</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stock-based compensation expense for the nine months ended September 30, 2021 compared to the prior comparable period was primarily due to plan amendments made in the current year, which accelerated the vesting of shares awarded to retirement-eligible employees, as well as lower performance share attainment rates in the prior year.</w:t>
      </w:r>
    </w:p>
    <w:p>
      <w:pPr>
        <w:spacing w:after="0" w:line="207" w:lineRule="exact"/>
        <w:rPr>
          <w:sz w:val="20"/>
          <w:szCs w:val="20"/>
          <w:color w:val="auto"/>
        </w:rPr>
      </w:pPr>
    </w:p>
    <w:p>
      <w:pPr>
        <w:ind w:right="7820" w:firstLine="8"/>
        <w:spacing w:after="0" w:line="534" w:lineRule="auto"/>
        <w:tabs>
          <w:tab w:leader="none" w:pos="270" w:val="left"/>
        </w:tabs>
        <w:numPr>
          <w:ilvl w:val="0"/>
          <w:numId w:val="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Commitments and Contingent Liabilities </w:t>
      </w:r>
      <w:r>
        <w:rPr>
          <w:rFonts w:ascii="Arial" w:cs="Arial" w:eastAsia="Arial" w:hAnsi="Arial"/>
          <w:sz w:val="18"/>
          <w:szCs w:val="18"/>
          <w:b w:val="1"/>
          <w:bCs w:val="1"/>
          <w:color w:val="auto"/>
        </w:rPr>
        <w:t>Litigation</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the Company’s subsidiaries are involved in legal proceedings relating to the cleanup of waste disposal sites identified under federal and state statutes that provide for the allocation of such costs among "potentially responsible parties." In each instance, the extent of the Company’s liability appears to be very small in relation to the total projected expenditures and the number of other "potentially responsible parties" involved and is anticipated to be immaterial to the Company. In addition, certain of the Company’s subsidiaries are involved in ongoing remedial activities at certain current and former plant sites, in cooperation with regulatory agencies, and appropriate estimated liabilities have been established. At September 30, 2021 and December 31, 2020, the Company had estimated liabilities totaling $29,887 and $30,431, respectively, for environmental and other matters, including private party claims for exposure to hazardous substances that are probable and estimable.</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certain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the availability and extent of insurance coverage. The Company has estimated liabilities for legal matters that are probable and estimable, and at September 30, 2021 and December 31, 2020, these estimated liabilities were not significant.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Accruals</w:t>
      </w:r>
    </w:p>
    <w:p>
      <w:pPr>
        <w:spacing w:after="0" w:line="25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 The changes in the carrying amount of product warranties through September 30, 2021 and 2020, were as follows:</w:t>
      </w:r>
    </w:p>
    <w:tbl>
      <w:tblPr>
        <w:tblLayout w:type="fixed"/>
        <w:tblInd w:w="0" w:type="dxa"/>
        <w:tblCellMar>
          <w:top w:w="0" w:type="dxa"/>
          <w:left w:w="0" w:type="dxa"/>
          <w:bottom w:w="0" w:type="dxa"/>
          <w:right w:w="0" w:type="dxa"/>
        </w:tblCellMar>
      </w:tblPr>
      <w:tr>
        <w:trPr>
          <w:trHeight w:val="234"/>
        </w:trPr>
        <w:tc>
          <w:tcPr>
            <w:tcW w:w="8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December 31 of the Prior Year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49,116</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Provision for warranties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53,747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42,647</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(44,396)</w:t>
            </w:r>
          </w:p>
        </w:tc>
      </w:tr>
      <w:tr>
        <w:trPr>
          <w:trHeight w:val="22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adjustments, including acquisitions and currency translation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September 30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ind w:right="9140" w:firstLine="8"/>
        <w:spacing w:after="0" w:line="534" w:lineRule="auto"/>
        <w:tabs>
          <w:tab w:leader="none" w:pos="270" w:val="left"/>
        </w:tabs>
        <w:numPr>
          <w:ilvl w:val="0"/>
          <w:numId w:val="1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Employee Benefit Plans </w:t>
      </w:r>
      <w:r>
        <w:rPr>
          <w:rFonts w:ascii="Arial" w:cs="Arial" w:eastAsia="Arial" w:hAnsi="Arial"/>
          <w:sz w:val="18"/>
          <w:szCs w:val="18"/>
          <w:b w:val="1"/>
          <w:bCs w:val="1"/>
          <w:color w:val="auto"/>
        </w:rPr>
        <w:t>Retirement Plans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qualified defined benefit pension plans covering certain employees of the Company and its subsidiaries, although the U.S. qualified and non-qualified defined benefit plans are closed to new entrants. The plans’ benefits are generally based on years of service and employee compensation. The Company also provides to certain management employees, through non-qualified plans, supplemental retirement benefits in excess of qualified plan limits imposed by federal tax law.</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tables below set forth the components of the Company’s net periodic expense (income) relating to retirement benefit plans. The service cost component is recognized within selling, general and administrative expenses and cost of goods and services, depending on the functional area of the underlying employees included in the plans, and the non-operating components of pension costs are included within other income, net in the Condensed Consolidated Statements of Earnings.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Defined Benefits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9"/>
          </w:tcPr>
          <w:p>
            <w:pPr>
              <w:jc w:val="right"/>
              <w:ind w:right="19"/>
              <w:spacing w:after="0"/>
              <w:rPr>
                <w:sz w:val="20"/>
                <w:szCs w:val="20"/>
                <w:color w:val="auto"/>
              </w:rPr>
            </w:pPr>
            <w:r>
              <w:rPr>
                <w:rFonts w:ascii="Arial" w:cs="Arial" w:eastAsia="Arial" w:hAnsi="Arial"/>
                <w:sz w:val="16"/>
                <w:szCs w:val="16"/>
                <w:b w:val="1"/>
                <w:bCs w:val="1"/>
                <w:color w:val="auto"/>
              </w:rPr>
              <w:t>Three Months Ended September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9"/>
          </w:tcPr>
          <w:p>
            <w:pPr>
              <w:jc w:val="right"/>
              <w:ind w:right="59"/>
              <w:spacing w:after="0"/>
              <w:rPr>
                <w:sz w:val="20"/>
                <w:szCs w:val="20"/>
                <w:color w:val="auto"/>
              </w:rPr>
            </w:pPr>
            <w:r>
              <w:rPr>
                <w:rFonts w:ascii="Arial" w:cs="Arial" w:eastAsia="Arial" w:hAnsi="Arial"/>
                <w:sz w:val="16"/>
                <w:szCs w:val="16"/>
                <w:b w:val="1"/>
                <w:bCs w:val="1"/>
                <w:color w:val="auto"/>
              </w:rPr>
              <w:t>Nine Months Ended September 30,</w:t>
            </w:r>
          </w:p>
        </w:tc>
        <w:tc>
          <w:tcPr>
            <w:tcW w:w="760" w:type="dxa"/>
            <w:vAlign w:val="bottom"/>
            <w:tcBorders>
              <w:bottom w:val="single" w:sz="8" w:color="auto"/>
            </w:tcBorders>
          </w:tcPr>
          <w:p>
            <w:pPr>
              <w:spacing w:after="0"/>
              <w:rPr>
                <w:sz w:val="18"/>
                <w:szCs w:val="18"/>
                <w:color w:val="auto"/>
              </w:rPr>
            </w:pPr>
          </w:p>
        </w:tc>
      </w:tr>
      <w:tr>
        <w:trPr>
          <w:trHeight w:val="210"/>
        </w:trPr>
        <w:tc>
          <w:tcPr>
            <w:tcW w:w="2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U.S. Plan</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Non-U.S. Plans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U.S. Plan</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Non-U.S. Plans</w:t>
            </w:r>
          </w:p>
        </w:tc>
      </w:tr>
      <w:tr>
        <w:trPr>
          <w:trHeight w:val="210"/>
        </w:trPr>
        <w:tc>
          <w:tcPr>
            <w:tcW w:w="27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r>
      <w:tr>
        <w:trPr>
          <w:trHeight w:val="212"/>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3,954</w:t>
            </w: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2,460</w:t>
            </w:r>
          </w:p>
        </w:tc>
      </w:tr>
      <w:tr>
        <w:trPr>
          <w:trHeight w:val="229"/>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(5,033)</w:t>
            </w: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2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cost (credit)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230"/>
        </w:trPr>
        <w:tc>
          <w:tcPr>
            <w:tcW w:w="2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Recognized actuarial loss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2,253</w:t>
            </w:r>
          </w:p>
        </w:tc>
      </w:tr>
      <w:tr>
        <w:trPr>
          <w:trHeight w:val="234"/>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expense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3,269</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b w:val="1"/>
                <w:bCs w:val="1"/>
                <w:i w:val="1"/>
                <w:iCs w:val="1"/>
                <w:color w:val="auto"/>
              </w:rPr>
              <w:t>Non-Qualified Supplemental Benefits</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5060" w:type="dxa"/>
            <w:vAlign w:val="bottom"/>
          </w:tcPr>
          <w:p>
            <w:pPr>
              <w:spacing w:after="0"/>
              <w:rPr>
                <w:sz w:val="22"/>
                <w:szCs w:val="22"/>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40" w:type="dxa"/>
            <w:vAlign w:val="bottom"/>
          </w:tcPr>
          <w:p>
            <w:pPr>
              <w:spacing w:after="0"/>
              <w:rPr>
                <w:sz w:val="22"/>
                <w:szCs w:val="22"/>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06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3"/>
              </w:rPr>
              <w:t>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6"/>
              </w:rPr>
              <w:t>308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center"/>
              <w:ind w:left="670"/>
              <w:spacing w:after="0"/>
              <w:rPr>
                <w:sz w:val="20"/>
                <w:szCs w:val="20"/>
                <w:color w:val="auto"/>
              </w:rPr>
            </w:pPr>
            <w:r>
              <w:rPr>
                <w:rFonts w:ascii="Arial" w:cs="Arial" w:eastAsia="Arial" w:hAnsi="Arial"/>
                <w:sz w:val="18"/>
                <w:szCs w:val="18"/>
                <w:color w:val="auto"/>
                <w:w w:val="93"/>
              </w:rPr>
              <w:t>441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1,324</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Prior service cost</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6"/>
              </w:rPr>
              <w:t>383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center"/>
              <w:ind w:left="670"/>
              <w:spacing w:after="0"/>
              <w:rPr>
                <w:sz w:val="20"/>
                <w:szCs w:val="20"/>
                <w:color w:val="auto"/>
              </w:rPr>
            </w:pPr>
            <w:r>
              <w:rPr>
                <w:rFonts w:ascii="Arial" w:cs="Arial" w:eastAsia="Arial" w:hAnsi="Arial"/>
                <w:sz w:val="18"/>
                <w:szCs w:val="18"/>
                <w:color w:val="auto"/>
                <w:w w:val="93"/>
              </w:rPr>
              <w:t>424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1,271</w:t>
            </w:r>
          </w:p>
        </w:tc>
      </w:tr>
      <w:tr>
        <w:trPr>
          <w:trHeight w:val="229"/>
        </w:trPr>
        <w:tc>
          <w:tcPr>
            <w:tcW w:w="5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Recognized actuarial gain</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95"/>
              </w:rPr>
              <w:t>(464)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Net periodic expense</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663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3"/>
              </w:rPr>
              <w:t>719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r>
      <w:tr>
        <w:trPr>
          <w:trHeight w:val="21"/>
        </w:trPr>
        <w:tc>
          <w:tcPr>
            <w:tcW w:w="5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Retirement Plans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offers defined contribution retirement plans which cover the majority of its U.S. employees, as well as employees in certain other countries. The related expense is recognized within selling, general and administrative expenses and cost of goods and services, depending on the functional area of the underlying employees included in the plans. The Company’s expense relating to defined contribution plans was $15,001 and $12,530 for the three months ended September 30, 2021 and 2020, respectively, and $46,114 and $39,071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16. Other Comprehensive Earnings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Amounts reclassified from accumulated other comprehensive loss to earnings during the three and nine months ended September 30, 2021 and 2020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240" w:type="dxa"/>
            <w:vAlign w:val="bottom"/>
            <w:gridSpan w:val="6"/>
          </w:tcPr>
          <w:p>
            <w:pPr>
              <w:ind w:left="200"/>
              <w:spacing w:after="0"/>
              <w:rPr>
                <w:sz w:val="20"/>
                <w:szCs w:val="20"/>
                <w:color w:val="auto"/>
              </w:rPr>
            </w:pPr>
            <w:r>
              <w:rPr>
                <w:rFonts w:ascii="Arial" w:cs="Arial" w:eastAsia="Arial" w:hAnsi="Arial"/>
                <w:sz w:val="18"/>
                <w:szCs w:val="18"/>
                <w:b w:val="1"/>
                <w:bCs w:val="1"/>
                <w:color w:val="auto"/>
                <w:w w:val="98"/>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0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Pension plans: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Amortization of actuarial losses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3,064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2,194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9,223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6,501</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Total before tax</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3,338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7,587</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Cash flow hedges: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Net (gains) losses reclassified into earnings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(3,977)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provision (benefit)</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0"/>
        </w:trPr>
        <w:tc>
          <w:tcPr>
            <w:tcW w:w="5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the amortization of net actuarial gains and losses and prior service costs in other income, net within the Condensed Consolidated Statements of Earnings.</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17.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categorizes its operating companies into five reportable segments as follows:</w:t>
      </w:r>
    </w:p>
    <w:p>
      <w:pPr>
        <w:spacing w:after="0" w:line="252" w:lineRule="exact"/>
        <w:rPr>
          <w:sz w:val="20"/>
          <w:szCs w:val="20"/>
          <w:color w:val="auto"/>
        </w:rPr>
      </w:pPr>
    </w:p>
    <w:p>
      <w:pPr>
        <w:jc w:val="both"/>
        <w:ind w:left="660" w:right="2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15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Imaging &amp; Identification segment supplies precision marking and coding, product traceability and digital textile printing equipment, as well as related consumables, software and services.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Pumps &amp; Process Solutions segment manufactures specialty industrial pumps, fluid handling components, plastics and polymer processing equipment, single use pumps, flow meters and connectors for biopharma and other hygienic applications, and highly engineered components for rotating and reciprocating machines.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Refrigeration &amp; Food Equipment segment is a provider of innovative and energy-efficient equipment and systems that serve the commercial refrigeration, heating and cooling and food equipment markets.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and a reconciliation of segment results to consolidated results was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06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2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00" w:type="dxa"/>
            <w:vAlign w:val="bottom"/>
          </w:tcPr>
          <w:p>
            <w:pPr>
              <w:ind w:left="460"/>
              <w:spacing w:after="0"/>
              <w:rPr>
                <w:sz w:val="20"/>
                <w:szCs w:val="20"/>
                <w:color w:val="auto"/>
              </w:rPr>
            </w:pPr>
            <w:r>
              <w:rPr>
                <w:rFonts w:ascii="Arial" w:cs="Arial" w:eastAsia="Arial" w:hAnsi="Arial"/>
                <w:sz w:val="18"/>
                <w:szCs w:val="18"/>
                <w:color w:val="auto"/>
              </w:rPr>
              <w:t>Engineered Products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447,798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386,562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1,318,016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1,137,102</w:t>
            </w:r>
          </w:p>
        </w:tc>
      </w:tr>
      <w:tr>
        <w:trPr>
          <w:trHeight w:val="230"/>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Fueling Solutions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1,066,988</w:t>
            </w:r>
          </w:p>
        </w:tc>
      </w:tr>
      <w:tr>
        <w:trPr>
          <w:trHeight w:val="229"/>
        </w:trPr>
        <w:tc>
          <w:tcPr>
            <w:tcW w:w="5200" w:type="dxa"/>
            <w:vAlign w:val="bottom"/>
          </w:tcPr>
          <w:p>
            <w:pPr>
              <w:ind w:left="460"/>
              <w:spacing w:after="0"/>
              <w:rPr>
                <w:sz w:val="20"/>
                <w:szCs w:val="20"/>
                <w:color w:val="auto"/>
              </w:rPr>
            </w:pPr>
            <w:r>
              <w:rPr>
                <w:rFonts w:ascii="Arial" w:cs="Arial" w:eastAsia="Arial" w:hAnsi="Arial"/>
                <w:sz w:val="18"/>
                <w:szCs w:val="18"/>
                <w:color w:val="auto"/>
              </w:rPr>
              <w:t>Imaging &amp; Identification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292,535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265,690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870,939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750,432</w:t>
            </w:r>
          </w:p>
        </w:tc>
      </w:tr>
      <w:tr>
        <w:trPr>
          <w:trHeight w:val="230"/>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Pumps &amp; Process Solutions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976,506</w:t>
            </w:r>
          </w:p>
        </w:tc>
      </w:tr>
      <w:tr>
        <w:trPr>
          <w:trHeight w:val="229"/>
        </w:trPr>
        <w:tc>
          <w:tcPr>
            <w:tcW w:w="5200" w:type="dxa"/>
            <w:vAlign w:val="bottom"/>
          </w:tcPr>
          <w:p>
            <w:pPr>
              <w:ind w:left="460"/>
              <w:spacing w:after="0"/>
              <w:rPr>
                <w:sz w:val="20"/>
                <w:szCs w:val="20"/>
                <w:color w:val="auto"/>
              </w:rPr>
            </w:pPr>
            <w:r>
              <w:rPr>
                <w:rFonts w:ascii="Arial" w:cs="Arial" w:eastAsia="Arial" w:hAnsi="Arial"/>
                <w:sz w:val="18"/>
                <w:szCs w:val="18"/>
                <w:color w:val="auto"/>
              </w:rPr>
              <w:t>Refrigeration &amp; Food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429,425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368,395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1,232,008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973,835</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Intra-segment eliminations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consolidated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2,018,269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1,748,256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5,917,846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4,903,370</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Segment earnings (EBIT):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 xml:space="preserve">Engineered Products </w:t>
            </w:r>
            <w:r>
              <w:rPr>
                <w:rFonts w:ascii="Arial" w:cs="Arial" w:eastAsia="Arial" w:hAnsi="Arial"/>
                <w:sz w:val="23"/>
                <w:szCs w:val="23"/>
                <w:color w:val="auto"/>
                <w:vertAlign w:val="superscript"/>
              </w:rPr>
              <w:t>(2)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181,686</w:t>
            </w:r>
          </w:p>
        </w:tc>
      </w:tr>
      <w:tr>
        <w:trPr>
          <w:trHeight w:val="229"/>
        </w:trPr>
        <w:tc>
          <w:tcPr>
            <w:tcW w:w="5200" w:type="dxa"/>
            <w:vAlign w:val="bottom"/>
          </w:tcPr>
          <w:p>
            <w:pPr>
              <w:ind w:left="460"/>
              <w:spacing w:after="0"/>
              <w:rPr>
                <w:sz w:val="20"/>
                <w:szCs w:val="20"/>
                <w:color w:val="auto"/>
              </w:rPr>
            </w:pPr>
            <w:r>
              <w:rPr>
                <w:rFonts w:ascii="Arial" w:cs="Arial" w:eastAsia="Arial" w:hAnsi="Arial"/>
                <w:sz w:val="18"/>
                <w:szCs w:val="18"/>
                <w:color w:val="auto"/>
              </w:rPr>
              <w:t>Fueling Solutions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66,601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167,313</w:t>
            </w:r>
          </w:p>
        </w:tc>
      </w:tr>
      <w:tr>
        <w:trPr>
          <w:trHeight w:val="230"/>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Imaging &amp; Identification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141,456</w:t>
            </w:r>
          </w:p>
        </w:tc>
      </w:tr>
      <w:tr>
        <w:trPr>
          <w:trHeight w:val="229"/>
        </w:trPr>
        <w:tc>
          <w:tcPr>
            <w:tcW w:w="5200" w:type="dxa"/>
            <w:vAlign w:val="bottom"/>
          </w:tcPr>
          <w:p>
            <w:pPr>
              <w:ind w:left="460"/>
              <w:spacing w:after="0"/>
              <w:rPr>
                <w:sz w:val="20"/>
                <w:szCs w:val="20"/>
                <w:color w:val="auto"/>
              </w:rPr>
            </w:pPr>
            <w:r>
              <w:rPr>
                <w:rFonts w:ascii="Arial" w:cs="Arial" w:eastAsia="Arial" w:hAnsi="Arial"/>
                <w:sz w:val="18"/>
                <w:szCs w:val="18"/>
                <w:color w:val="auto"/>
              </w:rPr>
              <w:t>Pumps &amp; Process Solutions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142,414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89,786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404,691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223,567</w:t>
            </w:r>
          </w:p>
        </w:tc>
      </w:tr>
      <w:tr>
        <w:trPr>
          <w:trHeight w:val="229"/>
        </w:trPr>
        <w:tc>
          <w:tcPr>
            <w:tcW w:w="52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Refrigeration &amp; Food Equipment</w:t>
            </w:r>
            <w:r>
              <w:rPr>
                <w:rFonts w:ascii="Arial" w:cs="Arial" w:eastAsia="Arial" w:hAnsi="Arial"/>
                <w:sz w:val="23"/>
                <w:szCs w:val="23"/>
                <w:color w:val="auto"/>
                <w:vertAlign w:val="superscript"/>
              </w:rPr>
              <w:t>(3)</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75,147</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segment earnings (EBIT)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385,984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313,364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1,129,822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789,169</w:t>
            </w: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Corporate expense / other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87,011</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83,703</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Earnings before provision for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327,519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250,997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940,113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621,326</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119,981</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263,756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761,033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501,345</w:t>
            </w:r>
          </w:p>
        </w:tc>
      </w:tr>
      <w:tr>
        <w:trPr>
          <w:trHeight w:val="21"/>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hanging="8"/>
        <w:spacing w:after="0"/>
        <w:tabs>
          <w:tab w:leader="none" w:pos="489"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Segment earnings (EBIT) includes non-operating income and expense directly attributable to the segments. Non-operating income and expense includes gain on sale of a business and other income, net.</w:t>
      </w:r>
    </w:p>
    <w:p>
      <w:pPr>
        <w:spacing w:after="0" w:line="1" w:lineRule="exact"/>
        <w:rPr>
          <w:rFonts w:ascii="Arial" w:cs="Arial" w:eastAsia="Arial" w:hAnsi="Arial"/>
          <w:sz w:val="19"/>
          <w:szCs w:val="19"/>
          <w:color w:val="auto"/>
          <w:vertAlign w:val="superscript"/>
        </w:rPr>
      </w:pPr>
    </w:p>
    <w:p>
      <w:pPr>
        <w:ind w:left="500" w:hanging="168"/>
        <w:spacing w:after="0" w:line="197" w:lineRule="auto"/>
        <w:tabs>
          <w:tab w:leader="none" w:pos="500"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Q3 2021 includes a $9,078 payment received for previously incurred restructuring costs related to a product line exit.</w:t>
      </w:r>
    </w:p>
    <w:p>
      <w:pPr>
        <w:ind w:left="340" w:hanging="8"/>
        <w:spacing w:after="0" w:line="213" w:lineRule="auto"/>
        <w:tabs>
          <w:tab w:leader="none" w:pos="514"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 three and nine months ended September 30, 2020 include a $557 expense and a $5,213 gain on the sale of AMS Chino, respectively. The nine months ended September 30, 2020 also include a $3,640 write-off of assets.</w:t>
      </w:r>
    </w:p>
    <w:p>
      <w:pPr>
        <w:jc w:val="both"/>
        <w:ind w:left="340" w:right="20" w:hanging="8"/>
        <w:spacing w:after="0" w:line="224" w:lineRule="auto"/>
        <w:tabs>
          <w:tab w:leader="none" w:pos="50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overhead costs, deal related expenses and various administrative expenses relating to the corporate headquarters.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geography based on the location of the Company's customer:</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04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geography</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1,108,513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952,548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3,235,542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2,762,187</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1,356,435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1,065,109</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Asia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222,366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207,474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650,481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525,758</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Americas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380,104</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170,212</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2,018,269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5,917,846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4,903,370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18. Share Repurchases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2020, the Company's Board of Directors approved a new standing share repurchase authorization, whereby the Company may repurchase up to 20 million shares beginning on January 1, 2021 through December 31, 2023. This share repurchase authorization replaced the February 2018 share repurchase authorization.</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nine months ended September 30, 2021, the Company repurchased 182,951 shares of common stock at a total cost of $21,637, or $118.27 per share. There were no repurchases during the three months ended September 30, 2021. In the nine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months ended September 30, 2020, the Company repurchased 548,659 shares of common stock at a total cost of $52,916, or $96.45 per share. There were no repurchases during the three months ended September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19,817,049 shares remain authorized for repurchase under the November 2020 share repurchase authorization.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19.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reconciliation of the information used in computing basic and diluted earnings per share: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06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501,345</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143,976,000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144,032,000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143,895,000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144,082,000</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54"/>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145,440,000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145,289,000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145,220,000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145,313,000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the share amounts used in computing earnings per share: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shares outstanding - Basic</w:t>
      </w:r>
    </w:p>
    <w:p>
      <w:pPr>
        <w:spacing w:after="0" w:line="23" w:lineRule="exact"/>
        <w:rPr>
          <w:sz w:val="20"/>
          <w:szCs w:val="20"/>
          <w:color w:val="auto"/>
        </w:rPr>
      </w:pPr>
    </w:p>
    <w:p>
      <w:pPr>
        <w:ind w:left="20" w:right="200"/>
        <w:spacing w:after="0" w:line="234" w:lineRule="auto"/>
        <w:rPr>
          <w:sz w:val="20"/>
          <w:szCs w:val="20"/>
          <w:color w:val="auto"/>
        </w:rPr>
      </w:pPr>
      <w:r>
        <w:rPr>
          <w:rFonts w:ascii="Arial" w:cs="Arial" w:eastAsia="Arial" w:hAnsi="Arial"/>
          <w:sz w:val="18"/>
          <w:szCs w:val="18"/>
          <w:color w:val="auto"/>
        </w:rPr>
        <w:t>Dilutive effect of assumed exercise of SARs and vesting of performance shares and RSUs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shares outstanding - Diluted</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Three Months Ended September 30,</w:t>
            </w:r>
          </w:p>
        </w:tc>
        <w:tc>
          <w:tcPr>
            <w:tcW w:w="2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23"/>
        </w:trPr>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4"/>
        </w:trPr>
        <w:tc>
          <w:tcPr>
            <w:tcW w:w="1420" w:type="dxa"/>
            <w:vAlign w:val="bottom"/>
          </w:tcPr>
          <w:p>
            <w:pPr>
              <w:jc w:val="right"/>
              <w:spacing w:after="0"/>
              <w:rPr>
                <w:sz w:val="20"/>
                <w:szCs w:val="20"/>
                <w:color w:val="auto"/>
              </w:rPr>
            </w:pPr>
            <w:r>
              <w:rPr>
                <w:rFonts w:ascii="Arial" w:cs="Arial" w:eastAsia="Arial" w:hAnsi="Arial"/>
                <w:sz w:val="18"/>
                <w:szCs w:val="18"/>
                <w:color w:val="auto"/>
              </w:rPr>
              <w:t>143,976,000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144,032,000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143,895,000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144,082,000</w:t>
            </w:r>
          </w:p>
        </w:tc>
      </w:tr>
      <w:tr>
        <w:trPr>
          <w:trHeight w:val="404"/>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1,464,000</w:t>
            </w:r>
          </w:p>
        </w:tc>
        <w:tc>
          <w:tcPr>
            <w:tcW w:w="12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1,257,000</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1,325,000</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1,231,000</w:t>
            </w:r>
          </w:p>
        </w:tc>
      </w:tr>
      <w:tr>
        <w:trPr>
          <w:trHeight w:val="223"/>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145,440,000</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145,289,000</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145,220,000</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145,313,000</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-599440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-187960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130" w:right="339" w:bottom="1440" w:gutter="0" w:footer="0" w:header="0"/>
          <w:type w:val="continuous"/>
        </w:sectPr>
      </w:pP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 average number of anti-dilutive potential common shares excluded from the calculation above were approximately 1,000 and 36,000 for the three months ended September 30, 2021 and 2020, respectively, and 57,000 and 95,000 for the nine months ended September 30, 2021 and 2020, respectively.</w:t>
      </w:r>
    </w:p>
    <w:p>
      <w:pPr>
        <w:spacing w:after="0" w:line="207" w:lineRule="exact"/>
        <w:rPr>
          <w:sz w:val="20"/>
          <w:szCs w:val="20"/>
          <w:color w:val="auto"/>
        </w:rPr>
      </w:pPr>
    </w:p>
    <w:p>
      <w:pPr>
        <w:ind w:right="8100" w:firstLine="8"/>
        <w:spacing w:after="0" w:line="601" w:lineRule="auto"/>
        <w:tabs>
          <w:tab w:leader="none" w:pos="270" w:val="left"/>
        </w:tabs>
        <w:numPr>
          <w:ilvl w:val="0"/>
          <w:numId w:val="13"/>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 xml:space="preserve">Recent Accounting Pronouncements </w:t>
      </w:r>
      <w:r>
        <w:rPr>
          <w:rFonts w:ascii="Arial" w:cs="Arial" w:eastAsia="Arial" w:hAnsi="Arial"/>
          <w:sz w:val="16"/>
          <w:szCs w:val="16"/>
          <w:b w:val="1"/>
          <w:bCs w:val="1"/>
          <w:color w:val="auto"/>
        </w:rPr>
        <w:t>Recently Adopted Accounting Standards</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and January 2021, the FASB issued ASU No. 2020-04, Reference Rate Reform (Topic 848) Facilitation of the Effects of Reference Rate Reform on Financial Reporting and ASU 2021-01, Reference Rate Reform, Scope, respectively. These updates provide optional guidance for a limited time to ease the potential burden in accounting for (or recognizing the effects of) reference rate reform, including expedients and exceptions for applying GAAP to contracts, hedging relationships, and other transactions affected by reference rate reform if certain criteria are met. The amendments in these updates are elective and are effective upon issuance for all entities. The Company adopted the guidance during the third quarter of 2021. The adoption did not have a material impact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21. Subsequent Events</w:t>
      </w:r>
    </w:p>
    <w:p>
      <w:pPr>
        <w:spacing w:after="0" w:line="2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October 11, 2021, the Company entered into a definitive agreement to sell its Unified Brands business, which is part of the Refrigeration &amp; Food Equipment segment, to Electrolux Professional AB for approximately $244 million, on a cash free and debt free basis, subject to customary post-closing adjustments. Unified Brands did not meet the criteria for assets held for sale as of September 30, 2021 and, therefore, is presented as a component of continuing operations. Further, the sale of Unified Brands does not represent a strategic shift that will have a major effect on Dover's operations or financial results. Therefore, it will not qualify for presentation as a discontinued operation.</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October 15, 2021, the Company completed the acquisition of LIQAL B.V ("LIQAL"), a turn-key supplier of liquified natural gas and hydrogen refueling equipment and solutions and micro-liquefaction solutions, for approximately €20 million, plus potential contingent consideration. LIQAL will be included in the Fueling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the section below entitled "Special Notes Regarding Forward-Looking Statements" for a discussion of factors that could cause our actual results to differ from the forward-looking statements contained below and throughout this quarterly report.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Throughout this Management’s Discussion and Analysis of Financial Condition and Results of Operations ("MD&amp;A"), we refer to measures used by management to evaluate performance as well as liquidity, including a number of financial measures that are not defined under accounting principles generally accepted in the United States of America ("GAAP"). We believe these measures provide investors with important information that is useful in understanding our business results and trends. Explanations within this MD&amp;A provide more details on the use and derivation of these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Dover is a diversified global manufacturer and solutions provider delivering innovative equipment and components, consumable supplies, aftermarket parts, software and digital solutions, and support services through five operating segments: Engineered Products, Fueling Solutions, Imaging &amp; Identification, Pumps &amp; Process Solutions, and Refrigeration &amp; Food Equipment.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Dover's five operating segments are as follows:</w:t>
      </w:r>
    </w:p>
    <w:p>
      <w:pPr>
        <w:spacing w:after="0" w:line="252" w:lineRule="exact"/>
        <w:rPr>
          <w:sz w:val="20"/>
          <w:szCs w:val="20"/>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210"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15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Imaging &amp; Identification segment supplies precision marking and coding, product traceability and digital textile printing equipment, as well as related consumables, software and services.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Pumps &amp; Process Solutions segment manufactures specialty industrial pumps, fluid handling components, plastics and polymer processing equipment, single use pumps, flow meters and connectors for biopharma and other hygienic applications, and highly engineered components for rotating and reciprocating machines.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Refrigeration &amp; Food Equipment segment is a provider of innovative and energy-efficient equipment and systems that serve the commercial refrigeration, heating and cooling and food equipment markets.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third quarter of 2021, revenue was $2.0 billion, which increased $270.0 million, or 15.4%, as compared to the third quarter of 2020. This was driven by organic revenue growth of 13.2%, a favorable impact from foreign currency translation of 1.1%, and acquisition-related revenue growth of 1.1%.</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13.2% organic revenue growth for the third quarter of 2021 was broad-based across our segments as market conditions and demand improved from the adverse impact of COVID-19 in the prior year. The Engineered Products segment had organic revenue growth of 14.2% primarily as a result of strength in our waste handling, vehicle services and industrial automation businesses, whereas our aerospace and defense business declined year-over-year due to in part to supplier component input constraints and labor availability. The Fueling Solutions segment had organic revenue growth of 3.0% driven by growth in retail fueling in North American and EMEA, as well as strength in vehicle wash solutions. The Imaging &amp; Identification segment experienced organic revenue growth of 7.4% driven by increased demand in marking and coding and digital textile printing end markets. The Pumps &amp; Process Solutions segment had organic revenue growth of 24.6% reflecting strong demand in biopharma pumps and connectors, and industrial pumps, and recovery in bearings and compression components. The Refrigeration &amp; Food Equipment segment posted organic revenue growth of 16.0% across all end markets, principally driven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by robust activity in can-shaping, heat exchangers. Our food service equipment and retail refrigeration end markets, while delivering growth in the quarter, was impacted by supplier component input constraints and labor availability.</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a geographic perspective, in the third quarter, organic revenue for the U.S., our largest market, increased 15.7%. Organic revenue in Asia and Europe grew 4.6% and 15.5%, respectively. This organic growth was largely broad-based, with all our segments posting increased sales in North America, Europe, Asia and Latin America, as global demand continued to improve after the impact of operational and economic headwinds of COVID-19 experienced in the prior year.</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Bookings were $2.3 billion for the three months ended September 30, 2021, an increase of $490.9 million, or 27.2% compared to the prior year comparable period. Included in this result was organic growth of 24.8%, a favorable impact from foreign currency translation of 1.3%, and acquisition-related bookings growth of 1.1%. Bookings grew organically in all five segments primarily as a result of strong demand and order intake in most end markets compared to the adverse global impact of COVID-19 in the prior year.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Backlog as of September 30, 2021 was $2.8 billion, an increase from $1.6 billion in the prior year and $200 million from the second quarter of 2021. See definition of bookings and backlog within "Segment Results of Operations".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months ended September 30, 2021, we acquired two businesses in separate transactions for a total consideration of $90.0 million, net of cash acquired. We acquired 100% of the voting stock of CDS Visual, a leading provider of 3D visualization solutions tailored for industrial applications, for $29.3 million, net of cash acquired. The CDS Visual acquisition extends the Company's offering of customer-facing digital capabilities and its results will be reported as part the Engineered Products segment. We also acquired 100% of the voting stock of Espy, a manufacturer of advanced electronic radio frequency sensor systems, for $60.6 million, net of cash acquired. The Espy acquisition strengthens the Company's offering of complete signal intelligence systems with integrated software within the Engineered Products segment.</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Rightsizing benefit of $3.2 million included restructuring costs of $4.8 million and other benefits of $8.0 million for the three months ended September 30, 2021. Restructuring costs related to actions initiated in 2020 and 2021 in response to demand conditions, asset charges related to a product line exit, and broad-based operational efficiency initiatives focusing on footprint consolidation and IT centralization. See Note 9 — Restructuring Activities for further details. Other rightsizing benefits are comprised primarily of a $9.1 million payment received for previously incurred restructuring costs related to a product line exit, partially offset by $1.0 million of restructuring related costs pertaining to broad-based operational efficiency initiatives focusing on footprint consolidation and IT centralization.</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Subsequent to the third quarter of 2021, on October 11, 2021, we entered into a definitive agreement to sell its Unified Brands business, which is part of the Refrigeration &amp; Food Equipment segment, to Electrolux Professional AB for approximately $244 million, on a cash free and debt free basis, subject to customary post-closing adjustments. On October 15, 2021, we completed the acquisition of LIQAL, a turn-key supplier of liquified natural gas and hydrogen refueling equipment and solutions and micro-liquefaction solutions, for approximately €20 million, plus potential contingent consideration. LIQAL will be included in the Fueling Solutions segment. See Note 21 — Subsequent Events for further details.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global COVID-19 outbreak and associated countermeasures implemented by governments around the world, as well as increased business uncertainty, had an adverse impact on our financial results during 2020 through global shutdowns and supply chain and operational disruptions. We took a variety of actions during 2020 to help mitigate the financial impact, including executing temporary cost savings measures, reducing our capital spending, initiating restructuring actions and proactively managing our working capital. Activity in most of the end markets we serve has improved throughout 2021 year-to-date, although demand in certain businesses such as foodservice equipment, textile printing and bearings and compression components is expected to take longer to recover to pre-pandemic levels with continued improvement expected in the fourth quarter. The recovery in demand has had business impacts, including increased material cost inflation (principally steel), labor availability issues and logistics costs increases. Our businesses have also been impacted from supplier component input availability issues. Currently our expectation is that the impact of material cost inflation, labor and logistics constraints and to some extent supplier component input availability will continue into the fourth quarter of 2021.</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foremost focus has been on the health and safety of our employees throughout the pandemic and we will continue to maintain enhanced safety protocols and to encourage our employees to seek vaccination. Our core global manufacturing locations remained substantially operational throughout 2021 to date. As guidance from authorities such as the U.S. Centers for</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Disease Control and Prevention or the World Health Organization evolves, we will update our practices accordingly, as we have done throughout the pandemic.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CONSOLIDATED RESULTS OF OPERATIONS</w:t>
            </w:r>
          </w:p>
        </w:tc>
        <w:tc>
          <w:tcPr>
            <w:tcW w:w="7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000" w:type="dxa"/>
            <w:vAlign w:val="bottom"/>
            <w:vMerge w:val="restart"/>
          </w:tcPr>
          <w:p>
            <w:pPr>
              <w:ind w:left="20"/>
              <w:spacing w:after="0"/>
              <w:rPr>
                <w:sz w:val="20"/>
                <w:szCs w:val="20"/>
                <w:color w:val="auto"/>
              </w:rPr>
            </w:pPr>
            <w:r>
              <w:rPr>
                <w:rFonts w:ascii="Arial" w:cs="Arial" w:eastAsia="Arial" w:hAnsi="Arial"/>
                <w:sz w:val="18"/>
                <w:szCs w:val="18"/>
                <w:i w:val="1"/>
                <w:iCs w:val="1"/>
                <w:color w:val="auto"/>
                <w:w w:val="95"/>
              </w:rPr>
              <w:t>(dollars in thousands, except per share</w:t>
            </w:r>
          </w:p>
        </w:tc>
        <w:tc>
          <w:tcPr>
            <w:tcW w:w="3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7"/>
          </w:tcPr>
          <w:p>
            <w:pPr>
              <w:jc w:val="right"/>
              <w:ind w:right="55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30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vMerge w:val="restart"/>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3"/>
                <w:szCs w:val="13"/>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4"/>
              </w:rPr>
              <w:t>% Change</w:t>
            </w:r>
          </w:p>
        </w:tc>
        <w:tc>
          <w:tcPr>
            <w:tcW w:w="300" w:type="dxa"/>
            <w:vAlign w:val="bottom"/>
          </w:tcPr>
          <w:p>
            <w:pPr>
              <w:spacing w:after="0"/>
              <w:rPr>
                <w:sz w:val="13"/>
                <w:szCs w:val="13"/>
                <w:color w:val="auto"/>
              </w:rPr>
            </w:pPr>
          </w:p>
        </w:tc>
        <w:tc>
          <w:tcPr>
            <w:tcW w:w="114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i w:val="1"/>
                <w:iCs w:val="1"/>
                <w:color w:val="auto"/>
              </w:rPr>
              <w:t>data)</w:t>
            </w:r>
          </w:p>
        </w:tc>
        <w:tc>
          <w:tcPr>
            <w:tcW w:w="3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2,018,269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1,748,256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5,917,846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4,903,370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1,263,690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1,089,527</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16.0 %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3,669,547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3,080,800</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754,579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658,729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2,248,299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1,822,570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29"/>
        </w:trPr>
        <w:tc>
          <w:tcPr>
            <w:tcW w:w="3000" w:type="dxa"/>
            <w:vAlign w:val="bottom"/>
          </w:tcPr>
          <w:p>
            <w:pPr>
              <w:ind w:left="240"/>
              <w:spacing w:after="0"/>
              <w:rPr>
                <w:sz w:val="20"/>
                <w:szCs w:val="20"/>
                <w:color w:val="auto"/>
              </w:rPr>
            </w:pPr>
            <w:r>
              <w:rPr>
                <w:rFonts w:ascii="Arial" w:cs="Arial" w:eastAsia="Arial" w:hAnsi="Arial"/>
                <w:sz w:val="18"/>
                <w:szCs w:val="18"/>
                <w:i w:val="1"/>
                <w:iCs w:val="1"/>
                <w:color w:val="auto"/>
              </w:rPr>
              <w:t>Gross profit margin</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i w:val="1"/>
                <w:iCs w:val="1"/>
                <w:color w:val="auto"/>
              </w:rPr>
              <w:t>37.4 %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37.7 %</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i w:val="1"/>
                <w:iCs w:val="1"/>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38.0 %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37.2 %</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0.8</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5"/>
                <w:szCs w:val="15"/>
                <w:color w:val="auto"/>
              </w:rPr>
            </w:pPr>
          </w:p>
        </w:tc>
        <w:tc>
          <w:tcPr>
            <w:tcW w:w="112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412,553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381,831</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1,249,593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1,135,512</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i w:val="1"/>
                <w:iCs w:val="1"/>
                <w:color w:val="auto"/>
                <w:w w:val="99"/>
              </w:rPr>
              <w:t>Selling, general and administrative</w:t>
            </w:r>
          </w:p>
        </w:tc>
        <w:tc>
          <w:tcPr>
            <w:tcW w:w="3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20.4 %</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21.8 %</w:t>
            </w:r>
          </w:p>
        </w:tc>
        <w:tc>
          <w:tcPr>
            <w:tcW w:w="108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(1.4)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21.1 %</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23.2 %</w:t>
            </w:r>
          </w:p>
        </w:tc>
        <w:tc>
          <w:tcPr>
            <w:tcW w:w="108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(2.1)</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expenses as a percent of revenue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color w:val="auto"/>
              </w:rPr>
              <w:t>Operating earnings</w:t>
            </w:r>
          </w:p>
        </w:tc>
        <w:tc>
          <w:tcPr>
            <w:tcW w:w="30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342,026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276,898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998,706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687,058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26,433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27,724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79,917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83,703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(960)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(3,088)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(2,871)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sale of a business</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nm*</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(5,213)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(10,460)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nm*</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(18,236)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(9,887)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6"/>
        </w:trPr>
        <w:tc>
          <w:tcPr>
            <w:tcW w:w="30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Earnings before provision for income</w:t>
            </w:r>
          </w:p>
        </w:tc>
        <w:tc>
          <w:tcPr>
            <w:tcW w:w="3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327,519</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250,997</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30.5 %</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940,113</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621,326</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51.3 %</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3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63,763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50,697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179,080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119,981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49.3 %</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Effective tax rate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19.5 %</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20.2 %</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19.0 %</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19.3 %</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(0.3)</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263,756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200,300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761,033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501,345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51.8 %</w:t>
            </w: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Net earnings per common share - diluted $</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51.9 %</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three months ended September 30, 2021 increased $270.0 million, or 15.4%, from the prior year comparable quarter. Results included organic revenue growth of 13.2% across all of our segments as market conditions and demand improved from the adverse impact of COVID-19 in the prior year. Acquisition-related revenue growth was 1.1%, driven mainly by acquisitions in our Fueling Solutions and Imaging &amp; Identification segments, along with a favorable impact from foreign currency translation of 1.1%. Customer pricing favorably impacted revenue by approximately 3.6% in the third quarter of 2021.</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 for the nine months ended September 30, 2021 increased $1.0 billion, or 20.7%, from the comparable period. The increase primarily reflects organic revenue growth of 16.8%, across all of our segments as market conditions and demand improved from the adverse impact of COVID-19 in the prior year. Acquisition-related growth was 1.2% led by our Fueling Solutions and Imaging &amp; Identification segments, along with a favorable impact from foreign currency translation of 2.8%, slightly offset by a 0.1% impact from dispositions within the Refrigeration &amp; Food Equipment segment. Customer pricing favorably impacted revenue by approximately 2.2% for the nine months ended September 30,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Gross profit for the three months ended September 30, 2021 increased $95.9 million, or 14.6%, but gross profit margin decreased 30 basis points to 37.4%, from the prior year comparable quarter, due to increased material, labor and logistics costs offset partially by organic revenue growth, pricing, and benefits from productivity and cost reduction actions.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for the nine months ended September 30, 2021 increased $425.7 million, or 23.4%, from the comparable period, primarily due to organic revenue growth of 16.8% and benefits from pricing and productivity initiatives and rightsizing actions,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increased material, labor and logistics costs as a well as production inefficiencies caused by supplier input component availability issues.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Gross profit margin increased by 80 basis points for the nine months ended September 30, 2021 from the comparable period.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for the three months ended September 30, 2021 increased $30.7 million, or 8.0%, from the prior year comparable quarter, primarily due to higher labor and acquisition related costs, and lower discretionary spend in the prior year. As a percentage of revenue, selling, general and administrative expenses improved 140 basis points to 20.4% due to an increase in the revenue base.</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Selling, general and administrative expenses for the nine months ended September 30, 2021 increased $114.1 million, or 10.0%, from the comparable period primarily due to higher labor and acquisition related costs, and lower discretionary spend in the prior year. Selling, general and administrative expenses as a percentage of revenue improved 210 basis points as compared to the prior year comparable period due to an increase in the revenue base.</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costs, including qualifying engineering costs, are expensed when incurred and amounted to $34.4 million and $36.4 million for the three months ended September 30, 2021 and 2020, respectively, and $116.8 million and $106.7 million, for the nine months ended September 30, 2021 and 2020, respectively. These costs as a percent of revenue were 1.7% and 2.1% for the three months ended September 30, 2021 and 2020, respectively, and 2.0% and 2.2% for the nine months ended September 30, 2021 and 2020,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a business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6, 2020, we sold the Chino, California branch of The AMS Group ("AMS Chino") within the Refrigeration &amp; Food Equipment segment for total consideration of $15.4 million, which included a working capital adjustment. A gain of $5.2 million was recognized on this sale. The disposal did not represent a strategic shift in operations and, therefore, did not qualify for presentation as discontinued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Other income, net for the three months ended September 30, 2021 increased $9.0 million from the prior year comparable period primarily due to investment income and lower foreign exchange losses from the remeasurement of foreign currency denominated balances.</w:t>
      </w:r>
    </w:p>
    <w:p>
      <w:pPr>
        <w:spacing w:after="0" w:line="19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Other income, net for the nine months ended September 30, 2021 increased $8.3 million from the prior year comparable period primarily due to investment income and lower foreign exchange losses from the remeasurement of foreign currency denominated balances.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effective tax rates for the three months ended September 30, 2021 and 2020 were 19.5% and 20.2%, respectively. The decrease in the effective tax rate for the three months ended September 30, 2021 relative to the prior year comparable quarter was primarily driven by favorable audit settlements.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rates for the nine months ended September 30, 2021 and 2020 were 19.0% and 19.3%, respectively. The slight decrease in the effective tax rate for the nine months ended September 30, 2021 relative to the prior year comparable period was primarily driven by favorable audit settlements.See Note 12 —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earnings for the three months ended September 30, 2021 increased 31.7% to $263.8 million, or $1.81 diluted earnings per share, from $200.3 million, or $1.38 diluted earnings per share, from the prior year comparable quarter. The increase in net earnings is mainly attributable to strong demand and robust recovery from prior year market conditions resulting in strong broad-based organic growth, favorable pricing initiatives, and benefits from productivity and restructuring actions. These benefits were partially offset by increased material, labor and logistics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earnings for the nine months ended September 30, 2021 increased 51.8% to $761.0 million, or $5.24 diluted earnings per share, from $501.3 million, or $3.45 diluted earnings per share, from the comparable period. The increase in net earnings was principally attributable to volume growth, pricing initiatives, productivity actions and benefits from rightsizing actions. These benefits were partially offset by increased material, labor and logistics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Rightsizing Activities, which includes Restructuring and Other Costs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three and nine months ended September 30, 2021, rightsizing activities included restructuring charges of $4.8 million and $20.7 million, respectively, and other benefits, net, of $8.0 million and $8.9 million, respectively. See Note 9 — Restructuring Activities for further details on restructuring expense for the three months ended September 30, 2021. Restructuring expense for the nine months ended September 30, 2021 was comprised primarily of $8.6 million in new actions initiated in 2020 and 2021 in response to demand conditions and broad-based operational efficiency initiatives focusing on footprint consolidation and IT centralization, and asset charges of $12.1 million, including $9.1 million related to a product line exit. Other benefits, net for the three months ended September 30, 2021 was comprised primarily of a $9.1 million payment received for previously incurred restructuring costs related to a product line exit ($7.3 million is classified within costs of goods and services and $1.8 million within selling, general and administrative expenses), partially offset by $1.0 million of restructuring related costs. Other benefits, net for the nine months ended September 30, 2021 was comprised primarily of a $9.1 million payment received for previously incurred restructuring costs related to a product line exit, $3.3 million of gains on sales of assets as a result of restructuring actions, partially offset by $3.4 million of restructuring related costs principally pertaining to footprint consolidation and IT centralization costs. These rightsizing charges were recorded in cost of goods and services and selling, general and administrative expenses in the Condensed Consolidated Statement of Earnings. Additional programs beyond the scope of the announced programs may be implemented during 2021 with related restructuring charges.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rightsizing costs for the three and nine months ended September 30,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center"/>
              <w:ind w:left="259"/>
              <w:spacing w:after="0"/>
              <w:rPr>
                <w:sz w:val="20"/>
                <w:szCs w:val="20"/>
                <w:color w:val="auto"/>
              </w:rPr>
            </w:pPr>
            <w:r>
              <w:rPr>
                <w:rFonts w:ascii="Arial" w:cs="Arial" w:eastAsia="Arial" w:hAnsi="Arial"/>
                <w:sz w:val="16"/>
                <w:szCs w:val="16"/>
                <w:b w:val="1"/>
                <w:bCs w:val="1"/>
                <w:color w:val="auto"/>
                <w:w w:val="91"/>
              </w:rPr>
              <w:t>Three Months Ended September 30, 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6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Fueling</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Pumps &amp;</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5"/>
              </w:rPr>
              <w:t>Refrigeration &amp;</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3"/>
              </w:rPr>
              <w:t>Process</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Products</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Food Equipment</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1,293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4,790</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(benefits) costs,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(7,991)</w:t>
            </w:r>
          </w:p>
        </w:tc>
        <w:tc>
          <w:tcPr>
            <w:tcW w:w="0" w:type="dxa"/>
            <w:vAlign w:val="bottom"/>
          </w:tcPr>
          <w:p>
            <w:pPr>
              <w:spacing w:after="0"/>
              <w:rPr>
                <w:sz w:val="1"/>
                <w:szCs w:val="1"/>
                <w:color w:val="auto"/>
              </w:rPr>
            </w:pPr>
          </w:p>
        </w:tc>
      </w:tr>
      <w:tr>
        <w:trPr>
          <w:trHeight w:val="23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center"/>
              <w:ind w:left="259"/>
              <w:spacing w:after="0"/>
              <w:rPr>
                <w:sz w:val="20"/>
                <w:szCs w:val="20"/>
                <w:color w:val="auto"/>
              </w:rPr>
            </w:pPr>
            <w:r>
              <w:rPr>
                <w:rFonts w:ascii="Arial" w:cs="Arial" w:eastAsia="Arial" w:hAnsi="Arial"/>
                <w:sz w:val="16"/>
                <w:szCs w:val="16"/>
                <w:b w:val="1"/>
                <w:bCs w:val="1"/>
                <w:color w:val="auto"/>
                <w:w w:val="91"/>
              </w:rPr>
              <w:t>Nine Months Ended September 30, 2021</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6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Fueling</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Pumps &amp;</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5"/>
              </w:rPr>
              <w:t>Refrigeration &amp;</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3"/>
              </w:rPr>
              <w:t>Process</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Products</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Food Equipment</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4,637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20,661</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(benefits) costs,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(8,921)</w:t>
            </w:r>
          </w:p>
        </w:tc>
        <w:tc>
          <w:tcPr>
            <w:tcW w:w="0" w:type="dxa"/>
            <w:vAlign w:val="bottom"/>
          </w:tcPr>
          <w:p>
            <w:pPr>
              <w:spacing w:after="0"/>
              <w:rPr>
                <w:sz w:val="1"/>
                <w:szCs w:val="1"/>
                <w:color w:val="auto"/>
              </w:rPr>
            </w:pPr>
          </w:p>
        </w:tc>
      </w:tr>
      <w:tr>
        <w:trPr>
          <w:trHeight w:val="23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4,021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three and nine months ended September 30, 2020, rightsizing activities included restructuring charges of $6.7 million and $26.4 million, respectively, and other benefits of $0.9 million and other costs of $4.2 million, respectively. Restructuring expense was comprised primarily of new actions taken in response to lower demand driven by COVID-19 and continuing broad-based selling, general and administrative expense reduction initiatives and broad-based operational efficiency initiatives focusing on footprint consolidation, operational optimization and IT centralization. Other costs and benefits was comprised primarily of other charges related to the restructuring actions and a $3.6 million write-off of assets offset by a $1.7 million gain on sale of assets in our Refrigeration &amp; Food Equipment segment as a result of restructuring actions. These rightsizing charges were recorded in cost of goods and services and selling, general and administrative expenses in the Condensed Consolidated Statement of Earnings.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rightsizing costs for the three and nine months ended September 30, 2020: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6"/>
                <w:szCs w:val="16"/>
                <w:b w:val="1"/>
                <w:bCs w:val="1"/>
                <w:color w:val="auto"/>
                <w:w w:val="91"/>
              </w:rPr>
              <w:t>Three Months Ended September 30, 2020</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6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Fueling</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Pumps &amp;</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5"/>
              </w:rPr>
              <w:t>Refrigeration &amp;</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3"/>
              </w:rPr>
              <w:t>Process</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Products</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Food Equipment</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6,740</w:t>
            </w: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Other costs (benefits), net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(1,505)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34"/>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5,848</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319"/>
              <w:spacing w:after="0"/>
              <w:rPr>
                <w:sz w:val="20"/>
                <w:szCs w:val="20"/>
                <w:color w:val="auto"/>
              </w:rPr>
            </w:pPr>
            <w:r>
              <w:rPr>
                <w:rFonts w:ascii="Arial" w:cs="Arial" w:eastAsia="Arial" w:hAnsi="Arial"/>
                <w:sz w:val="16"/>
                <w:szCs w:val="16"/>
                <w:b w:val="1"/>
                <w:bCs w:val="1"/>
                <w:color w:val="auto"/>
                <w:w w:val="91"/>
              </w:rPr>
              <w:t>Nine Months Ended September 30, 2020</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6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Fueling</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Pumps &amp;</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5"/>
              </w:rPr>
              <w:t>Refrigeration &amp;</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3"/>
              </w:rPr>
              <w:t>Process</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Products</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Food Equipment</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10,271</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26,365</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4,182</w:t>
            </w:r>
          </w:p>
        </w:tc>
        <w:tc>
          <w:tcPr>
            <w:tcW w:w="0" w:type="dxa"/>
            <w:vAlign w:val="bottom"/>
          </w:tcPr>
          <w:p>
            <w:pPr>
              <w:spacing w:after="0"/>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10,308</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30,547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summary that follows provides a discussion of the results of operations of each of our five reportable operating segments (Engineered Products, Fueling Solutions, Imaging &amp; Identification, Pumps &amp; Process Solutions, and Refrigeration &amp; Food Equipment). Each of these segments is comprised of various product and service offerings that serve multiple markets. See Note 17 — Segment Information in the Condensed Consolidated Financial Statements in Item 1 of this Form 10-Q for a reconciliation of segment revenue and earnings to our consolidated revenue and net earnings. For further information, see "Non-GAAP Disclosures" at the end of this Item 2.</w:t>
      </w:r>
    </w:p>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Additionally, we use the following operational metrics in monitoring the performance of the business. We believe the operational metrics are useful to investors and other users of our financial information in assessing the performance of our segments:</w:t>
      </w:r>
    </w:p>
    <w:p>
      <w:pPr>
        <w:spacing w:after="0" w:line="198" w:lineRule="exact"/>
        <w:rPr>
          <w:sz w:val="20"/>
          <w:szCs w:val="20"/>
          <w:color w:val="auto"/>
        </w:rPr>
      </w:pPr>
    </w:p>
    <w:p>
      <w:pPr>
        <w:ind w:left="660" w:right="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Bookings represent total orders received from customers in the current reporting period. This metric is an important measure of performance and an indicator of revenue order trends.</w:t>
      </w:r>
    </w:p>
    <w:p>
      <w:pPr>
        <w:spacing w:after="0" w:line="197"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Organic bookings represent total orders received from customers in the current reporting period excluding the impact of foreign currency exchange rates and the impact of acquisitions and dispositions. This metric is an important measure of performance and an indicator of revenue order trends.</w:t>
      </w:r>
    </w:p>
    <w:p>
      <w:pPr>
        <w:spacing w:after="0" w:line="20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Backlog represents an estimate of the total remaining bookings at a point in time for which performance obligations have not yet been satisfied. This metric is useful as it represents the aggregate amount we expect to recognize as revenue in the future.</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Book-to-bill is a ratio of the amount of bookings received from customers during a period divided by the amount of revenue recorded during that same period. This metric is a useful indicator of demand.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Products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386,562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1,318,016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1,137,102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16"/>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 (EBIT)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181,686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11.9 %</w:t>
            </w:r>
          </w:p>
        </w:tc>
      </w:tr>
      <w:tr>
        <w:trPr>
          <w:trHeight w:val="230"/>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21.6 %</w:t>
            </w: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212,247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16"/>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381,139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1,528,277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1,074,484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42.2 %</w:t>
            </w:r>
          </w:p>
        </w:tc>
      </w:tr>
      <w:tr>
        <w:trPr>
          <w:trHeight w:val="230"/>
        </w:trPr>
        <w:tc>
          <w:tcPr>
            <w:tcW w:w="2900" w:type="dxa"/>
            <w:vAlign w:val="bottom"/>
          </w:tcPr>
          <w:p>
            <w:pPr>
              <w:ind w:left="36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662,834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373,458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77.5 %</w:t>
            </w:r>
          </w:p>
        </w:tc>
      </w:tr>
      <w:tr>
        <w:trPr>
          <w:trHeight w:val="216"/>
        </w:trPr>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r>
      <w:tr>
        <w:trPr>
          <w:trHeight w:val="229"/>
        </w:trPr>
        <w:tc>
          <w:tcPr>
            <w:tcW w:w="290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3"/>
        </w:trPr>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15.9 %</w:t>
            </w:r>
          </w:p>
        </w:tc>
      </w:tr>
      <w:tr>
        <w:trPr>
          <w:trHeight w:val="20"/>
        </w:trPr>
        <w:tc>
          <w:tcPr>
            <w:tcW w:w="2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2021 Compared to the Third Quarter 2020</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Engineered Products segment revenue for the third quarter of 2021 increased $61.2 million, or 15.8%, as compared to the third quarter of 2020, comprised primarily of organic growth of 14.2% and a favorable impact from foreign currency translation of 1.4%. Customer pricing favorably impacted revenue by approximately 6.5% in the third quarter. Pricing was higher than in prior quarters reflecting actions to recover increasing costs, as discussed below.</w:t>
      </w:r>
    </w:p>
    <w:p>
      <w:pPr>
        <w:spacing w:after="0" w:line="16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organic revenue growth was most notable in our waste handling, vehicle service, and industrial automation businesses. Our aerospace and defense business was down year-over-year as the business experienced push-outs of orders in Europe and continued labor and supplier component availability constraints that impacted shipments. Despite the strong organic growth and record high backlog levels, certain shipments in our waste handling and vehicle service groups were deferred to future quarters as a result of supply chain and labor availability constraints. We expect shipment performance in both businesses to improve in the coming quarters as these constraints begin to subside.</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Engineered Products segment earnings increased $6.8 million, or 10.5%, compared to the third quarter of 2020. The increase was primarily driven by conversion on increased volumes, benefits from rightsizing actions and a payment received for costs related to a product line exit, partially offset by unfavorable business mix, higher material and logistics costs, most notably steel and ocean &amp; air freight costs, as well as plant productivity shortfalls resulting from supply chain disruption and higher labor costs. As a result, segment operating margin decreased 80 basis points to 16.0% from 16.8% as compared to the prior year quarter.</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Bookings increased 31.9% for the segment, comprised primarily of organic growth of 30.3% and a favorable impact from foreign currency translation of 1.4%. The organic bookings growth was broad-based, most notably in our vehicle service, waste handling, industrial automation, and industrial winch and hoist businesses. Segment book-to-bill was 1.12. Backlog increased 77.5% compared to the prior year comparable quarter.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the Nine Months Ended September 30, 2020</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Engineered Products revenue for the nine months ended September 30, 2021 increased $180.9 million, or 15.9%, compared to the prior year comparable period. This was comprised of organic revenue growth of 13.3%, a favorable impact from foreign currency translation of 2.4%, and acquisition-related growth of 0.2%. The organic revenue growth was most notable in our waste handling, vehicle service, industrial automation, and aerospace and defense businesses. Customer pricing favorably impacted revenue by approximately 3.2% for the nine months ended September 30, 2021.</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earnings for the nine months ended September 30, 2021 increased $21.5 million, or 11.9%, as compared to the 2020 comparable period. This increase was primarily driven by conversion on increased volumes and benefits from productivity and rightsizing actions, partially offset by higher material and logistics costs, comprised primarily of increased steel and freight costs, which were not fully recovered by pricing actions. Segment margin decreased from 16.0% to 15.4% as compared to the prior year comparable period.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2" w:name="page33"/>
    <w:bookmarkEnd w:id="32"/>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Fueling Solutions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Our 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1,066,988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16.0 %</w:t>
            </w:r>
          </w:p>
        </w:tc>
      </w:tr>
      <w:tr>
        <w:trPr>
          <w:trHeight w:val="216"/>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167,313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26.0 %</w:t>
            </w:r>
          </w:p>
        </w:tc>
      </w:tr>
      <w:tr>
        <w:trPr>
          <w:trHeight w:val="230"/>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10.6 %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8.0 %</w:t>
            </w: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221,634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r>
        <w:trPr>
          <w:trHeight w:val="216"/>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1,343,635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1,068,470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r>
      <w:tr>
        <w:trPr>
          <w:trHeight w:val="229"/>
        </w:trPr>
        <w:tc>
          <w:tcPr>
            <w:tcW w:w="2900" w:type="dxa"/>
            <w:vAlign w:val="bottom"/>
          </w:tcPr>
          <w:p>
            <w:pPr>
              <w:ind w:left="36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312,176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204,574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52.6 %</w:t>
            </w:r>
          </w:p>
        </w:tc>
      </w:tr>
      <w:tr>
        <w:trPr>
          <w:trHeight w:val="216"/>
        </w:trPr>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30"/>
        </w:trPr>
        <w:tc>
          <w:tcPr>
            <w:tcW w:w="290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3"/>
        </w:trPr>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16.0 %</w:t>
            </w:r>
          </w:p>
        </w:tc>
      </w:tr>
      <w:tr>
        <w:trPr>
          <w:trHeight w:val="21"/>
        </w:trPr>
        <w:tc>
          <w:tcPr>
            <w:tcW w:w="2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2021 Compared to the Third Quarter 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Fueling Solutions segment revenue for the third quarter of 2021 increased $30.1 million, or 7.9%, as compared to the third quarter of 2020, comprised of organic growth of 3.0%, a favorable impact from foreign currency translation of 1.3%, and acquisition-related growth of 3.6%. Acquisition-related growth was driven by the acquisition of Innovative Control Systems, Inc. and AvaLAN Wireless Systems Incorporated. Customer pricing favorably impacted revenue by approximately 2.0% in the third quarter.</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organic revenue growth for the Fueling Solutions segment was driven by solid demand in our North American and EMEA retail fueling and vehicle wash solutions businesses, partially offset by continued softness in Asian retail fueling and transportation components. Supply chain challenges and labor availability headwinds during the third quarter adversely affected our ability to ship customer orders, inhibiting further contributions to organic revenue growth.</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Fueling Solutions segment earnings decreased $1.0 million, or 1.5%, over the prior year comparable quarter. The decrease was primarily driven by material and labor cost inflation as well as negative product mix, partially offset by pricing initiatives, productivity actions benefits from restructuring actions, and a favorable impact from acquisitions. Segment margin decreased to 16.0% from 17.5% in the prior year quarter due to similar factors that drove segment earnings.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bookings increased 21.9% as compared to the prior year comparable quarter, driven by organic growth of 15.8%, a favorable impact from foreign currency translation of 1.9%, and acquisition-related growth of 4.2%. Organic bookings growth was primarily driven by strong demand for retail fueling solutions in North America and Asia-Pacific, and continued order strength in vehicle wash solutions. Segment book to bill was 1.14. Backlog increased 52.6% as compared to the prior year comparable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the Nine Months Ended September 30, 2020</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Fueling Solutions segment revenue increased $170.3 million, or 16.0%, as compared to the nine months ended September 30, 2020, attributable to organic growth of 9.7%, a favorable impact from foreign currency translation of 2.8%, and acquisition-related growth of 3.5%. Organic revenue increases were driven by strong activity in our retail fueling and vehicle wash solutions businesses, given the broader market recovery due to reduced demand beginning in the first quarter and continuing through the third quarter of 2020 due to COVID-19. Customer pricing favorably impacted revenue by approximately 1.8% for the nine months ended September 30, 2021.</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Fueling Solutions segment earnings increased $43.5 million, or 26.0%, for the nine months ended September 30, 2021. The increase was driven by conversion on organic revenue growth, pricing initiatives, productivity actions, and a favorable impact from acquisitions, partially offset by material and labor cost inflation. Segment margin increased 136 basis points to 17.0% from 15.7% in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Imaging &amp; Identification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Imaging &amp; Identification segment supplies precision marking and coding, product traceability and digital textile printing equipment, as well as related consumables, software and services.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6"/>
          </w:tcPr>
          <w:p>
            <w:pPr>
              <w:jc w:val="right"/>
              <w:ind w:right="59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265,690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870,939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750,432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r>
      <w:tr>
        <w:trPr>
          <w:trHeight w:val="216"/>
        </w:trPr>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141,456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28.1 %</w:t>
            </w:r>
          </w:p>
        </w:tc>
      </w:tr>
      <w:tr>
        <w:trPr>
          <w:trHeight w:val="229"/>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3.3 %</w:t>
            </w: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169,258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r>
      <w:tr>
        <w:trPr>
          <w:trHeight w:val="216"/>
        </w:trPr>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2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266,423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760,342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16.7 %</w:t>
            </w:r>
          </w:p>
        </w:tc>
      </w:tr>
      <w:tr>
        <w:trPr>
          <w:trHeight w:val="229"/>
        </w:trPr>
        <w:tc>
          <w:tcPr>
            <w:tcW w:w="2920" w:type="dxa"/>
            <w:vAlign w:val="bottom"/>
          </w:tcPr>
          <w:p>
            <w:pPr>
              <w:ind w:left="36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204,766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171,158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19.6 %</w:t>
            </w:r>
          </w:p>
        </w:tc>
      </w:tr>
      <w:tr>
        <w:trPr>
          <w:trHeight w:val="216"/>
        </w:trPr>
        <w:tc>
          <w:tcPr>
            <w:tcW w:w="2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292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3"/>
        </w:trPr>
        <w:tc>
          <w:tcPr>
            <w:tcW w:w="2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16.1 %</w:t>
            </w:r>
          </w:p>
        </w:tc>
      </w:tr>
      <w:tr>
        <w:trPr>
          <w:trHeight w:val="20"/>
        </w:trPr>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2021 Compared to the Third Quarter 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Imaging &amp; Identification segment revenue for the third quarter of 2021 increased $26.8 million, or 10.1%, as compared to the third quarter of 2020, comprised of organic growth of 7.4%, a favorable impact from foreign currency translation of 1.5%, and acquisition-related growth of 1.2%. Acquisition-related growth was driven by the acquisitions of Solaris Laser S.A. in the third quarter of 2020 and of Blue Bite LLC in the second quarter of 2021. Customer pricing favorably impacted revenue by approximately 0.7% in the third quarter.</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Organic revenue growth was driven by both our marking and coding business, and our digital textile printing business. Our marking and coding business delivered continued solid growth in new equipment and associated services and consumables, as well as serialization software sales. Our digital textile printing business experienced gradual demand recovery compared to the third quarter of 2020 when demand for printed textiles was significantly reduced due to the impact of COVID-19 restrictions on the global apparel industry. While current global apparel retail volumes have improved substantially from this time last year, volumes have not yet returned to pre-pandemic levels and continue to be impacted by local business and travel restrictions, as well as work-from-home policies. We continue to believe we remain favorably positioned to gain from a longer-term transition from analog to digital printing by our customers, and believe some business model shifts within the industry driven by the COVID-19 pandemic may accelerate our customers’ need to shift from analog to digital printing.</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Imaging &amp; Identification segment earnings increased $11.5 million, or 22.1%, over the prior year comparable quarter. This increase was primarily driven by conversion on increased revenue and the benefits from productivity initiatives and restructuring actions. Segment margin increased to 21.7% from 19.5% in the prior year comparable quarter.</w:t>
      </w: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Overall bookings increased 10.3% as compared to the prior year comparable quarter, reflecting organic growth of 7.5%, a favorable impact from foreign currency translation of 1.7%, and acquisition-related growth of 1.1%. Segment book to bill was 1.00. Backlog increased 19.6% as compared to the prior year quarter primarily driven by increased order intake in our marking and coding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the Nine Months Ended September 30, 2020</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Imaging &amp; Identification segment revenue increased $120.5 million, or 16.1%, as compared to the nine months ended September 30, 2020, attributable to organic growth of 10.0%, a favorable impact from foreign currency translation of 4.5%, and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5" w:name="page36"/>
    <w:bookmarkEnd w:id="35"/>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acquisition-related growth of 1.6%. The organic revenue growth was primarily driven by continued strong demand for marking and coding equipment and associated services and consumables, serialization software sales, as well as a continuing gradual recovery in demand for printed textiles. Customer pricing favorably impacted revenue by approximately 0.9% for the nine months ended September 30, 2021.</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Imaging &amp; Identification segment earnings increased $39.7 million, or 28.1%, for the nine months ended September 30, 2021 over the prior year comparable period. The increase was primarily driven by conversion on increased revenue and the benefits from productivity initiatives and restructuring actions. Segment margin increased to 20.8% from 18.8% in the prior year comparable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Pumps &amp; Process Solutions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Pumps &amp; Process Solutions segment manufactures specialty industrial pumps, fluid handling components, plastics and polymer processing equipment, single use pumps, flow meters and connectors for biopharma and other hygienic applications, and highly engineered components for rotating and reciprocating machines.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6"/>
          </w:tcPr>
          <w:p>
            <w:pPr>
              <w:jc w:val="right"/>
              <w:ind w:right="59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347,875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976,506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r>
      <w:tr>
        <w:trPr>
          <w:trHeight w:val="216"/>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223,567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81.0 %</w:t>
            </w:r>
          </w:p>
        </w:tc>
      </w:tr>
      <w:tr>
        <w:trPr>
          <w:trHeight w:val="230"/>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106,992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276,681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64.9 %</w:t>
            </w:r>
          </w:p>
        </w:tc>
      </w:tr>
      <w:tr>
        <w:trPr>
          <w:trHeight w:val="216"/>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323,801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1,562,956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969,076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61.3 %</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682,415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361,631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88.7 %</w:t>
            </w:r>
          </w:p>
        </w:tc>
      </w:tr>
      <w:tr>
        <w:trPr>
          <w:trHeight w:val="216"/>
        </w:trPr>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25.4 %</w:t>
            </w:r>
          </w:p>
        </w:tc>
      </w:tr>
      <w:tr>
        <w:trPr>
          <w:trHeight w:val="230"/>
        </w:trPr>
        <w:tc>
          <w:tcPr>
            <w:tcW w:w="290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29"/>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23"/>
        </w:trPr>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29.2 %</w:t>
            </w:r>
          </w:p>
        </w:tc>
      </w:tr>
      <w:tr>
        <w:trPr>
          <w:trHeight w:val="20"/>
        </w:trPr>
        <w:tc>
          <w:tcPr>
            <w:tcW w:w="2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2021 Compared to the Third Quarter 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Pumps &amp; Process Solutions segment revenue for the third quarter of 2021 increased $90.4 million, or 26.0%, as compared to the third quarter of 2020, comprised of organic growth of 24.6%, a favorable impact from foreign currency translation of 1.2%, and acquisition-related growth of 0.2%. Acquisition-related growth was primarily driven by the acquisition of Quantex Arc Limited and one other immaterial acquisition. Customer pricing favorably impacted revenue by approximately 2.3% in the third quarter.</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organic revenue growth was primarily driven by continued robust demand in the biopharma and hygienic markets, where we saw continued strong demand for single use pumps and connectors used in biopharmaceutical production processes. Our industrial pumps business also contributed to top-line growth on strong end market demand, despite experiencing supply chain constraints and customer delivery challenges throughout the quarter. Revenue in bearings and compression components saw solid growth amidst continued recovery in end market demand. Demand in our plastics and polymer processing solutions business remained strong, however revenues declined year over year on the timing of customer shipments and high revenue in the prior year comparable quarter. We expect the broad-based strength across all our pumps and process solutions businesses to carry into the next quarter and beyond.</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Pumps &amp; Process Solutions segment earnings increased $52.6 million, or 58.6%, over the prior year comparable quarter. The increase was primarily driven by strong conversion on revenue growth, product mix, pricing initiatives, and productivity actions, partially offset by material and labor cost inflation. Segment margin increased to 32.5% from 25.8% from the prior year comparable quarter.</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Overall bookings increased 51.5% as compared to the prior year comparable quarter, reflecting organic growth of 50.1%, a favorable impact from foreign currency translation of 1.1%, and acquisition-related growth of 0.3%. Organic bookings growth was driven by significant growth in the biopharma and hygienic pumps and connectors markets, as well as strong order intake in industrial pumps and plastics &amp; polymer processing solutions, and increased demand in bearings and compression components. Segment book to bill was 1.12. Backlog increased 88.7% compared to the prior year comparable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the Nine Months Ended September 30, 2020</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Pumps &amp; Process Solutions segment revenue increased $284.8 million, or 29.2%, as compared to the nine months ended September 30, 2020, attributable to organic growth of 25.4%, a favorable impact from foreign currency translation of 3.1% and a 0.7% impact from acquisitions. The organic increase was principally driven by strong performance in the biopharma and hygienic pumps and connectors markets, along with solid growth in industrial pumps and plastics &amp; polymer processing solutions. Customer pricing favorably impacted revenue by approximately 1.5% for the nine months ended September 30, 2021.</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Pumps &amp; Process Solutions segment earnings increased $181.1 million, or 81.0%, for the nine months ended September 30, 2021 over the prior year comparable period. The increase was predominantly driven by conversion on revenue growth, product mix, pricing initiatives, and productivity actions, partially offset by material and labor cost inflation. Segment margin increased to 32.1% from 22.9% from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Refrigeration &amp; Food Equipment</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Refrigeration &amp; Food Equipment segment is a provider of innovative and energy-efficient equipment and systems that serve the commercial refrigeration, heating and cooling and food equipment 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right"/>
              <w:ind w:right="53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368,395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973,835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26.5 %</w:t>
            </w:r>
          </w:p>
        </w:tc>
      </w:tr>
      <w:tr>
        <w:trPr>
          <w:trHeight w:val="216"/>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Segment earnings</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72.9 %</w:t>
            </w:r>
          </w:p>
        </w:tc>
      </w:tr>
      <w:tr>
        <w:trPr>
          <w:trHeight w:val="230"/>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12,081</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4.3 %</w:t>
            </w:r>
          </w:p>
        </w:tc>
      </w:tr>
      <w:tr>
        <w:trPr>
          <w:trHeight w:val="223"/>
        </w:trPr>
        <w:tc>
          <w:tcPr>
            <w:tcW w:w="29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Segment EBITDA</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51.1 %</w:t>
            </w:r>
          </w:p>
        </w:tc>
      </w:tr>
      <w:tr>
        <w:trPr>
          <w:trHeight w:val="216"/>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Segment margin</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2900" w:type="dxa"/>
            <w:vAlign w:val="bottom"/>
          </w:tcPr>
          <w:p>
            <w:pPr>
              <w:ind w:left="20"/>
              <w:spacing w:after="0" w:line="230" w:lineRule="exact"/>
              <w:rPr>
                <w:sz w:val="20"/>
                <w:szCs w:val="20"/>
                <w:color w:val="auto"/>
              </w:rPr>
            </w:pPr>
            <w:r>
              <w:rPr>
                <w:rFonts w:ascii="Arial" w:cs="Arial" w:eastAsia="Arial" w:hAnsi="Arial"/>
                <w:sz w:val="18"/>
                <w:szCs w:val="18"/>
                <w:color w:val="auto"/>
              </w:rPr>
              <w:t>Segment EBITDA margin</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449,549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1,684,151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1,131,106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48.9 %</w:t>
            </w:r>
          </w:p>
        </w:tc>
      </w:tr>
      <w:tr>
        <w:trPr>
          <w:trHeight w:val="229"/>
        </w:trPr>
        <w:tc>
          <w:tcPr>
            <w:tcW w:w="2900" w:type="dxa"/>
            <w:vAlign w:val="bottom"/>
          </w:tcPr>
          <w:p>
            <w:pPr>
              <w:ind w:left="36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964,233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472,140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104.2 %</w:t>
            </w:r>
          </w:p>
        </w:tc>
      </w:tr>
      <w:tr>
        <w:trPr>
          <w:trHeight w:val="216"/>
        </w:trPr>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25.1 %</w:t>
            </w:r>
          </w:p>
        </w:tc>
      </w:tr>
      <w:tr>
        <w:trPr>
          <w:trHeight w:val="230"/>
        </w:trPr>
        <w:tc>
          <w:tcPr>
            <w:tcW w:w="2900" w:type="dxa"/>
            <w:vAlign w:val="bottom"/>
          </w:tcPr>
          <w:p>
            <w:pPr>
              <w:ind w:left="360"/>
              <w:spacing w:after="0"/>
              <w:rPr>
                <w:sz w:val="20"/>
                <w:szCs w:val="20"/>
                <w:color w:val="auto"/>
              </w:rPr>
            </w:pPr>
            <w:r>
              <w:rPr>
                <w:rFonts w:ascii="Arial" w:cs="Arial" w:eastAsia="Arial" w:hAnsi="Arial"/>
                <w:sz w:val="18"/>
                <w:szCs w:val="18"/>
                <w:color w:val="auto"/>
              </w:rPr>
              <w:t>Dispositions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3"/>
        </w:trPr>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26.5 %</w:t>
            </w:r>
          </w:p>
        </w:tc>
      </w:tr>
      <w:tr>
        <w:trPr>
          <w:trHeight w:val="20"/>
        </w:trPr>
        <w:tc>
          <w:tcPr>
            <w:tcW w:w="2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right="20" w:hanging="8"/>
        <w:spacing w:after="0" w:line="223" w:lineRule="auto"/>
        <w:tabs>
          <w:tab w:leader="none" w:pos="507"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Segment earnings (EBIT) and Segment EBITDA for the three and nine months ended September 30, 2020 include a $557 expense and a $5,213 net gain on the sale of AMS Chino, respectively. The nine months ended September 30, 2020 also include a $3,640 write-off of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2021 Compared to the Third Quarter 2020</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Refrigeration &amp; Food Equipment segment revenue increased $61.0 million, or 16.6%, as compared to the third quarter of 2020, reflecting organic revenue growth of 16.0% and a favorable impact from foreign currency translation of 0.6%. Customer pricing favorably impacted revenue by approximately 5.7% in the third quarter. Pricing was higher than in prior quarters reflecting actions to recover increasing costs, as discussed below.</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organic revenue growth was principally driven by robust demand across all our key end-markets. Can-shaping equipment revenues more than doubled from prior year, driven by continued favorable macro trends in the global beverage industry as producers shift from plastic and glass packaging to aluminum containers for environmental sustainability and merchandising benefits offered by modern aluminum containers. Our heat exchanger business experienced healthy growth across all regions, fueled by regulation-driven heat pump demand in Europe, robust demand in Asia and strengthening commercial HVAC and industrial markets globally. Commercial foodservice equipment revenues improved over the comparable prior year period, as many key restaurant chain customers resumed store investment programs once government mandated COVID-19 restrictions began to ease. Retail refrigeration experienced broad based growth as well, driven by robust remodel programs with key supermarket customers and strong growth for our natural refrigerant systems in both Europe and the U.S.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Refrigeration &amp; Food Equipment segment earnings increased $2.7 million, or 6.7%, as compared to the third quarter of 2020. Segment margin decreased to 10.0% from 10.9% in the prior year comparable quarter. The earnings increase was driven by conversion on increased volumes and mix, improved operational efficiencies and benefits from prior restructuring programs, offset by increased material and logistics costs, most notably metals, and plant productivity shortfalls resulting from supply chain disruption and increased labor costs most significantly in our retail refrigeration business. We expect the impact of increased metals costs and productivity shortfalls in retail refrigeration to continue into the next quarter.</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Bookings in the third quarter of 2021 increased 20.2% from the prior year comparable quarter, reflecting organic growth of 19.7% and a favorable impact from foreign currency translation of 0.5%. The organic bookings growth was principally driven by continued supermarket remodel programs in retail refrigeration and strong global demand for brazed plate heat exchangers.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book to bill for the third quarter of 2021 was 1.26. Backlog increased 104.2% over the prior year comparable quarter, reflective of the improving outlook across all businesses within the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the Nine Months Ended September 30, 2020</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Refrigeration &amp; Food Equipment segment revenue increased $258.2 million, or 26.5%, compared to the nine months ended September 30, 2020, reflecting an organic revenue growth of 25.1% and a favorable foreign currency translation of 1.9%, partially offset by a 0.5% impact from the disposition of AMS Chino. The organic revenue growth for the nine months ended September 30, 2021 was driven by strong growth across our key end markets, most notably retail refrigeration, can-shaping equipment and heat exchangers. Commercial foodservice equipment revenues exceeded prior year, driven by a strong recovery with restaurant chain customers due to the easing of COVID-19 government mandated restrictions. Customer pricing favorably impacted revenue by approximately 3.0% for the nine months ended September 30, 2021.</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Refrigeration &amp; Food Equipment segment earnings increased $54.8 million, or 72.9%, for the nine months ended September 30, 2021, as compared to the prior year comparable period. The increase was primarily due to conversion on increased volumes and benefits from prior restructuring programs, partially offset by increased material and logistics costs, most notably metals, and a prior year gain on the sale of AMS Chino. Segment margin increased to 10.5% from 7.7% in the prior year comparable period.</w:t>
      </w:r>
    </w:p>
    <w:p>
      <w:pPr>
        <w:sectPr>
          <w:pgSz w:w="11900" w:h="16838" w:orient="portrait"/>
          <w:cols w:equalWidth="0" w:num="1">
            <w:col w:w="11240"/>
          </w:cols>
          <w:pgMar w:left="320" w:top="130" w:right="339" w:bottom="9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903" w:gutter="0" w:footer="0" w:header="0"/>
          <w:type w:val="continuous"/>
        </w:sectPr>
      </w:pPr>
    </w:p>
    <w:bookmarkStart w:id="40" w:name="page41"/>
    <w:bookmarkEnd w:id="40"/>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repurchases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 Summary</w:t>
            </w: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7160" w:type="dxa"/>
            <w:vAlign w:val="bottom"/>
          </w:tcPr>
          <w:p>
            <w:pPr>
              <w:spacing w:after="0"/>
              <w:rPr>
                <w:sz w:val="20"/>
                <w:szCs w:val="20"/>
                <w:color w:val="auto"/>
              </w:rPr>
            </w:pPr>
            <w:r>
              <w:rPr>
                <w:rFonts w:ascii="Arial" w:cs="Arial" w:eastAsia="Arial" w:hAnsi="Arial"/>
                <w:sz w:val="18"/>
                <w:szCs w:val="18"/>
                <w:color w:val="auto"/>
                <w:w w:val="97"/>
              </w:rPr>
              <w:t>The following table is derived from our Condensed Consolidated Statements of Cash Flows:</w:t>
            </w: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7"/>
        </w:trPr>
        <w:tc>
          <w:tcPr>
            <w:tcW w:w="71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6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2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i w:val="1"/>
                <w:iCs w:val="1"/>
                <w:color w:val="auto"/>
              </w:rPr>
              <w:t>(dollars in thousands)</w:t>
            </w: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ind w:left="750"/>
              <w:spacing w:after="0"/>
              <w:rPr>
                <w:sz w:val="20"/>
                <w:szCs w:val="20"/>
                <w:color w:val="auto"/>
              </w:rPr>
            </w:pPr>
            <w:r>
              <w:rPr>
                <w:rFonts w:ascii="Arial" w:cs="Arial" w:eastAsia="Arial" w:hAnsi="Arial"/>
                <w:sz w:val="18"/>
                <w:szCs w:val="18"/>
                <w:color w:val="auto"/>
                <w:w w:val="89"/>
              </w:rPr>
              <w:t>788,586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ind w:left="690"/>
              <w:spacing w:after="0"/>
              <w:rPr>
                <w:sz w:val="20"/>
                <w:szCs w:val="20"/>
                <w:color w:val="auto"/>
              </w:rPr>
            </w:pPr>
            <w:r>
              <w:rPr>
                <w:rFonts w:ascii="Arial" w:cs="Arial" w:eastAsia="Arial" w:hAnsi="Arial"/>
                <w:sz w:val="18"/>
                <w:szCs w:val="18"/>
                <w:color w:val="auto"/>
                <w:w w:val="89"/>
              </w:rPr>
              <w:t>686,919</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0"/>
              </w:rPr>
              <w:t>(286,642)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0"/>
              </w:rPr>
              <w:t>(362,998)</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0"/>
                <w:szCs w:val="20"/>
                <w:color w:val="auto"/>
              </w:rPr>
            </w:pPr>
          </w:p>
        </w:tc>
        <w:tc>
          <w:tcPr>
            <w:tcW w:w="1580" w:type="dxa"/>
            <w:vAlign w:val="bottom"/>
          </w:tcPr>
          <w:p>
            <w:pPr>
              <w:jc w:val="center"/>
              <w:ind w:left="710"/>
              <w:spacing w:after="0"/>
              <w:rPr>
                <w:sz w:val="20"/>
                <w:szCs w:val="20"/>
                <w:color w:val="auto"/>
              </w:rPr>
            </w:pPr>
            <w:r>
              <w:rPr>
                <w:rFonts w:ascii="Arial" w:cs="Arial" w:eastAsia="Arial" w:hAnsi="Arial"/>
                <w:sz w:val="18"/>
                <w:szCs w:val="18"/>
                <w:color w:val="auto"/>
                <w:w w:val="90"/>
              </w:rPr>
              <w:t>(274,798)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center"/>
              <w:ind w:left="650"/>
              <w:spacing w:after="0"/>
              <w:rPr>
                <w:sz w:val="20"/>
                <w:szCs w:val="20"/>
                <w:color w:val="auto"/>
              </w:rPr>
            </w:pPr>
            <w:r>
              <w:rPr>
                <w:rFonts w:ascii="Arial" w:cs="Arial" w:eastAsia="Arial" w:hAnsi="Arial"/>
                <w:sz w:val="18"/>
                <w:szCs w:val="18"/>
                <w:color w:val="auto"/>
                <w:w w:val="90"/>
              </w:rPr>
              <w:t>(283,336)</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Cash provided by operating activities for the nine months ended September 30, 2021 increased approximately $101.7 million compared to the comparable period in 2020. This increase was primarily driven by higher net earnings, excluding the impact of depreciation, amortization and gain on sale of a business as well as lower compensation payouts in 2021 compared to 2020. This increase was partially offset by higher investments in working capital to support business growth. Additionally, 2020 included the impact of permitted deferrals of approximately $20 million of payroll taxes in the second and third quarters of 2020 to the fourth quarters of 2021 and 2022. There were no such deferrals in 2021.</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Adjusted Working Capital: </w:t>
      </w:r>
      <w:r>
        <w:rPr>
          <w:rFonts w:ascii="Arial" w:cs="Arial" w:eastAsia="Arial" w:hAnsi="Arial"/>
          <w:sz w:val="16"/>
          <w:szCs w:val="16"/>
          <w:color w:val="auto"/>
        </w:rPr>
        <w:t>We believe adjusted working capital (a non-GAAP measure calculated as accounts receivable, plus inventory, less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provides a meaningful measure of our operational results by showing changes caused solely by revenue. The following table provides a</w:t>
      </w: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reconciliation</w:t>
            </w:r>
          </w:p>
        </w:tc>
        <w:tc>
          <w:tcPr>
            <w:tcW w:w="800" w:type="dxa"/>
            <w:vAlign w:val="bottom"/>
          </w:tcPr>
          <w:p>
            <w:pPr>
              <w:ind w:left="220"/>
              <w:spacing w:after="0"/>
              <w:rPr>
                <w:sz w:val="20"/>
                <w:szCs w:val="20"/>
                <w:color w:val="auto"/>
              </w:rPr>
            </w:pPr>
            <w:r>
              <w:rPr>
                <w:rFonts w:ascii="Arial" w:cs="Arial" w:eastAsia="Arial" w:hAnsi="Arial"/>
                <w:sz w:val="18"/>
                <w:szCs w:val="18"/>
                <w:color w:val="auto"/>
              </w:rPr>
              <w:t>of</w:t>
            </w:r>
          </w:p>
        </w:tc>
        <w:tc>
          <w:tcPr>
            <w:tcW w:w="880" w:type="dxa"/>
            <w:vAlign w:val="bottom"/>
          </w:tcPr>
          <w:p>
            <w:pPr>
              <w:ind w:left="40"/>
              <w:spacing w:after="0"/>
              <w:rPr>
                <w:sz w:val="20"/>
                <w:szCs w:val="20"/>
                <w:color w:val="auto"/>
              </w:rPr>
            </w:pPr>
            <w:r>
              <w:rPr>
                <w:rFonts w:ascii="Arial" w:cs="Arial" w:eastAsia="Arial" w:hAnsi="Arial"/>
                <w:sz w:val="18"/>
                <w:szCs w:val="18"/>
                <w:color w:val="auto"/>
              </w:rPr>
              <w:t>adjusted</w:t>
            </w:r>
          </w:p>
        </w:tc>
        <w:tc>
          <w:tcPr>
            <w:tcW w:w="1080" w:type="dxa"/>
            <w:vAlign w:val="bottom"/>
          </w:tcPr>
          <w:p>
            <w:pPr>
              <w:ind w:left="240"/>
              <w:spacing w:after="0"/>
              <w:rPr>
                <w:sz w:val="20"/>
                <w:szCs w:val="20"/>
                <w:color w:val="auto"/>
              </w:rPr>
            </w:pPr>
            <w:r>
              <w:rPr>
                <w:rFonts w:ascii="Arial" w:cs="Arial" w:eastAsia="Arial" w:hAnsi="Arial"/>
                <w:sz w:val="18"/>
                <w:szCs w:val="18"/>
                <w:color w:val="auto"/>
              </w:rPr>
              <w:t>working</w:t>
            </w:r>
          </w:p>
        </w:tc>
        <w:tc>
          <w:tcPr>
            <w:tcW w:w="940" w:type="dxa"/>
            <w:vAlign w:val="bottom"/>
          </w:tcPr>
          <w:p>
            <w:pPr>
              <w:ind w:left="220"/>
              <w:spacing w:after="0"/>
              <w:rPr>
                <w:sz w:val="20"/>
                <w:szCs w:val="20"/>
                <w:color w:val="auto"/>
              </w:rPr>
            </w:pPr>
            <w:r>
              <w:rPr>
                <w:rFonts w:ascii="Arial" w:cs="Arial" w:eastAsia="Arial" w:hAnsi="Arial"/>
                <w:sz w:val="18"/>
                <w:szCs w:val="18"/>
                <w:color w:val="auto"/>
              </w:rPr>
              <w:t>capital</w:t>
            </w:r>
          </w:p>
        </w:tc>
        <w:tc>
          <w:tcPr>
            <w:tcW w:w="600" w:type="dxa"/>
            <w:vAlign w:val="bottom"/>
          </w:tcPr>
          <w:p>
            <w:pPr>
              <w:ind w:left="240"/>
              <w:spacing w:after="0"/>
              <w:rPr>
                <w:sz w:val="20"/>
                <w:szCs w:val="20"/>
                <w:color w:val="auto"/>
              </w:rPr>
            </w:pPr>
            <w:r>
              <w:rPr>
                <w:rFonts w:ascii="Arial" w:cs="Arial" w:eastAsia="Arial" w:hAnsi="Arial"/>
                <w:sz w:val="18"/>
                <w:szCs w:val="18"/>
                <w:color w:val="auto"/>
              </w:rPr>
              <w:t>to</w:t>
            </w:r>
          </w:p>
        </w:tc>
        <w:tc>
          <w:tcPr>
            <w:tcW w:w="700" w:type="dxa"/>
            <w:vAlign w:val="bottom"/>
          </w:tcPr>
          <w:p>
            <w:pPr>
              <w:ind w:left="240"/>
              <w:spacing w:after="0"/>
              <w:rPr>
                <w:sz w:val="20"/>
                <w:szCs w:val="20"/>
                <w:color w:val="auto"/>
              </w:rPr>
            </w:pPr>
            <w:r>
              <w:rPr>
                <w:rFonts w:ascii="Arial" w:cs="Arial" w:eastAsia="Arial" w:hAnsi="Arial"/>
                <w:sz w:val="18"/>
                <w:szCs w:val="18"/>
                <w:color w:val="auto"/>
              </w:rPr>
              <w:t>the</w:t>
            </w:r>
          </w:p>
        </w:tc>
        <w:tc>
          <w:tcPr>
            <w:tcW w:w="940" w:type="dxa"/>
            <w:vAlign w:val="bottom"/>
          </w:tcPr>
          <w:p>
            <w:pPr>
              <w:ind w:left="240"/>
              <w:spacing w:after="0"/>
              <w:rPr>
                <w:sz w:val="20"/>
                <w:szCs w:val="20"/>
                <w:color w:val="auto"/>
              </w:rPr>
            </w:pPr>
            <w:r>
              <w:rPr>
                <w:rFonts w:ascii="Arial" w:cs="Arial" w:eastAsia="Arial" w:hAnsi="Arial"/>
                <w:sz w:val="18"/>
                <w:szCs w:val="18"/>
                <w:color w:val="auto"/>
              </w:rPr>
              <w:t>most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directly</w:t>
            </w:r>
          </w:p>
        </w:tc>
        <w:tc>
          <w:tcPr>
            <w:tcW w:w="11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comparable</w:t>
            </w:r>
          </w:p>
        </w:tc>
        <w:tc>
          <w:tcPr>
            <w:tcW w:w="200" w:type="dxa"/>
            <w:vAlign w:val="bottom"/>
          </w:tcPr>
          <w:p>
            <w:pPr>
              <w:spacing w:after="0"/>
              <w:rPr>
                <w:sz w:val="20"/>
                <w:szCs w:val="20"/>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GAAP</w:t>
            </w:r>
          </w:p>
        </w:tc>
        <w:tc>
          <w:tcPr>
            <w:tcW w:w="960" w:type="dxa"/>
            <w:vAlign w:val="bottom"/>
          </w:tcPr>
          <w:p>
            <w:pPr>
              <w:jc w:val="right"/>
              <w:spacing w:after="0"/>
              <w:rPr>
                <w:sz w:val="20"/>
                <w:szCs w:val="20"/>
                <w:color w:val="auto"/>
              </w:rPr>
            </w:pPr>
            <w:r>
              <w:rPr>
                <w:rFonts w:ascii="Arial" w:cs="Arial" w:eastAsia="Arial" w:hAnsi="Arial"/>
                <w:sz w:val="18"/>
                <w:szCs w:val="18"/>
                <w:color w:val="auto"/>
              </w:rPr>
              <w:t>measure:</w:t>
            </w:r>
          </w:p>
        </w:tc>
      </w:tr>
      <w:tr>
        <w:trPr>
          <w:trHeight w:val="242"/>
        </w:trPr>
        <w:tc>
          <w:tcPr>
            <w:tcW w:w="400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 xml:space="preserve">Adjusted Working Capital </w:t>
            </w:r>
            <w:r>
              <w:rPr>
                <w:rFonts w:ascii="Arial" w:cs="Arial" w:eastAsia="Arial" w:hAnsi="Arial"/>
                <w:sz w:val="18"/>
                <w:szCs w:val="18"/>
                <w:i w:val="1"/>
                <w:iCs w:val="1"/>
                <w:color w:val="auto"/>
                <w:w w:val="99"/>
              </w:rPr>
              <w:t>(dollars in thousands)</w:t>
            </w: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80" w:type="dxa"/>
            <w:vAlign w:val="bottom"/>
            <w:gridSpan w:val="3"/>
          </w:tcPr>
          <w:p>
            <w:pPr>
              <w:ind w:left="24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21"/>
                <w:szCs w:val="21"/>
                <w:color w:val="auto"/>
              </w:rPr>
            </w:pPr>
          </w:p>
        </w:tc>
        <w:tc>
          <w:tcPr>
            <w:tcW w:w="17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8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1,351,144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1,137,223</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jc w:val="center"/>
              <w:ind w:left="110"/>
              <w:spacing w:after="0"/>
              <w:rPr>
                <w:sz w:val="20"/>
                <w:szCs w:val="20"/>
                <w:color w:val="auto"/>
              </w:rPr>
            </w:pPr>
            <w:r>
              <w:rPr>
                <w:rFonts w:ascii="Arial" w:cs="Arial" w:eastAsia="Arial" w:hAnsi="Arial"/>
                <w:sz w:val="18"/>
                <w:szCs w:val="18"/>
                <w:color w:val="auto"/>
                <w:w w:val="89"/>
              </w:rPr>
              <w:t>1,055,831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835,804</w:t>
            </w:r>
          </w:p>
        </w:tc>
      </w:tr>
      <w:tr>
        <w:trPr>
          <w:trHeight w:val="230"/>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Accounts payable</w:t>
            </w: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1,047,824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853,942</w:t>
            </w:r>
          </w:p>
        </w:tc>
      </w:tr>
      <w:tr>
        <w:trPr>
          <w:trHeight w:val="224"/>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Adjusted working capital</w:t>
            </w: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ind w:left="110"/>
              <w:spacing w:after="0"/>
              <w:rPr>
                <w:sz w:val="20"/>
                <w:szCs w:val="20"/>
                <w:color w:val="auto"/>
              </w:rPr>
            </w:pPr>
            <w:r>
              <w:rPr>
                <w:rFonts w:ascii="Arial" w:cs="Arial" w:eastAsia="Arial" w:hAnsi="Arial"/>
                <w:sz w:val="18"/>
                <w:szCs w:val="18"/>
                <w:color w:val="auto"/>
                <w:w w:val="89"/>
              </w:rPr>
              <w:t>1,359,151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1,119,085</w:t>
            </w:r>
          </w:p>
        </w:tc>
      </w:tr>
    </w:tbl>
    <w:p>
      <w:pPr>
        <w:spacing w:after="0" w:line="30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Adjusted working capital increased from December 31, 2020 by $240.1 million, or 21.5%, to $1.4 billion at September 30, 2021, which reflected an increase of $213.9 million in accounts receivable and $220.0 million in inventory, partially offset by an increase in accounts payable of $193.9 million. These amounts include the effects of acquisitions, dispositions and foreign currency translation. Accounts receivable increased compared to the prior year as a result of higher revenue. Inventories increased to support business growth and higher backlog which also drove an increase in accounts payable.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facilitate the opportunity for suppliers to participate in voluntary supply chain financing (“SCF”) programs with participating financial institutions. Participating suppliers have the ability to sell receivables due from us to SCF financial institutions at the discretion of both the suppliers and the SCF financial institutions, at no economic impact to the Company. The Company and our suppliers agree on commercial terms, including payment terms, for the goods and services we procure regardless of whether the supplier participates in SCF. For participating suppliers, our responsibility is limited to making all payments to the SCF financial institutions on the terms originally negotiated with the supplier, irrespective of whether the supplier elects to sell receivables to the SCF financial institution. The SCF financial institution pays the supplier on the invoice due date for any invoices that were not previously sold by the supplier to the SCF financial institution. Thus, suppliers using SCF have additional potential flexibility in managing their liquidity by accelerating, at their option and cost, collection of receivables due from Dover.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Outstanding payments related to SCF programs are recorded within accounts payable in our consolidated balance sheets. As of September 30, 2021 and December 31, 2020, amounts due to financial institutions for suppliers using SCF were approximately $218 million and $139 million, respectively. SCF related payments are classified as a reduction to cash flows from operations. During the nine months ended September 30, 2021 and 2020 amounts paid to SCF financial institutions were approximately $596 million and $448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from investing activities is derived from cash outflows for capital expenditures and acquisitions, offset by proceeds from sales of businesses and property, plant and equipment. For the nine months ended September 30, 2021 and 2020, we used cash in investing activities of $286.6 million and $363.0 million, respectively, driven mainly by the following factors:</w:t>
      </w:r>
    </w:p>
    <w:p>
      <w:pPr>
        <w:spacing w:after="0" w:line="211" w:lineRule="exact"/>
        <w:rPr>
          <w:sz w:val="20"/>
          <w:szCs w:val="20"/>
          <w:color w:val="auto"/>
        </w:rPr>
      </w:pPr>
    </w:p>
    <w:p>
      <w:pPr>
        <w:jc w:val="both"/>
        <w:ind w:left="660" w:hanging="328"/>
        <w:spacing w:after="0" w:line="275" w:lineRule="auto"/>
        <w:tabs>
          <w:tab w:leader="none" w:pos="655"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During the nine months ended September 30, 2021, we acquired Espy and CDS Visual within the Engineered Products segment,</w:t>
      </w:r>
      <w:r>
        <w:rPr>
          <w:rFonts w:ascii="Arial" w:cs="Arial" w:eastAsia="Arial" w:hAnsi="Arial"/>
          <w:sz w:val="17"/>
          <w:szCs w:val="17"/>
          <w:i w:val="1"/>
          <w:iCs w:val="1"/>
          <w:color w:val="auto"/>
        </w:rPr>
        <w:t xml:space="preserve"> </w:t>
      </w:r>
      <w:r>
        <w:rPr>
          <w:rFonts w:ascii="Arial" w:cs="Arial" w:eastAsia="Arial" w:hAnsi="Arial"/>
          <w:sz w:val="17"/>
          <w:szCs w:val="17"/>
          <w:color w:val="auto"/>
        </w:rPr>
        <w:t>AvaLAN and Blue Bite within the Fueling Solutions and Imaging &amp; Identification segments, respectively, and Quantex and one other immaterial acquisition within the Pumps &amp; Process Solutions segment for $171.3 million, net of cash acquired. During the nine months ended September 30, 2020, we acquired Systech, Soft-Pak, Em-tec, Solaris, and an immaterial business within the Imaging &amp; Identification, Engineered Products, and Pumps &amp; Process Solutions segments, respectively, for $258.7 million, net of cash acquired.</w:t>
      </w:r>
    </w:p>
    <w:p>
      <w:pPr>
        <w:spacing w:after="0" w:line="203" w:lineRule="exact"/>
        <w:rPr>
          <w:rFonts w:ascii="Arial" w:cs="Arial" w:eastAsia="Arial" w:hAnsi="Arial"/>
          <w:sz w:val="17"/>
          <w:szCs w:val="17"/>
          <w:i w:val="1"/>
          <w:iCs w:val="1"/>
          <w:color w:val="auto"/>
        </w:rPr>
      </w:pPr>
    </w:p>
    <w:p>
      <w:pPr>
        <w:ind w:left="660" w:hanging="328"/>
        <w:spacing w:after="0" w:line="30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Capital spending: </w:t>
      </w:r>
      <w:r>
        <w:rPr>
          <w:rFonts w:ascii="Arial" w:cs="Arial" w:eastAsia="Arial" w:hAnsi="Arial"/>
          <w:sz w:val="17"/>
          <w:szCs w:val="17"/>
          <w:color w:val="auto"/>
        </w:rPr>
        <w:t>Our capital expenditures decreased $2.4 million during the nine months ended September 30, 2021 compared to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2020. We continue to expect full year 2021 capital expenditures to be approximately $175-$200 million.</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sale of businesses: </w:t>
      </w:r>
      <w:r>
        <w:rPr>
          <w:rFonts w:ascii="Arial" w:cs="Arial" w:eastAsia="Arial" w:hAnsi="Arial"/>
          <w:sz w:val="18"/>
          <w:szCs w:val="18"/>
          <w:color w:val="auto"/>
        </w:rPr>
        <w:t>There were no proceeds from the sale of businesses during the nine months ended September 30, 2021.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2020, we received proceeds of $15.4 million from the sale of AMS Chino within the Refrigeration &amp; Food Equipment segment.</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anticipate that capital expenditures and any acquisitions we make through the remainder of 2021 will be funded from available cash and internally generated funds and through the issuance of commercial paper, use of lines of credit or public or private debt markets, as necessary.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flow from financing activities generally relates to the use of cash for purchases of our common stock and payment of dividends, offset by net borrowing activity. For the nine months ended September 30, 2021 and 2020, we used cash totaling $274.8 million and $283.3 million, respectively, for financing activities, with the activity primarily attributable to the following:</w:t>
      </w:r>
    </w:p>
    <w:p>
      <w:pPr>
        <w:spacing w:after="0" w:line="211" w:lineRule="exact"/>
        <w:rPr>
          <w:sz w:val="20"/>
          <w:szCs w:val="20"/>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Repurchase of common stock: </w:t>
      </w:r>
      <w:r>
        <w:rPr>
          <w:rFonts w:ascii="Arial" w:cs="Arial" w:eastAsia="Arial" w:hAnsi="Arial"/>
          <w:sz w:val="18"/>
          <w:szCs w:val="18"/>
          <w:color w:val="auto"/>
        </w:rPr>
        <w:t>During the nine months ended September 30, 2021, we used $21.6 million to repurchase 182,951 shares.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2020, we used $52.9 million to repurchase 548,659 shares.</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Long-term debt, commercial paper and notes payable: </w:t>
      </w:r>
      <w:r>
        <w:rPr>
          <w:rFonts w:ascii="Arial" w:cs="Arial" w:eastAsia="Arial" w:hAnsi="Arial"/>
          <w:sz w:val="18"/>
          <w:szCs w:val="18"/>
          <w:color w:val="auto"/>
        </w:rPr>
        <w:t>During the nine months ended September 30, 2021, we did not borrow or have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from long-term debt, commercial paper or notes payable. During the nine months ended September 30, 2020, we borrowed $500 million under the $1.0 billion Credit Agreement which was repaid during the same period. During the nine months ended September 30, 2020, we also received net proceeds from commercial paper of $5.8 million.</w:t>
      </w:r>
    </w:p>
    <w:p>
      <w:pPr>
        <w:spacing w:after="0" w:line="213" w:lineRule="exact"/>
        <w:rPr>
          <w:rFonts w:ascii="Arial" w:cs="Arial" w:eastAsia="Arial" w:hAnsi="Arial"/>
          <w:sz w:val="18"/>
          <w:szCs w:val="18"/>
          <w:i w:val="1"/>
          <w:iCs w:val="1"/>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Dividend payments: </w:t>
      </w:r>
      <w:r>
        <w:rPr>
          <w:rFonts w:ascii="Arial" w:cs="Arial" w:eastAsia="Arial" w:hAnsi="Arial"/>
          <w:sz w:val="18"/>
          <w:szCs w:val="18"/>
          <w:color w:val="auto"/>
        </w:rPr>
        <w:t>Dividends paid to shareholders during the nine months ended September 30, 2021 totaled $214.8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$213.0 million during the same period in 2020. Our dividends paid per common share increased 1.0% to $1.49 during the nine months ended September 30, 2021 compared to $1.475 during the same period in 2020.</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to settle employee tax obligations: </w:t>
      </w:r>
      <w:r>
        <w:rPr>
          <w:rFonts w:ascii="Arial" w:cs="Arial" w:eastAsia="Arial" w:hAnsi="Arial"/>
          <w:sz w:val="18"/>
          <w:szCs w:val="18"/>
          <w:color w:val="auto"/>
        </w:rPr>
        <w:t>Payments to settle tax obligations from the exercise of share-based awards increased $13.4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prior year period. The increase is primarily due to the increase in the number of shares exercised and an increase in the average stock price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We believe that free cash flow is an important measure of operating performance because it provides management and investors a measurement of cash generated from operations that is available for mandatory payment obligations and investment opportunities, such as funding acquisitions, paying dividends, repaying debt and repurchasing our common stock.</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The following table reconciles our free cash flow to cash flow provided by operating activities:</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7"/>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6"/>
              </w:rPr>
              <w:t>Nine Months Ended September 30,</w:t>
            </w:r>
          </w:p>
        </w:tc>
      </w:tr>
      <w:tr>
        <w:trPr>
          <w:trHeight w:val="22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i w:val="1"/>
                <w:iCs w:val="1"/>
                <w:color w:val="auto"/>
              </w:rPr>
              <w:t>(dollars in thousands)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provided by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788,586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686,919</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Capital expenditures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(121,157)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(123,564)</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667,429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563,355</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68"/>
        </w:trPr>
        <w:tc>
          <w:tcPr>
            <w:tcW w:w="7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as a percentage of revenue</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122"/>
        </w:trPr>
        <w:tc>
          <w:tcPr>
            <w:tcW w:w="7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as a percentage of net earnings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112.4 %</w:t>
            </w: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2021, we generated free cash flow of $667.4 million, representing 11.3% of revenue and 87.7% of net earnings. Free cash flow for the nine months ended September 30, 2021 increased $104.1 million compared to the prior year period, due to higher operating cash flow primarily as a result of higher earnings and lower compensation payments, partially offset by higher investments in working capital to support growth, and deferrals of tax payments in 2020 that did not repeat in 2021, as previously noted.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commercial paper borrowings for general corporate purposes, including the funding of acquisitions and the repurchase of our common stock. As of September 30, 2021, we maintained a $1 billion Credit Agreement with a syndicate of banks with an expiration date of October 4, 2024. The Credit Agreement is used as liquidity back-up for our commercial paper program and for general corporate purposes.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Beginning in early-to-mid-March 2020, the commercial paper market began to experience very high levels of volatility as a result of COVID-19 related uncertainties. Volatility was most pronounced for "Tier-2" issuers, such as Dover, and impacted both market access and pricing. As a result, on March 16, 2020, the Company borrowed $500 million under the Credit Agreement. Proceeds from the borrowing were used to repay all of the Company's outstanding commercial paper and for general corporate purposes. We subsequently repaid the $500 million in the second quarter of 2020 using proceeds from commercial paper as volatility in the commercial paper market stabilized and we resumed borrowing commercial paper.</w:t>
      </w:r>
    </w:p>
    <w:p>
      <w:pPr>
        <w:spacing w:after="0" w:line="20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Under the Credit Agreement, we are required to pay a facility fee and to maintain an interest coverage ratio of consolidated EBITDA to consolidated net interest expense of not less than 3.0 to 1.0. We were in compliance with this covenant and our other long-term debt covenants at September 30, 2021 and had a coverage ratio of 14.9 to 1. We are not aware of any potential impairment to our liquidity and expect to remain in compliance with all of our debt covenants. Additionally, our earliest long-term debt maturity is in 2025.</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 current shelf registration statement filed with the Securities and Exchange Commission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2021, our cash and cash equivalents totaled $739.1 million, of which $503.8 million was held outside the United States. At December 31, 2020, our cash and cash equivalents totaled $513.1 million, of which $345.9 million was held outside the United States. Cash and cash equivalents are invested in highly liquid investment-grade money market instruments and bank deposits with maturities of three months or less. We invest any cash in excess of near-term requirements in money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instruments or short-term investments, which consist of investment grade time deposits with original maturity dates at the time of purchase of no greater than three months.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reconciliation of net debt to net capitalization to the most directly comparable GAAP measures: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 xml:space="preserve">Net Debt to Net Capitalization Ratio </w:t>
            </w:r>
            <w:r>
              <w:rPr>
                <w:rFonts w:ascii="Arial" w:cs="Arial" w:eastAsia="Arial" w:hAnsi="Arial"/>
                <w:sz w:val="18"/>
                <w:szCs w:val="18"/>
                <w:i w:val="1"/>
                <w:iCs w:val="1"/>
                <w:color w:val="auto"/>
              </w:rPr>
              <w:t>(dollars in thousands)</w:t>
            </w:r>
          </w:p>
        </w:tc>
        <w:tc>
          <w:tcPr>
            <w:tcW w:w="24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2021</w:t>
            </w:r>
          </w:p>
        </w:tc>
        <w:tc>
          <w:tcPr>
            <w:tcW w:w="240" w:type="dxa"/>
            <w:vAlign w:val="bottom"/>
          </w:tcPr>
          <w:p>
            <w:pPr>
              <w:spacing w:after="0"/>
              <w:rPr>
                <w:sz w:val="20"/>
                <w:szCs w:val="20"/>
                <w:color w:val="auto"/>
              </w:rPr>
            </w:pPr>
          </w:p>
        </w:tc>
        <w:tc>
          <w:tcPr>
            <w:tcW w:w="202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December 31, 2020</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3,060,184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3,108,829</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9"/>
                <w:szCs w:val="19"/>
                <w:color w:val="auto"/>
              </w:rPr>
            </w:pPr>
          </w:p>
        </w:tc>
        <w:tc>
          <w:tcPr>
            <w:tcW w:w="1980" w:type="dxa"/>
            <w:vAlign w:val="bottom"/>
          </w:tcPr>
          <w:p>
            <w:pPr>
              <w:jc w:val="right"/>
              <w:ind w:right="130"/>
              <w:spacing w:after="0"/>
              <w:rPr>
                <w:sz w:val="20"/>
                <w:szCs w:val="20"/>
                <w:color w:val="auto"/>
              </w:rPr>
            </w:pPr>
            <w:r>
              <w:rPr>
                <w:rFonts w:ascii="Arial" w:cs="Arial" w:eastAsia="Arial" w:hAnsi="Arial"/>
                <w:sz w:val="18"/>
                <w:szCs w:val="18"/>
                <w:color w:val="auto"/>
              </w:rPr>
              <w:t>3,060,184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3,108,829</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(739,144)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(513,075)</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Net debt</w:t>
            </w:r>
          </w:p>
        </w:tc>
        <w:tc>
          <w:tcPr>
            <w:tcW w:w="240" w:type="dxa"/>
            <w:vAlign w:val="bottom"/>
          </w:tcPr>
          <w:p>
            <w:pPr>
              <w:spacing w:after="0"/>
              <w:rPr>
                <w:sz w:val="19"/>
                <w:szCs w:val="19"/>
                <w:color w:val="auto"/>
              </w:rPr>
            </w:pPr>
          </w:p>
        </w:tc>
        <w:tc>
          <w:tcPr>
            <w:tcW w:w="1980" w:type="dxa"/>
            <w:vAlign w:val="bottom"/>
          </w:tcPr>
          <w:p>
            <w:pPr>
              <w:jc w:val="right"/>
              <w:ind w:right="130"/>
              <w:spacing w:after="0"/>
              <w:rPr>
                <w:sz w:val="20"/>
                <w:szCs w:val="20"/>
                <w:color w:val="auto"/>
              </w:rPr>
            </w:pPr>
            <w:r>
              <w:rPr>
                <w:rFonts w:ascii="Arial" w:cs="Arial" w:eastAsia="Arial" w:hAnsi="Arial"/>
                <w:sz w:val="18"/>
                <w:szCs w:val="18"/>
                <w:color w:val="auto"/>
              </w:rPr>
              <w:t>2,321,040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2,595,754</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3,891,818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3,385,773</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Net capitalization</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6,212,858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5,981,527</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debt to net capitalization</w:t>
            </w:r>
          </w:p>
        </w:tc>
        <w:tc>
          <w:tcPr>
            <w:tcW w:w="24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43.4 %</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debt to net capitalization ratio decreased to 37.4% at September 30, 2021 compared to 43.4% at December 31, 2020. Net debt decreased $274.7 million during the period primarily due to an increase in cash and cash equivalents and a decrease in long-term debt as a result of foreign currency translation on Euro denominated notes. Stockholders' equity increased $506.0 million primarily as a result of earnings during the period, partially offset by dividends paid, exercises of share-based awards and share repurchases.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cash flow, existing capacity of our Credit Agreement and access to capital markets are expected to satisfy our various cash flow requirements, including acquisitions, capital expenditures and share repurchases.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Part 1, Notes to Condensed Consolidated Financial Statements, Note 20 — Recent Accounting Pronouncements. The adoption of recent accounting standards as included in Note 20 — Recent Accounting Pronouncements in the Condensed Consolidated Financial Statements has not had, and is not expected to have, a significant impact on our revenue, earnings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Notes Regarding Forward-Looking Statements</w:t>
      </w: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This Quarterly Report on Form 10-Q, especially MD&amp;A, contains "forward-looking" statements within the meaning of the Private Securities Litigation Reform Act of 1995. All statements in this document other than statements of historical fact are statements that are, or could be deemed, “forward-looking” statements. Some of these statements may be indicated by words such as “may”, “anticipate”, “expect”, believe”, “intend”, “guidance”, “estimates”, “suggest”, “will”, “plan”, “should”, “would”, “could”, “forecast”, "headwind", "tailwind" and other words and terms that use the future tense or have a similar meaning. Forward-looking statements are based on current expectations and are subject to numerous important risks, uncertainties, assumptions and other factors, some of which are beyond the Company’s control. Factors that could cause actual results to differ materially from current expectations include, among other things, the impacts of COVID-19 or other future pandemics on the global economy and on our customers, suppliers, employees, business and cash flows, supply chain constraints and labor shortages that could result in production stoppages, inflation in material input costs and freight logistics, other general economic conditions and conditions in the particular markets in which we operate, changes in customer demand and capital spending, competitive factors and pricing pressures, our ability to develop and launch new products in a cost-effective manner, changes in law, including the effect of U.S. tax laws and developments with respect to trade policy and tariffs, our ability to identify and complete acquisitions and integrate and realize synergies from newly acquired businesses, the impact of interest rate and currency exchange rate fluctuations, capital allocation plans and changes in those plans, including with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rPr>
          <w:sz w:val="20"/>
          <w:szCs w:val="20"/>
          <w:color w:val="auto"/>
        </w:rPr>
      </w:pPr>
      <w:r>
        <w:rPr>
          <w:rFonts w:ascii="Arial" w:cs="Arial" w:eastAsia="Arial" w:hAnsi="Arial"/>
          <w:sz w:val="17"/>
          <w:szCs w:val="17"/>
          <w:color w:val="auto"/>
        </w:rPr>
        <w:t>respect to dividends, share repurchases, investments in research and development, capital expenditures and acquisitions, our ability to derive expected benefits from restructuring, productivity initiatives and other cost reduction actions, changes in material costs or the supply of input materials, the impact of legal compliance risks and litigation, including with respect to product quality and safety, cybersecurity and privacy, our ability to capture and protect intellectual property rights, and various other factors that are described in our periodic reports filed with or furnished to the Securities and Exchange Commission, including our Annual Report on Form 10-K for the year ended December 31, 2020. The Company undertakes no obligation to publicly update any forward-looking statement, whether as a result of new information, future events or otherwise.</w:t>
      </w:r>
    </w:p>
    <w:p>
      <w:pPr>
        <w:spacing w:after="0" w:line="21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Disclosures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 effort to provide investors with additional information regarding our results as determined by GAAP, we also disclose non-GAAP information which we believe provides useful information to investors. Segment EBITDA, segment EBITDA margin, free cash flow, free cash flow as a percentage of revenue, free cash flow as a percentage of net earnings, net debt, net capitalization, net debt to net capitalization ratio, adjusted working capital, organic revenue growth and rightsizing costs are not financial measures under GAAP and should not be considered as a substitute for earnings, cash flows from operating activities, debt or equity, working capital, revenue or restructuring costs as determined in accordance with GAAP, and they may not be comparable to similarly titled measures reported by other companies.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segment EBITDA and segment EBITDA margin are useful to investors and other users of our financial information in evaluating ongoing operating profitability as they exclude the depreciation and amortization expense related primarily to capital expenditures and acquisitions that occurred in prior years, as well as in evaluating operating performance in relation to our competitors. Segment EBITDA is calculated by adding back depreciation and amortization expense to segment earnings, which is the most directly comparable GAAP measure. We do not present segment net income because corporate expenses, interest and taxes are not allocated at a segment level. Segment EBITDA margin is calculated as segment EBITDA divided by segment revenue.</w:t>
      </w:r>
    </w:p>
    <w:p>
      <w:pPr>
        <w:spacing w:after="0" w:line="1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believe the net debt to net capitalization ratio and free cash flow are important measures of liquidity. Net debt to net capitalization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Free cash flow as a percentage of revenue equals free cash flow divided by revenue. Free cash flow as a percentage of net earnings equals free cash flow divided by net earnings. We believe that reporting adjusted working capital, which is calculated as accounts receivable, plus inventory, less accounts payable, provides a meaningful measure of our operational results by showing the changes caused solely by revenue. We believe that reporting organic revenue growth, which excludes the impact of foreign currency exchange rates and the impact of acquisitions and divestitures, provides a useful comparison of our revenue performance and trends between periods. We believe that reporting rightsizing costs, which include restructuring and other charges, is important as it enables management and investors to better understand the financial impact of our broad-based cost reduction and operational improvement initiatives.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non-GAAP measures can be found above in this Item 2, Management's Discussion and Analysis of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no significant change in our exposure to market risk during the nine months ended September 30, 2021. For a discussion of our exposure to market risk, refer to Item 7A, "Quantitative and Qualitative Disclosures about Market Risk," contained in our Annual Report on Form 10-K for the fiscal year ended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third quarter of 2021, there were no changes in the Company’s internal control over financial reporting that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Part I, Notes to Condensed Consolidated Financial Statements, Note 14 — Commitments and Contingent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our Annual Report on Form 10-K for the year ended December 31, 2020.</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jc w:val="both"/>
        <w:ind w:left="340" w:hanging="332"/>
        <w:spacing w:after="0" w:line="259" w:lineRule="auto"/>
        <w:tabs>
          <w:tab w:leader="none" w:pos="3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November 2020, the Company's Board of Directors approved a new standing share repurchase authorization, whereby the Company may repurchase up to 20 million shares beginning on January 1, 2021 through December 31, 2023. No share repurchases were made under the November 2020 authorization during the three months ended September 30, 2021. As of September 30, 2021, the number of shares still available for repurchase under the November 2020 share repurchase authorization was 19,817,049.</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980" w:right="320" w:hanging="35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60">
        <w:r>
          <w:rPr>
            <w:rFonts w:ascii="Arial" w:cs="Arial" w:eastAsia="Arial" w:hAnsi="Arial"/>
            <w:sz w:val="18"/>
            <w:szCs w:val="18"/>
            <w:u w:val="single" w:color="auto"/>
            <w:color w:val="0000FF"/>
          </w:rPr>
          <w:t>Dover Corporation Executive Severance Plan (as amended and restated effective August 5, 2021), filed as Exhibit 10.1 to the Company's</w:t>
        </w:r>
      </w:hyperlink>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FF"/>
          </w:rPr>
          <w:t>Current Report on Form 8-K filed August 11, 2021 (SEC File No. 001-04018 is incorporated by reference.*</w:t>
        </w:r>
      </w:hyperlink>
    </w:p>
    <w:p>
      <w:pPr>
        <w:spacing w:after="0" w:line="108"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10.2 </w:t>
      </w:r>
      <w:hyperlink r:id="rId61">
        <w:r>
          <w:rPr>
            <w:rFonts w:ascii="Arial" w:cs="Arial" w:eastAsia="Arial" w:hAnsi="Arial"/>
            <w:sz w:val="16"/>
            <w:szCs w:val="16"/>
            <w:u w:val="single" w:color="auto"/>
            <w:color w:val="0000FF"/>
          </w:rPr>
          <w:t>Dover Corporation Senior Executive Change-in-Control Severance Plan (as amended and restated effective August 5, 2021), filed as Exhibit</w:t>
        </w:r>
      </w:hyperlink>
    </w:p>
    <w:p>
      <w:pPr>
        <w:spacing w:after="0" w:line="8" w:lineRule="exact"/>
        <w:rPr>
          <w:sz w:val="20"/>
          <w:szCs w:val="20"/>
          <w:color w:val="auto"/>
        </w:rPr>
      </w:pPr>
    </w:p>
    <w:p>
      <w:pPr>
        <w:ind w:left="980"/>
        <w:spacing w:after="0"/>
        <w:rPr>
          <w:rFonts w:ascii="Arial" w:cs="Arial" w:eastAsia="Arial" w:hAnsi="Arial"/>
          <w:sz w:val="17"/>
          <w:szCs w:val="17"/>
          <w:u w:val="single" w:color="auto"/>
          <w:color w:val="0000FF"/>
        </w:rPr>
      </w:pPr>
      <w:hyperlink r:id="rId61">
        <w:r>
          <w:rPr>
            <w:rFonts w:ascii="Arial" w:cs="Arial" w:eastAsia="Arial" w:hAnsi="Arial"/>
            <w:sz w:val="17"/>
            <w:szCs w:val="17"/>
            <w:u w:val="single" w:color="auto"/>
            <w:color w:val="0000FF"/>
          </w:rPr>
          <w:t>10.2 to the Company's Current Report on Form 8-K filed August 11, 2021 (SEC File No. 001-04018 is incorporated by reference.*</w:t>
        </w:r>
      </w:hyperlink>
    </w:p>
    <w:p>
      <w:pPr>
        <w:spacing w:after="0" w:line="126" w:lineRule="exact"/>
        <w:rPr>
          <w:sz w:val="20"/>
          <w:szCs w:val="20"/>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 xml:space="preserve">31.1 </w:t>
      </w:r>
      <w:hyperlink w:anchor="page49">
        <w:r>
          <w:rPr>
            <w:rFonts w:ascii="Arial" w:cs="Arial" w:eastAsia="Arial" w:hAnsi="Arial"/>
            <w:sz w:val="17"/>
            <w:szCs w:val="17"/>
            <w:u w:val="single" w:color="auto"/>
            <w:color w:val="0000FF"/>
          </w:rPr>
          <w:t>Certificate pursuant to Rule 13a-14(a) of the Securities Exchange Act of 1934, as amended, signed and dated by Brad M. Cerepak.</w:t>
        </w:r>
      </w:hyperlink>
    </w:p>
    <w:p>
      <w:pPr>
        <w:spacing w:after="0" w:line="183" w:lineRule="exact"/>
        <w:rPr>
          <w:sz w:val="20"/>
          <w:szCs w:val="20"/>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 xml:space="preserve">31.2 </w:t>
      </w:r>
      <w:hyperlink w:anchor="page50">
        <w:r>
          <w:rPr>
            <w:rFonts w:ascii="Arial" w:cs="Arial" w:eastAsia="Arial" w:hAnsi="Arial"/>
            <w:sz w:val="17"/>
            <w:szCs w:val="17"/>
            <w:u w:val="single" w:color="auto"/>
            <w:color w:val="0000FF"/>
          </w:rPr>
          <w:t>Certificate pursuant to Rule 13a-14(a) of the Securities Exchange Act of 1934, as amended, signed and dated by Richard J. Tobin.</w:t>
        </w:r>
      </w:hyperlink>
    </w:p>
    <w:p>
      <w:pPr>
        <w:spacing w:after="0" w:line="156" w:lineRule="exact"/>
        <w:rPr>
          <w:sz w:val="20"/>
          <w:szCs w:val="20"/>
          <w:color w:val="auto"/>
        </w:rPr>
      </w:pPr>
    </w:p>
    <w:p>
      <w:pPr>
        <w:ind w:left="980" w:hanging="215"/>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w:anchor="page51">
        <w:r>
          <w:rPr>
            <w:rFonts w:ascii="Arial" w:cs="Arial" w:eastAsia="Arial" w:hAnsi="Arial"/>
            <w:sz w:val="18"/>
            <w:szCs w:val="18"/>
            <w:u w:val="single" w:color="auto"/>
            <w:color w:val="0000FF"/>
          </w:rPr>
          <w:t>Certification pursuant to 18 U.S.C. Section 1350, as adopted pursuant to Section 906 of the Sarbanes-Oxley Act of 2002, signed and dated by</w:t>
        </w:r>
      </w:hyperlink>
      <w:r>
        <w:rPr>
          <w:rFonts w:ascii="Arial" w:cs="Arial" w:eastAsia="Arial" w:hAnsi="Arial"/>
          <w:sz w:val="18"/>
          <w:szCs w:val="18"/>
          <w:color w:val="auto"/>
        </w:rPr>
        <w:t xml:space="preserve"> </w:t>
      </w:r>
      <w:hyperlink w:anchor="page51">
        <w:r>
          <w:rPr>
            <w:rFonts w:ascii="Arial" w:cs="Arial" w:eastAsia="Arial" w:hAnsi="Arial"/>
            <w:sz w:val="18"/>
            <w:szCs w:val="18"/>
            <w:u w:val="single" w:color="auto"/>
            <w:color w:val="0000FF"/>
          </w:rPr>
          <w:t>Richard J. Tobin and Brad M. Cerepak.</w:t>
        </w:r>
      </w:hyperlink>
    </w:p>
    <w:p>
      <w:pPr>
        <w:spacing w:after="0" w:line="148" w:lineRule="exact"/>
        <w:rPr>
          <w:sz w:val="20"/>
          <w:szCs w:val="20"/>
          <w:color w:val="auto"/>
        </w:rPr>
      </w:pPr>
    </w:p>
    <w:p>
      <w:pPr>
        <w:ind w:left="980" w:right="220" w:hanging="369"/>
        <w:spacing w:after="0" w:line="216"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materials from Dover Corporation’s Quarterly Report on Form 10-Q for the quarter ended September 30, 2021 formatted in iXBRL (Inline eXtensible Business Reporting Language): (i) the Condensed Consolidated Statements of Earnings, (ii) the Condensed Consolidated Statements of Comprehensive Earnings, (iii) the Condensed Consolidated Balance Sheets, (iv) the Condensed Consolidated Statements of Stockholders’ Equity, (v) the Condensed Consolidated Statements of Cash Flows, and (vi) Notes to the Condensed Consolidated Financial Statements.</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104 Cover Page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000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47" w:name="page48"/>
    <w:bookmarkEnd w:id="47"/>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DOVER CORPORATION</w:t>
            </w:r>
          </w:p>
        </w:tc>
      </w:tr>
      <w:tr>
        <w:trPr>
          <w:trHeight w:val="45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5380" w:type="dxa"/>
            <w:vAlign w:val="bottom"/>
          </w:tcPr>
          <w:p>
            <w:pPr>
              <w:ind w:left="100"/>
              <w:spacing w:after="0"/>
              <w:rPr>
                <w:sz w:val="20"/>
                <w:szCs w:val="20"/>
                <w:color w:val="auto"/>
              </w:rPr>
            </w:pPr>
            <w:r>
              <w:rPr>
                <w:rFonts w:ascii="Arial" w:cs="Arial" w:eastAsia="Arial" w:hAnsi="Arial"/>
                <w:sz w:val="18"/>
                <w:szCs w:val="18"/>
                <w:color w:val="auto"/>
              </w:rPr>
              <w:t>October 19, 2021</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5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5380" w:type="dxa"/>
            <w:vAlign w:val="bottom"/>
          </w:tcPr>
          <w:p>
            <w:pPr>
              <w:ind w:left="100"/>
              <w:spacing w:after="0"/>
              <w:rPr>
                <w:sz w:val="20"/>
                <w:szCs w:val="20"/>
                <w:color w:val="auto"/>
              </w:rPr>
            </w:pPr>
            <w:r>
              <w:rPr>
                <w:rFonts w:ascii="Arial" w:cs="Arial" w:eastAsia="Arial" w:hAnsi="Arial"/>
                <w:sz w:val="18"/>
                <w:szCs w:val="18"/>
                <w:color w:val="auto"/>
              </w:rPr>
              <w:t>October 19, 2021</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W. Paulson</w:t>
            </w:r>
          </w:p>
        </w:tc>
      </w:tr>
      <w:tr>
        <w:trPr>
          <w:trHeight w:val="222"/>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Ryan W. Paulson</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Vice President, Controller</w:t>
            </w:r>
          </w:p>
        </w:tc>
      </w:tr>
      <w:tr>
        <w:trPr>
          <w:trHeight w:val="230"/>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13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Brad M. Cerepak, certify that:</w:t>
      </w:r>
    </w:p>
    <w:p>
      <w:pPr>
        <w:spacing w:after="0" w:line="171" w:lineRule="exact"/>
        <w:rPr>
          <w:sz w:val="20"/>
          <w:szCs w:val="20"/>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3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October 19, 2021</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3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October 19, 2021</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Tobin</w:t>
            </w:r>
          </w:p>
        </w:tc>
      </w:tr>
      <w:tr>
        <w:trPr>
          <w:trHeight w:val="222"/>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Richard J. Tobin</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Dover Corporation</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88" w:lineRule="exact"/>
        <w:rPr>
          <w:sz w:val="20"/>
          <w:szCs w:val="20"/>
          <w:color w:val="auto"/>
        </w:rPr>
      </w:pPr>
    </w:p>
    <w:p>
      <w:pPr>
        <w:ind w:left="660" w:right="20" w:hanging="328"/>
        <w:spacing w:after="0" w:line="28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2021 (the “Form 10-Q</w:t>
      </w:r>
      <w:r>
        <w:rPr>
          <w:rFonts w:ascii="Arial" w:cs="Arial" w:eastAsia="Arial" w:hAnsi="Arial"/>
          <w:sz w:val="18"/>
          <w:szCs w:val="18"/>
          <w:b w:val="1"/>
          <w:bCs w:val="1"/>
          <w:color w:val="auto"/>
        </w:rPr>
        <w:t>”</w:t>
      </w:r>
      <w:r>
        <w:rPr>
          <w:rFonts w:ascii="Arial" w:cs="Arial" w:eastAsia="Arial" w:hAnsi="Arial"/>
          <w:sz w:val="18"/>
          <w:szCs w:val="18"/>
          <w:color w:val="auto"/>
        </w:rPr>
        <w:t>) fully complies with the requirements of Section 13(a) of the Securities Exchange Act of 1934, as amended; and</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tcPr>
          <w:p>
            <w:pPr>
              <w:ind w:left="120"/>
              <w:spacing w:after="0"/>
              <w:rPr>
                <w:sz w:val="20"/>
                <w:szCs w:val="20"/>
                <w:color w:val="auto"/>
              </w:rPr>
            </w:pPr>
            <w:r>
              <w:rPr>
                <w:rFonts w:ascii="Arial" w:cs="Arial" w:eastAsia="Arial" w:hAnsi="Arial"/>
                <w:sz w:val="18"/>
                <w:szCs w:val="18"/>
                <w:color w:val="auto"/>
              </w:rPr>
              <w:t>October 19,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Tobin</w:t>
            </w:r>
          </w:p>
        </w:tc>
      </w:tr>
      <w:tr>
        <w:trPr>
          <w:trHeight w:val="222"/>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Richard J. Tobin</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tcPr>
          <w:p>
            <w:pPr>
              <w:ind w:left="120"/>
              <w:spacing w:after="0"/>
              <w:rPr>
                <w:sz w:val="20"/>
                <w:szCs w:val="20"/>
                <w:color w:val="auto"/>
              </w:rPr>
            </w:pPr>
            <w:r>
              <w:rPr>
                <w:rFonts w:ascii="Arial" w:cs="Arial" w:eastAsia="Arial" w:hAnsi="Arial"/>
                <w:sz w:val="18"/>
                <w:szCs w:val="18"/>
                <w:color w:val="auto"/>
              </w:rPr>
              <w:t>October 19,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lvl w:ilvl="1">
      <w:lvlJc w:val="left"/>
      <w:lvlText w:val="(%2)"/>
      <w:numFmt w:val="decimal"/>
      <w:start w:val="1"/>
    </w:lvl>
  </w:abstractNum>
  <w:abstractNum w:abstractNumId="5">
    <w:nsid w:val="7FDCC233"/>
    <w:multiLevelType w:val="hybridMultilevel"/>
    <w:lvl w:ilvl="0">
      <w:lvlJc w:val="left"/>
      <w:lvlText w:val="%1."/>
      <w:numFmt w:val="decimal"/>
      <w:start w:val="10"/>
    </w:lvl>
    <w:lvl w:ilvl="1">
      <w:lvlJc w:val="left"/>
      <w:lvlText w:val="%2"/>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1"/>
    </w:lvl>
  </w:abstractNum>
  <w:abstractNum w:abstractNumId="8">
    <w:nsid w:val="6B68079A"/>
    <w:multiLevelType w:val="hybridMultilevel"/>
    <w:lvl w:ilvl="0">
      <w:lvlJc w:val="left"/>
      <w:lvlText w:val="%1."/>
      <w:numFmt w:val="decimal"/>
      <w:start w:val="14"/>
    </w:lvl>
  </w:abstractNum>
  <w:abstractNum w:abstractNumId="9">
    <w:nsid w:val="4E6AFB66"/>
    <w:multiLevelType w:val="hybridMultilevel"/>
    <w:lvl w:ilvl="0">
      <w:lvlJc w:val="left"/>
      <w:lvlText w:val="%1."/>
      <w:numFmt w:val="decimal"/>
      <w:start w:val="15"/>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20"/>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0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0" Type="http://schemas.openxmlformats.org/officeDocument/2006/relationships/hyperlink" Target="https://www.sec.gov/Archives/edgar/data/0000029905/000119312521243460/d216080dex101.htm" TargetMode="External"/><Relationship Id="rId61" Type="http://schemas.openxmlformats.org/officeDocument/2006/relationships/hyperlink" Target="https://www.sec.gov/Archives/edgar/data/0000029905/000119312521243460/d21608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2021-10-19T05:38:53Z</dcterms:created>
  <dcterms:modified xsi:type="dcterms:W3CDTF">2021-10-19T05:38:53Z</dcterms:modified>
</cp:coreProperties>
</file>