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3880" w:right="2000" w:hanging="3872"/>
        <w:spacing w:after="0" w:line="391"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56"/>
        </w:trPr>
        <w:tc>
          <w:tcPr>
            <w:tcW w:w="2580" w:type="dxa"/>
            <w:vAlign w:val="bottom"/>
          </w:tcPr>
          <w:p>
            <w:pPr>
              <w:spacing w:after="0"/>
              <w:rPr>
                <w:sz w:val="22"/>
                <w:szCs w:val="22"/>
                <w:color w:val="auto"/>
              </w:rPr>
            </w:pPr>
          </w:p>
        </w:tc>
        <w:tc>
          <w:tcPr>
            <w:tcW w:w="382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right"/>
              <w:ind w:right="2110"/>
              <w:spacing w:after="0"/>
              <w:rPr>
                <w:sz w:val="20"/>
                <w:szCs w:val="20"/>
                <w:color w:val="auto"/>
              </w:rPr>
            </w:pPr>
            <w:r>
              <w:rPr>
                <w:rFonts w:ascii="Arial" w:cs="Arial" w:eastAsia="Arial" w:hAnsi="Arial"/>
                <w:sz w:val="18"/>
                <w:szCs w:val="18"/>
                <w:b w:val="1"/>
                <w:bCs w:val="1"/>
                <w:color w:val="auto"/>
              </w:rPr>
              <w:t>53-0257888</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3"/>
              </w:rPr>
              <w:t>(I.R.S. Employer Identification No.)</w:t>
            </w:r>
          </w:p>
        </w:tc>
      </w:tr>
      <w:tr>
        <w:trPr>
          <w:trHeight w:val="45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Downers Grove, Illinois</w:t>
            </w:r>
          </w:p>
        </w:tc>
        <w:tc>
          <w:tcPr>
            <w:tcW w:w="4860" w:type="dxa"/>
            <w:vAlign w:val="bottom"/>
          </w:tcPr>
          <w:p>
            <w:pPr>
              <w:jc w:val="right"/>
              <w:ind w:right="2330"/>
              <w:spacing w:after="0"/>
              <w:rPr>
                <w:sz w:val="20"/>
                <w:szCs w:val="20"/>
                <w:color w:val="auto"/>
              </w:rPr>
            </w:pPr>
            <w:r>
              <w:rPr>
                <w:rFonts w:ascii="Arial" w:cs="Arial" w:eastAsia="Arial" w:hAnsi="Arial"/>
                <w:sz w:val="18"/>
                <w:szCs w:val="18"/>
                <w:b w:val="1"/>
                <w:bCs w:val="1"/>
                <w:color w:val="auto"/>
              </w:rPr>
              <w:t>60515</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4"/>
              </w:rPr>
              <w:t>(Zip Code)</w:t>
            </w:r>
          </w:p>
        </w:tc>
      </w:tr>
      <w:tr>
        <w:trPr>
          <w:trHeight w:val="283"/>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90"/>
              </w:rPr>
              <w:t>(630) 541-1540</w:t>
            </w:r>
          </w:p>
        </w:tc>
        <w:tc>
          <w:tcPr>
            <w:tcW w:w="48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820" w:type="dxa"/>
            <w:vAlign w:val="bottom"/>
          </w:tcPr>
          <w:p>
            <w:pPr>
              <w:ind w:left="1240"/>
              <w:spacing w:after="0" w:line="182" w:lineRule="exact"/>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15"/>
                <w:szCs w:val="15"/>
                <w:color w:val="auto"/>
              </w:rPr>
            </w:pPr>
          </w:p>
        </w:tc>
        <w:tc>
          <w:tcPr>
            <w:tcW w:w="3560" w:type="dxa"/>
            <w:vAlign w:val="bottom"/>
          </w:tcPr>
          <w:p>
            <w:pPr>
              <w:ind w:left="280"/>
              <w:spacing w:after="0" w:line="182"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July 13, 2021 was 143,960,933.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tcBorders>
              <w:bottom w:val="single" w:sz="8" w:color="0000FF"/>
            </w:tcBorders>
            <w:gridSpan w:val="17"/>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7320" w:type="dxa"/>
            <w:vAlign w:val="bottom"/>
            <w:gridSpan w:val="15"/>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3"/>
            <w:vMerge w:val="restart"/>
          </w:tcPr>
          <w:p>
            <w:pPr>
              <w:spacing w:after="0" w:line="20" w:lineRule="exact"/>
              <w:rPr>
                <w:sz w:val="1"/>
                <w:szCs w:val="1"/>
                <w:color w:val="auto"/>
              </w:rPr>
            </w:pPr>
          </w:p>
        </w:tc>
        <w:tc>
          <w:tcPr>
            <w:tcW w:w="9700" w:type="dxa"/>
            <w:vAlign w:val="bottom"/>
            <w:gridSpan w:val="28"/>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Earnings for the three and six months ended June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and 2020</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Condensed Consolidated Statements of Comprehensive Earnings for the three and six months ended June </w:t>
              </w:r>
            </w:hyperlink>
            <w:r>
              <w:rPr>
                <w:rFonts w:ascii="Arial" w:cs="Arial" w:eastAsia="Arial" w:hAnsi="Arial"/>
                <w:sz w:val="18"/>
                <w:szCs w:val="18"/>
                <w:color w:val="0000FF"/>
                <w:w w:val="88"/>
              </w:rPr>
              <w:t xml:space="preserve">30, </w:t>
            </w:r>
            <w:hyperlink w:anchor="page3">
              <w:r>
                <w:rPr>
                  <w:rFonts w:ascii="Arial" w:cs="Arial" w:eastAsia="Arial" w:hAnsi="Arial"/>
                  <w:sz w:val="18"/>
                  <w:szCs w:val="18"/>
                  <w:color w:val="0000FF"/>
                  <w:w w:val="88"/>
                </w:rPr>
                <w:t>2021 and 2020</w:t>
              </w:r>
            </w:hyperlink>
          </w:p>
        </w:tc>
        <w:tc>
          <w:tcPr>
            <w:tcW w:w="720" w:type="dxa"/>
            <w:vAlign w:val="bottom"/>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at June </w:t>
              </w:r>
            </w:hyperlink>
            <w:r>
              <w:rPr>
                <w:rFonts w:ascii="Arial" w:cs="Arial" w:eastAsia="Arial" w:hAnsi="Arial"/>
                <w:sz w:val="18"/>
                <w:szCs w:val="18"/>
                <w:color w:val="0000FF"/>
              </w:rPr>
              <w:t xml:space="preserve">30, </w:t>
            </w:r>
            <w:hyperlink w:anchor="page4">
              <w:r>
                <w:rPr>
                  <w:rFonts w:ascii="Arial" w:cs="Arial" w:eastAsia="Arial" w:hAnsi="Arial"/>
                  <w:sz w:val="18"/>
                  <w:szCs w:val="18"/>
                  <w:color w:val="0000FF"/>
                </w:rPr>
                <w:t>2021 and December 31, 2020</w:t>
              </w:r>
            </w:hyperlink>
          </w:p>
        </w:tc>
        <w:tc>
          <w:tcPr>
            <w:tcW w:w="720" w:type="dxa"/>
            <w:vAlign w:val="bottom"/>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 xml:space="preserve">Condensed Consolidated Statements of Stockholders’ Equity for the three and six months ended June </w:t>
              </w:r>
            </w:hyperlink>
            <w:r>
              <w:rPr>
                <w:rFonts w:ascii="Arial" w:cs="Arial" w:eastAsia="Arial" w:hAnsi="Arial"/>
                <w:sz w:val="18"/>
                <w:szCs w:val="18"/>
                <w:color w:val="0000FF"/>
                <w:w w:val="99"/>
              </w:rPr>
              <w:t xml:space="preserve">30, </w:t>
            </w:r>
            <w:hyperlink w:anchor="page6">
              <w:r>
                <w:rPr>
                  <w:rFonts w:ascii="Arial" w:cs="Arial" w:eastAsia="Arial" w:hAnsi="Arial"/>
                  <w:sz w:val="18"/>
                  <w:szCs w:val="18"/>
                  <w:color w:val="0000FF"/>
                  <w:w w:val="99"/>
                </w:rPr>
                <w:t>2021 and 2020</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00" w:type="dxa"/>
            <w:vAlign w:val="bottom"/>
            <w:gridSpan w:val="24"/>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 xml:space="preserve">Condensed Consolidated Statements of Cash Flows for the </w:t>
              </w:r>
            </w:hyperlink>
            <w:r>
              <w:rPr>
                <w:rFonts w:ascii="Arial" w:cs="Arial" w:eastAsia="Arial" w:hAnsi="Arial"/>
                <w:sz w:val="18"/>
                <w:szCs w:val="18"/>
                <w:color w:val="0000FF"/>
                <w:w w:val="88"/>
              </w:rPr>
              <w:t xml:space="preserve">six </w:t>
            </w:r>
            <w:hyperlink w:anchor="page8">
              <w:r>
                <w:rPr>
                  <w:rFonts w:ascii="Arial" w:cs="Arial" w:eastAsia="Arial" w:hAnsi="Arial"/>
                  <w:sz w:val="18"/>
                  <w:szCs w:val="18"/>
                  <w:color w:val="0000FF"/>
                  <w:w w:val="88"/>
                </w:rPr>
                <w:t xml:space="preserve">months ended June </w:t>
              </w:r>
            </w:hyperlink>
            <w:r>
              <w:rPr>
                <w:rFonts w:ascii="Arial" w:cs="Arial" w:eastAsia="Arial" w:hAnsi="Arial"/>
                <w:sz w:val="18"/>
                <w:szCs w:val="18"/>
                <w:color w:val="0000FF"/>
                <w:w w:val="88"/>
              </w:rPr>
              <w:t xml:space="preserve">30, </w:t>
            </w:r>
            <w:hyperlink w:anchor="page8">
              <w:r>
                <w:rPr>
                  <w:rFonts w:ascii="Arial" w:cs="Arial" w:eastAsia="Arial" w:hAnsi="Arial"/>
                  <w:sz w:val="18"/>
                  <w:szCs w:val="18"/>
                  <w:color w:val="0000FF"/>
                  <w:w w:val="88"/>
                </w:rPr>
                <w:t>2021 and 2020</w:t>
              </w:r>
            </w:hyperlink>
          </w:p>
        </w:tc>
        <w:tc>
          <w:tcPr>
            <w:tcW w:w="13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rFonts w:ascii="Arial" w:cs="Arial" w:eastAsia="Arial" w:hAnsi="Arial"/>
                <w:sz w:val="18"/>
                <w:szCs w:val="18"/>
                <w:color w:val="0000FF"/>
                <w:w w:val="86"/>
              </w:rPr>
            </w:pPr>
            <w:hyperlink w:anchor="page9">
              <w:r>
                <w:rPr>
                  <w:rFonts w:ascii="Arial" w:cs="Arial" w:eastAsia="Arial" w:hAnsi="Arial"/>
                  <w:sz w:val="18"/>
                  <w:szCs w:val="18"/>
                  <w:color w:val="0000FF"/>
                  <w:w w:val="86"/>
                </w:rPr>
                <w:t>Note 1 — Basis of Presentation</w:t>
              </w:r>
            </w:hyperlink>
          </w:p>
        </w:tc>
        <w:tc>
          <w:tcPr>
            <w:tcW w:w="5080" w:type="dxa"/>
            <w:vAlign w:val="bottom"/>
            <w:gridSpan w:val="13"/>
          </w:tcPr>
          <w:p>
            <w:pPr>
              <w:spacing w:after="0"/>
              <w:rPr>
                <w:sz w:val="18"/>
                <w:szCs w:val="18"/>
                <w:color w:val="auto"/>
              </w:rPr>
            </w:pPr>
          </w:p>
        </w:tc>
        <w:tc>
          <w:tcPr>
            <w:tcW w:w="2400" w:type="dxa"/>
            <w:vAlign w:val="bottom"/>
            <w:gridSpan w:val="4"/>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 Revenue</w:t>
              </w:r>
            </w:hyperlink>
          </w:p>
        </w:tc>
        <w:tc>
          <w:tcPr>
            <w:tcW w:w="7480" w:type="dxa"/>
            <w:vAlign w:val="bottom"/>
            <w:gridSpan w:val="17"/>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3 — Acquisitions</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 4 — Disposed Operations</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9</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 5 — Inventories</w:t>
              </w:r>
            </w:hyperlink>
          </w:p>
        </w:tc>
        <w:tc>
          <w:tcPr>
            <w:tcW w:w="7480" w:type="dxa"/>
            <w:vAlign w:val="bottom"/>
            <w:gridSpan w:val="1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8"/>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Note 6 — Property, Plant and Equipment, net</w:t>
              </w:r>
            </w:hyperlink>
          </w:p>
        </w:tc>
        <w:tc>
          <w:tcPr>
            <w:tcW w:w="6420" w:type="dxa"/>
            <w:vAlign w:val="bottom"/>
            <w:gridSpan w:val="10"/>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7 — Credit Losses</w:t>
              </w:r>
            </w:hyperlink>
          </w:p>
        </w:tc>
        <w:tc>
          <w:tcPr>
            <w:tcW w:w="6420" w:type="dxa"/>
            <w:vAlign w:val="bottom"/>
            <w:gridSpan w:val="10"/>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9"/>
          </w:tcPr>
          <w:p>
            <w:pPr>
              <w:spacing w:after="0"/>
              <w:rPr>
                <w:rFonts w:ascii="Arial" w:cs="Arial" w:eastAsia="Arial" w:hAnsi="Arial"/>
                <w:sz w:val="18"/>
                <w:szCs w:val="18"/>
                <w:color w:val="0000FF"/>
                <w:w w:val="91"/>
              </w:rPr>
            </w:pPr>
            <w:hyperlink w:anchor="page12">
              <w:r>
                <w:rPr>
                  <w:rFonts w:ascii="Arial" w:cs="Arial" w:eastAsia="Arial" w:hAnsi="Arial"/>
                  <w:sz w:val="18"/>
                  <w:szCs w:val="18"/>
                  <w:color w:val="0000FF"/>
                  <w:w w:val="91"/>
                </w:rPr>
                <w:t>Note 8 — Goodwill and Other Intangible Assets</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9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9"/>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Note 9 — Restructuring Activities</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7"/>
          </w:tcPr>
          <w:p>
            <w:pPr>
              <w:spacing w:after="0"/>
              <w:rPr>
                <w:rFonts w:ascii="Arial" w:cs="Arial" w:eastAsia="Arial" w:hAnsi="Arial"/>
                <w:sz w:val="18"/>
                <w:szCs w:val="18"/>
                <w:color w:val="0000FF"/>
                <w:w w:val="91"/>
              </w:rPr>
            </w:pPr>
            <w:hyperlink w:anchor="page14">
              <w:r>
                <w:rPr>
                  <w:rFonts w:ascii="Arial" w:cs="Arial" w:eastAsia="Arial" w:hAnsi="Arial"/>
                  <w:sz w:val="18"/>
                  <w:szCs w:val="18"/>
                  <w:color w:val="0000FF"/>
                  <w:w w:val="91"/>
                </w:rPr>
                <w:t>Note 10 — Borrowings</w:t>
              </w:r>
            </w:hyperlink>
          </w:p>
        </w:tc>
        <w:tc>
          <w:tcPr>
            <w:tcW w:w="780" w:type="dxa"/>
            <w:vAlign w:val="bottom"/>
            <w:gridSpan w:val="7"/>
          </w:tcPr>
          <w:p>
            <w:pPr>
              <w:spacing w:after="0"/>
              <w:rPr>
                <w:sz w:val="18"/>
                <w:szCs w:val="18"/>
                <w:color w:val="auto"/>
              </w:rPr>
            </w:pPr>
          </w:p>
        </w:tc>
        <w:tc>
          <w:tcPr>
            <w:tcW w:w="7220" w:type="dxa"/>
            <w:vAlign w:val="bottom"/>
            <w:gridSpan w:val="14"/>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Note 11 — Financial Instruments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Note 12 — Income Taxes</w:t>
              </w:r>
            </w:hyperlink>
          </w:p>
        </w:tc>
        <w:tc>
          <w:tcPr>
            <w:tcW w:w="520" w:type="dxa"/>
            <w:vAlign w:val="bottom"/>
            <w:gridSpan w:val="4"/>
          </w:tcPr>
          <w:p>
            <w:pPr>
              <w:spacing w:after="0"/>
              <w:rPr>
                <w:sz w:val="18"/>
                <w:szCs w:val="18"/>
                <w:color w:val="auto"/>
              </w:rPr>
            </w:pP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Note 13 — Equity Incentive Program</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Note 14 — Commitments and Contingent Liabilities</w:t>
              </w:r>
            </w:hyperlink>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Note 15 — Employee Benefit Plans</w:t>
              </w:r>
            </w:hyperlink>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7"/>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Note 16 — Other Comprehensive Earnings</w:t>
              </w:r>
            </w:hyperlink>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Note 17 — Segment Information</w:t>
              </w:r>
            </w:hyperlink>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Note 18 — Share Repurchases</w:t>
              </w:r>
            </w:hyperlink>
          </w:p>
        </w:tc>
        <w:tc>
          <w:tcPr>
            <w:tcW w:w="160" w:type="dxa"/>
            <w:vAlign w:val="bottom"/>
            <w:gridSpan w:val="2"/>
          </w:tcPr>
          <w:p>
            <w:pPr>
              <w:spacing w:after="0"/>
              <w:rPr>
                <w:sz w:val="18"/>
                <w:szCs w:val="18"/>
                <w:color w:val="auto"/>
              </w:rPr>
            </w:pP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Note 19 — Earnings per Share</w:t>
              </w:r>
            </w:hyperlink>
          </w:p>
        </w:tc>
        <w:tc>
          <w:tcPr>
            <w:tcW w:w="7480" w:type="dxa"/>
            <w:vAlign w:val="bottom"/>
            <w:gridSpan w:val="1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9"/>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Note 20 — Recent Accounting Pronouncements</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Item 2.</w:t>
              </w:r>
            </w:hyperlink>
          </w:p>
        </w:tc>
        <w:tc>
          <w:tcPr>
            <w:tcW w:w="380" w:type="dxa"/>
            <w:vAlign w:val="bottom"/>
            <w:gridSpan w:val="2"/>
          </w:tcPr>
          <w:p>
            <w:pPr>
              <w:spacing w:after="0"/>
              <w:rPr>
                <w:sz w:val="18"/>
                <w:szCs w:val="18"/>
                <w:color w:val="auto"/>
              </w:rPr>
            </w:pPr>
          </w:p>
        </w:tc>
        <w:tc>
          <w:tcPr>
            <w:tcW w:w="9700" w:type="dxa"/>
            <w:vAlign w:val="bottom"/>
            <w:gridSpan w:val="2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4.</w:t>
              </w:r>
            </w:hyperlink>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Controls and Procedures</w:t>
              </w:r>
            </w:hyperlink>
          </w:p>
        </w:tc>
        <w:tc>
          <w:tcPr>
            <w:tcW w:w="2580" w:type="dxa"/>
            <w:vAlign w:val="bottom"/>
            <w:gridSpan w:val="13"/>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 OTHER INFORMATION</w:t>
              </w:r>
            </w:hyperlink>
          </w:p>
        </w:tc>
        <w:tc>
          <w:tcPr>
            <w:tcW w:w="7660" w:type="dxa"/>
            <w:vAlign w:val="bottom"/>
            <w:gridSpan w:val="18"/>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1.</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Legal Proceedings</w:t>
              </w:r>
            </w:hyperlink>
          </w:p>
        </w:tc>
        <w:tc>
          <w:tcPr>
            <w:tcW w:w="8380" w:type="dxa"/>
            <w:vAlign w:val="bottom"/>
            <w:gridSpan w:val="24"/>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1A.</w:t>
              </w:r>
            </w:hyperlink>
          </w:p>
        </w:tc>
        <w:tc>
          <w:tcPr>
            <w:tcW w:w="9700" w:type="dxa"/>
            <w:vAlign w:val="bottom"/>
            <w:gridSpan w:val="2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1"/>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8"/>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3.</w:t>
              </w:r>
            </w:hyperlink>
          </w:p>
        </w:tc>
        <w:tc>
          <w:tcPr>
            <w:tcW w:w="380" w:type="dxa"/>
            <w:vAlign w:val="bottom"/>
            <w:gridSpan w:val="2"/>
          </w:tcPr>
          <w:p>
            <w:pPr>
              <w:spacing w:after="0"/>
              <w:rPr>
                <w:sz w:val="18"/>
                <w:szCs w:val="18"/>
                <w:color w:val="auto"/>
              </w:rPr>
            </w:pPr>
          </w:p>
        </w:tc>
        <w:tc>
          <w:tcPr>
            <w:tcW w:w="4360" w:type="dxa"/>
            <w:vAlign w:val="bottom"/>
            <w:gridSpan w:val="2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8"/>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4.</w:t>
              </w:r>
            </w:hyperlink>
          </w:p>
        </w:tc>
        <w:tc>
          <w:tcPr>
            <w:tcW w:w="380" w:type="dxa"/>
            <w:vAlign w:val="bottom"/>
            <w:tcBorders>
              <w:bottom w:val="single" w:sz="8" w:color="0000FF"/>
            </w:tcBorders>
            <w:gridSpan w:val="2"/>
          </w:tcPr>
          <w:p>
            <w:pPr>
              <w:spacing w:after="0"/>
              <w:rPr>
                <w:sz w:val="18"/>
                <w:szCs w:val="18"/>
                <w:color w:val="auto"/>
              </w:rPr>
            </w:pPr>
          </w:p>
        </w:tc>
        <w:tc>
          <w:tcPr>
            <w:tcW w:w="17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Mine Safety Disclosures</w:t>
              </w:r>
            </w:hyperlink>
          </w:p>
        </w:tc>
        <w:tc>
          <w:tcPr>
            <w:tcW w:w="540" w:type="dxa"/>
            <w:vAlign w:val="bottom"/>
            <w:gridSpan w:val="4"/>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5.</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Other Information</w:t>
              </w:r>
            </w:hyperlink>
          </w:p>
        </w:tc>
        <w:tc>
          <w:tcPr>
            <w:tcW w:w="8380" w:type="dxa"/>
            <w:vAlign w:val="bottom"/>
            <w:gridSpan w:val="24"/>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6.</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8380" w:type="dxa"/>
            <w:vAlign w:val="bottom"/>
            <w:gridSpan w:val="24"/>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32"/>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SIGNATURES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1"/>
        </w:trPr>
        <w:tc>
          <w:tcPr>
            <w:tcW w:w="3760" w:type="dxa"/>
            <w:vAlign w:val="bottom"/>
          </w:tcPr>
          <w:p>
            <w:pPr>
              <w:spacing w:after="0"/>
              <w:rPr>
                <w:sz w:val="24"/>
                <w:szCs w:val="24"/>
                <w:color w:val="auto"/>
              </w:rPr>
            </w:pPr>
          </w:p>
        </w:tc>
        <w:tc>
          <w:tcPr>
            <w:tcW w:w="290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9"/>
              </w:rPr>
              <w:t>DOVER CORPORATION</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260" w:type="dxa"/>
            <w:vAlign w:val="bottom"/>
            <w:gridSpan w:val="9"/>
          </w:tcPr>
          <w:p>
            <w:pPr>
              <w:jc w:val="center"/>
              <w:ind w:left="2890"/>
              <w:spacing w:after="0"/>
              <w:rPr>
                <w:sz w:val="20"/>
                <w:szCs w:val="20"/>
                <w:color w:val="auto"/>
              </w:rPr>
            </w:pPr>
            <w:r>
              <w:rPr>
                <w:rFonts w:ascii="Arial" w:cs="Arial" w:eastAsia="Arial" w:hAnsi="Arial"/>
                <w:sz w:val="18"/>
                <w:szCs w:val="18"/>
                <w:b w:val="1"/>
                <w:bCs w:val="1"/>
                <w:color w:val="auto"/>
                <w:w w:val="99"/>
              </w:rPr>
              <w:t>CONDENSED CONSOLIDATED STATEMENTS OF EARNINGS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338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3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2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2"/>
                <w:szCs w:val="22"/>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37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2,031,676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3,155,114</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1,259,504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947,577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1,991,273</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772,172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1,163,841</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428,042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753,681</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410,160</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55,979</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Gain on sale of a business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(5,770)</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323,344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370,329</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69,284</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1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264,508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301,045</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143,941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144,107</w:t>
            </w: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145,118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145,359</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301,045</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earnings (loss), net of tax</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 currency translation gains (losses)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(48,985)</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foreign currency translation adjustments (net of $4,269,</w:t>
            </w: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21,559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$8,028, $(6,223), $2,889 tax benefit (provision),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Amortization of actuarial losses included in net periodic</w:t>
            </w: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cost</w:t>
            </w:r>
          </w:p>
        </w:tc>
        <w:tc>
          <w:tcPr>
            <w:tcW w:w="1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tcPr>
          <w:p>
            <w:pPr>
              <w:ind w:left="460"/>
              <w:spacing w:after="0" w:line="176" w:lineRule="exact"/>
              <w:rPr>
                <w:sz w:val="20"/>
                <w:szCs w:val="20"/>
                <w:color w:val="auto"/>
              </w:rPr>
            </w:pPr>
            <w:r>
              <w:rPr>
                <w:rFonts w:ascii="Arial" w:cs="Arial" w:eastAsia="Arial" w:hAnsi="Arial"/>
                <w:sz w:val="18"/>
                <w:szCs w:val="18"/>
                <w:color w:val="auto"/>
                <w:w w:val="97"/>
              </w:rPr>
              <w:t>Amortization of prior service costs included in net periodic</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pension cost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Total pension and other post-retirement benefit plans (net of $(774),</w:t>
            </w: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$(421), $(1,548), $(989) tax provision,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net (losses) gains arising during period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(gains) losses reclassified into earnings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flow hedges (net of $447, $(365), $(424), $757 tax</w:t>
            </w: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(47,603)</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253,442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7160" w:type="dxa"/>
            <w:vAlign w:val="bottom"/>
            <w:tcBorders>
              <w:top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513,075</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Receivables, net of allowances of $40,534 and $40,474</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1,329,051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1,137,223</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835,804</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133,085</w:t>
            </w:r>
          </w:p>
        </w:tc>
      </w:tr>
      <w:tr>
        <w:trPr>
          <w:trHeight w:val="223"/>
        </w:trPr>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3,059,532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2,619,187</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895,551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897,326</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4,126,691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4,072,542</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1,049,109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1,083,772</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479,247</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9,630,000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60" w:type="dxa"/>
            <w:vAlign w:val="bottom"/>
          </w:tcPr>
          <w:p>
            <w:pPr>
              <w:ind w:left="42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1,006,557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853,942</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239,750</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184,845</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98,954</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333,772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343,637</w:t>
            </w:r>
          </w:p>
        </w:tc>
      </w:tr>
      <w:tr>
        <w:trPr>
          <w:trHeight w:val="230"/>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w:t>
            </w:r>
          </w:p>
        </w:tc>
      </w:tr>
      <w:tr>
        <w:trPr>
          <w:trHeight w:val="223"/>
        </w:trPr>
        <w:tc>
          <w:tcPr>
            <w:tcW w:w="7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1,901,411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1,738,798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3,108,829</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311,496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298,423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564,606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570,314</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3,719,304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3,385,773</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16"/>
                <w:szCs w:val="1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4"/>
              </w:rPr>
              <w:t>Additional paid-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3"/>
              </w:rPr>
              <w:t>Accumulated 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6"/>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$1 par value</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5"/>
              </w:rPr>
              <w:t>in 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(loss) earnings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849,585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8,769,709</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(160,730)</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2"/>
              </w:rPr>
              <w:t>(6,218,758)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264,508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($0.495 per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3"/>
              </w:rPr>
              <w:t>(71,354)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(2,648)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(2,615)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259,371</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853,887</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8,962,863</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(138,059)</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w w:val="92"/>
              </w:rPr>
              <w:t>(6,218,758)</w:t>
            </w:r>
          </w:p>
        </w:tc>
        <w:tc>
          <w:tcPr>
            <w:tcW w:w="8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Treasury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Total stockholders'</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$1 par value</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paid-in capital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earnings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comprehensive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258,745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862,747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8,314,525</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(311,578)</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(6,143,758)</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124,766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($0.49 per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(70,671)</w:t>
            </w: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258,768</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869,526</w:t>
            </w:r>
          </w:p>
        </w:tc>
        <w:tc>
          <w:tcPr>
            <w:tcW w:w="20" w:type="dxa"/>
            <w:vAlign w:val="bottom"/>
          </w:tcPr>
          <w:p>
            <w:pPr>
              <w:spacing w:after="0"/>
              <w:rPr>
                <w:sz w:val="18"/>
                <w:szCs w:val="18"/>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8,368,620</w:t>
            </w:r>
          </w:p>
        </w:tc>
        <w:tc>
          <w:tcPr>
            <w:tcW w:w="40" w:type="dxa"/>
            <w:vAlign w:val="bottom"/>
          </w:tcPr>
          <w:p>
            <w:pPr>
              <w:spacing w:after="0"/>
              <w:rPr>
                <w:sz w:val="18"/>
                <w:szCs w:val="18"/>
                <w:color w:val="auto"/>
              </w:rPr>
            </w:pPr>
          </w:p>
        </w:tc>
        <w:tc>
          <w:tcPr>
            <w:tcW w:w="2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(263,629)</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ind w:left="140"/>
              <w:spacing w:after="0"/>
              <w:rPr>
                <w:sz w:val="20"/>
                <w:szCs w:val="20"/>
                <w:color w:val="auto"/>
              </w:rPr>
            </w:pPr>
            <w:r>
              <w:rPr>
                <w:rFonts w:ascii="Arial" w:cs="Arial" w:eastAsia="Arial" w:hAnsi="Arial"/>
                <w:sz w:val="16"/>
                <w:szCs w:val="16"/>
                <w:color w:val="auto"/>
                <w:w w:val="92"/>
              </w:rPr>
              <w:t>(6,143,758)</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3,089,527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w:t>
            </w:r>
          </w:p>
        </w:tc>
        <w:tc>
          <w:tcPr>
            <w:tcW w:w="1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Accumulated other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6"/>
              </w:rPr>
              <w:t>comprehensive</w:t>
            </w:r>
          </w:p>
        </w:tc>
        <w:tc>
          <w:tcPr>
            <w:tcW w:w="12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(loss) earnings</w:t>
            </w: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868,882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8,608,284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(153,254)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3,385,773</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497,277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497,277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($0.99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(142,698)</w:t>
            </w:r>
          </w:p>
        </w:tc>
        <w:tc>
          <w:tcPr>
            <w:tcW w:w="0" w:type="dxa"/>
            <w:vAlign w:val="bottom"/>
          </w:tcPr>
          <w:p>
            <w:pPr>
              <w:spacing w:after="0"/>
              <w:rPr>
                <w:sz w:val="1"/>
                <w:szCs w:val="1"/>
                <w:color w:val="auto"/>
              </w:rPr>
            </w:pPr>
          </w:p>
        </w:tc>
      </w:tr>
      <w:tr>
        <w:trPr>
          <w:trHeight w:val="166"/>
        </w:trPr>
        <w:tc>
          <w:tcPr>
            <w:tcW w:w="316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(33,457)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(33,068)</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18,393</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(21,637)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15,195</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853,887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8,962,863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3,719,304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Accumulated other</w:t>
            </w: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Total stockholders'</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paid-in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comprehensive loss</w:t>
            </w: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8,211,257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(6,090,842)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Adoption of ASU 2016-13</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301,045</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Dividends paid ($0.98 per share)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(141,570)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(141,570)</w:t>
            </w:r>
          </w:p>
        </w:tc>
        <w:tc>
          <w:tcPr>
            <w:tcW w:w="0" w:type="dxa"/>
            <w:vAlign w:val="bottom"/>
          </w:tcPr>
          <w:p>
            <w:pPr>
              <w:spacing w:after="0"/>
              <w:rPr>
                <w:sz w:val="1"/>
                <w:szCs w:val="1"/>
                <w:color w:val="auto"/>
              </w:rPr>
            </w:pPr>
          </w:p>
        </w:tc>
      </w:tr>
      <w:tr>
        <w:trPr>
          <w:trHeight w:val="166"/>
        </w:trPr>
        <w:tc>
          <w:tcPr>
            <w:tcW w:w="31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(11,217)</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based awards</w:t>
            </w: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8,220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(47,603)</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869,526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8,368,620</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(263,629)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(6,143,758)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3,089,527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8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497,277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301,045</w:t>
            </w:r>
          </w:p>
        </w:tc>
      </w:tr>
      <w:tr>
        <w:trPr>
          <w:trHeight w:val="229"/>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145,325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136,355</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18,393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8,220</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Gain on sale of a business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(5,770)</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(9,021)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(192,192)</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73,317</w:t>
            </w:r>
          </w:p>
        </w:tc>
      </w:tr>
      <w:tr>
        <w:trPr>
          <w:trHeight w:val="229"/>
        </w:trPr>
        <w:tc>
          <w:tcPr>
            <w:tcW w:w="808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(144,903)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(80,883)</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(23,133)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(12,975)</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(93,609)</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Accrued compensation and employee benefits</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(13,566)</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(63,621)</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77,336</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Accrued and deferred taxes, net</w:t>
            </w:r>
          </w:p>
        </w:tc>
        <w:tc>
          <w:tcPr>
            <w:tcW w:w="32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(4,328)</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17,278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347,672</w:t>
            </w:r>
          </w:p>
        </w:tc>
      </w:tr>
      <w:tr>
        <w:trPr>
          <w:trHeight w:val="230"/>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(79,171)</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(81,187)</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(238,839)</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2,886</w:t>
            </w: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Proceeds from sale of businesses</w:t>
            </w:r>
          </w:p>
        </w:tc>
        <w:tc>
          <w:tcPr>
            <w:tcW w:w="320" w:type="dxa"/>
            <w:vAlign w:val="bottom"/>
            <w:shd w:val="clear" w:color="auto" w:fill="BFE4FF"/>
          </w:tcPr>
          <w:p>
            <w:pPr>
              <w:spacing w:after="0"/>
              <w:rPr>
                <w:sz w:val="19"/>
                <w:szCs w:val="19"/>
                <w:color w:val="auto"/>
              </w:rPr>
            </w:pPr>
          </w:p>
        </w:tc>
        <w:tc>
          <w:tcPr>
            <w:tcW w:w="13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16,850</w:t>
            </w:r>
          </w:p>
        </w:tc>
      </w:tr>
      <w:tr>
        <w:trPr>
          <w:trHeight w:val="230"/>
        </w:trPr>
        <w:tc>
          <w:tcPr>
            <w:tcW w:w="8080" w:type="dxa"/>
            <w:vAlign w:val="bottom"/>
            <w:tcBorders>
              <w:bottom w:val="single" w:sz="8" w:color="BFE4FF"/>
            </w:tcBorders>
          </w:tcPr>
          <w:p>
            <w:pPr>
              <w:ind w:left="6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(151,203)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(298,274)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(21,637)</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(52,916)</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Change in notes payable</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420,300</w:t>
            </w: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Dividends paid to stockholders</w:t>
            </w:r>
          </w:p>
        </w:tc>
        <w:tc>
          <w:tcPr>
            <w:tcW w:w="32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(142,698)</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(141,570)</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(11,217)</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(1,101)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213,496</w:t>
            </w:r>
          </w:p>
        </w:tc>
      </w:tr>
      <w:tr>
        <w:trPr>
          <w:trHeight w:val="230"/>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(11,115)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251,779</w:t>
            </w:r>
          </w:p>
        </w:tc>
      </w:tr>
      <w:tr>
        <w:trPr>
          <w:trHeight w:val="230"/>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513,075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397,253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649,032</w:t>
            </w:r>
          </w:p>
        </w:tc>
      </w:tr>
      <w:tr>
        <w:trPr>
          <w:trHeight w:val="20"/>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2020, included in the Company's Annual Report on Form 10-K filed with the SEC on February 12, 2021. The year-end Condensed Consolidated Balance Sheet was derived from audited financial statements. Certain amounts in the prior periods have been reclassified to conform to the current year presentation.</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provided by the Company's performance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 See Note 17 — Segment Information for revenue by segment and geographic location.</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we estimated that $272 million in revenue is expected to be recognized in the future related to performance obligations that are unsatisfied (or partially unsatisfied) at the end of the reporting period. We expect to recognize approximately 58% of our unsatisfied (or partially unsatisfied) performance obligations as revenue through 2022, with the remaining balance to be recognized in 2023 and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2019</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184,845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104,901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2020, the Company adjusted its prior year balance sheet classification and footnote disclosure related to certain upfront cash consideration received from customers that should have been classified as contract liabilities (included in deferred revenue or other liabilities) rather than customer deposits (included in accounts payable).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 recognized during the six months ended June 30, 2021 and 2020 that was included in contract liabilities at the beginning of the period, inclusive of adjustments, amounted to $139,891 and $63,778,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six months ended June 30, 2021, the Company acquired four businesses in separate transactions for total consideration of $88,457, net of cash acquired and including contingent consideration. These businesses were acquired to complement and expand upon existing operations within the Imaging</w:t>
      </w:r>
    </w:p>
    <w:p>
      <w:pPr>
        <w:jc w:val="both"/>
        <w:ind w:firstLine="8"/>
        <w:spacing w:after="0" w:line="255" w:lineRule="auto"/>
        <w:tabs>
          <w:tab w:leader="none" w:pos="213"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Pumps &amp; Process Solutions, and Fueling Solutions segments. The goodwill recorded as a result of these acquisitions represents the economic benefits expected to be derived from product line expansions and operational synergies. The goodwill is non-deductible for U.S. income tax purposes for these acquisitions.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24, 2021, the Company acquired 100% of the voting stock of Blue Bite LLC ("Blue Bite"), a leading provider of consumer engagement and brand protection software solutions, for $29,035, net of cash acquired and including contingent consideration. The Blue Bite acquisition strengthens the Company's offering of product traceability and authentication solutions within the Imaging &amp; Identification segment. In connection with this acquisition, the Company recorded goodwill of $19,705 and intangible assets of $13,250, primarily related to technology.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23, 2021, the Company acquired 100% of the voting stock of Quantex Arc Limited ("Quantex"), a leading provider of single-use, recyclable pumps, for $23,896, net of cash acquired and including contingent consideration. The Quantex acquisition enhances the offering of single-use pumps for biopharma and other hygienic applications within the Pumps &amp; Process Solutions segment. In connection with this acquisition, the Company recorded goodwill of $15,596 and intangible assets of $11,034, primarily related to patented technology.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19, 2021, the Company acquired 100% of the voting stock of AvaLAN Wireless Systems, Incorporated ("AvaLAN"), a leading provider of secure wireless communications solutions for the convenience and fuel retail industry, for $34,003, net of cash acquired. The AvaLAN acquisition extends the Company's reach into the systems and software offering within the Fueling Solutions segment. In connection with this acquisition, the Company recorded goodwill of $26,495 and intangible assets of $14,630, primarily related to customer intangibles.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One other immaterial acquisition was completed during the six months ended June 30, 2021 within the Pumps &amp; Process Solutions segment.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their acquisition dates: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62,487</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38,914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(11,604)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(8,737)</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88,457</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Pr>
          <w:p>
            <w:pPr>
              <w:spacing w:after="0"/>
              <w:rPr>
                <w:sz w:val="17"/>
                <w:szCs w:val="17"/>
                <w:color w:val="auto"/>
              </w:rPr>
            </w:pPr>
          </w:p>
        </w:tc>
        <w:tc>
          <w:tcPr>
            <w:tcW w:w="1220" w:type="dxa"/>
            <w:vAlign w:val="bottom"/>
            <w:gridSpan w:val="3"/>
          </w:tcPr>
          <w:p>
            <w:pPr>
              <w:jc w:val="right"/>
              <w:ind w:right="150"/>
              <w:spacing w:after="0" w:line="202" w:lineRule="exact"/>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non-deductible</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89"/>
              </w:rPr>
              <w:t>na</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Customer intangibles</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18,892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Unpatented technologies</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Patents</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center"/>
              <w:ind w:right="4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4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six months ended June 30, 2020, the Company acquired three businesses in separate transactions for total consideration of $238,839, net of cash acquired. These businesses were acquired to complement and expand upon existing operations within the Imaging &amp; Identification, Engineered Products and Pumps &amp; Process Solutions segments. The goodwill recorded as a result of these acquisitions represents the economic benefits expected to be derived from product line expansions and operational synergies. Goodwill in the amount of $33,159 is deductible for U.S. income tax purposes and goodwill in the amount of $112,178 is non-deductible for U.S. income tax purposes for these acquisitions.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April 30, 2020, the Company acquired 100% of the voting stock of em-tec GmbH ("Em-tec"), a leading designer and manufacturer of flow measurement devices that serve a wide array of medical and biopharmaceutical applications for $30,396, net of cash acquired. The Em-tec acquisition further expands the Company's reach into biopharma and other hygienic applications and enhances its portfolio of flow control technologies within the Pumps &amp; Process Solutions segment. In connection with this acquisition, the Company recorded goodwill of $19,572 and intangible assets of $8,344, primarily related to customer intangibles.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18, 2020, the Company acquired 100% of the voting stock of So. Cal. Soft-Pak, Incorporated ("Soft-Pak"), a leading specialized provider of integrated back office, route management and customer relationship management software solutions to the waste and recycling fleet industry for $45,500, net of cash acquired. The Soft-Pak acquisition strengthens the digital offerings within the Engineered Products segment. In connection with this acquisition, the Company recorded goodwill of $33,159 and intangible assets of $12,800, primarily related to customer intangibles.</w:t>
      </w:r>
    </w:p>
    <w:p>
      <w:pPr>
        <w:spacing w:after="0" w:line="19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24, 2020, the Company acquired 100% of the voting stock of Sys-Tech Solutions, Inc. ("Systech"), a leading provider of product traceability, regulatory compliance and brand-protection software and solutions to pharmaceutical and consumer products manufacturers, for $162,943, net of cash acquired. The Systech acquisition strengthens the portfolio of solutions offered by the Imaging &amp; Identification segment. In connection with this acquisition, the Company recorded goodwill of $92,606 and intangible assets of $76,100, primarily related to customer intangibles.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effects of the 2021 and 2020 acquisitions are not material to the Company's Consolidated Statements of Earnings.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Disposed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for the six months ended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6, 2020, the Company completed the sale of the Chino, California branch of The AMS Group ("AMS Chino"), a wholly owned subsidiary of the Company. The Company recognized a net consideration of $15,400, which included a working capital adjustment recognized in the second quarter and paid in the third quarter of 2020. This sale resulted in a pre-tax gain on sale of $5,770 included within the Condensed Consolidated Statements of Earnings and within the Refrigeration &amp; Food Equipment Segment for the six months ended June 30, 2020. The sale did not represent a strategic shift that had a major effect on operations and financial results and, therefore, did not qualify for presentation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5. Inventories, net</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497,604</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Work in progress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206,293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152,360</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304,760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Subtotal</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1,107,945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954,724</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835,804</w:t>
            </w:r>
          </w:p>
        </w:tc>
        <w:tc>
          <w:tcPr>
            <w:tcW w:w="0" w:type="dxa"/>
            <w:vAlign w:val="bottom"/>
          </w:tcPr>
          <w:p>
            <w:pPr>
              <w:spacing w:after="0"/>
              <w:rPr>
                <w:sz w:val="1"/>
                <w:szCs w:val="1"/>
                <w:color w:val="auto"/>
              </w:rPr>
            </w:pPr>
          </w:p>
        </w:tc>
      </w:tr>
      <w:tr>
        <w:trPr>
          <w:trHeight w:val="21"/>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60,287</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571,326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570,366</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1,797,637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1,772,772</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2,430,561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2,403,425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(1,506,099)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897,326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Depreciation expense totaled $36,045 and $33,365 for the three months ended June 30, 2021 and 2020, respectively. For the six months ended June 30, 2021 and 2020, depreciation expense was $74,239 and $67,920,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Credit Losses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2020, the Company adopted ASU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which were not considered under the previous accounting guidance. Upon adoption, the Company recorded a noncash cumulative effect adjustment to retained earnings of $2.1 million, net of $0.6 million of income taxes, on the opening consolidated balance sheet as of January 1, 2020.</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amount of accounts receivable that may not be collected is based on aging of the accounts receivable balances and other historical and forward-looking information on the financial condition of customers. Balances are written off when determined to be uncollectible.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Adoption of ASU 2016-13, cumulative-effect adjustment to retained earnings</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dispositions and foreign currency translation</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Ending balance, June 30</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40,534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38,825</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Goodwill and 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Engineered</w:t>
            </w:r>
          </w:p>
        </w:tc>
        <w:tc>
          <w:tcPr>
            <w:tcW w:w="200" w:type="dxa"/>
            <w:vAlign w:val="bottom"/>
          </w:tcPr>
          <w:p>
            <w:pPr>
              <w:spacing w:after="0"/>
              <w:rPr>
                <w:sz w:val="17"/>
                <w:szCs w:val="1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Fueling</w:t>
            </w:r>
          </w:p>
        </w:tc>
        <w:tc>
          <w:tcPr>
            <w:tcW w:w="140" w:type="dxa"/>
            <w:vAlign w:val="bottom"/>
          </w:tcPr>
          <w:p>
            <w:pPr>
              <w:spacing w:after="0"/>
              <w:rPr>
                <w:sz w:val="17"/>
                <w:szCs w:val="17"/>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6"/>
              </w:rPr>
              <w:t>Imaging &amp;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Pumps &amp;</w:t>
            </w: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5"/>
              </w:rPr>
              <w:t>Refrigeration &amp;</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2"/>
              </w:rPr>
              <w:t>Process</w:t>
            </w:r>
          </w:p>
        </w:tc>
        <w:tc>
          <w:tcPr>
            <w:tcW w:w="15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Identification</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Food Equipment</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786,280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4,072,542</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62,487</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 adjustments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4,126,691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2021, the Company recognized additions of $62,487 to goodwill as a result of acquisitions as discussed in Note 3 — Acquisitions. During the six months ended June 30, 2021, the Company recorded purchase price adjustments that reduced goodwill by $842, principally related to working capital adjustments for 2020 acquisitions within the Fueling Solutions and Imaging &amp; Identification segments.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7"/>
              </w:rPr>
              <w:t>December 31, 2020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360" w:type="dxa"/>
            <w:vAlign w:val="bottom"/>
            <w:gridSpan w:val="3"/>
          </w:tcPr>
          <w:p>
            <w:pPr>
              <w:ind w:left="40"/>
              <w:spacing w:after="0" w:line="169" w:lineRule="exact"/>
              <w:rPr>
                <w:sz w:val="20"/>
                <w:szCs w:val="20"/>
                <w:color w:val="auto"/>
              </w:rPr>
            </w:pPr>
            <w:r>
              <w:rPr>
                <w:rFonts w:ascii="Arial" w:cs="Arial" w:eastAsia="Arial" w:hAnsi="Arial"/>
                <w:sz w:val="18"/>
                <w:szCs w:val="18"/>
                <w:b w:val="1"/>
                <w:bCs w:val="1"/>
                <w:color w:val="auto"/>
                <w:w w:val="99"/>
              </w:rPr>
              <w:t>Gross Carrying</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2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230"/>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8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Customer intangibles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724,973</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129,298</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Unpatented technologies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67,543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Distributor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Drawings and manuals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2,307,258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1,354,986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952,272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2,277,349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1,290,419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986,930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96,842</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1,083,772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and 2020, amortization expense was $35,474 and $34,238, respectively, including acquisition-related intangible amortization of $35,048 and $33,829, respectively. For the six months ended June 30, 2021 and 2020, amortization expense was $71,086 and $68,435, respectively, including acquisition-related intangible amortization of $70,221 and $67,646,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 Restructuring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restructuring charges by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48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8,552</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7000" w:type="dxa"/>
            <w:vAlign w:val="bottom"/>
            <w:gridSpan w:val="5"/>
          </w:tcPr>
          <w:p>
            <w:pPr>
              <w:ind w:left="20"/>
              <w:spacing w:after="0"/>
              <w:rPr>
                <w:sz w:val="20"/>
                <w:szCs w:val="20"/>
                <w:color w:val="auto"/>
              </w:rPr>
            </w:pPr>
            <w:r>
              <w:rPr>
                <w:rFonts w:ascii="Arial" w:cs="Arial" w:eastAsia="Arial" w:hAnsi="Arial"/>
                <w:sz w:val="18"/>
                <w:szCs w:val="18"/>
                <w:color w:val="auto"/>
                <w:w w:val="90"/>
              </w:rPr>
              <w:t>These amounts are classified in the Condensed Consolidated Statements of Earnings as follows: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restructuring expenses of $9,436 and $15,871 incurred during the three and six months ended June 30, 2021 were primarily the result of restructuring programs initiated in 2020 and 2021 in response to demand conditions, asset charges related to a product line exit and broad-based operational efficiency initiatives focusing on footprint consolidation and IT centralization. Additional programs, beyond the scope of the announced programs, may be implemented during 2021 with related restructuring charges.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$9,436 of restructuring charges incurred during the second quarter of 2021 primarily included the following items:</w:t>
      </w:r>
    </w:p>
    <w:p>
      <w:pPr>
        <w:spacing w:after="0" w:line="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Engineered Products segment recorded $4,339 of restructuring charges related principally to asset charges related to a product line exit.</w:t>
      </w:r>
    </w:p>
    <w:p>
      <w:pPr>
        <w:spacing w:after="0" w:line="249"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Fueling Solutions segment recorded $1,415 of restructuring charges primarily due to headcount reductions.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Imaging &amp; Identification segment recorded restructuring charges of $174 principally related to asset charges of a production plant exit.</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Pumps &amp; Process Solutions segment recorded $904 of restructuring charges primarily related to headcount reductions.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Refrigeration &amp; Food Equipment segment recorded $2,283 of restructuring expense primarily due to headcount reductions.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recorded $321 of restructuring charges primarily related to exit costs associated with IT centralization initiatives.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2"/>
                <w:szCs w:val="22"/>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Exit</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4,366</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Arial" w:cs="Arial" w:eastAsia="Arial" w:hAnsi="Arial"/>
                <w:sz w:val="18"/>
                <w:szCs w:val="18"/>
                <w:color w:val="auto"/>
                <w:w w:val="88"/>
              </w:rPr>
              <w:t>9,191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15,871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(3,625)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line="230" w:lineRule="exact"/>
              <w:rPr>
                <w:sz w:val="20"/>
                <w:szCs w:val="20"/>
                <w:color w:val="auto"/>
              </w:rPr>
            </w:pPr>
            <w:r>
              <w:rPr>
                <w:rFonts w:ascii="Arial" w:cs="Arial" w:eastAsia="Arial" w:hAnsi="Arial"/>
                <w:sz w:val="18"/>
                <w:szCs w:val="18"/>
                <w:color w:val="auto"/>
              </w:rPr>
              <w:t xml:space="preserve">(6,718)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(6,784)</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3,214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340" w:hanging="170"/>
        <w:spacing w:after="0"/>
        <w:tabs>
          <w:tab w:leader="none" w:pos="34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Other activity in exit reserves primarily represents asset charges related to a product line exit.</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3"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6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Long-term</w:t>
            </w: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700" w:type="dxa"/>
            <w:vAlign w:val="bottom"/>
            <w:gridSpan w:val="3"/>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396,716</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1.25%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709,887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724,310</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0.750%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603,107</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30-year debentures due June 1, 2028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199,255</w:t>
            </w:r>
          </w:p>
        </w:tc>
        <w:tc>
          <w:tcPr>
            <w:tcW w:w="0" w:type="dxa"/>
            <w:vAlign w:val="bottom"/>
          </w:tcPr>
          <w:p>
            <w:pPr>
              <w:spacing w:after="0"/>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2.950%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10-year notes due November 4, 2029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296,650</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debentures due October 15, 2035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296,434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296,309</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248,053</w:t>
            </w:r>
          </w:p>
        </w:tc>
        <w:tc>
          <w:tcPr>
            <w:tcW w:w="0" w:type="dxa"/>
            <w:vAlign w:val="bottom"/>
          </w:tcPr>
          <w:p>
            <w:pPr>
              <w:spacing w:after="0"/>
              <w:rPr>
                <w:sz w:val="1"/>
                <w:szCs w:val="1"/>
                <w:color w:val="auto"/>
              </w:rPr>
            </w:pPr>
          </w:p>
        </w:tc>
      </w:tr>
      <w:tr>
        <w:trPr>
          <w:trHeight w:val="229"/>
        </w:trPr>
        <w:tc>
          <w:tcPr>
            <w:tcW w:w="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30-year notes due March 1, 2041</w:t>
            </w: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344,429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170"/>
        <w:spacing w:after="0"/>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180" w:right="20"/>
        <w:spacing w:after="0" w:line="257" w:lineRule="auto"/>
        <w:rPr>
          <w:sz w:val="20"/>
          <w:szCs w:val="20"/>
          <w:color w:val="auto"/>
        </w:rPr>
      </w:pPr>
      <w:r>
        <w:rPr>
          <w:rFonts w:ascii="Arial" w:cs="Arial" w:eastAsia="Arial" w:hAnsi="Arial"/>
          <w:sz w:val="16"/>
          <w:szCs w:val="16"/>
          <w:color w:val="auto"/>
        </w:rPr>
        <w:t>$16.4 million and $17.6 million as of June 30, 2021 and December 31, 2020, respectively. Total deferred debt issuance costs were $13.5 million and $14.4 million as of June 30, 2021 and December 31, 2020, respectively.</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2021, the Company maintained a $1.0 billion five-year unsecured revolving credit facility (the "Credit Agreement") with a syndicate of banks which expires on October 4, 2024.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EBITDA to consolidated net interest expense of not less than 3.0 to 1. The Company uses the Credit Agreement principally as liquidity back-up for its commercial paper program and for general corporate purposes.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 and other long-term debt covenants at June 30, 2021 and had an interest coverage ratio of consolidated EBITDA to consolidated net interest expense of 13.9 to 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 Company had approximately $153.2 million outstanding in letters of credit, surety bonds, and performance and other guarantees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210" w:lineRule="exact"/>
        <w:rPr>
          <w:sz w:val="20"/>
          <w:szCs w:val="20"/>
          <w:color w:val="auto"/>
        </w:rPr>
      </w:pPr>
    </w:p>
    <w:p>
      <w:pPr>
        <w:ind w:right="9260" w:firstLine="8"/>
        <w:spacing w:after="0" w:line="566" w:lineRule="auto"/>
        <w:tabs>
          <w:tab w:leader="none" w:pos="260" w:val="left"/>
        </w:tabs>
        <w:numPr>
          <w:ilvl w:val="0"/>
          <w:numId w:val="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96" w:lineRule="auto"/>
        <w:rPr>
          <w:sz w:val="20"/>
          <w:szCs w:val="20"/>
          <w:color w:val="auto"/>
        </w:rPr>
      </w:pPr>
      <w:r>
        <w:rPr>
          <w:rFonts w:ascii="Arial" w:cs="Arial" w:eastAsia="Arial" w:hAnsi="Arial"/>
          <w:sz w:val="16"/>
          <w:szCs w:val="16"/>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June 30, 2021 and December 31, 2020, the Company had contracts with total notional amounts of $184,212 and $173,674, respectively, to exchange currencies, principally Euro, Pound Sterling, Swedish Krona, Chinese Yuan, Canadian Dollar, and Swiss Franc. The Company believes it is probable that all forecasted cash flow transactions will occur.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$90,842 and $73,755 as of June 30, 2021 and December 31, 2020,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June 30, 2021 and December 31, 2020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5"/>
          </w:tcPr>
          <w:p>
            <w:pPr>
              <w:ind w:left="680"/>
              <w:spacing w:after="0"/>
              <w:rPr>
                <w:sz w:val="20"/>
                <w:szCs w:val="20"/>
                <w:color w:val="auto"/>
              </w:rPr>
            </w:pPr>
            <w:r>
              <w:rPr>
                <w:rFonts w:ascii="Arial" w:cs="Arial" w:eastAsia="Arial" w:hAnsi="Arial"/>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and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0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euro-denominated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27,539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4"/>
              </w:rPr>
              <w:t>(6,223)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on net investment hedges,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21,316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June 30, 2021 and December 31,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5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8"/>
              </w:rPr>
              <w:t>June 30, 2021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2020</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2"/>
              </w:rPr>
              <w:t>Level 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estimated fair value of long-term debt at June 30, 2021 and December 31, 2020, was $3,555,797 and $3,635,673,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June 30, 2021 and December 31, 2020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Income Taxes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effective tax rates for the three months ended June 30, 2021 and 2020 were 18.2% and 20.4%, respectively. The decrease in the effective tax rate for the three months ended June 30, 2021 relative to the prior comparable period was primarily driven by favorable audit settlements.</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effective tax rates for the six months ended June 30, 2021 and 2020 were 18.8% and 18.7%, respectively. The increase in the effective tax rate for the six months ended June 30, 2021 relative to the prior year comparable period was primarily driven by an increase in earnings base.</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$3.7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Equity Incentive Program</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During the six months ended June 30, 2021, the Company issued stock-settled appreciation rights ("SARs") covering 412,531 shares, performance share awards of 50,371 and restricted stock units ("RSUs") of 83,001.</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SARs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30"/>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30.49 %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22.76 %</w:t>
            </w:r>
          </w:p>
        </w:tc>
      </w:tr>
      <w:tr>
        <w:trPr>
          <w:trHeight w:val="216"/>
        </w:trPr>
        <w:tc>
          <w:tcPr>
            <w:tcW w:w="7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$122.73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performance share awards granted in 2021 and 2020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the respective periods were as follows:</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Performance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0.19 %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1.62 %</w:t>
            </w:r>
          </w:p>
        </w:tc>
        <w:tc>
          <w:tcPr>
            <w:tcW w:w="142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w w:val="93"/>
              </w:rPr>
              <w:t>31.90 %</w:t>
            </w:r>
          </w:p>
        </w:tc>
        <w:tc>
          <w:tcPr>
            <w:tcW w:w="1420" w:type="dxa"/>
            <w:vAlign w:val="bottom"/>
          </w:tcPr>
          <w:p>
            <w:pPr>
              <w:jc w:val="right"/>
              <w:spacing w:after="0"/>
              <w:rPr>
                <w:sz w:val="20"/>
                <w:szCs w:val="20"/>
                <w:color w:val="auto"/>
              </w:rPr>
            </w:pPr>
            <w:r>
              <w:rPr>
                <w:rFonts w:ascii="Arial" w:cs="Arial" w:eastAsia="Arial" w:hAnsi="Arial"/>
                <w:sz w:val="18"/>
                <w:szCs w:val="18"/>
                <w:color w:val="auto"/>
              </w:rPr>
              <w:t>23.30 %</w:t>
            </w:r>
          </w:p>
        </w:tc>
      </w:tr>
      <w:tr>
        <w:trPr>
          <w:trHeight w:val="216"/>
        </w:trPr>
        <w:tc>
          <w:tcPr>
            <w:tcW w:w="7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w w:val="95"/>
              </w:rPr>
              <w:t>$122.73</w:t>
            </w:r>
          </w:p>
        </w:tc>
        <w:tc>
          <w:tcPr>
            <w:tcW w:w="142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5"/>
              </w:rPr>
              <w:t>$148.29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6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2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18,393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(1,781)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16,612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stock-based compensation expense for the six months ended June 30, 2021 compared to the prior comparable period was primarily due to plan amendments in the current year accelerating the vesting on shares awarded to retirement-eligible employees in the first quarter of the current year, as well as lower performance share attainment rates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7820" w:firstLine="8"/>
        <w:spacing w:after="0" w:line="534" w:lineRule="auto"/>
        <w:tabs>
          <w:tab w:leader="none" w:pos="270"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June 30, 2021 and December 31, 2020, the Company had estimated liabilities totaling $28,921 and $30,431, respectively, for environmental and other matters, including private party claims for exposure to hazardous substances that are probable and estimable.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June 30, 2021 and December 31, 2020, these estimated liabilities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June 30, 2021 and 2020,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25,341</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(28,104)</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June 30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9140" w:firstLine="8"/>
        <w:spacing w:after="0" w:line="534" w:lineRule="auto"/>
        <w:tabs>
          <w:tab w:leader="none" w:pos="27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set forth the components of the Company’s net periodic expense (income)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5"/>
              </w:rPr>
              <w:t>Three Months Ended June 30,</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9"/>
          </w:tcPr>
          <w:p>
            <w:pPr>
              <w:ind w:left="40"/>
              <w:spacing w:after="0"/>
              <w:rPr>
                <w:sz w:val="20"/>
                <w:szCs w:val="20"/>
                <w:color w:val="auto"/>
              </w:rPr>
            </w:pPr>
            <w:r>
              <w:rPr>
                <w:rFonts w:ascii="Arial" w:cs="Arial" w:eastAsia="Arial" w:hAnsi="Arial"/>
                <w:sz w:val="16"/>
                <w:szCs w:val="16"/>
                <w:b w:val="1"/>
                <w:bCs w:val="1"/>
                <w:color w:val="auto"/>
                <w:w w:val="99"/>
              </w:rPr>
              <w:t>Six Months Ended June 30,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0"/>
        </w:trPr>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w w:val="95"/>
              </w:rPr>
              <w:t>Non-U.S. Plans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U.S. Plan</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right"/>
              <w:ind w:right="395"/>
              <w:spacing w:after="0"/>
              <w:rPr>
                <w:sz w:val="20"/>
                <w:szCs w:val="20"/>
                <w:color w:val="auto"/>
              </w:rPr>
            </w:pPr>
            <w:r>
              <w:rPr>
                <w:rFonts w:ascii="Arial" w:cs="Arial" w:eastAsia="Arial" w:hAnsi="Arial"/>
                <w:sz w:val="16"/>
                <w:szCs w:val="16"/>
                <w:b w:val="1"/>
                <w:bCs w:val="1"/>
                <w:color w:val="auto"/>
                <w:w w:val="90"/>
              </w:rPr>
              <w:t>Non-U.S. Plans</w:t>
            </w:r>
          </w:p>
        </w:tc>
      </w:tr>
      <w:tr>
        <w:trPr>
          <w:trHeight w:val="209"/>
        </w:trPr>
        <w:tc>
          <w:tcPr>
            <w:tcW w:w="2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2020</w:t>
            </w: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4"/>
              </w:rPr>
              <w:t>1,295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6"/>
                <w:szCs w:val="16"/>
                <w:color w:val="auto"/>
                <w:w w:val="8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9"/>
              </w:rPr>
              <w:t>2,839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w w:val="99"/>
              </w:rPr>
              <w:t>1,363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1,621</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6"/>
              </w:rPr>
              <w:t>(3,619)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 (credit)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30"/>
        </w:trPr>
        <w:tc>
          <w:tcPr>
            <w:tcW w:w="2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Recognized actuarial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9"/>
              </w:rPr>
              <w:t>1,989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r>
      <w:tr>
        <w:trPr>
          <w:trHeight w:val="22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expense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4"/>
              </w:rPr>
              <w:t>1,069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2,242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1"/>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Non-Qualified Supplemental Benefits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2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80" w:type="dxa"/>
            <w:vAlign w:val="bottom"/>
            <w:tcBorders>
              <w:bottom w:val="single" w:sz="8" w:color="auto"/>
            </w:tcBorders>
            <w:gridSpan w:val="12"/>
          </w:tcPr>
          <w:p>
            <w:pPr>
              <w:ind w:left="38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9"/>
          </w:tcPr>
          <w:p>
            <w:pPr>
              <w:jc w:val="right"/>
              <w:ind w:right="355"/>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7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6"/>
              </w:rPr>
              <w:t>390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93"/>
              </w:rPr>
              <w:t>318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center"/>
              <w:ind w:left="13"/>
              <w:spacing w:after="0"/>
              <w:rPr>
                <w:sz w:val="20"/>
                <w:szCs w:val="20"/>
                <w:color w:val="auto"/>
              </w:rPr>
            </w:pPr>
            <w:r>
              <w:rPr>
                <w:rFonts w:ascii="Arial" w:cs="Arial" w:eastAsia="Arial" w:hAnsi="Arial"/>
                <w:sz w:val="18"/>
                <w:szCs w:val="18"/>
                <w:color w:val="auto"/>
                <w:w w:val="86"/>
              </w:rPr>
              <w:t>308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535"/>
              <w:spacing w:after="0"/>
              <w:rPr>
                <w:sz w:val="20"/>
                <w:szCs w:val="20"/>
                <w:color w:val="auto"/>
              </w:rPr>
            </w:pPr>
            <w:r>
              <w:rPr>
                <w:rFonts w:ascii="Arial" w:cs="Arial" w:eastAsia="Arial" w:hAnsi="Arial"/>
                <w:sz w:val="18"/>
                <w:szCs w:val="18"/>
                <w:color w:val="auto"/>
                <w:w w:val="93"/>
              </w:rPr>
              <w:t>442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72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center"/>
              <w:ind w:left="13"/>
              <w:spacing w:after="0"/>
              <w:rPr>
                <w:sz w:val="20"/>
                <w:szCs w:val="20"/>
                <w:color w:val="auto"/>
              </w:rPr>
            </w:pPr>
            <w:r>
              <w:rPr>
                <w:rFonts w:ascii="Arial" w:cs="Arial" w:eastAsia="Arial" w:hAnsi="Arial"/>
                <w:sz w:val="18"/>
                <w:szCs w:val="18"/>
                <w:color w:val="auto"/>
                <w:w w:val="86"/>
              </w:rPr>
              <w:t>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535"/>
              <w:spacing w:after="0"/>
              <w:rPr>
                <w:sz w:val="20"/>
                <w:szCs w:val="20"/>
                <w:color w:val="auto"/>
              </w:rPr>
            </w:pPr>
            <w:r>
              <w:rPr>
                <w:rFonts w:ascii="Arial" w:cs="Arial" w:eastAsia="Arial" w:hAnsi="Arial"/>
                <w:sz w:val="18"/>
                <w:szCs w:val="18"/>
                <w:color w:val="auto"/>
                <w:w w:val="93"/>
              </w:rPr>
              <w:t>424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2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(418)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center"/>
              <w:ind w:left="475"/>
              <w:spacing w:after="0"/>
              <w:rPr>
                <w:sz w:val="20"/>
                <w:szCs w:val="20"/>
                <w:color w:val="auto"/>
              </w:rPr>
            </w:pPr>
            <w:r>
              <w:rPr>
                <w:rFonts w:ascii="Arial" w:cs="Arial" w:eastAsia="Arial" w:hAnsi="Arial"/>
                <w:sz w:val="18"/>
                <w:szCs w:val="18"/>
                <w:color w:val="auto"/>
                <w:w w:val="95"/>
              </w:rPr>
              <w:t>(465)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23"/>
        </w:trPr>
        <w:tc>
          <w:tcPr>
            <w:tcW w:w="272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6"/>
              </w:rPr>
              <w:t>663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8"/>
                <w:szCs w:val="18"/>
                <w:color w:val="auto"/>
                <w:w w:val="93"/>
              </w:rPr>
              <w:t>719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r>
      <w:tr>
        <w:trPr>
          <w:trHeight w:val="20"/>
        </w:trPr>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also offers defined contribution retirement plans which cover the majority of its U.S. employees, as well as employees in certain other countries. The related expense is recognized within selling, general and administrative expenses and cost of goods and services, depending on the functional area of the underlying employees included in the plans. The Company’s expense relating to defined contribution plans was $16,052 and $12,493 for the three months ended June 30, 2021 and 2020, respectively, and $31,113 and $26,541 for the six months ended June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Other Comprehensive Earnings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Amounts reclassified from accumulated other comprehensive loss to earnings during the three and six months ended June 30, 2021 and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26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7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196"/>
        </w:trPr>
        <w:tc>
          <w:tcPr>
            <w:tcW w:w="45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2020</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4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Pension plans: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Amortization of actuarial losses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4,307</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5,037</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4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flow hedges: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Net (gains) losses reclassified into earnings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(1,877)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its operating companies into five reportable segments as follows:</w:t>
      </w:r>
    </w:p>
    <w:p>
      <w:pPr>
        <w:spacing w:after="0" w:line="252" w:lineRule="exact"/>
        <w:rPr>
          <w:sz w:val="20"/>
          <w:szCs w:val="20"/>
          <w:color w:val="auto"/>
        </w:rPr>
      </w:pPr>
    </w:p>
    <w:p>
      <w:pPr>
        <w:jc w:val="both"/>
        <w:ind w:left="660" w:right="2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industrial pumps, fluid handling components, plastics and polymer processing equipment, single use pumps, flow meters and connectors for biopharma and other hygienic applications, and highly engineered components for rotating and reciprocating machines.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energy-efficient equipment and systems that serve the commercial refrigeration, heating and cooling and food equipment markets.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00" w:type="dxa"/>
            <w:vAlign w:val="bottom"/>
          </w:tcPr>
          <w:p>
            <w:pPr>
              <w:ind w:left="460"/>
              <w:spacing w:after="0"/>
              <w:rPr>
                <w:sz w:val="20"/>
                <w:szCs w:val="20"/>
                <w:color w:val="auto"/>
              </w:rPr>
            </w:pPr>
            <w:r>
              <w:rPr>
                <w:rFonts w:ascii="Arial" w:cs="Arial" w:eastAsia="Arial" w:hAnsi="Arial"/>
                <w:sz w:val="18"/>
                <w:szCs w:val="18"/>
                <w:color w:val="auto"/>
              </w:rPr>
              <w:t>Engineered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442,091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342,380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870,218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750,540</w:t>
            </w:r>
          </w:p>
        </w:tc>
      </w:tr>
      <w:tr>
        <w:trPr>
          <w:trHeight w:val="230"/>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Fueling Solutions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686,477</w:t>
            </w:r>
          </w:p>
        </w:tc>
      </w:tr>
      <w:tr>
        <w:trPr>
          <w:trHeight w:val="229"/>
        </w:trPr>
        <w:tc>
          <w:tcPr>
            <w:tcW w:w="5000" w:type="dxa"/>
            <w:vAlign w:val="bottom"/>
          </w:tcPr>
          <w:p>
            <w:pPr>
              <w:ind w:left="460"/>
              <w:spacing w:after="0"/>
              <w:rPr>
                <w:sz w:val="20"/>
                <w:szCs w:val="20"/>
                <w:color w:val="auto"/>
              </w:rPr>
            </w:pPr>
            <w:r>
              <w:rPr>
                <w:rFonts w:ascii="Arial" w:cs="Arial" w:eastAsia="Arial" w:hAnsi="Arial"/>
                <w:sz w:val="18"/>
                <w:szCs w:val="18"/>
                <w:color w:val="auto"/>
              </w:rPr>
              <w:t>Imaging &amp; Identification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294,076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227,977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484,742</w:t>
            </w:r>
          </w:p>
        </w:tc>
      </w:tr>
      <w:tr>
        <w:trPr>
          <w:trHeight w:val="230"/>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Pumps &amp; Process Solutions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628,631</w:t>
            </w:r>
          </w:p>
        </w:tc>
      </w:tr>
      <w:tr>
        <w:trPr>
          <w:trHeight w:val="229"/>
        </w:trPr>
        <w:tc>
          <w:tcPr>
            <w:tcW w:w="5000" w:type="dxa"/>
            <w:vAlign w:val="bottom"/>
          </w:tcPr>
          <w:p>
            <w:pPr>
              <w:ind w:left="460"/>
              <w:spacing w:after="0"/>
              <w:rPr>
                <w:sz w:val="20"/>
                <w:szCs w:val="20"/>
                <w:color w:val="auto"/>
              </w:rPr>
            </w:pPr>
            <w:r>
              <w:rPr>
                <w:rFonts w:ascii="Arial" w:cs="Arial" w:eastAsia="Arial" w:hAnsi="Arial"/>
                <w:sz w:val="18"/>
                <w:szCs w:val="18"/>
                <w:color w:val="auto"/>
              </w:rPr>
              <w:t>Refrigeration &amp; Food Equipment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430,506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605,440</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2,031,676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3,899,577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3,155,114</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116,796</w:t>
            </w:r>
          </w:p>
        </w:tc>
      </w:tr>
      <w:tr>
        <w:trPr>
          <w:trHeight w:val="229"/>
        </w:trPr>
        <w:tc>
          <w:tcPr>
            <w:tcW w:w="5000" w:type="dxa"/>
            <w:vAlign w:val="bottom"/>
          </w:tcPr>
          <w:p>
            <w:pPr>
              <w:ind w:left="460"/>
              <w:spacing w:after="0"/>
              <w:rPr>
                <w:sz w:val="20"/>
                <w:szCs w:val="20"/>
                <w:color w:val="auto"/>
              </w:rPr>
            </w:pPr>
            <w:r>
              <w:rPr>
                <w:rFonts w:ascii="Arial" w:cs="Arial" w:eastAsia="Arial" w:hAnsi="Arial"/>
                <w:sz w:val="18"/>
                <w:szCs w:val="18"/>
                <w:color w:val="auto"/>
              </w:rPr>
              <w:t>Fueling Solutions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100,712</w:t>
            </w:r>
          </w:p>
        </w:tc>
      </w:tr>
      <w:tr>
        <w:trPr>
          <w:trHeight w:val="230"/>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89,528</w:t>
            </w:r>
          </w:p>
        </w:tc>
      </w:tr>
      <w:tr>
        <w:trPr>
          <w:trHeight w:val="229"/>
        </w:trPr>
        <w:tc>
          <w:tcPr>
            <w:tcW w:w="500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138,632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133,781</w:t>
            </w:r>
          </w:p>
        </w:tc>
      </w:tr>
      <w:tr>
        <w:trPr>
          <w:trHeight w:val="229"/>
        </w:trPr>
        <w:tc>
          <w:tcPr>
            <w:tcW w:w="50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Refrigeration &amp; Food Equipment</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segment earnings (EBIT)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389,825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475,805</w:t>
            </w: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51,408</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55,979</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323,344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370,329</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69,284</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301,045</w:t>
            </w:r>
          </w:p>
        </w:tc>
      </w:tr>
      <w:tr>
        <w:trPr>
          <w:trHeight w:val="21"/>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8"/>
        <w:spacing w:after="0"/>
        <w:tabs>
          <w:tab w:leader="none" w:pos="489"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Segment earnings (EBIT) includes non-operating income and expense directly attributable to the segments. Non-operating income and expense includes gain on sale of a business and other income, net.</w:t>
      </w:r>
    </w:p>
    <w:p>
      <w:pPr>
        <w:spacing w:after="0" w:line="1" w:lineRule="exact"/>
        <w:rPr>
          <w:rFonts w:ascii="Arial" w:cs="Arial" w:eastAsia="Arial" w:hAnsi="Arial"/>
          <w:sz w:val="19"/>
          <w:szCs w:val="19"/>
          <w:color w:val="auto"/>
          <w:vertAlign w:val="superscript"/>
        </w:rPr>
      </w:pPr>
    </w:p>
    <w:p>
      <w:pPr>
        <w:ind w:left="340" w:hanging="8"/>
        <w:spacing w:after="0" w:line="213" w:lineRule="auto"/>
        <w:tabs>
          <w:tab w:leader="none" w:pos="51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three and six months ended June 30, 2020 include a $781 expense and a $5,770 gain on the sale of AMS Chino, respectively. The three and six months ended June 30, 2020 also include a $3,640 write-off of assets.</w:t>
      </w:r>
    </w:p>
    <w:p>
      <w:pPr>
        <w:jc w:val="both"/>
        <w:ind w:left="340" w:right="20" w:hanging="8"/>
        <w:spacing w:after="0" w:line="224" w:lineRule="auto"/>
        <w:tabs>
          <w:tab w:leader="none" w:pos="50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1,091,015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852,999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2,127,029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1,809,639</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681,242</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Asia</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428,115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318,284</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Americas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242,044</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103,905</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3,155,114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Share Repurchases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2021, the Company repurchased 182,951 shares of common stock at a total cost of $21,637, or $118.27 per share. There were no repurchases during the three months ended June 30, 2021. In the first quarter of 2020, the Company repurchased 548,659 shares of common stock at a total cost of $52,916, or $96.45. There were no repurchases during the three months ended June 30, 2020.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19,817,049 shares remain authorized for repurchase under the November 2020 share repurchase authorization.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301,045</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143,941,000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143,955,000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143,854,000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144,107,000</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0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55"/>
        </w:trPr>
        <w:tc>
          <w:tcPr>
            <w:tcW w:w="5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145,118,000</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145,359,000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Basic</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Dilutive effect of assumed exercise of SARs and vesting of performance shares and RSUs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29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4"/>
        </w:trPr>
        <w:tc>
          <w:tcPr>
            <w:tcW w:w="1520" w:type="dxa"/>
            <w:vAlign w:val="bottom"/>
          </w:tcPr>
          <w:p>
            <w:pPr>
              <w:jc w:val="right"/>
              <w:spacing w:after="0"/>
              <w:rPr>
                <w:sz w:val="20"/>
                <w:szCs w:val="20"/>
                <w:color w:val="auto"/>
              </w:rPr>
            </w:pPr>
            <w:r>
              <w:rPr>
                <w:rFonts w:ascii="Arial" w:cs="Arial" w:eastAsia="Arial" w:hAnsi="Arial"/>
                <w:sz w:val="18"/>
                <w:szCs w:val="18"/>
                <w:color w:val="auto"/>
              </w:rPr>
              <w:t>143,941,000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143,955,000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143,854,000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144,107,000</w:t>
            </w:r>
          </w:p>
        </w:tc>
      </w:tr>
      <w:tr>
        <w:trPr>
          <w:trHeight w:val="404"/>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1,177,000</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1,040,000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1,186,000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1,252,000</w:t>
            </w:r>
          </w:p>
        </w:tc>
      </w:tr>
      <w:tr>
        <w:trPr>
          <w:trHeight w:val="22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145,118,000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144,995,000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145,040,000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145,359,000</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-599440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240"/>
          </w:cols>
          <w:pgMar w:left="320" w:top="130" w:right="339" w:bottom="1440" w:gutter="0" w:footer="0" w:header="0"/>
          <w:type w:val="continuous"/>
        </w:sectPr>
      </w:pP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anti-dilutive potential common shares excluded from the calculation above for the three months ended June 30, 2021. The weighted average number of anti-dilutive potential common shares excluded from the calculation above were approximately 121,000 for the three months ended June 30, 2020, and 34,000 and 130,000 for the six months ended June 30, 2021 and 2020, respectively.</w:t>
      </w:r>
    </w:p>
    <w:p>
      <w:pPr>
        <w:spacing w:after="0" w:line="207" w:lineRule="exact"/>
        <w:rPr>
          <w:sz w:val="20"/>
          <w:szCs w:val="20"/>
          <w:color w:val="auto"/>
        </w:rPr>
      </w:pPr>
    </w:p>
    <w:p>
      <w:pPr>
        <w:ind w:right="8180" w:firstLine="8"/>
        <w:spacing w:after="0" w:line="641" w:lineRule="auto"/>
        <w:tabs>
          <w:tab w:leader="none" w:pos="270" w:val="left"/>
        </w:tabs>
        <w:numPr>
          <w:ilvl w:val="0"/>
          <w:numId w:val="12"/>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Recent Accounting Pronouncements </w:t>
      </w:r>
      <w:r>
        <w:rPr>
          <w:rFonts w:ascii="Arial" w:cs="Arial" w:eastAsia="Arial" w:hAnsi="Arial"/>
          <w:sz w:val="15"/>
          <w:szCs w:val="15"/>
          <w:b w:val="1"/>
          <w:bCs w:val="1"/>
          <w:color w:val="auto"/>
        </w:rPr>
        <w:t>Recently Issued Accounting Standards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purpose of this update is to provide optional guidance for a limited time to ease the potential burden in 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update are elective and are effective upon issuance for all entities. The Company is evaluating the impact of this ASU and does not expect this update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Dover's five operating segments are as follows: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industrial pumps, fluid handling components, plastics and polymer processing equipment, single use pumps, flow meters and connectors for biopharma and other hygienic applications, and highly engineered components for rotating and reciprocating machines.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second quarter of 2021, revenue was $2.0 billion, which increased $532.5 million, or 35.5%, as compared to the second quarter of 2020. This was driven by organic revenue growth of 29.7%, a favorable impact from foreign currency translation of 4.5%, and acquisition-related revenue growth of 1.3%.</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29.7% organic revenue growth for the second quarter of 2021 was broad-based across our segments as market conditions and demand improved from the adverse impact of COVID-19 in the prior year. The Engineered Products segment had organic revenue growth of 25.4% primarily as a result of strength in our vehicle services, industrial automation, industrial winch and hoist, and aerospace and defense businesses, whereas our waste handling business was flat year-over-year on component part disruptions and timing of orders. The Fueling Solutions segment had organic revenue growth of 24.9% driven by sustained strength in retail fueling and vehicle wash solutions. The Imaging &amp; Identification segment experienced growth in organic revenue of 20.2% driven by increased demand in marking and coding and digital textile printing end markets. The Pumps &amp; Process Solutions segment had organic revenue growth of 33.6% as a result of strength in biopharma pumps and connectors, and increased demand for industrial pumps, and plastics and polymer processing solutions. The Refrigeration &amp; Food Equipment segment posted organic revenue growth of 43.5% across all end markets, principally driven by the increased activity in food retail, can making, and heat exchangers end markets, as well as new product roll-outs and customer wins.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 geographic perspective, in the second quarter, organic revenue for the U.S., our largest market, increased 25.0%. Organic revenue in Asia and Europe grew 37.6% and 29.8%, respectively. This organic growth was broad-based, with all our segments posting increased sales in North America, Europe, Asia and Latin America, as global demand continued to improve after the impact of operational and economic headwinds of COVID-19 experienced in the prior year.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were $2.4 billion for the three months ended June 30, 2021, an increase of $964.0 million, or 68.2% compared to the prior year comparable period. Included in this result was organic growth of 61.2%, a favorable impact from foreign currency translation of 5.0%, and acquisition-related bookings growth of 2.0%. Bookings grew organically in all five segments primarily as a result of strong demand and order intake in most end markets compared to the adverse global impact of COVID-19 in the prior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Backlog as of June 30, 2021 was $2.6 billion, an increase from $1.5 billion in the prior year. See definition of bookings and backlog within "Segment Results of Operations".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June 30, 2021, we acquired four businesses in separate transactions for total consideration of $88.5 million, net of cash acquired and including contingent consideration. We acquired AvaLAN Wireless Systems, Incorporated ("AvaLAN"), a leading provider of secure wireless communications solutions for the convenience and fuel retail industry, for $34.0 million, net of cash acquired. AvaLAN enhances the systems and software offerings within our Fueling Solutions segment. We acquired Quantex Arc Limited ("Quantex"), a leading provider of single-use, recyclable pumps, for $23.9 million, net of cash acquired and including contingent consideration. Quantex enhances our offering of single-use pumps for biopharma and other hygienic applications within the Pumps &amp; Process Solutions segment. We acquired Blue Bite LLC ("Blue Bite"), a leading provider of consumer engagement and brand protection software solutions, for $29.0 million, net of cash acquired and including contingent consideration. Blue Bite strengthens our offering of product traceability and authentication solutions within the Imaging &amp; Identification segment. One other immaterial acquisition was completed during the three months ended June 30, 2021 within the Pumps &amp; Process Solutions segment.</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Rightsizing charges of $10.8 million included restructuring costs of $9.4 million and other costs of $1.3 million for the three months ended June 30, 2021. Restructuring expense and other rightsizing costs were primarily related to actions initiated in 2020 and 2021 in response to demand conditions, asset charges related to a product line exit, and broad-based operational efficiency initiatives focusing on footprint consolidation and IT centralization.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global COVID-19 outbreak and associated countermeasures implemented by governments around the world, as well as increased business uncertainty, had an adverse impact on our financial results during 2020 through global shutdowns and supply chain and operational disruptions. We took a variety of actions during 2020 to help mitigate the financial impact, including executing temporary cost savings measures, reducing our capital spending, initiating restructuring actions and proactively managing our working capital. Activity in many of the end markets we serve sequentially improved as 2020 progressed, and this trend continued in the first half of 2021, although demand in certain businesses such as compressor components, foodservice and textile printing is expected to take longer to recover to pre-pandemic levels with continued improvement expected in the second half of 2021. The recovery in demand has had business impacts, including increased material cost inflation (principally steel), labor availability issues, logistics costs increases and in some cases component part shortages. Currently our expectation is that the impact of material cost inflation and logistics constraints will continue into the second half of 2021.</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foremost focus has been on the health and safety of our employees throughout the pandemic and we will continue to maintain enhanced safety protocols and to encourage our employees to seek vaccination. Our core global manufacturing locations remained substantially operational during the first half of 2021. As guidance from authorities such as the U.S. Centers for Disease Control and Prevention or the World Health Organization evolves, we will update our practices accordingly, as we have done throughout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0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w w:val="95"/>
              </w:rPr>
              <w:t>(dollars in thousands, except per share</w:t>
            </w:r>
          </w:p>
        </w:tc>
        <w:tc>
          <w:tcPr>
            <w:tcW w:w="3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w w:val="92"/>
              </w:rPr>
              <w:t>Three Months Ended June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w w:val="90"/>
              </w:rPr>
              <w:t>Six Months Ended 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4"/>
              </w:rPr>
              <w:t>% Change</w:t>
            </w: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i w:val="1"/>
                <w:iCs w:val="1"/>
                <w:color w:val="auto"/>
              </w:rPr>
              <w:t>data)</w:t>
            </w: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2,031,676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1,499,175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3,899,577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3,155,114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1,259,504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947,577</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2,405,857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1,991,273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772,172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551,598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1,493,720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1,163,841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i w:val="1"/>
                <w:iCs w:val="1"/>
                <w:color w:val="auto"/>
              </w:rPr>
              <w:t>Gross profit margin</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i w:val="1"/>
                <w:iCs w:val="1"/>
                <w:color w:val="auto"/>
              </w:rPr>
              <w:t>38.0 %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36.8 %</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38.3 %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1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5"/>
                <w:szCs w:val="15"/>
                <w:color w:val="auto"/>
              </w:rPr>
            </w:pPr>
          </w:p>
        </w:tc>
        <w:tc>
          <w:tcPr>
            <w:tcW w:w="11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428,042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366,740</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837,040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753,681</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9"/>
              </w:rPr>
              <w:t>Selling, general and administrative</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21.1 %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24.5 %</w:t>
            </w:r>
          </w:p>
        </w:tc>
        <w:tc>
          <w:tcPr>
            <w:tcW w:w="106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21.5 %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23.9 %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expenses as a percent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2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344,130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184,858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656,680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410,160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26,661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28,711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53,484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55,979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 business</w:t>
            </w: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(4,933)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nm*</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(8,467)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Earnings before provision for income</w:t>
            </w:r>
          </w:p>
        </w:tc>
        <w:tc>
          <w:tcPr>
            <w:tcW w:w="3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323,344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156,829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106.2 %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612,594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370,329</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58,836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32,063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115,317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69,284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Effective tax rate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20.4 %</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264,508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124,766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497,277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301,045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65.2 %</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Net earnings per common share - diluted $</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three months ended June 30, 2021 increased $532.5 million, or 35.5%, from the prior year comparable quarter. Results included organic revenue growth of 29.7% across all of our segments as market conditions and demand improved from the adverse impact of COVID-19 in the prior year. Acquisition-related revenue growth was 1.3%, driven mainly by acquisitions in our Fueling Solutions and Imaging &amp; Identification segments, along with a favorable impact from foreign currency translation of 4.5%. Customer pricing favorably impacted revenue by approximately 2.1% in the second quarter of 2021.</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six months ended June 30, 2021 increased $744.5 million, or 23.6%, from the comparable period. The increase primarily reflects organic revenue growth of 18.7%, across all of our segments as market conditions and demand improved from the adverse impact of COVID-19 in the prior year. Acquisition-related growth was 1.3% led by our Fueling Solutions and Imaging &amp; Identification segments, along with a favorable impact from foreign currency translation of 3.8%, slightly offset by a 0.2% impact from dispositions within the Refrigeration &amp; Food Equipment segment. Customer pricing favorably impacted revenue by approximately 1.4% for the six months ended June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three months ended June 30, 2021 increased $220.6 million, or 40.0%, and gross profit margin increased 120 basis points to 38.0%, from the prior year comparable quarter, driven by organic revenue growth, including pricing, and benefits from productivity and cost reduction actions, partially offset by increased material, labor and logistics costs.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six months ended June 30, 2021 increased $329.9 million, or 28.3%, from the comparable period, primarily due to organic revenue growth of 18.7% and benefits from productivity initiatives and rightsizing actions, partially offset by increased material and logistics costs. Gross profit margin increased by 140 basis points for the six months ended June 30, 2021 from the comparable period.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three months ended June 30, 2021 increased $61.3 million, or 16.7%, from the prior year comparable quarter, primarily due to adjustments to variable compensation to reflect current performance, higher research and development and acquisition related costs, and lower discretionary spend in the prior year. As a percentage of revenue, selling, general and administrative expenses improved 340 basis points to 21.1% due to an increase in the revenue base.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six months ended June 30, 2021 increased $83.4 million, or 11.1%, from the comparable period primarily due to adjustments to variable compensation to reflect current performance, higher research and development and acquisition related costs, and lower discretionary spend in the prior year. Selling, general and administrative expenses as a percentage of revenue improved 240 basis points as compared to the prior year comparable period due to an increase in the revenue base.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$41.2 million and $34.8 million for the three months ended June 30, 2021 and 2020, respectively, and $82.4 million and $70.3 million, for the six months ended June 30, 2021 and 2020, respectively. These costs as a percent of revenue were 2.03% and 2.32% for the three months ended June 30, 2021 and 2020, respectively, and 2.11% and 2.23% for the six months ended June 30, 2021 and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 business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6, 2020, we sold the Chino, California branch of The AMS Group ("AMS Chino") within the Refrigeration &amp; Food Equipment segment for total consideration of $16.9 million, of which a $1.5 million working capital adjustment was recognized in the second quarter and paid in the third quarter, for a net consideration of $15.4 million. A gain of $5.8 million was recognized on this sale. The disposal did not represent a strategic shift in operations and, therefore, did not qualify for presentation as discontinued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for the three months ended June 30, 2021 increased $4.2 million from the prior year comparable period primarily due to investment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six months ended June 30, 2021 decreased $0.7 million from the prior year comparable period primarily due to foreign exchange losses from the remeasurement of foreign currency denominated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rates for the three months ended June 30, 2021 and 2020 were 18.2% and 20.4%, respectively. The decrease in the effective tax rate for the three months ended June 30, 2021 relative to the prior year comparable quarter was primarily driven by favorable audit settlements.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six months ended June 30, 2021 and 2020 were 18.8% and 18.7%, respectively. The slight increase in the effective tax rate for the six months ended June 30, 2021 relative to the prior year comparable period was primarily driven by an increase in earnings base. See Note 12 —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for the three months ended June 30, 2021 increased 112.0% to $264.5 million, or $1.82 diluted earnings per share, from $124.8 million, or $0.86 diluted earnings per share, from the prior year comparable quarter. The increase in net earnings is mainly attributable to strong demand and robust recovery from prior year market conditions resulting in strong broad-based organic growth, favorable pricing initiatives, and benefits from productivity and restructuring actions. These benefits were partially offset by increased material and labor costs.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earnings for the six months ended June 30, 2021 increased 65.2% to $497.3 million, or $3.43 diluted earnings per share, from $301.0 million, or $2.07 diluted earnings per share, from the comparable period. The increase in net earnings was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principally attributable to volume growth, pricing initiatives, productivity actions and benefits from rightsizing actions. These benefits were partially offset by increased material, labor and logistics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and six months ended June 30, 2021, rightsizing activities included restructuring charges of $9.4 million and $15.9 million, respectively, and other costs (benefits) of $1.3 million and $(0.9) million, respectively. Restructuring expense and other costs were comprised primarily of new actions initiated in 2020 and 2021 in response to demand conditions, asset charges related to a product line exit and broad-based operational efficiency initiatives focusing on footprint consolidation and IT centralization. Other costs (benefits), net for the six months ended June 30, 2021 was comprised primarily of a gain on sale of assets of $2.0 million and $1.3 million in our Pumps &amp; Process Solutions and Refrigeration &amp; Food Equipment segments, respectively, as a result of restructuring actions, partially offset by $2.4 million of restructuring related costs. These rightsizing charges were recorded in cost of goods and services and selling, general and administrative expenses in the Condensed Consolidated Statement of Earnings. Additional programs beyond the scope of the announced programs may be implemented during 2021 with related restructuring charges.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three and six months ended June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359"/>
              <w:spacing w:after="0"/>
              <w:rPr>
                <w:sz w:val="20"/>
                <w:szCs w:val="20"/>
                <w:color w:val="auto"/>
              </w:rPr>
            </w:pPr>
            <w:r>
              <w:rPr>
                <w:rFonts w:ascii="Arial" w:cs="Arial" w:eastAsia="Arial" w:hAnsi="Arial"/>
                <w:sz w:val="16"/>
                <w:szCs w:val="16"/>
                <w:b w:val="1"/>
                <w:bCs w:val="1"/>
                <w:color w:val="auto"/>
                <w:w w:val="92"/>
              </w:rPr>
              <w:t>Three Months Ended June 30, 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9,436</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359"/>
              <w:spacing w:after="0"/>
              <w:rPr>
                <w:sz w:val="20"/>
                <w:szCs w:val="20"/>
                <w:color w:val="auto"/>
              </w:rPr>
            </w:pPr>
            <w:r>
              <w:rPr>
                <w:rFonts w:ascii="Arial" w:cs="Arial" w:eastAsia="Arial" w:hAnsi="Arial"/>
                <w:sz w:val="16"/>
                <w:szCs w:val="16"/>
                <w:b w:val="1"/>
                <w:bCs w:val="1"/>
                <w:color w:val="auto"/>
                <w:w w:val="91"/>
              </w:rPr>
              <w:t>Six Months Ended June 30, 2021</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15,871</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2020, rightsizing activities included restructuring charges of $12.3 million and $19.6 million, respectively, and other costs of $4.6 million and $5.1 million, respectively. Restructuring expense was comprised primarily of new actions taken in response to lower demand driven by COVID-19 and continuing broad-based selling, general and administrative expense reduction initiatives and broad-based operational efficiency initiatives focusing on footprint consolidation, operational optimization and IT centralization. Other costs were comprised primarily of other charges related to the restructuring actions and a $3.6 million write-off of assets. These rightsizing charges were recorded in cost of goods and services and selling, general and administrative expenses in the Condensed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three and six months ended June 30,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359"/>
              <w:spacing w:after="0"/>
              <w:rPr>
                <w:sz w:val="20"/>
                <w:szCs w:val="20"/>
                <w:color w:val="auto"/>
              </w:rPr>
            </w:pPr>
            <w:r>
              <w:rPr>
                <w:rFonts w:ascii="Arial" w:cs="Arial" w:eastAsia="Arial" w:hAnsi="Arial"/>
                <w:sz w:val="16"/>
                <w:szCs w:val="16"/>
                <w:b w:val="1"/>
                <w:bCs w:val="1"/>
                <w:color w:val="auto"/>
                <w:w w:val="92"/>
              </w:rPr>
              <w:t>Three Months Ended June 30, 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12,284</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w:t>
            </w:r>
          </w:p>
        </w:tc>
        <w:tc>
          <w:tcPr>
            <w:tcW w:w="0" w:type="dxa"/>
            <w:vAlign w:val="bottom"/>
          </w:tcPr>
          <w:p>
            <w:pPr>
              <w:spacing w:after="0"/>
              <w:rPr>
                <w:sz w:val="1"/>
                <w:szCs w:val="1"/>
                <w:color w:val="auto"/>
              </w:rPr>
            </w:pPr>
          </w:p>
        </w:tc>
      </w:tr>
      <w:tr>
        <w:trPr>
          <w:trHeight w:val="23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359"/>
              <w:spacing w:after="0"/>
              <w:rPr>
                <w:sz w:val="20"/>
                <w:szCs w:val="20"/>
                <w:color w:val="auto"/>
              </w:rPr>
            </w:pPr>
            <w:r>
              <w:rPr>
                <w:rFonts w:ascii="Arial" w:cs="Arial" w:eastAsia="Arial" w:hAnsi="Arial"/>
                <w:sz w:val="16"/>
                <w:szCs w:val="16"/>
                <w:b w:val="1"/>
                <w:bCs w:val="1"/>
                <w:color w:val="auto"/>
                <w:w w:val="91"/>
              </w:rPr>
              <w:t>Six Months Ended June 30, 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w:t>
            </w: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8,537</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five reportable operating segments (Engineered Products, Fueling Solutions, Imaging &amp; Identification, Pumps &amp; Process Solutions, and Refrigeration &amp; Food Equipment). Each of these segments is comprised of various product and service offerings that serve multiple markets. See Note 17 — Segment Information in the Condensed Consolidated Financial Statements in Item 1 of this Form 10-Q for a reconciliation of segment revenue and earnings to our consolidated revenue and net earnings. For further information, see "Non-GAAP Disclosures" at the end of this Item 2.</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8" w:lineRule="exact"/>
        <w:rPr>
          <w:sz w:val="20"/>
          <w:szCs w:val="20"/>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w w:val="90"/>
              </w:rPr>
              <w:t>Six Months Ended June 30,</w:t>
            </w:r>
          </w:p>
        </w:tc>
        <w:tc>
          <w:tcPr>
            <w:tcW w:w="104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342,380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870,218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750,540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16"/>
        </w:trPr>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47,702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116,796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9,722</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26,028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31.2 %</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57,424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157,527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136,640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16"/>
        </w:trPr>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497,200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278,373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1,025,510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693,345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47.9 %</w:t>
            </w: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613,517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378,874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61.9 %</w:t>
            </w:r>
          </w:p>
        </w:tc>
      </w:tr>
      <w:tr>
        <w:trPr>
          <w:trHeight w:val="216"/>
        </w:trPr>
        <w:tc>
          <w:tcPr>
            <w:tcW w:w="2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r>
      <w:tr>
        <w:trPr>
          <w:trHeight w:val="21"/>
        </w:trPr>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Compared to the Second Quarter 2020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Engineered Products segment revenue for the second quarter of 2021 increased $99.7 million, or 29.1%, as compared to the second quarter of 2020, comprised of organic growth of 25.4% and a favorable impact from foreign currency translation of 3.7%. Customer pricing favorably impacted revenue by approximately 2.7% in the second quarter.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growth was most notable in our vehicle service, industrial automation, and aerospace and defense businesses. Our waste handling business revenues remained flat year-over-year as the business experienced supply chain constraints that delayed shipments. We expect shipments in our waste handling business demand to improve sequentially throughout the second half as supply chain constraints begin to subside and reflecting strong order backlog exiting the quarter.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earnings increased $15.0 million, or 31.5%, compared to the second quarter of 2020. The increase was primarily driven by conversion on increased volumes and benefits from productivity and rightsizing actions, partially offset by higher material and logistics costs, comprised primarily of increased steel and freight costs, which were not fully recovered by pricing actions. Segment operating margin increased 30 basis points to 14.2% from 13.9% as compared to the prior year quarter.</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Bookings increased 78.6% for the segment, comprised of organic growth of 73.5% and a favorable impact from foreign currency translation of 5.1%. The organic bookings growth was broad-based, most notably in our vehicle service, waste handling, industrial automation, and industrial winch and hoist businesses. Segment book-to-bill was 1.12. Backlog increased 61.9% compared to the prior year comparable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Engineered Products revenue for the six months ended June 30, 2021 increased $119.7 million, or 15.9%, compared to the prior year comparable period. This was comprised of organic revenue growth of 12.9%, a favorable impact from foreign currency translation of 2.9%, and acquisition-related growth of 0.1%. The organic revenue growth was most notable in our vehicle service, industrial automation, and aerospace and defense businesses. Our waste handling business experienced an organic revenue decline compared to the prior year, driven by continued supply chain constraints that delayed shipments. Customer pricing favorably impacted revenue by approximately 1.6% for the six months ended June 30, 2021.</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earnings for the six months ended June 30, 2021 increased $14.7 million, or 12.6%, as compared to the 2020 comparable period. This increase was primarily driven by conversion on increased volumes and benefits from productivity and rightsizing actions, partially offset by higher material and logistics costs, comprised primarily of increased steel and freight costs, which were not fully recovered by pricing actions. Segment margin decreased from 15.6% to 15.1% as compared to the prior year comparable period.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Fueling Solutions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w w:val="89"/>
              </w:rPr>
              <w:t>Six Months Ended June 30,</w:t>
            </w:r>
          </w:p>
        </w:tc>
        <w:tc>
          <w:tcPr>
            <w:tcW w:w="104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326,495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826,720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686,477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47,214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r>
      <w:tr>
        <w:trPr>
          <w:trHeight w:val="22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19,475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17,968</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38,744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36,307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65,182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453,146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311,498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684,568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256,497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199,305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28.7 %</w:t>
            </w:r>
          </w:p>
        </w:tc>
      </w:tr>
      <w:tr>
        <w:trPr>
          <w:trHeight w:val="216"/>
        </w:trPr>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3"/>
        </w:trPr>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20.4 %</w:t>
            </w:r>
          </w:p>
        </w:tc>
      </w:tr>
      <w:tr>
        <w:trPr>
          <w:trHeight w:val="20"/>
        </w:trPr>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Compared to the Second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revenue for the second quarter of 2021 increased $110.5 million, or 33.9%, as compared to the second quarter of 2020, comprised of organic growth of 24.9%, a favorable impact from foreign currency translation of 4.7%, and acquisition-related growth of 4.3%. Acquisition-related growth was driven by the acquisition of Innovative Control Systems, Inc. and AvaLAN Wireless Systems Incorporated. Customer pricing favorably impacted revenue by approximately 2.5% in the second quarter.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growth for the Fueling Solutions segment was driven by solid demand in our North American retail fueling, European systems and software, and vehicle wash solutions businesses, reflecting a market recovery after COVID-19. Demand for Europay, Mastercard, and Visa compliant equipment continued to contribute to order activity in North America, however, we expect this activity to taper down throughout the second half of 2021 and beyond after the expiration of compliance deadline in April 2021.</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Fueling Solutions segment earnings increased $31.5 million, or 66.8%, over the prior year comparable quarter. The increase was primarily driven by conversion on organic revenue growth, pricing initiatives, productivity actions, and a favorable impact from acquisitions, partially offset by material and labor cost inflation. Segment margin increased to 18.0% from 14.5% in the prior year quarter due to similar factors that drove segment earnings.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increased 45.5% as compared to the prior year comparable quarter, driven by organic growth of 33.5%, a favorable impact from foreign currency translation of 5.5%, and acquisition-related growth of 6.5%. Organic bookings growth was primarily driven by strong demand in North American retail fueling and vehicle wash solutions, as well as solid demand in EMEA. Segment book to bill was 1.04. Backlog increased 28.7% as compared to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Fueling Solutions segment revenue increased $140.2 million, or 20.4%, as compared to the six months ended June 30, 2020, attributable to organic growth of 13.4%, a favorable impact from foreign currency translation of 3.6%, and acquisition-related growth of 3.4%. Organic revenue increases were driven by strong activity in our North American retail fueling, European systems &amp; software, and vehicle wash solutions businesses, given the broader market recovery due to reduced demand in the first half of 2020 due to COVID-19. Customer pricing favorably impacted revenue by approximately 1.8% for the six months ended June 30, 2021.</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Fueling Solutions segment earnings increased $44.5 million, or 44.2%, for the six months ended June 30, 2021. The increase was driven by conversion on organic revenue growth, pricing initiatives, productivity actions, and a favorable impact from acquisitions, partially offset by material and labor cost inflation. Segment margin increased 230 basis points to 17.6% from 14.7%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w w:val="89"/>
              </w:rPr>
              <w:t>Six Months Ended June 30,</w:t>
            </w:r>
          </w:p>
        </w:tc>
        <w:tc>
          <w:tcPr>
            <w:tcW w:w="104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294,076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227,977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578,404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484,742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38,046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2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9,224</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70,041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47,270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27.1 %</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221,315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593,222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493,919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206,125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168,904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22.0 %</w:t>
            </w:r>
          </w:p>
        </w:tc>
      </w:tr>
      <w:tr>
        <w:trPr>
          <w:trHeight w:val="216"/>
        </w:trPr>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3"/>
        </w:trPr>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Compared to the Second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for the second quarter of 2021 increased $66.1 million, or 29.0%, as compared to the second quarter of 2020, comprised of organic growth of 20.2%, a favorable impact from foreign currency translation of 7.5%, and acquisition-related growth of 1.3%. Acquisition-related growth was driven by the acquisition of Solaris Laser S.A. in the third quarter of 2020. Customer pricing favorably impacted revenue by approximately 1.1% in the second quarter.</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Organic revenue growth was primarily driven by our marking and coding business, which delivered continued strong growth in new equipment and associated services and consumables, particularly in Asia, as well as serialization software sales. Our digital textile printing business also experienced early stages of demand recovery compared to the second quarter of 2020, when demand for printed textiles was severely reduced due to the impact of COVID-19</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restrictions on the global apparel industry. While current global retail volumes have improved substantially from this time last year, volumes have not yet returned to pre-pandemic levels. We continue to believe we remain favorably positioned to gain from a longer-term transition from analog to digital printing by our customers, and believe some business model shifts within the industry driven by the COVID-19 pandemic may accelerate our customers’ need to shift from analog to digital printing.</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Imaging &amp; Identification segment earnings increased $22.7 million, or 59.7%, over the prior year comparable quarter. This increase was primarily driven by conversion on increased revenue and the benefits from productivity initiatives and cost containment actions. Segment margin increased to 20.7% from 16.7% in the prior year comparable quarter.</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Overall bookings increased 35.4% as compared to the prior year comparable quarter, reflecting organic growth of 26.6%, a favorable impact from foreign currency translation of 7.8%, and acquisition-related growth of 1.0%. Segment book to bill was 1.02. Backlog increased 22.0% as compared to the prior year quarter driven by the inclusion of backlog from the Solaris acquisition and increased order intake in our marking and coding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increased $93.7 million, or 19.3%, as compared to the six months ended June 30, 2020, attributable to organic growth of 11.4%, a favorable impact from foreign currency translation of 6.0%, and acquisition-related growth of 1.9%. The organic revenue growth was primarily driven by continued strong demand for marking and coding equipment and associated services and consumables, serialization software sales, as well as a continuing gradual recovery in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demand for printed textiles. Customer pricing favorably impacted revenue by approximately 1.0% for the six months ended June 30, 2021.</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Imaging &amp; Identification segment earnings increased $28.2 million, or 31.5%, for the six months ended June 30, 2021 over the prior year comparable period. The increase was primarily driven by conversion on increased revenue and the benefits from productivity initiatives and cost reduction actions. Segment margin increased to 20.4% from 18.5%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Pumps &amp; Process Solutions segment manufactures specialty industrial pumps, fluid handling components, plastics and polymer processing equipment, single use pumps, flow meters and connectors for biopharma and other hygienic applications, and highly engineered components for rotating and reciprocating machines.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85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w w:val="90"/>
              </w:rPr>
              <w:t>Six Months Ended June 30,</w:t>
            </w:r>
          </w:p>
        </w:tc>
        <w:tc>
          <w:tcPr>
            <w:tcW w:w="104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428,701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309,095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823,078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628,631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138,632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67,702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133,781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96.0 %</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16,866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17,572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33,792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35,908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85,274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296,069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27.6 %</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275,872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1,072,375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645,275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66.2 %</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634,477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379,090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67.4 %</w:t>
            </w:r>
          </w:p>
        </w:tc>
      </w:tr>
      <w:tr>
        <w:trPr>
          <w:trHeight w:val="216"/>
        </w:trPr>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3"/>
        </w:trPr>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30.9 %</w:t>
            </w:r>
          </w:p>
        </w:tc>
      </w:tr>
      <w:tr>
        <w:trPr>
          <w:trHeight w:val="20"/>
        </w:trPr>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Compared to the Second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revenue for the second quarter of 2021 increased $119.6 million, or 38.7%, as compared to the second quarter of 2020, comprised of organic growth of 33.6%, a favorable impact from foreign currency translation of 4.4%, and acquisition-related growth of 0.7%. Acquisition-related growth was primarily driven by the acquisition of Em-tec GmbH. Customer pricing favorably impacted revenue by approximately 1.3% in the second quarter.</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revenue growth was most significantly driven by strong performance in the biopharma and hygienic markets, where we continue to see strong demand for single use pumps and connectors used in biological pharmaceutical production processes. We expect this positive trajectory to carry into the next quarter and beyond, as our bookings trends and backlog position signal strength into the second half of 2021. Additionally, we continue to see strength in industrial pumps, and plastics and polymer processing solutions as a result of strong fundamental end market dynamics, as well as a recovery from the demand impacts from COVID-19 in the second quarter of 2020. Revenue in bearings and compression components increased modestly, as several end markets are facing prolonged recovery and are expected to show improvement in the second half of the year.</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Pumps &amp; Process Solutions segment earnings increased $70.9 million, or 104.8%, over the prior year comparable quarter. The increase was primarily driven by strong conversion on revenue growth, pricing initiatives, and productivity actions, partially offset by material and labor cost inflation. Segment margin increased to 32.3% from 21.9% from the prior year comparable quarter.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bookings increased 88.9% as compared to the prior year comparable quarter, reflecting organic growth of 81.7%, a favorable impact from foreign currency translation of 5.2%, and acquisition-related growth of 2.0%. Organic bookings growth was primarily driven by the significant growth in the biopharma and hygienic pumps and connectors markets, as well as strong order intake in industrial pumps and plastics &amp; polymer processing solutions. Segment book to bill was 1.22. Backlog increased 67.4% compared to the prior year comparable quarter.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Pumps &amp; Process Solutions segment revenue increased $194.4 million, or 30.9%, as compared to the six months ended June 30, 2020, attributable to organic growth of 25.8%, a favorable impact from foreign currency translation of 4.1% and a 1.0% impact from acquisitions. The organic increase was principally driven by strong performance in the biopharma and hygienic pumps and connectors markets, along with solid growth in industrial pumps and plastics &amp; polymer processing solutions. Customer pricing favorably impacted revenue by approximately 1.1% for the six months ended June 30,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Pumps &amp; Process Solutions segment earnings increased $128.5 million, or 96.0%, for the six months ended June 30, 2021 over the prior year comparable period. The increase was predominantly driven by conversion on revenue growth, pricing initiatives, and productivity actions, partially offset by material and labor cost inflation. Segment margin increased to 31.9% from 21.3% from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w w:val="90"/>
              </w:rPr>
              <w:t>Six Months Ended June 30,</w:t>
            </w:r>
          </w:p>
        </w:tc>
        <w:tc>
          <w:tcPr>
            <w:tcW w:w="1040" w:type="dxa"/>
            <w:vAlign w:val="bottom"/>
            <w:tcBorders>
              <w:bottom w:val="single" w:sz="8" w:color="auto"/>
            </w:tcBorders>
          </w:tcPr>
          <w:p>
            <w:pPr>
              <w:spacing w:after="0"/>
              <w:rPr>
                <w:sz w:val="20"/>
                <w:szCs w:val="20"/>
                <w:color w:val="auto"/>
              </w:rPr>
            </w:pPr>
          </w:p>
        </w:tc>
      </w:tr>
      <w:tr>
        <w:trPr>
          <w:trHeight w:val="22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430,506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293,527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605,440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r>
      <w:tr>
        <w:trPr>
          <w:trHeight w:val="216"/>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earnings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11,459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34,988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148.9 %</w:t>
            </w:r>
          </w:p>
        </w:tc>
      </w:tr>
      <w:tr>
        <w:trPr>
          <w:trHeight w:val="230"/>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11,421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24,173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22,969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r>
      <w:tr>
        <w:trPr>
          <w:trHeight w:val="223"/>
        </w:trPr>
        <w:tc>
          <w:tcPr>
            <w:tcW w:w="27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Segment EBITDA</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22,880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92.0 %</w:t>
            </w:r>
          </w:p>
        </w:tc>
      </w:tr>
      <w:tr>
        <w:trPr>
          <w:trHeight w:val="216"/>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margin</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720" w:type="dxa"/>
            <w:vAlign w:val="bottom"/>
          </w:tcPr>
          <w:p>
            <w:pPr>
              <w:ind w:left="20"/>
              <w:spacing w:after="0" w:line="230" w:lineRule="exact"/>
              <w:rPr>
                <w:sz w:val="20"/>
                <w:szCs w:val="20"/>
                <w:color w:val="auto"/>
              </w:rPr>
            </w:pPr>
            <w:r>
              <w:rPr>
                <w:rFonts w:ascii="Arial" w:cs="Arial" w:eastAsia="Arial" w:hAnsi="Arial"/>
                <w:sz w:val="18"/>
                <w:szCs w:val="18"/>
                <w:color w:val="auto"/>
              </w:rPr>
              <w:t>Segment EBITDA margin</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606,545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326,400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1,143,871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681,557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67.8 %</w:t>
            </w:r>
          </w:p>
        </w:tc>
      </w:tr>
      <w:tr>
        <w:trPr>
          <w:trHeight w:val="229"/>
        </w:trPr>
        <w:tc>
          <w:tcPr>
            <w:tcW w:w="272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854,188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390,368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118.8 %</w:t>
            </w:r>
          </w:p>
        </w:tc>
      </w:tr>
      <w:tr>
        <w:trPr>
          <w:trHeight w:val="216"/>
        </w:trPr>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r>
      <w:tr>
        <w:trPr>
          <w:trHeight w:val="230"/>
        </w:trPr>
        <w:tc>
          <w:tcPr>
            <w:tcW w:w="272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3"/>
        </w:trPr>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32.6 %</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20" w:hanging="8"/>
        <w:spacing w:after="0" w:line="223" w:lineRule="auto"/>
        <w:tabs>
          <w:tab w:leader="none" w:pos="504"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earnings (EBIT) and Segment EBITDA for the three and six months ended June 30, 2020 include a $781 expense and a $5,770 net gain on the sale of AMS Chino, respectively. The three and six months ended June 30, 2020 also include a $3,640 write-off of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Compared to the Second Quarter 2020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Refrigeration &amp; Food Equipment segment revenue increased $137.0 million, or 46.7%, as compared to the second quarter of 2020, reflecting organic revenue growth of 43.5% and a favorable impact from foreign currency translation of 3.2%. Customer pricing favorably impacted revenue by approximately 2.6% in the first quarter.</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organic revenue growth was principally driven by robust growth across our key end-markets. Retail refrigeration experienced strong growth across all product lines, driven by a broad-based increase in customer store renovation and remodel programs, as well as new product roll-outs and customer wins. Additionally, regulations requiring more environmentally friendly refrigerants drove strong growth for our natural refrigerant systems in both Europe and the U.S. Can-shaping equipment revenues more than doubled from prior year, driven by continued favorable macro trends in the global beverage industry as producers shift from plastic and glass packaging to aluminum containers for environmental sustainability reasons. Our heat exchanger business experienced healthy growth as well, fueled by regulation-driven heat pump demand in Europe and strengthening commercial HVAC and industrial markets globally. Commercial foodservice equipment revenues improved sequentially and over comparable prior year period, as many key restaurant chain customers resumed store investment programs once government mandated COVID-19 restrictions began to ease. We expect foodservice equipment demand to continue to recover as a successful rollout of the COVID-19 vaccine will facilitate key school, institutional and event venue customers to re-open.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Refrigeration &amp; Food Equipment segment earnings increased $37.5 million, or 327.4%, as compared to the second quarter of 2020. Segment margin increased to 11.4% from 3.9% in the prior year comparable quarter. The earnings increase was driven by conversion on increased volumes, improved operational efficiencies and benefits from prior restructuring programs, partially offset by increased material costs, most notably metals, and other inflationary cost increases.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in the second quarter of 2021 increased 85.8% from the prior year comparable quarter, reflecting organic growth of 83.1% and a favorable impact from foreign currency translation of 2.7%. The organic bookings growth was principally driven by increased project activity for can-shaping equipment, continued broad-based supermarket remodel programs in retail refrigeration products and strong global demand for brazed plate heat exchangers. Segment book to bill for the second quarter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2021 was 1.41. Backlog increased 118.8% over the prior year comparable quarter, reflective of the improving outlook across all businesses within the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Refrigeration &amp; Food Equipment segment revenue increased $197.1 million, or 32.6%, compared to the six months ended June 30, 2020, reflecting an organic revenue growth of 30.5% and a favorable foreign currency translation of 2.9%, partially offset by a 0.8% impact from the disposition of AMS Chino. The organic revenue growth for the six months ended June 30, 2021 was driven by strong growth across our key end markets, most notably retail refrigeration, can-shaping equipment and heat exchangers. Commercial foodservice equipment revenues improved sequentially from prior quarter and exceeded prior year, driven by a strong recovery with restaurant chain customers due to the ease of COVID-19 government mandated restrictions. Customer pricing favorably impacted revenue by approximately 1.4% for the six months ended June 30, 2021.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Refrigeration &amp; Food Equipment segment earnings increased $52.1 million, or 148.9%, for the six months ended June 30, 2021, as compared to the prior year comparable period. The increase was primarily due to conversion on increased volumes, improved operational efficiencies and benefits from prior restructuring programs, partially offset by increased material costs, most notably metals, and a prior year gain on the sale of AMS Chino. Segment margin increased to 10.9% from 5.8% in the prior year comparable period.</w:t>
      </w:r>
    </w:p>
    <w:p>
      <w:pPr>
        <w:sectPr>
          <w:pgSz w:w="11900" w:h="16838" w:orient="portrait"/>
          <w:cols w:equalWidth="0" w:num="1">
            <w:col w:w="11240"/>
          </w:cols>
          <w:pgMar w:left="320" w:top="130" w:right="339" w:bottom="1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146" w:gutter="0" w:footer="0" w:header="0"/>
          <w:type w:val="continuous"/>
        </w:sectPr>
      </w:pPr>
    </w:p>
    <w:bookmarkStart w:id="39" w:name="page40"/>
    <w:bookmarkEnd w:id="3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18"/>
                <w:szCs w:val="18"/>
                <w:color w:val="auto"/>
                <w:w w:val="97"/>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i w:val="1"/>
                <w:iCs w:val="1"/>
                <w:color w:val="auto"/>
              </w:rPr>
              <w:t>(dollars 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690"/>
              <w:spacing w:after="0"/>
              <w:rPr>
                <w:sz w:val="20"/>
                <w:szCs w:val="20"/>
                <w:color w:val="auto"/>
              </w:rPr>
            </w:pPr>
            <w:r>
              <w:rPr>
                <w:rFonts w:ascii="Arial" w:cs="Arial" w:eastAsia="Arial" w:hAnsi="Arial"/>
                <w:sz w:val="18"/>
                <w:szCs w:val="18"/>
                <w:color w:val="auto"/>
                <w:w w:val="89"/>
              </w:rPr>
              <w:t>437,257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690"/>
              <w:spacing w:after="0"/>
              <w:rPr>
                <w:sz w:val="20"/>
                <w:szCs w:val="20"/>
                <w:color w:val="auto"/>
              </w:rPr>
            </w:pPr>
            <w:r>
              <w:rPr>
                <w:rFonts w:ascii="Arial" w:cs="Arial" w:eastAsia="Arial" w:hAnsi="Arial"/>
                <w:sz w:val="18"/>
                <w:szCs w:val="18"/>
                <w:color w:val="auto"/>
                <w:w w:val="89"/>
              </w:rPr>
              <w:t>347,672</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0"/>
              </w:rPr>
              <w:t>(151,203)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0"/>
              </w:rPr>
              <w:t>(298,274)</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Arial" w:cs="Arial" w:eastAsia="Arial" w:hAnsi="Arial"/>
                <w:sz w:val="18"/>
                <w:szCs w:val="18"/>
                <w:color w:val="auto"/>
                <w:w w:val="90"/>
              </w:rPr>
              <w:t>(200,188)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ind w:left="690"/>
              <w:spacing w:after="0"/>
              <w:rPr>
                <w:sz w:val="20"/>
                <w:szCs w:val="20"/>
                <w:color w:val="auto"/>
              </w:rPr>
            </w:pPr>
            <w:r>
              <w:rPr>
                <w:rFonts w:ascii="Arial" w:cs="Arial" w:eastAsia="Arial" w:hAnsi="Arial"/>
                <w:sz w:val="18"/>
                <w:szCs w:val="18"/>
                <w:color w:val="auto"/>
                <w:w w:val="89"/>
              </w:rPr>
              <w:t>213,496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for the six months ended June 30, 2021 increased approximately $89.6 million compared to the comparable period in 2020. This increase was primarily driven by higher net earnings, excluding the impact of depreciation, amortization and gain on sale of a business as well as lower compensation payouts in 2021 compared to 2020. This increase was partially offset by higher investments in working capital to support business growth. Additionally, 2020 included the impact of permitted deferrals of approximately $40 million of U.S. and state income tax payments from the second to the third quarter of 2020 and deferrals of approximately $10 million of payroll taxes in the second quarter of 2020 to the fourth quarters of 2021 and 2022. There were no such deferrals in 2021.</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Adjusted Working Capital: </w:t>
      </w:r>
      <w:r>
        <w:rPr>
          <w:rFonts w:ascii="Arial" w:cs="Arial" w:eastAsia="Arial" w:hAnsi="Arial"/>
          <w:sz w:val="16"/>
          <w:szCs w:val="16"/>
          <w:color w:val="auto"/>
        </w:rPr>
        <w:t>We believe adjusted working capital (a non-GAAP measure calculated as accounts receivable, plus inventory, less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provides a meaningful measure of our operational results by showing changes caused solely by revenue. The following table provides a</w:t>
      </w: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reconciliation</w:t>
            </w:r>
          </w:p>
        </w:tc>
        <w:tc>
          <w:tcPr>
            <w:tcW w:w="800" w:type="dxa"/>
            <w:vAlign w:val="bottom"/>
          </w:tcPr>
          <w:p>
            <w:pPr>
              <w:ind w:left="220"/>
              <w:spacing w:after="0"/>
              <w:rPr>
                <w:sz w:val="20"/>
                <w:szCs w:val="20"/>
                <w:color w:val="auto"/>
              </w:rPr>
            </w:pPr>
            <w:r>
              <w:rPr>
                <w:rFonts w:ascii="Arial" w:cs="Arial" w:eastAsia="Arial" w:hAnsi="Arial"/>
                <w:sz w:val="18"/>
                <w:szCs w:val="18"/>
                <w:color w:val="auto"/>
              </w:rPr>
              <w:t>of</w:t>
            </w:r>
          </w:p>
        </w:tc>
        <w:tc>
          <w:tcPr>
            <w:tcW w:w="880" w:type="dxa"/>
            <w:vAlign w:val="bottom"/>
          </w:tcPr>
          <w:p>
            <w:pPr>
              <w:ind w:left="40"/>
              <w:spacing w:after="0"/>
              <w:rPr>
                <w:sz w:val="20"/>
                <w:szCs w:val="20"/>
                <w:color w:val="auto"/>
              </w:rPr>
            </w:pPr>
            <w:r>
              <w:rPr>
                <w:rFonts w:ascii="Arial" w:cs="Arial" w:eastAsia="Arial" w:hAnsi="Arial"/>
                <w:sz w:val="18"/>
                <w:szCs w:val="18"/>
                <w:color w:val="auto"/>
              </w:rPr>
              <w:t>adjusted</w:t>
            </w:r>
          </w:p>
        </w:tc>
        <w:tc>
          <w:tcPr>
            <w:tcW w:w="1080" w:type="dxa"/>
            <w:vAlign w:val="bottom"/>
          </w:tcPr>
          <w:p>
            <w:pPr>
              <w:ind w:left="240"/>
              <w:spacing w:after="0"/>
              <w:rPr>
                <w:sz w:val="20"/>
                <w:szCs w:val="20"/>
                <w:color w:val="auto"/>
              </w:rPr>
            </w:pPr>
            <w:r>
              <w:rPr>
                <w:rFonts w:ascii="Arial" w:cs="Arial" w:eastAsia="Arial" w:hAnsi="Arial"/>
                <w:sz w:val="18"/>
                <w:szCs w:val="18"/>
                <w:color w:val="auto"/>
              </w:rPr>
              <w:t>working</w:t>
            </w:r>
          </w:p>
        </w:tc>
        <w:tc>
          <w:tcPr>
            <w:tcW w:w="940" w:type="dxa"/>
            <w:vAlign w:val="bottom"/>
          </w:tcPr>
          <w:p>
            <w:pPr>
              <w:ind w:left="220"/>
              <w:spacing w:after="0"/>
              <w:rPr>
                <w:sz w:val="20"/>
                <w:szCs w:val="20"/>
                <w:color w:val="auto"/>
              </w:rPr>
            </w:pPr>
            <w:r>
              <w:rPr>
                <w:rFonts w:ascii="Arial" w:cs="Arial" w:eastAsia="Arial" w:hAnsi="Arial"/>
                <w:sz w:val="18"/>
                <w:szCs w:val="18"/>
                <w:color w:val="auto"/>
              </w:rPr>
              <w:t>capital</w:t>
            </w:r>
          </w:p>
        </w:tc>
        <w:tc>
          <w:tcPr>
            <w:tcW w:w="600" w:type="dxa"/>
            <w:vAlign w:val="bottom"/>
          </w:tcPr>
          <w:p>
            <w:pPr>
              <w:ind w:left="240"/>
              <w:spacing w:after="0"/>
              <w:rPr>
                <w:sz w:val="20"/>
                <w:szCs w:val="20"/>
                <w:color w:val="auto"/>
              </w:rPr>
            </w:pPr>
            <w:r>
              <w:rPr>
                <w:rFonts w:ascii="Arial" w:cs="Arial" w:eastAsia="Arial" w:hAnsi="Arial"/>
                <w:sz w:val="18"/>
                <w:szCs w:val="18"/>
                <w:color w:val="auto"/>
              </w:rPr>
              <w:t>to</w:t>
            </w:r>
          </w:p>
        </w:tc>
        <w:tc>
          <w:tcPr>
            <w:tcW w:w="700" w:type="dxa"/>
            <w:vAlign w:val="bottom"/>
          </w:tcPr>
          <w:p>
            <w:pPr>
              <w:ind w:left="240"/>
              <w:spacing w:after="0"/>
              <w:rPr>
                <w:sz w:val="20"/>
                <w:szCs w:val="20"/>
                <w:color w:val="auto"/>
              </w:rPr>
            </w:pPr>
            <w:r>
              <w:rPr>
                <w:rFonts w:ascii="Arial" w:cs="Arial" w:eastAsia="Arial" w:hAnsi="Arial"/>
                <w:sz w:val="18"/>
                <w:szCs w:val="18"/>
                <w:color w:val="auto"/>
              </w:rPr>
              <w:t>the</w:t>
            </w:r>
          </w:p>
        </w:tc>
        <w:tc>
          <w:tcPr>
            <w:tcW w:w="940" w:type="dxa"/>
            <w:vAlign w:val="bottom"/>
          </w:tcPr>
          <w:p>
            <w:pPr>
              <w:ind w:left="240"/>
              <w:spacing w:after="0"/>
              <w:rPr>
                <w:sz w:val="20"/>
                <w:szCs w:val="20"/>
                <w:color w:val="auto"/>
              </w:rPr>
            </w:pPr>
            <w:r>
              <w:rPr>
                <w:rFonts w:ascii="Arial" w:cs="Arial" w:eastAsia="Arial" w:hAnsi="Arial"/>
                <w:sz w:val="18"/>
                <w:szCs w:val="18"/>
                <w:color w:val="auto"/>
              </w:rPr>
              <w:t>most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directly</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w w:val="97"/>
              </w:rPr>
              <w:t>comparable</w:t>
            </w:r>
          </w:p>
        </w:tc>
        <w:tc>
          <w:tcPr>
            <w:tcW w:w="200" w:type="dxa"/>
            <w:vAlign w:val="bottom"/>
          </w:tcPr>
          <w:p>
            <w:pPr>
              <w:spacing w:after="0"/>
              <w:rPr>
                <w:sz w:val="20"/>
                <w:szCs w:val="20"/>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GAAP</w:t>
            </w:r>
          </w:p>
        </w:tc>
        <w:tc>
          <w:tcPr>
            <w:tcW w:w="960" w:type="dxa"/>
            <w:vAlign w:val="bottom"/>
          </w:tcPr>
          <w:p>
            <w:pPr>
              <w:jc w:val="right"/>
              <w:spacing w:after="0"/>
              <w:rPr>
                <w:sz w:val="20"/>
                <w:szCs w:val="20"/>
                <w:color w:val="auto"/>
              </w:rPr>
            </w:pPr>
            <w:r>
              <w:rPr>
                <w:rFonts w:ascii="Arial" w:cs="Arial" w:eastAsia="Arial" w:hAnsi="Arial"/>
                <w:sz w:val="18"/>
                <w:szCs w:val="18"/>
                <w:color w:val="auto"/>
              </w:rPr>
              <w:t>measure:</w:t>
            </w:r>
          </w:p>
        </w:tc>
      </w:tr>
      <w:tr>
        <w:trPr>
          <w:trHeight w:val="242"/>
        </w:trPr>
        <w:tc>
          <w:tcPr>
            <w:tcW w:w="400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 xml:space="preserve">Adjusted Working Capital </w:t>
            </w:r>
            <w:r>
              <w:rPr>
                <w:rFonts w:ascii="Arial" w:cs="Arial" w:eastAsia="Arial" w:hAnsi="Arial"/>
                <w:sz w:val="18"/>
                <w:szCs w:val="18"/>
                <w:i w:val="1"/>
                <w:iCs w:val="1"/>
                <w:color w:val="auto"/>
                <w:w w:val="99"/>
              </w:rPr>
              <w:t>(dollars in thousands)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80" w:type="dxa"/>
            <w:vAlign w:val="bottom"/>
            <w:gridSpan w:val="3"/>
          </w:tcPr>
          <w:p>
            <w:pPr>
              <w:ind w:left="4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1"/>
                <w:szCs w:val="21"/>
                <w:color w:val="auto"/>
              </w:rPr>
            </w:pPr>
          </w:p>
        </w:tc>
        <w:tc>
          <w:tcPr>
            <w:tcW w:w="17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1,329,051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1,137,223</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835,804</w:t>
            </w: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853,942</w:t>
            </w:r>
          </w:p>
        </w:tc>
      </w:tr>
      <w:tr>
        <w:trPr>
          <w:trHeight w:val="224"/>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Adjusted working capital</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1,300,325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1,119,085</w:t>
            </w:r>
          </w:p>
        </w:tc>
      </w:tr>
    </w:tbl>
    <w:p>
      <w:pPr>
        <w:spacing w:after="0" w:line="3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working capital increased from December 31, 2020 by $181.2 million, or 16.2%, to $1.3 billion at June 30, 2021, which reflected an increase of $191.8 million in accounts receivable and $142.0 million in inventory, partially offset by an increase in accounts payable of $152.6 million. These amounts include the effects of acquisitions, dispositions and foreign currency translation. Accounts receivable increased compared to the prior year as a result of higher revenue. Inventories increased to support business growth and higher backlog which also drove an increase in accounts payable.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payments related to SCF programs are recorded within accounts payable in our consolidated balance sheets. As of June 30, 2021 and December 31, 2020, amounts due to financial institutions for suppliers using SCF were approximately $184 million and $139 million, respectively. SCF related payments are classified as a reduction to cash flows from operations. During the six months ended June 30, 2021 and 2020 amounts paid to SCF financial institutions were approximately $378 million and $296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from investing activities is derived from cash outflows for capital expenditures and acquisitions, offset by proceeds from sales of businesses and property, plant and equipment. For the six months ended June 30, 2021 and 2020, we used cash in investing activities of $151.2 million and $298.3 million, respectively, driven mainly by the following factors:</w:t>
      </w:r>
    </w:p>
    <w:p>
      <w:pPr>
        <w:spacing w:after="0" w:line="211" w:lineRule="exact"/>
        <w:rPr>
          <w:sz w:val="20"/>
          <w:szCs w:val="20"/>
          <w:color w:val="auto"/>
        </w:rPr>
      </w:pPr>
    </w:p>
    <w:p>
      <w:pPr>
        <w:jc w:val="both"/>
        <w:ind w:left="660" w:hanging="328"/>
        <w:spacing w:after="0" w:line="301" w:lineRule="auto"/>
        <w:tabs>
          <w:tab w:leader="none" w:pos="655"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the six months ended June 30, 2021, we acquired AvaLAN and Blue Bite within the Fueling Solutions and Imaging &amp;</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Identification segments, respectively, and Quantex and one other immaterial acquisition within the Pumps &amp; Process Solutions segment for $81.2 million, net of cash acquired. During the six months ended June 30, 2020, we acquired Systech, Soft-Pak, and Em-tec within the Imaging &amp; Identification, Engineered Products, and Pumps &amp; Process Solutions segments, respectively, for $238.8 million, net of cash acquired.</w:t>
      </w:r>
    </w:p>
    <w:p>
      <w:pPr>
        <w:spacing w:after="0" w:line="184" w:lineRule="exact"/>
        <w:rPr>
          <w:rFonts w:ascii="Arial" w:cs="Arial" w:eastAsia="Arial" w:hAnsi="Arial"/>
          <w:sz w:val="16"/>
          <w:szCs w:val="16"/>
          <w:i w:val="1"/>
          <w:iCs w:val="1"/>
          <w:color w:val="auto"/>
        </w:rPr>
      </w:pPr>
    </w:p>
    <w:p>
      <w:pPr>
        <w:jc w:val="both"/>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decreased $5.9 million during the six months ended June 30, 2021 compared to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decrease is primarily due to the completion of large projects in the prior year. We continue to expect full year 2021 capital expenditures to be approximately $175-$200 million.</w:t>
      </w:r>
    </w:p>
    <w:p>
      <w:pPr>
        <w:spacing w:after="0" w:line="210"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There were no proceeds from the sale of businesses during the six months ended June 30, 2021.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we received proceeds of $16.9 million from the sale of AMS Chino within the Refrigeration &amp; Food Equipment segment.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anticipate that capital expenditures and any acquisitions we make through the remainder of 2021 will be funded from available cash and internally generated funds and through the issuance of commercial paper, use of lines of credit or public or private debt markets,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For the six months ended June 30, 2021 and 2020, we used cash totaling $200.2 million and generated cash totaling $213.5 million, respectively, for financing activities, with the activity primarily attributable to the following:</w:t>
      </w:r>
    </w:p>
    <w:p>
      <w:pPr>
        <w:spacing w:after="0" w:line="211"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six months ended June 30, 2021, we used $21.6 million to repurchase 182,951 shares.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we used $52.9 million to repurchase 548,659 shares.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commercial paper and notes payable: </w:t>
      </w:r>
      <w:r>
        <w:rPr>
          <w:rFonts w:ascii="Arial" w:cs="Arial" w:eastAsia="Arial" w:hAnsi="Arial"/>
          <w:sz w:val="18"/>
          <w:szCs w:val="18"/>
          <w:color w:val="auto"/>
        </w:rPr>
        <w:t>During the six months ended June 30, 2021, we did not borrow or have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commercial paper or notes payable. During the six months ended June 30, 2020, we borrowed $500 million under the $1.0 billion five-year unsecured revolving credit facility ("Credit Agreement") which was repaid during the same period. During the six months ended June 30, 2020, we also received net proceeds from commercial paper of $420.3 million.</w:t>
      </w:r>
    </w:p>
    <w:p>
      <w:pPr>
        <w:spacing w:after="0" w:line="213"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Dividends paid to shareholders during the six months ended June 30, 2021 totaled $142.7 million as compared to $141.6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same period in 2020. Our dividends paid per common share increased 1.0% to $0.99 during the six months ended June 30, 2021 compared to $0.98 during the same period in 2020.</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share-based awards increased $21.9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 The increase is primarily due to the increase in the number of shares exercised and an increase in the average stock price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7"/>
        </w:trPr>
        <w:tc>
          <w:tcPr>
            <w:tcW w:w="75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437,257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347,672</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(73,231)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(79,171)</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364,026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268,501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7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122"/>
        </w:trPr>
        <w:tc>
          <w:tcPr>
            <w:tcW w:w="7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net earnings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89.2 %</w:t>
            </w: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2021, we generated free cash flow of $364.0 million, representing 9.3% of revenue and 73.2% of net earnings. Free cash flow for the six months ended June 30, 2021 increased $95.5 million compared to the prior year period, due to higher operating cash flow primarily as a result of higher earnings and lower compensation payments and capital expenditures, partially offset by higher investments in working capital to support growth, and deferrals of tax payments in 2020 that did not repeat in 2021, as previously noted.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commercial paper borrowings for general corporate purposes, including the funding of acquisitions and the repurchase of our common stock. As of June 30, 2021, we maintained a $1 billion Credit Agreement with a syndicate of banks with an expiration date of October 4, 2024. The Credit Agreement is used as liquidity back-up for our commercial paper program and for general corporate purposes.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early-to-mid-March 2020, the commercial paper market began to experience very high levels of volatility as a result of COVID-19 related uncertainties. Volatility was most pronounced for "Tier-2" issuers, such as Dover, and impacted both market access and pricing. As a result, on March 16, 2020, the Company borrowed $500 million under the Credit Agreement. Proceeds from the borrowing were used to repay all of the Company's outstanding commercial paper and for general corporate purposes. We subsequently repaid the $500 million in the second quarter of 2020 using proceeds from commercial paper as volatility in the commercial paper market stabilized and we resumed borrowing commercial paper.</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Credit Agreement, we are required to pay a facility fee and to maintain an interest coverage ratio of consolidated EBITDA to consolidated net interest expense of not less than 3.0 to 1.0. We were in compliance with this covenant and our other long-term debt covenants at June 30, 2021 and had a coverage ratio of 13.9 to 1. We are not aware of any potential impairment to our liquidity and expect to remain in compliance with all of our debt covenants. Additionally, our earliest long-term debt maturity is in 2025.</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our cash and cash equivalents totaled $601.4 million, of which $481.2 million was held outside the United States. At December 31, 2020, our cash and cash equivalents totaled $513.1 million, of which $345.9 million was held outside the United States. Cash and cash equivalents are invested in highly liquid investment-grade money market instruments and bank deposits with maturities of three months or less. We invest any cash in excess of near-term requirements in money market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instruments or short-term investments, which consist of investment grade time deposits with original maturity dates at the time of purchase of no greater than three months.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2020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3,083,246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3,108,829</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3,083,246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3,108,829</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(601,359)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(513,075)</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debt</w:t>
            </w:r>
          </w:p>
        </w:tc>
        <w:tc>
          <w:tcPr>
            <w:tcW w:w="34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2,481,887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2,595,754</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3,719,304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3,385,773</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capitalization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6,201,191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5,981,527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to net capitalization</w:t>
            </w:r>
          </w:p>
        </w:tc>
        <w:tc>
          <w:tcPr>
            <w:tcW w:w="34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debt to net capitalization ratio decreased to 40.0% at June 30, 2021 compared to 43.4% at December 31, 2020. Net debt decreased $113.9 million during the period primarily due to an increase in cash and cash equivalents and a decrease in long-term debt as a result of foreign currency translation on Euro denominated notes. Stockholders' equity increased $333.5 million primarily as a result of earnings during the period, partially offset by dividends paid, exercises of share-based awards and share repurchases.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existing capacity of our Credit Agreement and access to capital markets are expected to satisfy our various cash flow requirements, including acquisitions, capital expenditures and share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Part 1, Notes to Condensed Consolidated Financial Statements, Note 20 — Recent Accounting Pronouncements. The adoption of recent accounting standards as included in Note 20 — Recent Accounting Pronouncements in the Condensed Consolidated Financial Statements has not had, and is not expected to have, a significant impact on our revenue, earnings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especially "Management’s Discussion and Analysis of Financial Condition and Results of Operations,"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"headwind", "tailwind"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laws and developments with respect to trade policy and tariffs, our ability to identify and complete acquisitions and integrate and realize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2020. The Company undertakes no obligation to publicly update any forward-looking statement, whether as a result of new information, future events or otherwise.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net earnings,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excludes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and operational improvement initiatives.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non-GAAP measures can be found above in this Item 2, Management's Discussion and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significant change in our exposure to market risk during the six months ended June 30, 2021. For a discussion of our exposure to market risk, refer to Item 7A, "Quantitative and Qualitative Disclosures about Market Risk," contained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June 30, 2021.</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2021, there were no changes in the Company’s internal control over financial reporting that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14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jc w:val="both"/>
        <w:ind w:left="340" w:hanging="332"/>
        <w:spacing w:after="0" w:line="259"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No share repurchases were made under the November 2020 authorization during the three months ended June 30, 2021. As of June 30, 2021, the number of shares still available for repurchase under the November 2020 share repurchase authorization was 19,817,049.</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80" w:right="260" w:hanging="35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57">
        <w:r>
          <w:rPr>
            <w:rFonts w:ascii="Arial" w:cs="Arial" w:eastAsia="Arial" w:hAnsi="Arial"/>
            <w:sz w:val="18"/>
            <w:szCs w:val="18"/>
            <w:u w:val="single" w:color="auto"/>
            <w:color w:val="0000FF"/>
          </w:rPr>
          <w:t>Dover Corporation 2021 Omnibus Incentive Plan, filed as Exhibit 10.1 to the Company's Current Report on Form 8-K filed May 10, 2021</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(SEC File No. 001-04018) is incorporated by reference. *</w:t>
        </w:r>
      </w:hyperlink>
    </w:p>
    <w:p>
      <w:pPr>
        <w:spacing w:after="0" w:line="148"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48">
        <w:r>
          <w:rPr>
            <w:rFonts w:ascii="Arial" w:cs="Arial" w:eastAsia="Arial" w:hAnsi="Arial"/>
            <w:sz w:val="17"/>
            <w:szCs w:val="17"/>
            <w:u w:val="single" w:color="auto"/>
            <w:color w:val="0000FF"/>
          </w:rPr>
          <w:t>Certificate pursuant to Rule 13a-14(a) of the Securities Exchange Act of 1934, as amended, signed and dated by Brad M. Cerepak.</w:t>
        </w:r>
      </w:hyperlink>
    </w:p>
    <w:p>
      <w:pPr>
        <w:spacing w:after="0" w:line="183"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49">
        <w:r>
          <w:rPr>
            <w:rFonts w:ascii="Arial" w:cs="Arial" w:eastAsia="Arial" w:hAnsi="Arial"/>
            <w:sz w:val="17"/>
            <w:szCs w:val="17"/>
            <w:u w:val="single" w:color="auto"/>
            <w:color w:val="0000FF"/>
          </w:rPr>
          <w:t>Certificate pursuant to Rule 13a-14(a) of the Securities Exchange Act of 1934, as amended, signed and dated by Richard J. Tobin.</w:t>
        </w:r>
      </w:hyperlink>
    </w:p>
    <w:p>
      <w:pPr>
        <w:spacing w:after="0" w:line="156" w:lineRule="exact"/>
        <w:rPr>
          <w:sz w:val="20"/>
          <w:szCs w:val="20"/>
          <w:color w:val="auto"/>
        </w:rPr>
      </w:pPr>
    </w:p>
    <w:p>
      <w:pPr>
        <w:ind w:left="980" w:hanging="215"/>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w:anchor="page50">
        <w:r>
          <w:rPr>
            <w:rFonts w:ascii="Arial" w:cs="Arial" w:eastAsia="Arial" w:hAnsi="Arial"/>
            <w:sz w:val="18"/>
            <w:szCs w:val="18"/>
            <w:u w:val="single" w:color="auto"/>
            <w:color w:val="0000FF"/>
          </w:rPr>
          <w:t>Certification pursuant to 18 U.S.C. Section 1350, as adopted pursuant to Section 906 of the Sarbanes-Oxley Act of 2002, signed and dated by</w:t>
        </w:r>
      </w:hyperlink>
      <w:r>
        <w:rPr>
          <w:rFonts w:ascii="Arial" w:cs="Arial" w:eastAsia="Arial" w:hAnsi="Arial"/>
          <w:sz w:val="18"/>
          <w:szCs w:val="18"/>
          <w:color w:val="auto"/>
        </w:rPr>
        <w:t xml:space="preserve"> </w:t>
      </w:r>
      <w:hyperlink w:anchor="page50">
        <w:r>
          <w:rPr>
            <w:rFonts w:ascii="Arial" w:cs="Arial" w:eastAsia="Arial" w:hAnsi="Arial"/>
            <w:sz w:val="18"/>
            <w:szCs w:val="18"/>
            <w:u w:val="single" w:color="auto"/>
            <w:color w:val="0000FF"/>
          </w:rPr>
          <w:t>Richard J. Tobin and Brad M. Cerepak.</w:t>
        </w:r>
      </w:hyperlink>
    </w:p>
    <w:p>
      <w:pPr>
        <w:spacing w:after="0" w:line="148" w:lineRule="exact"/>
        <w:rPr>
          <w:sz w:val="20"/>
          <w:szCs w:val="20"/>
          <w:color w:val="auto"/>
        </w:rPr>
      </w:pPr>
    </w:p>
    <w:p>
      <w:pPr>
        <w:ind w:left="980" w:right="80" w:hanging="369"/>
        <w:spacing w:after="0" w:line="21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June 30, 2021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49" w:lineRule="exact"/>
        <w:rPr>
          <w:sz w:val="20"/>
          <w:szCs w:val="20"/>
          <w:color w:val="auto"/>
        </w:rPr>
      </w:pPr>
    </w:p>
    <w:p>
      <w:pPr>
        <w:ind w:left="980" w:right="5260" w:hanging="369"/>
        <w:spacing w:after="0" w:line="29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formatted in Inline XBRL and contained in Exhibit 101. *Executive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6" w:name="page47"/>
    <w:bookmarkEnd w:id="4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July 20,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July 20,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W. Paulson</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July 20, 2021</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July 20, 2021</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right="20" w:hanging="328"/>
        <w:spacing w:after="0" w:line="28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2021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July 20,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July 20,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amp;"/>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1"/>
    </w:lvl>
  </w:abstractNum>
  <w:abstractNum w:abstractNumId="7">
    <w:nsid w:val="41A7C4C9"/>
    <w:multiLevelType w:val="hybridMultilevel"/>
    <w:lvl w:ilvl="0">
      <w:lvlJc w:val="left"/>
      <w:lvlText w:val="%1."/>
      <w:numFmt w:val="decimal"/>
      <w:start w:val="14"/>
    </w:lvl>
  </w:abstractNum>
  <w:abstractNum w:abstractNumId="8">
    <w:nsid w:val="6B68079A"/>
    <w:multiLevelType w:val="hybridMultilevel"/>
    <w:lvl w:ilvl="0">
      <w:lvlJc w:val="left"/>
      <w:lvlText w:val="%1."/>
      <w:numFmt w:val="decimal"/>
      <w:start w:val="15"/>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0"/>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7" Type="http://schemas.openxmlformats.org/officeDocument/2006/relationships/hyperlink" Target="http://www.sec.gov/Archives/edgar/data/29905/000119312521156215/d6621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2021-07-20T05:38:44Z</dcterms:created>
  <dcterms:modified xsi:type="dcterms:W3CDTF">2021-07-20T05:38:44Z</dcterms:modified>
</cp:coreProperties>
</file>