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0" w:after="0"/>
        <w:jc w:val="center"/>
        <w:rPr/>
      </w:pPr>
      <w:r>
        <w:rPr>
          <w:rFonts w:ascii="Arial;sans-serif" w:hAnsi="Arial;sans-serif"/>
          <w:b w:val="false"/>
          <w:color w:val="000000"/>
          <w:sz w:val="20"/>
        </w:rPr>
        <w:t>______________________________________</w:t>
      </w:r>
      <w:r>
        <w:rPr>
          <w:color w:val="000000"/>
        </w:rPr>
        <w:t>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FORM 8-K</w:t>
      </w:r>
    </w:p>
    <w:p>
      <w:pPr>
        <w:pStyle w:val="TextBody"/>
        <w:bidi w:val="0"/>
        <w:spacing w:lineRule="auto" w:line="288" w:before="0" w:after="0"/>
        <w:jc w:val="center"/>
        <w:rPr/>
      </w:pPr>
      <w:r>
        <w:rPr>
          <w:rFonts w:ascii="Arial;sans-serif" w:hAnsi="Arial;sans-serif"/>
          <w:b w:val="false"/>
          <w:color w:val="000000"/>
          <w:sz w:val="24"/>
        </w:rPr>
        <w:t>_______________________________</w:t>
      </w:r>
      <w:r>
        <w:rPr>
          <w:color w:val="000000"/>
        </w:rPr>
        <w:t> </w:t>
      </w:r>
    </w:p>
    <w:p>
      <w:pPr>
        <w:pStyle w:val="TextBody"/>
        <w:bidi w:val="0"/>
        <w:spacing w:lineRule="auto" w:line="288" w:before="120" w:after="283"/>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Date of Report (Date of earliest event reported): October 22, 2026</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_______________________________</w:t>
      </w:r>
    </w:p>
    <w:p>
      <w:pPr>
        <w:pStyle w:val="TextBody"/>
        <w:bidi w:val="0"/>
        <w:spacing w:lineRule="auto" w:line="288" w:before="0" w:after="0"/>
        <w:jc w:val="center"/>
        <w:rPr/>
      </w:pPr>
      <w:r>
        <w:rPr/>
        <w:drawing>
          <wp:inline distT="0" distB="0" distL="0" distR="0">
            <wp:extent cx="4191000"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191000" cy="638175"/>
                    </a:xfrm>
                    <a:prstGeom prst="rect">
                      <a:avLst/>
                    </a:prstGeom>
                  </pic:spPr>
                </pic:pic>
              </a:graphicData>
            </a:graphic>
          </wp:inline>
        </w:drawing>
      </w:r>
      <w:bookmarkStart w:id="0" w:name="i-1"/>
      <w:bookmarkEnd w:id="0"/>
      <w:r>
        <w:rPr>
          <w:color w:val="000000"/>
        </w:rPr>
        <w:t xml:space="preserve"> </w:t>
      </w:r>
    </w:p>
    <w:p>
      <w:pPr>
        <w:pStyle w:val="TextBody"/>
        <w:bidi w:val="0"/>
        <w:spacing w:lineRule="auto" w:line="288" w:before="0" w:after="0"/>
        <w:jc w:val="center"/>
        <w:rPr>
          <w:rFonts w:ascii="Arial;sans-serif" w:hAnsi="Arial;sans-serif"/>
          <w:b w:val="false"/>
          <w:color w:val="FFFFFF"/>
          <w:sz w:val="12"/>
        </w:rPr>
      </w:pPr>
      <w:r>
        <w:rPr>
          <w:rFonts w:ascii="Arial;sans-serif" w:hAnsi="Arial;sans-serif"/>
          <w:b w:val="false"/>
          <w:color w:val="FFFFFF"/>
          <w:sz w:val="12"/>
        </w:rPr>
        <w:t>DOVER CORPORATION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______________________________________________</w:t>
      </w:r>
    </w:p>
    <w:tbl>
      <w:tblPr>
        <w:tblW w:w="9477" w:type="dxa"/>
        <w:jc w:val="center"/>
        <w:tblInd w:w="0" w:type="dxa"/>
        <w:tblLayout w:type="fixed"/>
        <w:tblCellMar>
          <w:top w:w="28" w:type="dxa"/>
          <w:left w:w="28" w:type="dxa"/>
          <w:bottom w:w="28" w:type="dxa"/>
          <w:right w:w="28" w:type="dxa"/>
        </w:tblCellMar>
      </w:tblPr>
      <w:tblGrid>
        <w:gridCol w:w="704"/>
        <w:gridCol w:w="618"/>
        <w:gridCol w:w="618"/>
        <w:gridCol w:w="618"/>
        <w:gridCol w:w="618"/>
        <w:gridCol w:w="633"/>
        <w:gridCol w:w="822"/>
        <w:gridCol w:w="822"/>
        <w:gridCol w:w="830"/>
        <w:gridCol w:w="932"/>
        <w:gridCol w:w="932"/>
        <w:gridCol w:w="1330"/>
      </w:tblGrid>
      <w:tr>
        <w:trPr/>
        <w:tc>
          <w:tcPr>
            <w:tcW w:w="704"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380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1-4018</w:t>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53-0257888</w:t>
            </w:r>
          </w:p>
        </w:tc>
      </w:tr>
      <w:tr>
        <w:trPr/>
        <w:tc>
          <w:tcPr>
            <w:tcW w:w="380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(State or other jurisdiction of incorporation)</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20"/>
              </w:rPr>
              <w:t>(Commission File Number)</w:t>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(I.R.S. Employer Identification No.)</w:t>
            </w:r>
          </w:p>
        </w:tc>
      </w:tr>
      <w:tr>
        <w:trPr/>
        <w:tc>
          <w:tcPr>
            <w:tcW w:w="1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3005 Highland Parkway</w:t>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Downers Grove, Illinois</w:t>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60515</w:t>
            </w:r>
          </w:p>
        </w:tc>
      </w:tr>
      <w:tr>
        <w:trPr/>
        <w:tc>
          <w:tcPr>
            <w:tcW w:w="380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(Address of Principal Executive Offices)</w:t>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(Zip Code)</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(630) 541-1540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p>
      <w:pPr>
        <w:pStyle w:val="TextBody"/>
        <w:bidi w:val="0"/>
        <w:spacing w:lineRule="auto" w:line="288" w:before="0" w:after="0"/>
        <w:jc w:val="center"/>
        <w:rPr/>
      </w:pPr>
      <w:r>
        <w:rPr>
          <w:color w:val="000000"/>
        </w:rPr>
        <w:t> </w:t>
      </w:r>
      <w:r>
        <w:rPr>
          <w:rFonts w:ascii="Arial;sans-serif" w:hAnsi="Arial;sans-serif"/>
          <w:b w:val="false"/>
          <w:color w:val="000000"/>
          <w:sz w:val="16"/>
        </w:rPr>
        <w:t>______________________________________________</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10121" w:type="dxa"/>
        <w:jc w:val="left"/>
        <w:tblInd w:w="0" w:type="dxa"/>
        <w:tblLayout w:type="fixed"/>
        <w:tblCellMar>
          <w:top w:w="28" w:type="dxa"/>
          <w:left w:w="28" w:type="dxa"/>
          <w:bottom w:w="28" w:type="dxa"/>
          <w:right w:w="28" w:type="dxa"/>
        </w:tblCellMar>
      </w:tblPr>
      <w:tblGrid>
        <w:gridCol w:w="124"/>
        <w:gridCol w:w="109"/>
        <w:gridCol w:w="109"/>
        <w:gridCol w:w="2860"/>
        <w:gridCol w:w="2860"/>
        <w:gridCol w:w="40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13e-4(c) under the Exchange Act (17 CFR 240.13e-4(c))</w:t>
            </w:r>
          </w:p>
        </w:tc>
      </w:tr>
    </w:tbl>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7902" w:type="dxa"/>
        <w:jc w:val="left"/>
        <w:tblInd w:w="0" w:type="dxa"/>
        <w:tblLayout w:type="fixed"/>
        <w:tblCellMar>
          <w:top w:w="28" w:type="dxa"/>
          <w:left w:w="28" w:type="dxa"/>
          <w:bottom w:w="28" w:type="dxa"/>
          <w:right w:w="28" w:type="dxa"/>
        </w:tblCellMar>
      </w:tblPr>
      <w:tblGrid>
        <w:gridCol w:w="798"/>
        <w:gridCol w:w="699"/>
        <w:gridCol w:w="707"/>
        <w:gridCol w:w="564"/>
        <w:gridCol w:w="564"/>
        <w:gridCol w:w="566"/>
        <w:gridCol w:w="1170"/>
        <w:gridCol w:w="1170"/>
        <w:gridCol w:w="1664"/>
      </w:tblGrid>
      <w:tr>
        <w:trPr/>
        <w:tc>
          <w:tcPr>
            <w:tcW w:w="79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of each class</w:t>
            </w:r>
          </w:p>
        </w:tc>
        <w:tc>
          <w:tcPr>
            <w:tcW w:w="169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Trading Symbol(s)</w:t>
            </w:r>
          </w:p>
        </w:tc>
        <w:tc>
          <w:tcPr>
            <w:tcW w:w="4004"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of each exchange on which registered</w:t>
            </w:r>
          </w:p>
        </w:tc>
      </w:tr>
      <w:tr>
        <w:trPr/>
        <w:tc>
          <w:tcPr>
            <w:tcW w:w="220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w:t>
            </w:r>
          </w:p>
        </w:tc>
        <w:tc>
          <w:tcPr>
            <w:tcW w:w="169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DOV</w:t>
            </w:r>
          </w:p>
        </w:tc>
        <w:tc>
          <w:tcPr>
            <w:tcW w:w="4004"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 York Stock Exchange</w:t>
            </w:r>
          </w:p>
        </w:tc>
      </w:tr>
      <w:tr>
        <w:trPr/>
        <w:tc>
          <w:tcPr>
            <w:tcW w:w="220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1.250% Notes due 2026</w:t>
            </w:r>
          </w:p>
        </w:tc>
        <w:tc>
          <w:tcPr>
            <w:tcW w:w="169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DOV 26</w:t>
            </w:r>
          </w:p>
        </w:tc>
        <w:tc>
          <w:tcPr>
            <w:tcW w:w="4004"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 York Stock Exchange</w:t>
            </w:r>
          </w:p>
        </w:tc>
      </w:tr>
      <w:tr>
        <w:trPr/>
        <w:tc>
          <w:tcPr>
            <w:tcW w:w="220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0.750% Notes due 2027</w:t>
            </w:r>
          </w:p>
        </w:tc>
        <w:tc>
          <w:tcPr>
            <w:tcW w:w="169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DOV 27</w:t>
            </w:r>
          </w:p>
        </w:tc>
        <w:tc>
          <w:tcPr>
            <w:tcW w:w="4004"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 York Stock Exchange</w:t>
            </w:r>
          </w:p>
        </w:tc>
      </w:tr>
      <w:tr>
        <w:trPr/>
        <w:tc>
          <w:tcPr>
            <w:tcW w:w="220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3.500% Notes due 2033</w:t>
            </w:r>
          </w:p>
        </w:tc>
        <w:tc>
          <w:tcPr>
            <w:tcW w:w="169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DOV 33</w:t>
            </w:r>
          </w:p>
        </w:tc>
        <w:tc>
          <w:tcPr>
            <w:tcW w:w="4004"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New York Stock Exchange</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Emerging growth company ☐            </w:t>
      </w:r>
    </w:p>
    <w:p>
      <w:pPr>
        <w:pStyle w:val="TextBody"/>
        <w:bidi w:val="0"/>
        <w:spacing w:lineRule="auto" w:line="288" w:before="60" w:after="120"/>
        <w:jc w:val="left"/>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October 22, 2026, Dover Corporation ("Dover") issued the Press Release attached hereto as Exhibit 99.1 announcing its results of operations for the quarter ended September 30, 2026.</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information in this Current Report on Form 8-K, including Exhibit 99.1, is being furnished to the Securities and Exchange Commission (the “SEC”) and shall not be deemed to be incorporated by reference into any of Dover’s filings with the SEC under the Securities Act of 1933, as amended.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7.01 Regulation FD Disclosure.</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As previously announced, on October 22, 2026, Dover will hold an investor conference call and webcast at 8:30 a.m. Central time (9:30 a.m. Eastern time) to discuss its results of operations for the quarter ended September 30,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ind w:left="0" w:right="0" w:hanging="270"/>
        <w:jc w:val="left"/>
        <w:rPr/>
      </w:pPr>
      <w:r>
        <w:rPr>
          <w:rFonts w:ascii="Arial;sans-serif" w:hAnsi="Arial;sans-serif"/>
          <w:b w:val="false"/>
          <w:color w:val="000000"/>
          <w:sz w:val="20"/>
        </w:rPr>
        <w:t xml:space="preserve">(d) </w:t>
      </w:r>
      <w:r>
        <w:rPr>
          <w:rFonts w:ascii="Arial;sans-serif" w:hAnsi="Arial;sans-serif"/>
          <w:b w:val="false"/>
          <w:color w:val="000000"/>
          <w:sz w:val="20"/>
          <w:u w:val="single"/>
        </w:rPr>
        <w:t>Exhibits</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exhibits are furnished as part of this report:</w:t>
      </w:r>
    </w:p>
    <w:p>
      <w:pPr>
        <w:pStyle w:val="TextBody"/>
        <w:bidi w:val="0"/>
        <w:spacing w:before="0" w:after="0"/>
        <w:jc w:val="left"/>
        <w:rPr/>
      </w:pPr>
      <w:r>
        <w:rPr/>
      </w:r>
    </w:p>
    <w:p>
      <w:pPr>
        <w:pStyle w:val="TextBody"/>
        <w:bidi w:val="0"/>
        <w:spacing w:lineRule="auto" w:line="288" w:before="0" w:after="0"/>
        <w:jc w:val="left"/>
        <w:rPr/>
      </w:pPr>
      <w:hyperlink w:anchor="a202610228-kexhibit991pr.htm">
        <w:r>
          <w:rPr>
            <w:rStyle w:val="InternetLink"/>
          </w:rPr>
          <w:t xml:space="preserve">99.1 Press Release dated </w:t>
        </w:r>
      </w:hyperlink>
      <w:hyperlink w:anchor="a202610228-kexhibit991pr.htm">
        <w:r>
          <w:rPr>
            <w:rStyle w:val="InternetLink"/>
          </w:rPr>
          <w:t>October</w:t>
        </w:r>
      </w:hyperlink>
      <w:hyperlink w:anchor="a202610228-kexhibit991pr.htm">
        <w:r>
          <w:rPr>
            <w:rStyle w:val="InternetLink"/>
          </w:rPr>
          <w:t xml:space="preserve"> 2</w:t>
        </w:r>
      </w:hyperlink>
      <w:hyperlink w:anchor="a202610228-kexhibit991pr.htm">
        <w:r>
          <w:rPr>
            <w:rStyle w:val="InternetLink"/>
          </w:rPr>
          <w:t>2</w:t>
        </w:r>
      </w:hyperlink>
      <w:hyperlink w:anchor="a202610228-kexhibit991pr.htm">
        <w:r>
          <w:rPr>
            <w:rStyle w:val="InternetLink"/>
          </w:rPr>
          <w:t>, 2026</w:t>
        </w:r>
      </w:hyperlink>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104 Cover Page Interactive Data File (the cover page XBRL tags are embedded within the Inline XBRL document).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Current Report on Form 8-K to be signed on its behalf by the undersigned hereunto duly authorized.</w:t>
      </w:r>
    </w:p>
    <w:tbl>
      <w:tblPr>
        <w:tblW w:w="8353" w:type="dxa"/>
        <w:jc w:val="left"/>
        <w:tblInd w:w="0" w:type="dxa"/>
        <w:tblLayout w:type="fixed"/>
        <w:tblCellMar>
          <w:top w:w="28" w:type="dxa"/>
          <w:left w:w="28" w:type="dxa"/>
          <w:bottom w:w="28" w:type="dxa"/>
          <w:right w:w="28" w:type="dxa"/>
        </w:tblCellMar>
      </w:tblPr>
      <w:tblGrid>
        <w:gridCol w:w="211"/>
        <w:gridCol w:w="186"/>
        <w:gridCol w:w="188"/>
        <w:gridCol w:w="534"/>
        <w:gridCol w:w="534"/>
        <w:gridCol w:w="536"/>
        <w:gridCol w:w="381"/>
        <w:gridCol w:w="381"/>
        <w:gridCol w:w="381"/>
        <w:gridCol w:w="1541"/>
        <w:gridCol w:w="1541"/>
        <w:gridCol w:w="1567"/>
        <w:gridCol w:w="109"/>
        <w:gridCol w:w="109"/>
        <w:gridCol w:w="154"/>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22, 2026</w:t>
            </w:r>
          </w:p>
        </w:tc>
        <w:tc>
          <w:tcPr>
            <w:tcW w:w="57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DOVER CORPORATION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Ivonne M. Cabrera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FFFFF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FFFFF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Ivonne M. Cabrera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General Counsel &amp; Secretary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Exhibit 99.1</w:t>
      </w:r>
    </w:p>
    <w:p>
      <w:pPr>
        <w:pStyle w:val="TextBody"/>
        <w:bidi w:val="0"/>
        <w:spacing w:before="0" w:after="0"/>
        <w:jc w:val="left"/>
        <w:rPr/>
      </w:pPr>
      <w:r>
        <w:rPr/>
        <w:drawing>
          <wp:inline distT="0" distB="0" distL="0" distR="0">
            <wp:extent cx="1752600" cy="6000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752600" cy="600075"/>
                    </a:xfrm>
                    <a:prstGeom prst="rect">
                      <a:avLst/>
                    </a:prstGeom>
                  </pic:spPr>
                </pic:pic>
              </a:graphicData>
            </a:graphic>
          </wp:inline>
        </w:drawing>
      </w:r>
    </w:p>
    <w:tbl>
      <w:tblPr>
        <w:tblW w:w="6208" w:type="dxa"/>
        <w:jc w:val="left"/>
        <w:tblInd w:w="0" w:type="dxa"/>
        <w:tblLayout w:type="fixed"/>
        <w:tblCellMar>
          <w:top w:w="28" w:type="dxa"/>
          <w:left w:w="28" w:type="dxa"/>
          <w:bottom w:w="28" w:type="dxa"/>
          <w:right w:w="28" w:type="dxa"/>
        </w:tblCellMar>
      </w:tblPr>
      <w:tblGrid>
        <w:gridCol w:w="1139"/>
        <w:gridCol w:w="1001"/>
        <w:gridCol w:w="1009"/>
        <w:gridCol w:w="1135"/>
        <w:gridCol w:w="794"/>
        <w:gridCol w:w="1130"/>
      </w:tblGrid>
      <w:tr>
        <w:trPr/>
        <w:tc>
          <w:tcPr>
            <w:tcW w:w="113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Investor Contact:</w:t>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Media Contact:</w:t>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Jack Dickens</w:t>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Adrian Sakowicz</w:t>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Vice President - Investor Relations</w:t>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Vice President - Communications</w:t>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(630) 743-2566</w:t>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(630) 743-5039</w:t>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jdickens@dovercorp.com</w:t>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asakowicz@dovercorp.com</w:t>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DOVER REPORTS THIRD QUARTER 2026 RESULTS</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both"/>
        <w:rPr/>
      </w:pPr>
      <w:r>
        <w:rPr>
          <w:rFonts w:ascii="Arial;sans-serif" w:hAnsi="Arial;sans-serif"/>
          <w:b/>
          <w:color w:val="000000"/>
          <w:sz w:val="20"/>
        </w:rPr>
        <w:t>DOWNERS GROVE, Ill., October 22, 2026</w:t>
      </w:r>
      <w:r>
        <w:rPr>
          <w:color w:val="000000"/>
        </w:rPr>
        <w:t xml:space="preserve"> — </w:t>
      </w:r>
      <w:r>
        <w:rPr>
          <w:rFonts w:ascii="Arial;sans-serif" w:hAnsi="Arial;sans-serif"/>
          <w:b w:val="false"/>
          <w:color w:val="000000"/>
          <w:sz w:val="20"/>
        </w:rPr>
        <w:t>Dover (NYSE: DOV), a diversified global manufacturer, announced its financial results for the third quarter ended September 30, 2026. All comparisons are to the comparable period of the prior fiscal year, unless otherwise noted.</w:t>
      </w:r>
    </w:p>
    <w:tbl>
      <w:tblPr>
        <w:tblW w:w="10205" w:type="dxa"/>
        <w:jc w:val="left"/>
        <w:tblInd w:w="0" w:type="dxa"/>
        <w:tblLayout w:type="fixed"/>
        <w:tblCellMar>
          <w:top w:w="28" w:type="dxa"/>
          <w:left w:w="28" w:type="dxa"/>
          <w:bottom w:w="28" w:type="dxa"/>
          <w:right w:w="28" w:type="dxa"/>
        </w:tblCellMar>
      </w:tblPr>
      <w:tblGrid>
        <w:gridCol w:w="816"/>
        <w:gridCol w:w="610"/>
        <w:gridCol w:w="612"/>
        <w:gridCol w:w="109"/>
        <w:gridCol w:w="109"/>
        <w:gridCol w:w="109"/>
        <w:gridCol w:w="218"/>
        <w:gridCol w:w="668"/>
        <w:gridCol w:w="112"/>
        <w:gridCol w:w="112"/>
        <w:gridCol w:w="112"/>
        <w:gridCol w:w="112"/>
        <w:gridCol w:w="218"/>
        <w:gridCol w:w="668"/>
        <w:gridCol w:w="112"/>
        <w:gridCol w:w="112"/>
        <w:gridCol w:w="112"/>
        <w:gridCol w:w="112"/>
        <w:gridCol w:w="231"/>
        <w:gridCol w:w="231"/>
        <w:gridCol w:w="609"/>
        <w:gridCol w:w="109"/>
        <w:gridCol w:w="109"/>
        <w:gridCol w:w="109"/>
        <w:gridCol w:w="215"/>
        <w:gridCol w:w="661"/>
        <w:gridCol w:w="111"/>
        <w:gridCol w:w="111"/>
        <w:gridCol w:w="111"/>
        <w:gridCol w:w="111"/>
        <w:gridCol w:w="215"/>
        <w:gridCol w:w="661"/>
        <w:gridCol w:w="111"/>
        <w:gridCol w:w="111"/>
        <w:gridCol w:w="111"/>
        <w:gridCol w:w="111"/>
        <w:gridCol w:w="221"/>
        <w:gridCol w:w="221"/>
        <w:gridCol w:w="692"/>
      </w:tblGrid>
      <w:tr>
        <w:trPr/>
        <w:tc>
          <w:tcPr>
            <w:tcW w:w="81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 September 30,</w:t>
            </w:r>
          </w:p>
        </w:tc>
      </w:tr>
      <w:tr>
        <w:trPr/>
        <w:tc>
          <w:tcPr>
            <w:tcW w:w="203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 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10205" w:type="dxa"/>
            <w:gridSpan w:val="3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U.S. GAAP</w:t>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6,477 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5,993 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Earnings from continuing operations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Diluted EPS</w:t>
            </w:r>
            <w:r>
              <w:rPr>
                <w:color w:val="000000"/>
              </w:rPr>
              <w:t xml:space="preserve"> </w:t>
            </w:r>
            <w:r>
              <w:rPr>
                <w:rFonts w:ascii="Arial;sans-serif" w:hAnsi="Arial;sans-serif"/>
                <w:b w:val="false"/>
                <w:color w:val="000000"/>
                <w:sz w:val="20"/>
              </w:rPr>
              <w:t>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Non-GAAP</w:t>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Organic revenue 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Adjusted earnings from continuing operations </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Adjusted diluted EPS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68" w:before="0" w:after="0"/>
        <w:jc w:val="both"/>
        <w:rPr/>
      </w:pPr>
      <w:r>
        <w:rPr>
          <w:rFonts w:ascii="Arial;sans-serif" w:hAnsi="Arial;sans-serif"/>
          <w:b w:val="false"/>
          <w:color w:val="000000"/>
          <w:sz w:val="9"/>
        </w:rPr>
        <w:t>1</w:t>
      </w:r>
      <w:r>
        <w:rPr>
          <w:color w:val="000000"/>
        </w:rPr>
        <w:t xml:space="preserve"> </w:t>
      </w:r>
      <w:r>
        <w:rPr>
          <w:rFonts w:ascii="Arial;sans-serif" w:hAnsi="Arial;sans-serif"/>
          <w:b w:val="false"/>
          <w:color w:val="000000"/>
          <w:sz w:val="14"/>
        </w:rPr>
        <w:t>Q3 and year-to-date 2026 and 2025 adjusted earnings from continuing operations exclude after-tax purchase accounting expenses, restructuring and other costs, and gain on dispositions.</w:t>
      </w:r>
    </w:p>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 Totals, change and per share data may be impacted by rounding.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quarter ended September 30, 2026, Dover generated revenue of $2.2 billion, an increase of 8% (+7% organic). GAAP earnings from continuing operations of $337 million increased by 11%, and GAAP diluted EPS from continuing operations of $2.50 was up 14%. On an adjusted basis, earnings from continuing operations of $388 million were up 7% and adjusted diluted EPS from continuing operations of $2.88 was up 10%.</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nine months ended September 30, 2026, Dover generated revenue of $6.5 billion, an increase of 8% (+6% organic). GAAP earnings from continuing operations of $888 million increased by 8%, and GAAP diluted EPS from continuing operations of $6.56 was up 10%. On an adjusted basis, earnings from continuing operations of $1.1 billion were up 9% and adjusted diluted EPS from continuing operations of $7.89 was up 11%.</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 full reconciliation between GAAP and adjusted measures and definitions of non-GAAP and other performance measures are included as an exhibit herein.</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MANAGEMENT COMMENTARY: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Dover's President and Chief Executive Officer, Richard J. Tobin, said, "Dover delivered strong results in the third quarter. Top-line growth accelerated, led by our secular growth markets in artificial intelligence and power generation infrastructure, energy transition, single-use biopharma, semiconductor manufacturing, and space launch. This strength was complemented by broad-based performance across the portfolio, including improving line rates in food retail as we completed the footprint consolidation.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"Order performance was a highlight, consistent with the trend we have seen throughout the year. Bookings increased across all five segments and again outpaced shipments, reinforcing our confidence in the forecast. Notably, a significant portion of our backlog is scheduled for delivery in 2027, giving us a solid foundation heading into next year.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remained active in capital deployment. We continued to invest behind greenfield expansions in high-growth end markets, along with productivity and footprint optimization projects. During the quarter, we announced two bolt-on acquisitions that expand our capabilities in attractive markets and add manufacturing capacity in key strategic locations, and we opportunistically repurchased over $330 million of our shares. Our balance sheet and liquidity position provide significant flexibility to deploy additional capital.</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"We are on track to deliver double-digit adjusted EPS growth in 2026, in line with our long-term algorithm. As we begin planning for 2027, the constructive demand backdrop and our order book, together with carryover benefits from actions taken this year, set the stage for continued value creation for our shareholders."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FULL YEAR 2026 GUIDANCE: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2026, Dover expects to generate GAAP EPS in the range of $8.93 to $9.08 (adjusted EPS of $10.60 to $10.75), based on full year revenue growth of 7% to 8% (organic growth of 5% to 6%).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CONFERENCE CALL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Dover will host a webcast and conference call to discuss its third quarter results at 9:30 A.M. Eastern Time (8:30 A.M. Central Time) on Thursday, October 22, 2026. The webcast can be accessed on the Dover website at dovercorporation.com. The conference call will also be made available for replay on the website. Additional information on Dover's results and its operating segments can be found on the Company's website.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ABOUT DOVER: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Dover is a diversified global manufacturer and solutions provider with annual revenue of over $8 billion. We deliver innovative equipment and components, consumable supplies, aftermarket parts, software and digital solutions, and support services through five operating segments: Engineered Products, Clean Energy &amp; Fueling, Imaging &amp; Identification, Pumps &amp; Process Solutions and Climate &amp; Sustainability Technologies. Dover combines global scale with operational agility to lead the markets we serve. Recognized for our entrepreneurial approach for over 70 years, our team of approximately 24,000 employees takes an ownership mindset, collaborating with customers to redefine what's possible. Headquartered in Downers Grove, Illinois, Dover trades on the New York Stock Exchange under "DOV."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 xml:space="preserve">This press release contains "forward-looking" statements within the meaning of the Private Securities Litigation Reform Act of 1995, as amended. All statements in this document other than statements of historical fact are statements that are, or could be deemed, "forward-looking" statements. Forward-looking statements are subject to numerous important risks, uncertainties, assumptions and other factors, some of which are beyond the Company's control. Factors that could cause actual results to differ materially from current expectations include, among other things, general economic conditions and conditions in the particular markets in which we operate; supply chain constraints and labor shortages that could result in production stoppages; inflation in material input costs and freight logistics; the impacts of natural or human-induced disasters, acts of war, terrorism, international conflicts, and public health crises or other future pandemics on the global economy and on our customers, suppliers, employees, business and cash flows; changes in customer demand and capital spending; competitive factors and pricing pressures; our ability to develop and launch new products in a cost-effective manner; changes in law, including the effect of tax laws and developments with respect to trade policy and tariffs; our ability to identify, consummate and successfully integrate and realize synergies from newly acquired businesses; acquisition valuation levels; the impact of interest rate and currency exchange rate fluctuations; capital allocation plans and changes in those plans, including with respect to dividends, share repurchases, investments in research and development, capital expenditures and acquisitions; our ability to effectively deploy capital resulting from </w:t>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dispositions; our ability to derive expected benefits from restructurings, productivity initiatives and other cost reduction actions; the impact of legal compliance risks and litigation, including with respect to product quality and safety, cybersecurity and privacy; and our ability to capture and protect intellectual property rights. For details on the risks and uncertainties that could cause our results to differ materially from the forward-looking statements contained herein, we refer you to the documents we file with the Securities and Exchange Commission, including our Annual Report on Form 10-K for the year ended December 31, 2025, and our Quarterly Reports on Form 10-Q and Current Reports on Form 8-K. These documents are available from the Securities and Exchange Commission, and on our website, dovercorporation.com. The Company undertakes no obligation to publicly update any forward-looking statement,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INVESTOR SUPPLEMENT - THIRD QUARTER 2026</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DOVER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EARNINGS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342"/>
        <w:gridCol w:w="1160"/>
        <w:gridCol w:w="1163"/>
        <w:gridCol w:w="226"/>
        <w:gridCol w:w="1048"/>
        <w:gridCol w:w="116"/>
        <w:gridCol w:w="116"/>
        <w:gridCol w:w="116"/>
        <w:gridCol w:w="116"/>
        <w:gridCol w:w="226"/>
        <w:gridCol w:w="1048"/>
        <w:gridCol w:w="116"/>
        <w:gridCol w:w="109"/>
        <w:gridCol w:w="109"/>
        <w:gridCol w:w="109"/>
        <w:gridCol w:w="219"/>
        <w:gridCol w:w="1014"/>
        <w:gridCol w:w="112"/>
        <w:gridCol w:w="112"/>
        <w:gridCol w:w="112"/>
        <w:gridCol w:w="112"/>
        <w:gridCol w:w="219"/>
        <w:gridCol w:w="1014"/>
        <w:gridCol w:w="171"/>
      </w:tblGrid>
      <w:tr>
        <w:trPr/>
        <w:tc>
          <w:tcPr>
            <w:tcW w:w="1342"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September 30,</w:t>
            </w:r>
          </w:p>
        </w:tc>
      </w:tr>
      <w:tr>
        <w:trPr/>
        <w:tc>
          <w:tcPr>
            <w:tcW w:w="3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3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2,233,839 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2,077,841 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6,477,483 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5,993,492 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goods and services</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1,330,413 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1,244,247 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3,895,316 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3,596,136 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Gross profit</w:t>
            </w:r>
          </w:p>
        </w:tc>
        <w:tc>
          <w:tcPr>
            <w:tcW w:w="12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903,426 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833,594 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2,582,167 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2,397,356 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484,238 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456,441 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1,465,283 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1,369,297 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5"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3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earnings</w:t>
            </w:r>
          </w:p>
        </w:tc>
        <w:tc>
          <w:tcPr>
            <w:tcW w:w="12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419,188 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377,153 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1,116,884 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1,028,059 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28,870 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27,239 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87,450 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81,638 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(16,520)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(17,804)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(45,102)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(55,993)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Gain on dispositions</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net</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(13,848)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(18,525)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(32,750)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(26,663)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Earnings before provision for income taxes</w:t>
            </w:r>
          </w:p>
        </w:tc>
        <w:tc>
          <w:tcPr>
            <w:tcW w:w="12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420,686 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386,243 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1,107,286 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1,033,721 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83,866 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82,951 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219,172 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211,058 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Earnings from continuing operations</w:t>
            </w:r>
          </w:p>
        </w:tc>
        <w:tc>
          <w:tcPr>
            <w:tcW w:w="12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336,820 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303,292 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888,114 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822,663 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Loss from discontinued operations, net</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(10,782)</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Net earnings</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333,331 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301,996 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884,010 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811,881 </w:t>
            </w:r>
          </w:p>
        </w:tc>
        <w:tc>
          <w:tcPr>
            <w:tcW w:w="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65"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3665"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3665"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3665"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3665"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3665"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3665"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3665"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3665"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IS - 1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IS - 1</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DOVER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QUARTERLY EARNINGS PER SHARE</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(unaudited)(in thousands, except per share data*)</w:t>
      </w:r>
    </w:p>
    <w:tbl>
      <w:tblPr>
        <w:tblW w:w="13664" w:type="dxa"/>
        <w:jc w:val="center"/>
        <w:tblInd w:w="0" w:type="dxa"/>
        <w:tblLayout w:type="fixed"/>
        <w:tblCellMar>
          <w:top w:w="28" w:type="dxa"/>
          <w:left w:w="28" w:type="dxa"/>
          <w:bottom w:w="28" w:type="dxa"/>
          <w:right w:w="28" w:type="dxa"/>
        </w:tblCellMar>
      </w:tblPr>
      <w:tblGrid>
        <w:gridCol w:w="636"/>
        <w:gridCol w:w="282"/>
        <w:gridCol w:w="283"/>
        <w:gridCol w:w="211"/>
        <w:gridCol w:w="826"/>
        <w:gridCol w:w="109"/>
        <w:gridCol w:w="211"/>
        <w:gridCol w:w="826"/>
        <w:gridCol w:w="109"/>
        <w:gridCol w:w="109"/>
        <w:gridCol w:w="211"/>
        <w:gridCol w:w="826"/>
        <w:gridCol w:w="109"/>
        <w:gridCol w:w="211"/>
        <w:gridCol w:w="841"/>
        <w:gridCol w:w="109"/>
        <w:gridCol w:w="109"/>
        <w:gridCol w:w="109"/>
        <w:gridCol w:w="109"/>
        <w:gridCol w:w="109"/>
        <w:gridCol w:w="109"/>
        <w:gridCol w:w="211"/>
        <w:gridCol w:w="826"/>
        <w:gridCol w:w="109"/>
        <w:gridCol w:w="211"/>
        <w:gridCol w:w="826"/>
        <w:gridCol w:w="109"/>
        <w:gridCol w:w="109"/>
        <w:gridCol w:w="211"/>
        <w:gridCol w:w="826"/>
        <w:gridCol w:w="109"/>
        <w:gridCol w:w="211"/>
        <w:gridCol w:w="841"/>
        <w:gridCol w:w="109"/>
        <w:gridCol w:w="211"/>
        <w:gridCol w:w="826"/>
        <w:gridCol w:w="109"/>
        <w:gridCol w:w="211"/>
        <w:gridCol w:w="991"/>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Earnings Per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7" w:type="dxa"/>
            <w:gridSpan w:val="10"/>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4809" w:type="dxa"/>
            <w:gridSpan w:val="12"/>
            <w:tcBorders/>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Q1</w:t>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Q3</w:t>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Q3 YTD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Q1</w:t>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Q3</w:t>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Q3 YTD</w:t>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Q4</w:t>
            </w:r>
          </w:p>
        </w:tc>
        <w:tc>
          <w:tcPr>
            <w:tcW w:w="13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FY 2025</w:t>
            </w:r>
          </w:p>
        </w:tc>
      </w:tr>
      <w:tr>
        <w:trPr/>
        <w:tc>
          <w:tcPr>
            <w:tcW w:w="8855" w:type="dxa"/>
            <w:gridSpan w:val="28"/>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Basic earnings (loss) per share:</w:t>
            </w:r>
          </w:p>
        </w:tc>
        <w:tc>
          <w:tcPr>
            <w:tcW w:w="4809" w:type="dxa"/>
            <w:gridSpan w:val="12"/>
            <w:tcBorders/>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8.01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Discontinued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3"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Diluted earnings (loss) per share: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Discontinued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5" w:type="dxa"/>
            <w:gridSpan w:val="28"/>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Net earnings (loss) and weighted average shares used in calculated earnings (loss) per share amounts are as follows:</w:t>
            </w:r>
          </w:p>
        </w:tc>
        <w:tc>
          <w:tcPr>
            <w:tcW w:w="4809" w:type="dxa"/>
            <w:gridSpan w:val="12"/>
            <w:tcBorders/>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888,114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822,663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1,097,429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Discontinued operations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(10,782)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(3,473)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238,433 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312,246 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333,331 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884,010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230,821 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279,064 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301,996 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811,881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282,075 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1,093,956</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Weighted average shares outstanding:</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134,644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137,254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136,935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135,440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138,099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137,777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paid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Per share data may be impacted by rounding.</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9" w:type="dxa"/>
            <w:gridSpan w:val="12"/>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IS - 2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IS - 2</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DOVER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QUARTERLY SEGMENT INFORMATION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(unaudited)(in thousands)</w:t>
      </w:r>
    </w:p>
    <w:tbl>
      <w:tblPr>
        <w:tblW w:w="13829" w:type="dxa"/>
        <w:jc w:val="center"/>
        <w:tblInd w:w="0" w:type="dxa"/>
        <w:tblLayout w:type="fixed"/>
        <w:tblCellMar>
          <w:top w:w="28" w:type="dxa"/>
          <w:left w:w="28" w:type="dxa"/>
          <w:bottom w:w="28" w:type="dxa"/>
          <w:right w:w="28" w:type="dxa"/>
        </w:tblCellMar>
      </w:tblPr>
      <w:tblGrid>
        <w:gridCol w:w="612"/>
        <w:gridCol w:w="301"/>
        <w:gridCol w:w="303"/>
        <w:gridCol w:w="196"/>
        <w:gridCol w:w="871"/>
        <w:gridCol w:w="109"/>
        <w:gridCol w:w="196"/>
        <w:gridCol w:w="871"/>
        <w:gridCol w:w="109"/>
        <w:gridCol w:w="109"/>
        <w:gridCol w:w="196"/>
        <w:gridCol w:w="871"/>
        <w:gridCol w:w="109"/>
        <w:gridCol w:w="196"/>
        <w:gridCol w:w="886"/>
        <w:gridCol w:w="109"/>
        <w:gridCol w:w="109"/>
        <w:gridCol w:w="109"/>
        <w:gridCol w:w="109"/>
        <w:gridCol w:w="109"/>
        <w:gridCol w:w="109"/>
        <w:gridCol w:w="196"/>
        <w:gridCol w:w="871"/>
        <w:gridCol w:w="109"/>
        <w:gridCol w:w="196"/>
        <w:gridCol w:w="871"/>
        <w:gridCol w:w="109"/>
        <w:gridCol w:w="109"/>
        <w:gridCol w:w="196"/>
        <w:gridCol w:w="871"/>
        <w:gridCol w:w="109"/>
        <w:gridCol w:w="196"/>
        <w:gridCol w:w="886"/>
        <w:gridCol w:w="109"/>
        <w:gridCol w:w="196"/>
        <w:gridCol w:w="871"/>
        <w:gridCol w:w="109"/>
        <w:gridCol w:w="196"/>
        <w:gridCol w:w="886"/>
        <w:gridCol w:w="154"/>
      </w:tblGrid>
      <w:tr>
        <w:trPr/>
        <w:tc>
          <w:tcPr>
            <w:tcW w:w="61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7" w:type="dxa"/>
            <w:gridSpan w:val="1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779" w:type="dxa"/>
            <w:gridSpan w:val="12"/>
            <w:tcBorders/>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Q1</w:t>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w:t>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Q3</w:t>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Q3 YTD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Q1</w:t>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w:t>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Q3</w:t>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Q3 YTD</w:t>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Q4</w:t>
            </w:r>
          </w:p>
        </w:tc>
        <w:tc>
          <w:tcPr>
            <w:tcW w:w="12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FY 2025</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REVENUE</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Engineered Products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825,023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810,295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1,085,844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Clean Energy &amp; Fueling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594,959 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606,003 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1,755,771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491,148 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1,578,613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2,130,507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Imaging &amp; Identification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895,188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871,199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1,173,443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Pumps &amp; Process Solutions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568,517 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1,659,036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1,565,047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583,623 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2,148,670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Climate &amp; Sustainability Technologies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1,347,609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1,172,568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1,559,841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Intersegment eliminations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(5,734)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consolidated revenue</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2,053,623 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2,190,021 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2,233,839 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6,477,483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1,866,059 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2,049,592 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2,077,841 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5,993,492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2,099,079 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8,092,571</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10"/>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EARNINGS FROM CONTINUING OPERATIONS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Earnings: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Engineered Products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159,402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155,108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217,266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Clean Energy &amp; Fueling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360,468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312,080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418,070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Imaging &amp; Identification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257,604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236,284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314,735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Pumps &amp; Process Solutions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526,218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479,344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651,600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Climate &amp; Sustainability Technologies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220,376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205,383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265,647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segment earnings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454,976 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525,994 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543,098 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1,524,068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410,727 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474,985 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502,487 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1,388,199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479,119 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1,867,318</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Purchase accounting expenses </w:t>
            </w:r>
            <w:r>
              <w:rPr>
                <w:rFonts w:ascii="Arial;sans-serif" w:hAnsi="Arial;sans-serif"/>
                <w:b w:val="false"/>
                <w:color w:val="000000"/>
                <w:sz w:val="10"/>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152,020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159,608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218,445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Restructuring and other costs </w:t>
            </w:r>
            <w:r>
              <w:rPr>
                <w:rFonts w:ascii="Arial;sans-serif" w:hAnsi="Arial;sans-serif"/>
                <w:b w:val="false"/>
                <w:color w:val="000000"/>
                <w:sz w:val="10"/>
              </w:rPr>
              <w:t>2</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83,197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48,520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77,986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Gain on dispositions </w:t>
            </w:r>
            <w:r>
              <w:rPr>
                <w:rFonts w:ascii="Arial;sans-serif" w:hAnsi="Arial;sans-serif"/>
                <w:b w:val="false"/>
                <w:color w:val="000000"/>
                <w:sz w:val="10"/>
              </w:rPr>
              <w:t>3</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(4,644)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Corporate expense / other </w:t>
            </w:r>
            <w:r>
              <w:rPr>
                <w:rFonts w:ascii="Arial;sans-serif" w:hAnsi="Arial;sans-serif"/>
                <w:b w:val="false"/>
                <w:color w:val="000000"/>
                <w:sz w:val="10"/>
              </w:rPr>
              <w:t>4</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139,217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125,349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164,539</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87,450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81,638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109,772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(45,102)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(55,993)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(73,032)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Earnings before provision for income taxes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298,902 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387,698 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420,686 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1,107,286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295,381 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352,097 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386,243 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1,033,721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340,531 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1,374,252</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219,172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211,058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276,823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Earnings from continuing operations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238,749 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312,545 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336,820 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888,114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239,241 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280,130 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303,292 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822,663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274,766 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1,097,429</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SEGMENT EARNINGS MARGIN</w:t>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Engineered Products</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16.9 %</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20.4 %</w:t>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20.6 %</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19.3 %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17.3 %</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19.4 %</w:t>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20.6 %</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19.1 %</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22.6 %</w:t>
            </w:r>
          </w:p>
        </w:tc>
        <w:tc>
          <w:tcPr>
            <w:tcW w:w="1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20.0 %</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Clean Energy &amp; Fueling</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17.9 %</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21.6 %</w:t>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21.9 %</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20.5 %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17.4 %</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19.7 %</w:t>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21.9 %</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19.8 %</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19.2 %</w:t>
            </w:r>
          </w:p>
        </w:tc>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19.6 %</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Imaging &amp; Identification</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27.1 %</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27.9 %</w:t>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31.2 %</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28.8 %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27.7 %</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26.3 %</w:t>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27.3 %</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27.1 %</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26.0 %</w:t>
            </w:r>
          </w:p>
        </w:tc>
        <w:tc>
          <w:tcPr>
            <w:tcW w:w="1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26.8 %</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Pumps &amp; Process Solutions </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31.5 %</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32.4 %</w:t>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31.3 %</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31.7 %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30.6 %</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30.6 %</w:t>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30.6 %</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30.6 %</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29.5 %</w:t>
            </w:r>
          </w:p>
        </w:tc>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30.3 %</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Climate &amp; Sustainability Technologies </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15.6 %</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16.7 %</w:t>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16.7 %</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16.4 %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15.0 %</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18.6 %</w:t>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18.6 %</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17.5 %</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15.6 %</w:t>
            </w:r>
          </w:p>
        </w:tc>
        <w:tc>
          <w:tcPr>
            <w:tcW w:w="1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17.0 %</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segment earnings margin</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22.2 %</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24.0 %</w:t>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24.3 %</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23.5 %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23.2 %</w:t>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24.2 %</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23.2 %</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22.8 %</w:t>
            </w:r>
          </w:p>
        </w:tc>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23.1 %</w:t>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2613" w:type="dxa"/>
            <w:gridSpan w:val="37"/>
            <w:tcBorders/>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9050" w:type="dxa"/>
            <w:gridSpan w:val="28"/>
            <w:tcBorders/>
            <w:tcMar>
              <w:top w:w="0" w:type="dxa"/>
              <w:left w:w="0" w:type="dxa"/>
              <w:bottom w:w="0" w:type="dxa"/>
              <w:right w:w="0" w:type="dxa"/>
            </w:tcMar>
            <w:vAlign w:val="center"/>
          </w:tcPr>
          <w:p>
            <w:pPr>
              <w:pStyle w:val="TableContents"/>
              <w:bidi w:val="0"/>
              <w:spacing w:lineRule="auto" w:line="240" w:before="40" w:after="283"/>
              <w:jc w:val="both"/>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Purchase accounting expenses are primarily comprised of amortization of intangible assets.</w:t>
            </w:r>
          </w:p>
        </w:tc>
        <w:tc>
          <w:tcPr>
            <w:tcW w:w="4779" w:type="dxa"/>
            <w:gridSpan w:val="12"/>
            <w:tcBorders/>
          </w:tcPr>
          <w:p>
            <w:pPr>
              <w:pStyle w:val="TableContents"/>
              <w:bidi w:val="0"/>
              <w:spacing w:before="0" w:after="283"/>
              <w:jc w:val="left"/>
              <w:rPr>
                <w:sz w:val="4"/>
                <w:szCs w:val="4"/>
              </w:rPr>
            </w:pPr>
            <w:r>
              <w:rPr>
                <w:sz w:val="4"/>
                <w:szCs w:val="4"/>
              </w:rPr>
            </w:r>
          </w:p>
        </w:tc>
      </w:tr>
      <w:tr>
        <w:trPr/>
        <w:tc>
          <w:tcPr>
            <w:tcW w:w="9050" w:type="dxa"/>
            <w:gridSpan w:val="28"/>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10"/>
              </w:rPr>
              <w:t xml:space="preserve">2 </w:t>
            </w:r>
            <w:r>
              <w:rPr>
                <w:rFonts w:ascii="Arial;sans-serif" w:hAnsi="Arial;sans-serif"/>
                <w:b w:val="false"/>
                <w:color w:val="000000"/>
                <w:sz w:val="16"/>
              </w:rPr>
              <w:t>Restructuring and other costs relate to actions taken for headcount reductions, facility consolidations and site closures, product line exits, and other asset charges.</w:t>
            </w:r>
          </w:p>
        </w:tc>
        <w:tc>
          <w:tcPr>
            <w:tcW w:w="4779" w:type="dxa"/>
            <w:gridSpan w:val="12"/>
            <w:tcBorders/>
          </w:tcPr>
          <w:p>
            <w:pPr>
              <w:pStyle w:val="TableContents"/>
              <w:bidi w:val="0"/>
              <w:spacing w:before="0" w:after="283"/>
              <w:jc w:val="left"/>
              <w:rPr>
                <w:sz w:val="4"/>
                <w:szCs w:val="4"/>
              </w:rPr>
            </w:pPr>
            <w:r>
              <w:rPr>
                <w:sz w:val="4"/>
                <w:szCs w:val="4"/>
              </w:rPr>
            </w:r>
          </w:p>
        </w:tc>
      </w:tr>
      <w:tr>
        <w:trPr/>
        <w:tc>
          <w:tcPr>
            <w:tcW w:w="9050" w:type="dxa"/>
            <w:gridSpan w:val="28"/>
            <w:tcBorders/>
            <w:tcMar>
              <w:top w:w="0" w:type="dxa"/>
              <w:left w:w="0" w:type="dxa"/>
              <w:bottom w:w="0" w:type="dxa"/>
              <w:right w:w="0" w:type="dxa"/>
            </w:tcMar>
            <w:vAlign w:val="center"/>
          </w:tcPr>
          <w:p>
            <w:pPr>
              <w:pStyle w:val="TableContents"/>
              <w:bidi w:val="0"/>
              <w:spacing w:lineRule="auto" w:line="240" w:before="40" w:after="283"/>
              <w:jc w:val="both"/>
              <w:rPr/>
            </w:pPr>
            <w:r>
              <w:rPr>
                <w:rFonts w:ascii="Arial;sans-serif" w:hAnsi="Arial;sans-serif"/>
                <w:b w:val="false"/>
                <w:color w:val="000000"/>
                <w:sz w:val="10"/>
              </w:rPr>
              <w:t>3</w:t>
            </w:r>
            <w:r>
              <w:rPr>
                <w:color w:val="000000"/>
              </w:rPr>
              <w:t xml:space="preserve"> </w:t>
            </w:r>
            <w:r>
              <w:rPr>
                <w:rFonts w:ascii="Arial;sans-serif" w:hAnsi="Arial;sans-serif"/>
                <w:b w:val="false"/>
                <w:color w:val="000000"/>
                <w:sz w:val="16"/>
              </w:rPr>
              <w:t>Gain on dispositions, including post-closing adjustments.</w:t>
            </w:r>
          </w:p>
        </w:tc>
        <w:tc>
          <w:tcPr>
            <w:tcW w:w="4779" w:type="dxa"/>
            <w:gridSpan w:val="12"/>
            <w:tcBorders/>
          </w:tcPr>
          <w:p>
            <w:pPr>
              <w:pStyle w:val="TableContents"/>
              <w:bidi w:val="0"/>
              <w:spacing w:before="0" w:after="283"/>
              <w:jc w:val="left"/>
              <w:rPr>
                <w:sz w:val="4"/>
                <w:szCs w:val="4"/>
              </w:rPr>
            </w:pPr>
            <w:r>
              <w:rPr>
                <w:sz w:val="4"/>
                <w:szCs w:val="4"/>
              </w:rPr>
            </w:r>
          </w:p>
        </w:tc>
      </w:tr>
      <w:tr>
        <w:trPr/>
        <w:tc>
          <w:tcPr>
            <w:tcW w:w="9050" w:type="dxa"/>
            <w:gridSpan w:val="28"/>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10"/>
              </w:rPr>
              <w:t xml:space="preserve">4 </w:t>
            </w:r>
            <w:r>
              <w:rPr>
                <w:rFonts w:ascii="Arial;sans-serif" w:hAnsi="Arial;sans-serif"/>
                <w:b w:val="false"/>
                <w:color w:val="000000"/>
                <w:sz w:val="16"/>
              </w:rPr>
              <w:t>Certain expenses are maintained at the corporate level and not allocated to the segments. These expenses include executive and functional compensation costs, non-service pension costs, non-operating insurance expenses, shared business services and digital and IT overhead costs, deal-related expenses and various administrative expenses relating to the corporate headquarters.</w:t>
            </w:r>
          </w:p>
        </w:tc>
        <w:tc>
          <w:tcPr>
            <w:tcW w:w="4779" w:type="dxa"/>
            <w:gridSpan w:val="12"/>
            <w:tcBorders/>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2613" w:type="dxa"/>
            <w:gridSpan w:val="37"/>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IS - 3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IS - 3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DOVER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QUARTERLY ADJUSTED EARNINGS AND ADJUSTED EARNINGS PER SHARE (NON-GAAP)</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(unaudited)(in thousands, except per share data*)</w:t>
      </w:r>
    </w:p>
    <w:p>
      <w:pPr>
        <w:pStyle w:val="TextBody"/>
        <w:bidi w:val="0"/>
        <w:spacing w:lineRule="auto" w:line="288" w:before="0" w:after="0"/>
        <w:jc w:val="left"/>
        <w:rPr>
          <w:rFonts w:ascii="Arial;sans-serif" w:hAnsi="Arial;sans-serif"/>
          <w:b/>
          <w:color w:val="000000"/>
          <w:sz w:val="18"/>
          <w:u w:val="single"/>
        </w:rPr>
      </w:pPr>
      <w:r>
        <w:rPr>
          <w:rFonts w:ascii="Arial;sans-serif" w:hAnsi="Arial;sans-serif"/>
          <w:b/>
          <w:color w:val="000000"/>
          <w:sz w:val="18"/>
          <w:u w:val="single"/>
        </w:rPr>
        <w:t>Non-GAAP Reconciliations</w:t>
      </w:r>
    </w:p>
    <w:tbl>
      <w:tblPr>
        <w:tblW w:w="13829" w:type="dxa"/>
        <w:jc w:val="left"/>
        <w:tblInd w:w="0" w:type="dxa"/>
        <w:tblLayout w:type="fixed"/>
        <w:tblCellMar>
          <w:top w:w="28" w:type="dxa"/>
          <w:left w:w="28" w:type="dxa"/>
          <w:bottom w:w="28" w:type="dxa"/>
          <w:right w:w="28" w:type="dxa"/>
        </w:tblCellMar>
      </w:tblPr>
      <w:tblGrid>
        <w:gridCol w:w="584"/>
        <w:gridCol w:w="315"/>
        <w:gridCol w:w="317"/>
        <w:gridCol w:w="211"/>
        <w:gridCol w:w="826"/>
        <w:gridCol w:w="109"/>
        <w:gridCol w:w="211"/>
        <w:gridCol w:w="826"/>
        <w:gridCol w:w="109"/>
        <w:gridCol w:w="109"/>
        <w:gridCol w:w="211"/>
        <w:gridCol w:w="826"/>
        <w:gridCol w:w="109"/>
        <w:gridCol w:w="211"/>
        <w:gridCol w:w="991"/>
        <w:gridCol w:w="109"/>
        <w:gridCol w:w="109"/>
        <w:gridCol w:w="109"/>
        <w:gridCol w:w="109"/>
        <w:gridCol w:w="109"/>
        <w:gridCol w:w="109"/>
        <w:gridCol w:w="211"/>
        <w:gridCol w:w="826"/>
        <w:gridCol w:w="109"/>
        <w:gridCol w:w="211"/>
        <w:gridCol w:w="826"/>
        <w:gridCol w:w="109"/>
        <w:gridCol w:w="109"/>
        <w:gridCol w:w="211"/>
        <w:gridCol w:w="826"/>
        <w:gridCol w:w="109"/>
        <w:gridCol w:w="211"/>
        <w:gridCol w:w="841"/>
        <w:gridCol w:w="109"/>
        <w:gridCol w:w="211"/>
        <w:gridCol w:w="826"/>
        <w:gridCol w:w="109"/>
        <w:gridCol w:w="211"/>
        <w:gridCol w:w="991"/>
        <w:gridCol w:w="154"/>
      </w:tblGrid>
      <w:tr>
        <w:trPr/>
        <w:tc>
          <w:tcPr>
            <w:tcW w:w="58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2613" w:type="dxa"/>
            <w:gridSpan w:val="37"/>
            <w:tcBorders/>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7" w:type="dxa"/>
            <w:gridSpan w:val="10"/>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4809" w:type="dxa"/>
            <w:gridSpan w:val="12"/>
            <w:tcBorders/>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Q1</w:t>
            </w:r>
          </w:p>
        </w:tc>
        <w:tc>
          <w:tcPr>
            <w:tcW w:w="114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Q3</w:t>
            </w:r>
          </w:p>
        </w:tc>
        <w:tc>
          <w:tcPr>
            <w:tcW w:w="13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Q3 YTD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Q1</w:t>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Q3</w:t>
            </w:r>
          </w:p>
        </w:tc>
        <w:tc>
          <w:tcPr>
            <w:tcW w:w="11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Q3 YTD</w:t>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Q4</w:t>
            </w:r>
          </w:p>
        </w:tc>
        <w:tc>
          <w:tcPr>
            <w:tcW w:w="13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FY 2025</w:t>
            </w:r>
          </w:p>
        </w:tc>
      </w:tr>
      <w:tr>
        <w:trPr/>
        <w:tc>
          <w:tcPr>
            <w:tcW w:w="350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earnings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Earnings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888,114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822,663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1,097,429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Purchase accounting expenses, pre-tax </w:t>
            </w:r>
            <w:r>
              <w:rPr>
                <w:rFonts w:ascii="Arial;sans-serif" w:hAnsi="Arial;sans-serif"/>
                <w:b w:val="false"/>
                <w:color w:val="000000"/>
                <w:sz w:val="12"/>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152,020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159,608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218,445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Purchase accounting expenses, tax impact </w:t>
            </w:r>
            <w:r>
              <w:rPr>
                <w:rFonts w:ascii="Arial;sans-serif" w:hAnsi="Arial;sans-serif"/>
                <w:b w:val="false"/>
                <w:color w:val="000000"/>
                <w:sz w:val="12"/>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(36,407)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(36,353)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(50,487)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Restructuring and other costs, pre-tax </w:t>
            </w:r>
            <w:r>
              <w:rPr>
                <w:rFonts w:ascii="Arial;sans-serif" w:hAnsi="Arial;sans-serif"/>
                <w:b w:val="false"/>
                <w:color w:val="000000"/>
                <w:sz w:val="12"/>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83,197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48,520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77,986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Restructuring and other costs, tax impact </w:t>
            </w:r>
            <w:r>
              <w:rPr>
                <w:rFonts w:ascii="Arial;sans-serif" w:hAnsi="Arial;sans-serif"/>
                <w:b w:val="false"/>
                <w:color w:val="000000"/>
                <w:sz w:val="12"/>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(17,974)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(15,367)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Gain on dispositions, pre-tax </w:t>
            </w:r>
            <w:r>
              <w:rPr>
                <w:rFonts w:ascii="Arial;sans-serif" w:hAnsi="Arial;sans-serif"/>
                <w:b w:val="false"/>
                <w:color w:val="000000"/>
                <w:sz w:val="12"/>
              </w:rPr>
              <w:t>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(4,644)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Gain on dispositions, tax-impact </w:t>
            </w:r>
            <w:r>
              <w:rPr>
                <w:rFonts w:ascii="Arial;sans-serif" w:hAnsi="Arial;sans-serif"/>
                <w:b w:val="false"/>
                <w:color w:val="000000"/>
                <w:sz w:val="12"/>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1,124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Adjusted earnings from continuing operations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309,383 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371,692 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387,875 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1,068,950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283,157 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336,713 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361,289 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981,159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343,327 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1,324,486</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2" w:type="dxa"/>
            <w:gridSpan w:val="30"/>
            <w:tcBorders/>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4763" w:type="dxa"/>
            <w:gridSpan w:val="1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Adjusted diluted earnings per share from continuing operations: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3" w:type="dxa"/>
            <w:gridSpan w:val="9"/>
            <w:tcBorders/>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Diluted earnings per share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Purchase accounting expenses, pre-tax </w:t>
            </w:r>
            <w:r>
              <w:rPr>
                <w:rFonts w:ascii="Arial;sans-serif" w:hAnsi="Arial;sans-serif"/>
                <w:b w:val="false"/>
                <w:color w:val="000000"/>
                <w:sz w:val="12"/>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Purchase accounting expenses, tax impact </w:t>
            </w:r>
            <w:r>
              <w:rPr>
                <w:rFonts w:ascii="Arial;sans-serif" w:hAnsi="Arial;sans-serif"/>
                <w:b w:val="false"/>
                <w:color w:val="000000"/>
                <w:sz w:val="12"/>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Restructuring and other costs, pre-tax </w:t>
            </w:r>
            <w:r>
              <w:rPr>
                <w:rFonts w:ascii="Arial;sans-serif" w:hAnsi="Arial;sans-serif"/>
                <w:b w:val="false"/>
                <w:color w:val="000000"/>
                <w:sz w:val="12"/>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0.57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Restructuring and other costs, tax impact </w:t>
            </w:r>
            <w:r>
              <w:rPr>
                <w:rFonts w:ascii="Arial;sans-serif" w:hAnsi="Arial;sans-serif"/>
                <w:b w:val="false"/>
                <w:color w:val="000000"/>
                <w:sz w:val="12"/>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Gain on dispositions, pre-tax </w:t>
            </w:r>
            <w:r>
              <w:rPr>
                <w:rFonts w:ascii="Arial;sans-serif" w:hAnsi="Arial;sans-serif"/>
                <w:b w:val="false"/>
                <w:color w:val="000000"/>
                <w:sz w:val="12"/>
              </w:rPr>
              <w:t>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Gain on dispositions, tax-impact </w:t>
            </w:r>
            <w:r>
              <w:rPr>
                <w:rFonts w:ascii="Arial;sans-serif" w:hAnsi="Arial;sans-serif"/>
                <w:b w:val="false"/>
                <w:color w:val="000000"/>
                <w:sz w:val="12"/>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0.01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Adjusted diluted earnings per share from continuing operations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7.89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7.10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9.61</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0" w:type="dxa"/>
            <w:gridSpan w:val="28"/>
            <w:tcBorders/>
            <w:tcMar>
              <w:top w:w="0" w:type="dxa"/>
              <w:left w:w="0" w:type="dxa"/>
              <w:bottom w:w="0" w:type="dxa"/>
              <w:right w:w="0" w:type="dxa"/>
            </w:tcMar>
            <w:vAlign w:val="center"/>
          </w:tcPr>
          <w:p>
            <w:pPr>
              <w:pStyle w:val="TableContents"/>
              <w:bidi w:val="0"/>
              <w:spacing w:lineRule="auto" w:line="268" w:before="40" w:after="283"/>
              <w:jc w:val="both"/>
              <w:rPr/>
            </w:pPr>
            <w:r>
              <w:rPr>
                <w:rFonts w:ascii="Arial;sans-serif" w:hAnsi="Arial;sans-serif"/>
                <w:b w:val="false"/>
                <w:color w:val="000000"/>
                <w:sz w:val="11"/>
              </w:rPr>
              <w:t>1</w:t>
            </w:r>
            <w:r>
              <w:rPr>
                <w:color w:val="000000"/>
              </w:rPr>
              <w:t xml:space="preserve"> </w:t>
            </w:r>
            <w:r>
              <w:rPr>
                <w:rFonts w:ascii="Arial;sans-serif" w:hAnsi="Arial;sans-serif"/>
                <w:b w:val="false"/>
                <w:color w:val="000000"/>
                <w:sz w:val="17"/>
              </w:rPr>
              <w:t>Purchase accounting expenses are primarily comprised of amortization of intangible assets.</w:t>
            </w:r>
          </w:p>
        </w:tc>
        <w:tc>
          <w:tcPr>
            <w:tcW w:w="4809" w:type="dxa"/>
            <w:gridSpan w:val="12"/>
            <w:tcBorders/>
          </w:tcPr>
          <w:p>
            <w:pPr>
              <w:pStyle w:val="TableContents"/>
              <w:bidi w:val="0"/>
              <w:spacing w:before="0" w:after="283"/>
              <w:jc w:val="left"/>
              <w:rPr>
                <w:sz w:val="4"/>
                <w:szCs w:val="4"/>
              </w:rPr>
            </w:pPr>
            <w:r>
              <w:rPr>
                <w:sz w:val="4"/>
                <w:szCs w:val="4"/>
              </w:rPr>
            </w:r>
          </w:p>
        </w:tc>
      </w:tr>
      <w:tr>
        <w:trPr/>
        <w:tc>
          <w:tcPr>
            <w:tcW w:w="9020" w:type="dxa"/>
            <w:gridSpan w:val="28"/>
            <w:tcBorders/>
            <w:tcMar>
              <w:top w:w="0" w:type="dxa"/>
              <w:left w:w="0" w:type="dxa"/>
              <w:bottom w:w="0" w:type="dxa"/>
              <w:right w:w="0" w:type="dxa"/>
            </w:tcMar>
            <w:vAlign w:val="center"/>
          </w:tcPr>
          <w:p>
            <w:pPr>
              <w:pStyle w:val="TableContents"/>
              <w:bidi w:val="0"/>
              <w:spacing w:lineRule="auto" w:line="268" w:before="0" w:after="0"/>
              <w:jc w:val="both"/>
              <w:rPr/>
            </w:pPr>
            <w:r>
              <w:rPr>
                <w:rFonts w:ascii="Arial;sans-serif" w:hAnsi="Arial;sans-serif"/>
                <w:b w:val="false"/>
                <w:color w:val="000000"/>
                <w:sz w:val="11"/>
              </w:rPr>
              <w:t>2</w:t>
            </w:r>
            <w:r>
              <w:rPr>
                <w:color w:val="000000"/>
              </w:rPr>
              <w:t xml:space="preserve"> </w:t>
            </w:r>
            <w:r>
              <w:rPr>
                <w:rFonts w:ascii="Arial;sans-serif" w:hAnsi="Arial;sans-serif"/>
                <w:b w:val="false"/>
                <w:color w:val="000000"/>
                <w:sz w:val="17"/>
              </w:rPr>
              <w:t>Adjustments were tax effected using the statutory tax rates in the applicable jurisdictions or the effective tax rate, where applicable, for each period.</w:t>
            </w:r>
          </w:p>
        </w:tc>
        <w:tc>
          <w:tcPr>
            <w:tcW w:w="4809" w:type="dxa"/>
            <w:gridSpan w:val="12"/>
            <w:tcBorders/>
          </w:tcPr>
          <w:p>
            <w:pPr>
              <w:pStyle w:val="TableContents"/>
              <w:bidi w:val="0"/>
              <w:spacing w:before="0" w:after="283"/>
              <w:jc w:val="left"/>
              <w:rPr>
                <w:sz w:val="4"/>
                <w:szCs w:val="4"/>
              </w:rPr>
            </w:pPr>
            <w:r>
              <w:rPr>
                <w:sz w:val="4"/>
                <w:szCs w:val="4"/>
              </w:rPr>
            </w:r>
          </w:p>
        </w:tc>
      </w:tr>
      <w:tr>
        <w:trPr/>
        <w:tc>
          <w:tcPr>
            <w:tcW w:w="9020" w:type="dxa"/>
            <w:gridSpan w:val="28"/>
            <w:tcBorders/>
            <w:shd w:fill="FFFFFF" w:val="clear"/>
            <w:tcMar>
              <w:top w:w="0" w:type="dxa"/>
              <w:left w:w="0" w:type="dxa"/>
              <w:bottom w:w="0" w:type="dxa"/>
              <w:right w:w="0" w:type="dxa"/>
            </w:tcMar>
            <w:vAlign w:val="center"/>
          </w:tcPr>
          <w:p>
            <w:pPr>
              <w:pStyle w:val="TableContents"/>
              <w:bidi w:val="0"/>
              <w:spacing w:lineRule="auto" w:line="268" w:before="40" w:after="283"/>
              <w:jc w:val="both"/>
              <w:rPr/>
            </w:pPr>
            <w:r>
              <w:rPr>
                <w:rFonts w:ascii="Arial;sans-serif" w:hAnsi="Arial;sans-serif"/>
                <w:b w:val="false"/>
                <w:color w:val="000000"/>
                <w:sz w:val="11"/>
              </w:rPr>
              <w:t>3</w:t>
            </w:r>
            <w:r>
              <w:rPr>
                <w:color w:val="000000"/>
              </w:rPr>
              <w:t xml:space="preserve"> </w:t>
            </w:r>
            <w:r>
              <w:rPr>
                <w:rFonts w:ascii="Arial;sans-serif" w:hAnsi="Arial;sans-serif"/>
                <w:b w:val="false"/>
                <w:color w:val="000000"/>
                <w:sz w:val="17"/>
              </w:rPr>
              <w:t xml:space="preserve">Restructuring and other costs relate to actions taken for headcount reductions, facility consolidations and site closures, product line exits, and other asset charges. Q1 2026, Q2 2026, Q3 2026 and YTD 2026 include other costs of $3.0 million, $4.3 million, $1.7 million, and $9.0 million, respectively, associated with a footprint reduction in our Climate &amp; Sustainability Technologies segment. Q2 2025, Q3 2025, Q4 2025 and FY 2025 include other costs of $1.9 million, $1.8 million, $2.6 million and $6.3 million, respectively, associated with a footprint reduction within our Climate &amp; Sustainability Technologies segment. Q2 2025 and FY 2025 include other costs of $4.0 million associated with a product line exit within our Climate &amp; Sustainability Technologies segment. </w:t>
            </w:r>
          </w:p>
        </w:tc>
        <w:tc>
          <w:tcPr>
            <w:tcW w:w="4809" w:type="dxa"/>
            <w:gridSpan w:val="12"/>
            <w:tcBorders/>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2613" w:type="dxa"/>
            <w:gridSpan w:val="37"/>
            <w:tcBorders/>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2613" w:type="dxa"/>
            <w:gridSpan w:val="37"/>
            <w:tcBorders/>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2613" w:type="dxa"/>
            <w:gridSpan w:val="37"/>
            <w:tcBorders/>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2613" w:type="dxa"/>
            <w:gridSpan w:val="37"/>
            <w:tcBorders/>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2613" w:type="dxa"/>
            <w:gridSpan w:val="37"/>
            <w:tcBorders/>
          </w:tcPr>
          <w:p>
            <w:pPr>
              <w:pStyle w:val="TableContents"/>
              <w:bidi w:val="0"/>
              <w:spacing w:before="0" w:after="283"/>
              <w:jc w:val="left"/>
              <w:rPr>
                <w:sz w:val="4"/>
                <w:szCs w:val="4"/>
              </w:rPr>
            </w:pPr>
            <w:r>
              <w:rPr>
                <w:sz w:val="4"/>
                <w:szCs w:val="4"/>
              </w:rPr>
            </w:r>
          </w:p>
        </w:tc>
      </w:tr>
      <w:tr>
        <w:trPr/>
        <w:tc>
          <w:tcPr>
            <w:tcW w:w="9020" w:type="dxa"/>
            <w:gridSpan w:val="28"/>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11"/>
              </w:rPr>
              <w:t>4</w:t>
            </w:r>
            <w:r>
              <w:rPr>
                <w:color w:val="000000"/>
              </w:rPr>
              <w:t xml:space="preserve"> </w:t>
            </w:r>
            <w:r>
              <w:rPr>
                <w:rFonts w:ascii="Arial;sans-serif" w:hAnsi="Arial;sans-serif"/>
                <w:b w:val="false"/>
                <w:color w:val="000000"/>
                <w:sz w:val="17"/>
              </w:rPr>
              <w:t>Gain on dispositions, including post-closing adjustments.</w:t>
            </w:r>
          </w:p>
        </w:tc>
        <w:tc>
          <w:tcPr>
            <w:tcW w:w="4809" w:type="dxa"/>
            <w:gridSpan w:val="12"/>
            <w:tcBorders/>
          </w:tcPr>
          <w:p>
            <w:pPr>
              <w:pStyle w:val="TableContents"/>
              <w:bidi w:val="0"/>
              <w:spacing w:before="0" w:after="283"/>
              <w:jc w:val="left"/>
              <w:rPr>
                <w:sz w:val="4"/>
                <w:szCs w:val="4"/>
              </w:rPr>
            </w:pPr>
            <w:r>
              <w:rPr>
                <w:sz w:val="4"/>
                <w:szCs w:val="4"/>
              </w:rPr>
            </w:r>
          </w:p>
        </w:tc>
      </w:tr>
      <w:tr>
        <w:trPr/>
        <w:tc>
          <w:tcPr>
            <w:tcW w:w="9020" w:type="dxa"/>
            <w:gridSpan w:val="28"/>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7"/>
              </w:rPr>
            </w:pPr>
            <w:r>
              <w:rPr>
                <w:rFonts w:ascii="Arial;sans-serif" w:hAnsi="Arial;sans-serif"/>
                <w:b w:val="false"/>
                <w:color w:val="000000"/>
                <w:sz w:val="17"/>
              </w:rPr>
              <w:t>* Per share data and totals may be impacted by rounding.</w:t>
            </w:r>
          </w:p>
        </w:tc>
        <w:tc>
          <w:tcPr>
            <w:tcW w:w="4809" w:type="dxa"/>
            <w:gridSpan w:val="12"/>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IS - 4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IS - 4</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DOVER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QUARTERLY ADJUSTED SEGMENT EBITDA (NON-GAAP)</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(unaudited)(in thousands)</w:t>
      </w:r>
    </w:p>
    <w:p>
      <w:pPr>
        <w:pStyle w:val="TextBody"/>
        <w:bidi w:val="0"/>
        <w:spacing w:lineRule="auto" w:line="288" w:before="0" w:after="0"/>
        <w:jc w:val="left"/>
        <w:rPr>
          <w:rFonts w:ascii="Arial;sans-serif" w:hAnsi="Arial;sans-serif"/>
          <w:b/>
          <w:color w:val="000000"/>
          <w:sz w:val="18"/>
          <w:u w:val="single"/>
        </w:rPr>
      </w:pPr>
      <w:r>
        <w:rPr>
          <w:rFonts w:ascii="Arial;sans-serif" w:hAnsi="Arial;sans-serif"/>
          <w:b/>
          <w:color w:val="000000"/>
          <w:sz w:val="18"/>
          <w:u w:val="single"/>
        </w:rPr>
        <w:t>Non-GAAP Reconciliations</w:t>
      </w:r>
    </w:p>
    <w:tbl>
      <w:tblPr>
        <w:tblW w:w="14159" w:type="dxa"/>
        <w:jc w:val="center"/>
        <w:tblInd w:w="0" w:type="dxa"/>
        <w:tblLayout w:type="fixed"/>
        <w:tblCellMar>
          <w:top w:w="28" w:type="dxa"/>
          <w:left w:w="28" w:type="dxa"/>
          <w:bottom w:w="28" w:type="dxa"/>
          <w:right w:w="28" w:type="dxa"/>
        </w:tblCellMar>
      </w:tblPr>
      <w:tblGrid>
        <w:gridCol w:w="687"/>
        <w:gridCol w:w="354"/>
        <w:gridCol w:w="355"/>
        <w:gridCol w:w="211"/>
        <w:gridCol w:w="826"/>
        <w:gridCol w:w="109"/>
        <w:gridCol w:w="211"/>
        <w:gridCol w:w="826"/>
        <w:gridCol w:w="109"/>
        <w:gridCol w:w="109"/>
        <w:gridCol w:w="211"/>
        <w:gridCol w:w="826"/>
        <w:gridCol w:w="109"/>
        <w:gridCol w:w="211"/>
        <w:gridCol w:w="991"/>
        <w:gridCol w:w="109"/>
        <w:gridCol w:w="109"/>
        <w:gridCol w:w="109"/>
        <w:gridCol w:w="109"/>
        <w:gridCol w:w="109"/>
        <w:gridCol w:w="109"/>
        <w:gridCol w:w="211"/>
        <w:gridCol w:w="826"/>
        <w:gridCol w:w="109"/>
        <w:gridCol w:w="211"/>
        <w:gridCol w:w="826"/>
        <w:gridCol w:w="109"/>
        <w:gridCol w:w="109"/>
        <w:gridCol w:w="211"/>
        <w:gridCol w:w="826"/>
        <w:gridCol w:w="109"/>
        <w:gridCol w:w="211"/>
        <w:gridCol w:w="991"/>
        <w:gridCol w:w="109"/>
        <w:gridCol w:w="211"/>
        <w:gridCol w:w="826"/>
        <w:gridCol w:w="109"/>
        <w:gridCol w:w="211"/>
        <w:gridCol w:w="991"/>
        <w:gridCol w:w="154"/>
      </w:tblGrid>
      <w:tr>
        <w:trPr/>
        <w:tc>
          <w:tcPr>
            <w:tcW w:w="68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7" w:type="dxa"/>
            <w:gridSpan w:val="1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4959" w:type="dxa"/>
            <w:gridSpan w:val="12"/>
            <w:tcBorders/>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Q1</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Q3</w:t>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Q3 YTD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Q1</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Q3</w:t>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Q3 YTD</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Q4</w:t>
            </w:r>
          </w:p>
        </w:tc>
        <w:tc>
          <w:tcPr>
            <w:tcW w:w="13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FY 2025</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ADJUSTED SEGMENT EBITDA</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 xml:space="preserve">Engineered Products: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earnings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159,402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155,108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217,266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Other depreciation and amortization </w:t>
            </w:r>
            <w:r>
              <w:rPr>
                <w:rFonts w:ascii="Arial;sans-serif" w:hAnsi="Arial;sans-serif"/>
                <w:b w:val="false"/>
                <w:color w:val="000000"/>
                <w:sz w:val="12"/>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16,580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15,677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21,495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Adjusted segment EBITDA </w:t>
            </w:r>
            <w:r>
              <w:rPr>
                <w:rFonts w:ascii="Arial;sans-serif" w:hAnsi="Arial;sans-serif"/>
                <w:b w:val="false"/>
                <w:color w:val="000000"/>
                <w:sz w:val="12"/>
              </w:rPr>
              <w:t>2</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175,982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170,785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67,976 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238,761</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Adjusted segment EBITDA margin </w:t>
            </w:r>
            <w:r>
              <w:rPr>
                <w:rFonts w:ascii="Arial;sans-serif" w:hAnsi="Arial;sans-serif"/>
                <w:b w:val="false"/>
                <w:color w:val="000000"/>
                <w:sz w:val="12"/>
              </w:rPr>
              <w:t>2</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22.3 %</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22.6 %</w:t>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21.3 %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21.3 %</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22.6 %</w:t>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21.1 %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24.7 %</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22.0 %</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Clean Energy &amp; Fueling:</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earnings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360,468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312,080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418,070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Other depreciation and amortization </w:t>
            </w:r>
            <w:r>
              <w:rPr>
                <w:rFonts w:ascii="Arial;sans-serif" w:hAnsi="Arial;sans-serif"/>
                <w:b w:val="false"/>
                <w:color w:val="000000"/>
                <w:sz w:val="12"/>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26,377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26,121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34,806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Adjusted segment EBITDA </w:t>
            </w:r>
            <w:r>
              <w:rPr>
                <w:rFonts w:ascii="Arial;sans-serif" w:hAnsi="Arial;sans-serif"/>
                <w:b w:val="false"/>
                <w:color w:val="000000"/>
                <w:sz w:val="12"/>
              </w:rPr>
              <w:t>2</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107,593 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137,657 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141,595 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386,845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94,222 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116,732 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127,247 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338,201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114,675 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452,876</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Adjusted segment EBITDA margin </w:t>
            </w:r>
            <w:r>
              <w:rPr>
                <w:rFonts w:ascii="Arial;sans-serif" w:hAnsi="Arial;sans-serif"/>
                <w:b w:val="false"/>
                <w:color w:val="000000"/>
                <w:sz w:val="12"/>
              </w:rPr>
              <w:t>2</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23.1 %</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23.4 %</w:t>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22.0 %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21.4 %</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23.5 %</w:t>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21.4 %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21.3 %</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Imaging &amp; Identification: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earnings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257,604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236,284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314,735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Other depreciation and amortization </w:t>
            </w:r>
            <w:r>
              <w:rPr>
                <w:rFonts w:ascii="Arial;sans-serif" w:hAnsi="Arial;sans-serif"/>
                <w:b w:val="false"/>
                <w:color w:val="000000"/>
                <w:sz w:val="12"/>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13,137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12,413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17,568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Adjusted segment EBITDA </w:t>
            </w:r>
            <w:r>
              <w:rPr>
                <w:rFonts w:ascii="Arial;sans-serif" w:hAnsi="Arial;sans-serif"/>
                <w:b w:val="false"/>
                <w:color w:val="000000"/>
                <w:sz w:val="12"/>
              </w:rPr>
              <w:t>2</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81,665 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89,349 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99,727 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270,741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81,668 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81,166 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85,863 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248,697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83,606 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332,303</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Adjusted segment EBITDA margin </w:t>
            </w:r>
            <w:r>
              <w:rPr>
                <w:rFonts w:ascii="Arial;sans-serif" w:hAnsi="Arial;sans-serif"/>
                <w:b w:val="false"/>
                <w:color w:val="000000"/>
                <w:sz w:val="12"/>
              </w:rPr>
              <w:t>2</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29.3 %</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32.7 %</w:t>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30.2 %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27.8 %</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28.7 %</w:t>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28.5 %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27.7 %</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28.3 %</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Pumps &amp; Process Solutions: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earnings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526,218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479,344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651,600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Other depreciation and amortization </w:t>
            </w:r>
            <w:r>
              <w:rPr>
                <w:rFonts w:ascii="Arial;sans-serif" w:hAnsi="Arial;sans-serif"/>
                <w:b w:val="false"/>
                <w:color w:val="000000"/>
                <w:sz w:val="12"/>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43,075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39,988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54,226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Adjusted segment EBITDA </w:t>
            </w:r>
            <w:r>
              <w:rPr>
                <w:rFonts w:ascii="Arial;sans-serif" w:hAnsi="Arial;sans-serif"/>
                <w:b w:val="false"/>
                <w:color w:val="000000"/>
                <w:sz w:val="12"/>
              </w:rPr>
              <w:t>2</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183,504 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192,852 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192,937 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569,293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163,876 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172,635 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182,821 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519,332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186,494 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705,826</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Adjusted segment EBITDA margin </w:t>
            </w:r>
            <w:r>
              <w:rPr>
                <w:rFonts w:ascii="Arial;sans-serif" w:hAnsi="Arial;sans-serif"/>
                <w:b w:val="false"/>
                <w:color w:val="000000"/>
                <w:sz w:val="12"/>
              </w:rPr>
              <w:t>2</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34.9 %</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33.9 %</w:t>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34.3 %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33.2 %</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33.2 %</w:t>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33.2 %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32.0 %</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32.8 %</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Climate &amp; Sustainability Technologies: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earnings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220,376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205,383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265,647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Other depreciation and amortization </w:t>
            </w:r>
            <w:r>
              <w:rPr>
                <w:rFonts w:ascii="Arial;sans-serif" w:hAnsi="Arial;sans-serif"/>
                <w:b w:val="false"/>
                <w:color w:val="000000"/>
                <w:sz w:val="12"/>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24,036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22,488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30,344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Adjusted segment EBITDA </w:t>
            </w:r>
            <w:r>
              <w:rPr>
                <w:rFonts w:ascii="Arial;sans-serif" w:hAnsi="Arial;sans-serif"/>
                <w:b w:val="false"/>
                <w:color w:val="000000"/>
                <w:sz w:val="12"/>
              </w:rPr>
              <w:t>2</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72,064 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83,827 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88,521 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244,412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84,867 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83,560 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227,871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68,120 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295,991</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Adjusted segment EBITDA margin </w:t>
            </w:r>
            <w:r>
              <w:rPr>
                <w:rFonts w:ascii="Arial;sans-serif" w:hAnsi="Arial;sans-serif"/>
                <w:b w:val="false"/>
                <w:color w:val="000000"/>
                <w:sz w:val="12"/>
              </w:rPr>
              <w:t>2</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18.4 %</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18.4 %</w:t>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18.1 %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20.4 %</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20.5 %</w:t>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19.4 %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17.6 %</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19.0 %</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Total Segments: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Total segment earnings </w:t>
            </w:r>
            <w:r>
              <w:rPr>
                <w:rFonts w:ascii="Arial;sans-serif" w:hAnsi="Arial;sans-serif"/>
                <w:b w:val="false"/>
                <w:color w:val="000000"/>
                <w:sz w:val="12"/>
              </w:rPr>
              <w:t>2, 3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1,524,068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1,388,199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1,867,318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Other depreciation and amortization </w:t>
            </w:r>
            <w:r>
              <w:rPr>
                <w:rFonts w:ascii="Arial;sans-serif" w:hAnsi="Arial;sans-serif"/>
                <w:b w:val="false"/>
                <w:color w:val="000000"/>
                <w:sz w:val="12"/>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123,205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116,687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158,439</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Total Adjusted segment EBITDA </w:t>
            </w:r>
            <w:r>
              <w:rPr>
                <w:rFonts w:ascii="Arial;sans-serif" w:hAnsi="Arial;sans-serif"/>
                <w:b w:val="false"/>
                <w:color w:val="000000"/>
                <w:sz w:val="12"/>
              </w:rPr>
              <w:t>2</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495,303 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566,930 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585,040 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1,647,273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448,124 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514,052 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542,710 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1,504,886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520,871 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2,025,757</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Total Adjusted segment EBITDA margin </w:t>
            </w:r>
            <w:r>
              <w:rPr>
                <w:rFonts w:ascii="Arial;sans-serif" w:hAnsi="Arial;sans-serif"/>
                <w:b w:val="false"/>
                <w:color w:val="000000"/>
                <w:sz w:val="12"/>
              </w:rPr>
              <w:t>2</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26.2 %</w:t>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25.4 %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25.1 %</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26.1 %</w:t>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25.1 %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24.8 %</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25.0 %</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0" w:type="dxa"/>
            <w:gridSpan w:val="28"/>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12"/>
              </w:rPr>
              <w:t xml:space="preserve">1 </w:t>
            </w:r>
            <w:r>
              <w:rPr>
                <w:rFonts w:ascii="Arial;sans-serif" w:hAnsi="Arial;sans-serif"/>
                <w:b w:val="false"/>
                <w:color w:val="000000"/>
                <w:sz w:val="18"/>
              </w:rPr>
              <w:t>Other depreciation and amortization relates to property, plant, and equipment and intangibles, and excludes amounts related to purchase accounting expenses and restructuring and other costs.</w:t>
            </w:r>
          </w:p>
        </w:tc>
        <w:tc>
          <w:tcPr>
            <w:tcW w:w="4959" w:type="dxa"/>
            <w:gridSpan w:val="12"/>
            <w:tcBorders/>
          </w:tcPr>
          <w:p>
            <w:pPr>
              <w:pStyle w:val="TableContents"/>
              <w:bidi w:val="0"/>
              <w:spacing w:before="0" w:after="283"/>
              <w:jc w:val="left"/>
              <w:rPr>
                <w:sz w:val="4"/>
                <w:szCs w:val="4"/>
              </w:rPr>
            </w:pPr>
            <w:r>
              <w:rPr>
                <w:sz w:val="4"/>
                <w:szCs w:val="4"/>
              </w:rPr>
            </w:r>
          </w:p>
        </w:tc>
      </w:tr>
      <w:tr>
        <w:trPr/>
        <w:tc>
          <w:tcPr>
            <w:tcW w:w="9200" w:type="dxa"/>
            <w:gridSpan w:val="28"/>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Refer to Non-GAAP Measures Definitions section for definition.</w:t>
            </w:r>
          </w:p>
        </w:tc>
        <w:tc>
          <w:tcPr>
            <w:tcW w:w="4959" w:type="dxa"/>
            <w:gridSpan w:val="12"/>
            <w:tcBorders/>
          </w:tcPr>
          <w:p>
            <w:pPr>
              <w:pStyle w:val="TableContents"/>
              <w:bidi w:val="0"/>
              <w:spacing w:before="0" w:after="283"/>
              <w:jc w:val="left"/>
              <w:rPr>
                <w:sz w:val="4"/>
                <w:szCs w:val="4"/>
              </w:rPr>
            </w:pPr>
            <w:r>
              <w:rPr>
                <w:sz w:val="4"/>
                <w:szCs w:val="4"/>
              </w:rPr>
            </w:r>
          </w:p>
        </w:tc>
      </w:tr>
      <w:tr>
        <w:trPr/>
        <w:tc>
          <w:tcPr>
            <w:tcW w:w="9200" w:type="dxa"/>
            <w:gridSpan w:val="28"/>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12"/>
              </w:rPr>
              <w:t>3</w:t>
            </w:r>
            <w:r>
              <w:rPr>
                <w:color w:val="000000"/>
              </w:rPr>
              <w:t xml:space="preserve"> </w:t>
            </w:r>
            <w:r>
              <w:rPr>
                <w:rFonts w:ascii="Arial;sans-serif" w:hAnsi="Arial;sans-serif"/>
                <w:b w:val="false"/>
                <w:color w:val="000000"/>
                <w:sz w:val="18"/>
              </w:rPr>
              <w:t>Refer to Quarterly Segment Information section for reconciliation of total segment earnings to earnings from continuing operations.</w:t>
            </w:r>
          </w:p>
        </w:tc>
        <w:tc>
          <w:tcPr>
            <w:tcW w:w="4959" w:type="dxa"/>
            <w:gridSpan w:val="12"/>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IS - 5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IS - 5</w:t>
                      </w:r>
                    </w:p>
                  </w:txbxContent>
                </v:textbox>
                <w10:wrap type="none"/>
              </v:rect>
            </w:pict>
          </mc:Fallback>
        </mc:AlternateContent>
      </w:r>
    </w:p>
    <w:p>
      <w:pPr>
        <w:pStyle w:val="TextBody"/>
        <w:bidi w:val="0"/>
        <w:spacing w:lineRule="auto" w:line="288" w:before="0" w:after="0"/>
        <w:ind w:left="0" w:right="0" w:firstLine="720"/>
        <w:jc w:val="center"/>
        <w:rPr>
          <w:rFonts w:ascii="Arial;sans-serif" w:hAnsi="Arial;sans-serif"/>
          <w:b/>
          <w:color w:val="000000"/>
          <w:sz w:val="20"/>
        </w:rPr>
      </w:pPr>
      <w:r>
        <w:rPr>
          <w:rFonts w:ascii="Arial;sans-serif" w:hAnsi="Arial;sans-serif"/>
          <w:b/>
          <w:color w:val="000000"/>
          <w:sz w:val="20"/>
        </w:rPr>
        <w:t>DOVER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QUARTERLY EARNINGS FROM CONTINUING OPERATIONS TO ADJUSTED SEGMENT EBITDA RECONCILIATION (NON-GAAP)</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(unaudited)(in thousands)</w:t>
      </w:r>
    </w:p>
    <w:p>
      <w:pPr>
        <w:pStyle w:val="TextBody"/>
        <w:bidi w:val="0"/>
        <w:spacing w:lineRule="auto" w:line="288" w:before="0" w:after="0"/>
        <w:jc w:val="left"/>
        <w:rPr>
          <w:rFonts w:ascii="Arial;sans-serif" w:hAnsi="Arial;sans-serif"/>
          <w:b/>
          <w:color w:val="000000"/>
          <w:sz w:val="17"/>
          <w:u w:val="single"/>
        </w:rPr>
      </w:pPr>
      <w:r>
        <w:rPr>
          <w:rFonts w:ascii="Arial;sans-serif" w:hAnsi="Arial;sans-serif"/>
          <w:b/>
          <w:color w:val="000000"/>
          <w:sz w:val="17"/>
          <w:u w:val="single"/>
        </w:rPr>
        <w:t>Non-GAAP Reconciliations</w:t>
      </w:r>
    </w:p>
    <w:tbl>
      <w:tblPr>
        <w:tblW w:w="12779" w:type="dxa"/>
        <w:jc w:val="center"/>
        <w:tblInd w:w="0" w:type="dxa"/>
        <w:tblLayout w:type="fixed"/>
        <w:tblCellMar>
          <w:top w:w="28" w:type="dxa"/>
          <w:left w:w="28" w:type="dxa"/>
          <w:bottom w:w="28" w:type="dxa"/>
          <w:right w:w="28" w:type="dxa"/>
        </w:tblCellMar>
      </w:tblPr>
      <w:tblGrid>
        <w:gridCol w:w="546"/>
        <w:gridCol w:w="282"/>
        <w:gridCol w:w="283"/>
        <w:gridCol w:w="196"/>
        <w:gridCol w:w="736"/>
        <w:gridCol w:w="109"/>
        <w:gridCol w:w="196"/>
        <w:gridCol w:w="736"/>
        <w:gridCol w:w="109"/>
        <w:gridCol w:w="109"/>
        <w:gridCol w:w="196"/>
        <w:gridCol w:w="736"/>
        <w:gridCol w:w="109"/>
        <w:gridCol w:w="196"/>
        <w:gridCol w:w="886"/>
        <w:gridCol w:w="109"/>
        <w:gridCol w:w="109"/>
        <w:gridCol w:w="109"/>
        <w:gridCol w:w="109"/>
        <w:gridCol w:w="109"/>
        <w:gridCol w:w="109"/>
        <w:gridCol w:w="196"/>
        <w:gridCol w:w="736"/>
        <w:gridCol w:w="109"/>
        <w:gridCol w:w="196"/>
        <w:gridCol w:w="736"/>
        <w:gridCol w:w="109"/>
        <w:gridCol w:w="109"/>
        <w:gridCol w:w="196"/>
        <w:gridCol w:w="736"/>
        <w:gridCol w:w="109"/>
        <w:gridCol w:w="196"/>
        <w:gridCol w:w="886"/>
        <w:gridCol w:w="109"/>
        <w:gridCol w:w="196"/>
        <w:gridCol w:w="736"/>
        <w:gridCol w:w="109"/>
        <w:gridCol w:w="196"/>
        <w:gridCol w:w="886"/>
        <w:gridCol w:w="154"/>
      </w:tblGrid>
      <w:tr>
        <w:trPr/>
        <w:tc>
          <w:tcPr>
            <w:tcW w:w="5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2" w:type="dxa"/>
            <w:gridSpan w:val="1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4509" w:type="dxa"/>
            <w:gridSpan w:val="12"/>
            <w:tcBorders/>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Q1</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Q2</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Q3</w:t>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Q3 YTD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Q1</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Q2</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Q3</w:t>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Q3 YTD</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Q4</w:t>
            </w:r>
          </w:p>
        </w:tc>
        <w:tc>
          <w:tcPr>
            <w:tcW w:w="12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FY 2025</w:t>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Earnings from continuing operations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238,749 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312,545 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336,820 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888,114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239,241 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280,130 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303,292 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822,663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274,766 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1,097,429</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Provision for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83,866 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219,172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56,140 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71,967 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82,951 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211,058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65,765 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276,823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Earnings before provision for income taxes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298,902 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387,698 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420,686 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1,107,286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295,381 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352,097 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386,243 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1,033,721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340,531 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1,374,252</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(45,102)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(17,935)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(17,804)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(55,993)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(73,032)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87,450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81,638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109,772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 xml:space="preserve">Corporate expense / other </w:t>
            </w:r>
            <w:r>
              <w:rPr>
                <w:rFonts w:ascii="Arial;sans-serif" w:hAnsi="Arial;sans-serif"/>
                <w:b w:val="false"/>
                <w:color w:val="000000"/>
                <w:sz w:val="11"/>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139,217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125,349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164,539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 xml:space="preserve">Gain on dispositions </w:t>
            </w:r>
            <w:r>
              <w:rPr>
                <w:rFonts w:ascii="Arial;sans-serif" w:hAnsi="Arial;sans-serif"/>
                <w:b w:val="false"/>
                <w:color w:val="000000"/>
                <w:sz w:val="11"/>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(4,644)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(4,644)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 xml:space="preserve">Restructuring and other costs </w:t>
            </w:r>
            <w:r>
              <w:rPr>
                <w:rFonts w:ascii="Arial;sans-serif" w:hAnsi="Arial;sans-serif"/>
                <w:b w:val="false"/>
                <w:color w:val="000000"/>
                <w:sz w:val="11"/>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83,197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48,520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77,986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 xml:space="preserve">Purchase accounting expenses </w:t>
            </w:r>
            <w:r>
              <w:rPr>
                <w:rFonts w:ascii="Arial;sans-serif" w:hAnsi="Arial;sans-serif"/>
                <w:b w:val="false"/>
                <w:color w:val="000000"/>
                <w:sz w:val="11"/>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54,579 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152,020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159,608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218,445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 xml:space="preserve">Total segment earnings </w:t>
            </w:r>
            <w:r>
              <w:rPr>
                <w:rFonts w:ascii="Arial;sans-serif" w:hAnsi="Arial;sans-serif"/>
                <w:b w:val="false"/>
                <w:color w:val="000000"/>
                <w:sz w:val="11"/>
              </w:rPr>
              <w:t>5</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454,976 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525,994 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543,098 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1,524,068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410,727 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474,985 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502,487 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1,388,199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479,119 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1,867,318</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Add: Other depreciation and amortization</w:t>
            </w:r>
            <w:r>
              <w:rPr>
                <w:color w:val="000000"/>
              </w:rPr>
              <w:t xml:space="preserve"> </w:t>
            </w:r>
            <w:r>
              <w:rPr>
                <w:rFonts w:ascii="Arial;sans-serif" w:hAnsi="Arial;sans-serif"/>
                <w:b w:val="false"/>
                <w:color w:val="000000"/>
                <w:sz w:val="11"/>
              </w:rPr>
              <w:t>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123,205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116,687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158,439</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 xml:space="preserve">Total adjusted segment EBITDA </w:t>
            </w:r>
            <w:r>
              <w:rPr>
                <w:rFonts w:ascii="Arial;sans-serif" w:hAnsi="Arial;sans-serif"/>
                <w:b w:val="false"/>
                <w:color w:val="000000"/>
                <w:sz w:val="11"/>
              </w:rPr>
              <w:t>5</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495,303 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566,930 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585,040 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1,647,273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448,124 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514,052 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542,710 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1,504,886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520,871 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2,025,757</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0" w:type="dxa"/>
            <w:gridSpan w:val="28"/>
            <w:tcBorders/>
            <w:tcMar>
              <w:top w:w="0" w:type="dxa"/>
              <w:left w:w="0" w:type="dxa"/>
              <w:bottom w:w="0" w:type="dxa"/>
              <w:right w:w="0" w:type="dxa"/>
            </w:tcMar>
            <w:vAlign w:val="center"/>
          </w:tcPr>
          <w:p>
            <w:pPr>
              <w:pStyle w:val="TableContents"/>
              <w:bidi w:val="0"/>
              <w:spacing w:lineRule="auto" w:line="240" w:before="40" w:after="283"/>
              <w:jc w:val="both"/>
              <w:rPr/>
            </w:pPr>
            <w:r>
              <w:rPr>
                <w:rFonts w:ascii="Arial;sans-serif" w:hAnsi="Arial;sans-serif"/>
                <w:b w:val="false"/>
                <w:color w:val="000000"/>
                <w:sz w:val="11"/>
              </w:rPr>
              <w:t>1</w:t>
            </w:r>
            <w:r>
              <w:rPr>
                <w:color w:val="000000"/>
              </w:rPr>
              <w:t xml:space="preserve"> </w:t>
            </w:r>
            <w:r>
              <w:rPr>
                <w:rFonts w:ascii="Arial;sans-serif" w:hAnsi="Arial;sans-serif"/>
                <w:b w:val="false"/>
                <w:color w:val="000000"/>
                <w:sz w:val="17"/>
              </w:rPr>
              <w:t>Certain expenses are maintained at the corporate level and not allocated to the segments. These expenses include executive and functional compensation costs, non-service pension costs, non-operating insurance expenses, shared business services and digital and IT overhead costs, deal-related expenses and various administrative expenses relating to the corporate headquarters.</w:t>
            </w:r>
          </w:p>
        </w:tc>
        <w:tc>
          <w:tcPr>
            <w:tcW w:w="4509" w:type="dxa"/>
            <w:gridSpan w:val="12"/>
            <w:tcBorders/>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1668" w:type="dxa"/>
            <w:gridSpan w:val="37"/>
            <w:tcBorders/>
          </w:tcPr>
          <w:p>
            <w:pPr>
              <w:pStyle w:val="TableContents"/>
              <w:bidi w:val="0"/>
              <w:spacing w:before="0" w:after="283"/>
              <w:jc w:val="left"/>
              <w:rPr>
                <w:sz w:val="4"/>
                <w:szCs w:val="4"/>
              </w:rPr>
            </w:pPr>
            <w:r>
              <w:rPr>
                <w:sz w:val="4"/>
                <w:szCs w:val="4"/>
              </w:rPr>
            </w:r>
          </w:p>
        </w:tc>
      </w:tr>
      <w:tr>
        <w:trPr/>
        <w:tc>
          <w:tcPr>
            <w:tcW w:w="8270" w:type="dxa"/>
            <w:gridSpan w:val="28"/>
            <w:tcBorders/>
            <w:tcMar>
              <w:top w:w="0" w:type="dxa"/>
              <w:left w:w="0" w:type="dxa"/>
              <w:bottom w:w="0" w:type="dxa"/>
              <w:right w:w="0" w:type="dxa"/>
            </w:tcMar>
            <w:vAlign w:val="center"/>
          </w:tcPr>
          <w:p>
            <w:pPr>
              <w:pStyle w:val="TableContents"/>
              <w:bidi w:val="0"/>
              <w:spacing w:lineRule="auto" w:line="240" w:before="40" w:after="283"/>
              <w:jc w:val="both"/>
              <w:rPr/>
            </w:pPr>
            <w:r>
              <w:rPr>
                <w:rFonts w:ascii="Arial;sans-serif" w:hAnsi="Arial;sans-serif"/>
                <w:b w:val="false"/>
                <w:color w:val="000000"/>
                <w:sz w:val="11"/>
              </w:rPr>
              <w:t xml:space="preserve">2 </w:t>
            </w:r>
            <w:r>
              <w:rPr>
                <w:rFonts w:ascii="Arial;sans-serif" w:hAnsi="Arial;sans-serif"/>
                <w:b w:val="false"/>
                <w:color w:val="000000"/>
                <w:sz w:val="17"/>
              </w:rPr>
              <w:t>Gain on dispositions, including post-closing adjustments.</w:t>
            </w:r>
          </w:p>
        </w:tc>
        <w:tc>
          <w:tcPr>
            <w:tcW w:w="4509" w:type="dxa"/>
            <w:gridSpan w:val="12"/>
            <w:tcBorders/>
          </w:tcPr>
          <w:p>
            <w:pPr>
              <w:pStyle w:val="TableContents"/>
              <w:bidi w:val="0"/>
              <w:spacing w:before="0" w:after="283"/>
              <w:jc w:val="left"/>
              <w:rPr>
                <w:sz w:val="4"/>
                <w:szCs w:val="4"/>
              </w:rPr>
            </w:pPr>
            <w:r>
              <w:rPr>
                <w:sz w:val="4"/>
                <w:szCs w:val="4"/>
              </w:rPr>
            </w:r>
          </w:p>
        </w:tc>
      </w:tr>
      <w:tr>
        <w:trPr/>
        <w:tc>
          <w:tcPr>
            <w:tcW w:w="8270" w:type="dxa"/>
            <w:gridSpan w:val="28"/>
            <w:tcBorders/>
            <w:tcMar>
              <w:top w:w="0" w:type="dxa"/>
              <w:left w:w="0" w:type="dxa"/>
              <w:bottom w:w="0" w:type="dxa"/>
              <w:right w:w="0" w:type="dxa"/>
            </w:tcMar>
            <w:vAlign w:val="center"/>
          </w:tcPr>
          <w:p>
            <w:pPr>
              <w:pStyle w:val="TableContents"/>
              <w:bidi w:val="0"/>
              <w:spacing w:lineRule="auto" w:line="268" w:before="40" w:after="283"/>
              <w:jc w:val="both"/>
              <w:rPr/>
            </w:pPr>
            <w:r>
              <w:rPr>
                <w:rFonts w:ascii="Arial;sans-serif" w:hAnsi="Arial;sans-serif"/>
                <w:b w:val="false"/>
                <w:color w:val="000000"/>
                <w:sz w:val="11"/>
              </w:rPr>
              <w:t xml:space="preserve">3 </w:t>
            </w:r>
            <w:r>
              <w:rPr>
                <w:rFonts w:ascii="Arial;sans-serif" w:hAnsi="Arial;sans-serif"/>
                <w:b w:val="false"/>
                <w:color w:val="000000"/>
                <w:sz w:val="17"/>
              </w:rPr>
              <w:t>Restructuring and other costs relate to actions taken for headcount reductions, facility consolidations and site closures, product line exits, and other asset charges.</w:t>
            </w:r>
          </w:p>
        </w:tc>
        <w:tc>
          <w:tcPr>
            <w:tcW w:w="4509" w:type="dxa"/>
            <w:gridSpan w:val="12"/>
            <w:tcBorders/>
          </w:tcPr>
          <w:p>
            <w:pPr>
              <w:pStyle w:val="TableContents"/>
              <w:bidi w:val="0"/>
              <w:spacing w:before="0" w:after="283"/>
              <w:jc w:val="left"/>
              <w:rPr>
                <w:sz w:val="4"/>
                <w:szCs w:val="4"/>
              </w:rPr>
            </w:pPr>
            <w:r>
              <w:rPr>
                <w:sz w:val="4"/>
                <w:szCs w:val="4"/>
              </w:rPr>
            </w:r>
          </w:p>
        </w:tc>
      </w:tr>
      <w:tr>
        <w:trPr/>
        <w:tc>
          <w:tcPr>
            <w:tcW w:w="8270" w:type="dxa"/>
            <w:gridSpan w:val="28"/>
            <w:tcBorders/>
            <w:tcMar>
              <w:top w:w="0" w:type="dxa"/>
              <w:left w:w="0" w:type="dxa"/>
              <w:bottom w:w="0" w:type="dxa"/>
              <w:right w:w="0" w:type="dxa"/>
            </w:tcMar>
            <w:vAlign w:val="center"/>
          </w:tcPr>
          <w:p>
            <w:pPr>
              <w:pStyle w:val="TableContents"/>
              <w:bidi w:val="0"/>
              <w:spacing w:lineRule="auto" w:line="240" w:before="40" w:after="283"/>
              <w:jc w:val="both"/>
              <w:rPr/>
            </w:pPr>
            <w:r>
              <w:rPr>
                <w:rFonts w:ascii="Arial;sans-serif" w:hAnsi="Arial;sans-serif"/>
                <w:b w:val="false"/>
                <w:color w:val="000000"/>
                <w:sz w:val="11"/>
              </w:rPr>
              <w:t>4</w:t>
            </w:r>
            <w:r>
              <w:rPr>
                <w:color w:val="000000"/>
              </w:rPr>
              <w:t xml:space="preserve"> </w:t>
            </w:r>
            <w:r>
              <w:rPr>
                <w:rFonts w:ascii="Arial;sans-serif" w:hAnsi="Arial;sans-serif"/>
                <w:b w:val="false"/>
                <w:color w:val="000000"/>
                <w:sz w:val="17"/>
              </w:rPr>
              <w:t>Purchase accounting expenses are primarily comprised of amortization of intangible assets.</w:t>
            </w:r>
          </w:p>
        </w:tc>
        <w:tc>
          <w:tcPr>
            <w:tcW w:w="4509" w:type="dxa"/>
            <w:gridSpan w:val="12"/>
            <w:tcBorders/>
          </w:tcPr>
          <w:p>
            <w:pPr>
              <w:pStyle w:val="TableContents"/>
              <w:bidi w:val="0"/>
              <w:spacing w:before="0" w:after="283"/>
              <w:jc w:val="left"/>
              <w:rPr>
                <w:sz w:val="4"/>
                <w:szCs w:val="4"/>
              </w:rPr>
            </w:pPr>
            <w:r>
              <w:rPr>
                <w:sz w:val="4"/>
                <w:szCs w:val="4"/>
              </w:rPr>
            </w:r>
          </w:p>
        </w:tc>
      </w:tr>
      <w:tr>
        <w:trPr/>
        <w:tc>
          <w:tcPr>
            <w:tcW w:w="8270" w:type="dxa"/>
            <w:gridSpan w:val="28"/>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11"/>
              </w:rPr>
              <w:t>5</w:t>
            </w:r>
            <w:r>
              <w:rPr>
                <w:color w:val="000000"/>
              </w:rPr>
              <w:t xml:space="preserve"> </w:t>
            </w:r>
            <w:r>
              <w:rPr>
                <w:rFonts w:ascii="Arial;sans-serif" w:hAnsi="Arial;sans-serif"/>
                <w:b w:val="false"/>
                <w:color w:val="000000"/>
                <w:sz w:val="17"/>
              </w:rPr>
              <w:t>Refer to Non-GAAP Measures Definitions section for definition.</w:t>
            </w:r>
          </w:p>
        </w:tc>
        <w:tc>
          <w:tcPr>
            <w:tcW w:w="4509" w:type="dxa"/>
            <w:gridSpan w:val="12"/>
            <w:tcBorders/>
          </w:tcPr>
          <w:p>
            <w:pPr>
              <w:pStyle w:val="TableContents"/>
              <w:bidi w:val="0"/>
              <w:spacing w:before="0" w:after="283"/>
              <w:jc w:val="left"/>
              <w:rPr>
                <w:sz w:val="4"/>
                <w:szCs w:val="4"/>
              </w:rPr>
            </w:pPr>
            <w:r>
              <w:rPr>
                <w:sz w:val="4"/>
                <w:szCs w:val="4"/>
              </w:rPr>
            </w:r>
          </w:p>
        </w:tc>
      </w:tr>
      <w:tr>
        <w:trPr/>
        <w:tc>
          <w:tcPr>
            <w:tcW w:w="8270" w:type="dxa"/>
            <w:gridSpan w:val="28"/>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11"/>
              </w:rPr>
              <w:t>6</w:t>
            </w:r>
            <w:r>
              <w:rPr>
                <w:color w:val="000000"/>
              </w:rPr>
              <w:t xml:space="preserve"> </w:t>
            </w:r>
            <w:r>
              <w:rPr>
                <w:rFonts w:ascii="Arial;sans-serif" w:hAnsi="Arial;sans-serif"/>
                <w:b w:val="false"/>
                <w:color w:val="000000"/>
                <w:sz w:val="17"/>
              </w:rPr>
              <w:t>Other depreciation and amortization relates to property, plant, and equipment and intangibles, and excludes amounts related to purchase accounting expenses and restructuring and other costs.</w:t>
            </w:r>
          </w:p>
        </w:tc>
        <w:tc>
          <w:tcPr>
            <w:tcW w:w="4509" w:type="dxa"/>
            <w:gridSpan w:val="12"/>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IS - 6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IS - 6</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DOVER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REVENUE GROWTH FACTORS AND ADJUSTED EPS GUIDANCE RECONCILIATIONS (NON-GAAP)</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u w:val="single"/>
        </w:rPr>
      </w:pPr>
      <w:r>
        <w:rPr>
          <w:rFonts w:ascii="Arial;sans-serif" w:hAnsi="Arial;sans-serif"/>
          <w:b/>
          <w:color w:val="000000"/>
          <w:sz w:val="18"/>
          <w:u w:val="single"/>
        </w:rPr>
        <w:t>Non-GAAP Reconciliations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u w:val="single"/>
          <w:shd w:fill="FFFFFF" w:val="clear"/>
        </w:rPr>
      </w:pPr>
      <w:r>
        <w:rPr>
          <w:rFonts w:ascii="Arial;sans-serif" w:hAnsi="Arial;sans-serif"/>
          <w:b/>
          <w:color w:val="000000"/>
          <w:sz w:val="18"/>
          <w:u w:val="single"/>
          <w:shd w:fill="FFFFFF" w:val="clear"/>
        </w:rPr>
        <w:t>Revenue Growth Factors</w:t>
      </w:r>
    </w:p>
    <w:tbl>
      <w:tblPr>
        <w:tblW w:w="6054" w:type="dxa"/>
        <w:jc w:val="left"/>
        <w:tblInd w:w="0" w:type="dxa"/>
        <w:tblLayout w:type="fixed"/>
        <w:tblCellMar>
          <w:top w:w="28" w:type="dxa"/>
          <w:left w:w="28" w:type="dxa"/>
          <w:bottom w:w="28" w:type="dxa"/>
          <w:right w:w="28" w:type="dxa"/>
        </w:tblCellMar>
      </w:tblPr>
      <w:tblGrid>
        <w:gridCol w:w="1157"/>
        <w:gridCol w:w="1023"/>
        <w:gridCol w:w="1030"/>
        <w:gridCol w:w="109"/>
        <w:gridCol w:w="109"/>
        <w:gridCol w:w="254"/>
        <w:gridCol w:w="257"/>
        <w:gridCol w:w="271"/>
        <w:gridCol w:w="109"/>
        <w:gridCol w:w="109"/>
        <w:gridCol w:w="109"/>
        <w:gridCol w:w="255"/>
        <w:gridCol w:w="256"/>
        <w:gridCol w:w="416"/>
        <w:gridCol w:w="109"/>
        <w:gridCol w:w="109"/>
        <w:gridCol w:w="109"/>
        <w:gridCol w:w="109"/>
        <w:gridCol w:w="154"/>
      </w:tblGrid>
      <w:tr>
        <w:trPr/>
        <w:tc>
          <w:tcPr>
            <w:tcW w:w="115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590" w:type="dxa"/>
            <w:gridSpan w:val="5"/>
            <w:tcBorders/>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Q3 YTD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Organic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Engineered Products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Clean Energy &amp; Fueling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Imaging &amp; Identification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Pumps &amp; Process Solutions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Climate &amp; Sustainability Technologies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Organic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4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translation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4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Totals may be impacted by rounding.</w:t>
      </w:r>
    </w:p>
    <w:tbl>
      <w:tblPr>
        <w:tblW w:w="4722" w:type="dxa"/>
        <w:jc w:val="center"/>
        <w:tblInd w:w="0" w:type="dxa"/>
        <w:tblLayout w:type="fixed"/>
        <w:tblCellMar>
          <w:top w:w="28" w:type="dxa"/>
          <w:left w:w="28" w:type="dxa"/>
          <w:bottom w:w="28" w:type="dxa"/>
          <w:right w:w="28" w:type="dxa"/>
        </w:tblCellMar>
      </w:tblPr>
      <w:tblGrid>
        <w:gridCol w:w="640"/>
        <w:gridCol w:w="564"/>
        <w:gridCol w:w="565"/>
        <w:gridCol w:w="109"/>
        <w:gridCol w:w="109"/>
        <w:gridCol w:w="255"/>
        <w:gridCol w:w="256"/>
        <w:gridCol w:w="271"/>
        <w:gridCol w:w="109"/>
        <w:gridCol w:w="109"/>
        <w:gridCol w:w="109"/>
        <w:gridCol w:w="255"/>
        <w:gridCol w:w="256"/>
        <w:gridCol w:w="416"/>
        <w:gridCol w:w="109"/>
        <w:gridCol w:w="109"/>
        <w:gridCol w:w="109"/>
        <w:gridCol w:w="109"/>
        <w:gridCol w:w="109"/>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590" w:type="dxa"/>
            <w:gridSpan w:val="5"/>
            <w:tcBorders/>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Q3 YTD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Organic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10.9 </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Europe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Asia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Americas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Organic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4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translation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4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Totals may be impacted by rounding.</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46"/>
        <w:gridCol w:w="2409"/>
        <w:gridCol w:w="2423"/>
        <w:gridCol w:w="280"/>
        <w:gridCol w:w="280"/>
        <w:gridCol w:w="277"/>
        <w:gridCol w:w="279"/>
        <w:gridCol w:w="277"/>
        <w:gridCol w:w="277"/>
        <w:gridCol w:w="280"/>
        <w:gridCol w:w="280"/>
        <w:gridCol w:w="397"/>
      </w:tblGrid>
      <w:tr>
        <w:trPr/>
        <w:tc>
          <w:tcPr>
            <w:tcW w:w="2746" w:type="dxa"/>
            <w:tcBorders/>
            <w:vAlign w:val="center"/>
          </w:tcPr>
          <w:p>
            <w:pPr>
              <w:pStyle w:val="TableContents"/>
              <w:bidi w:val="0"/>
              <w:spacing w:before="0" w:after="283"/>
              <w:jc w:val="left"/>
              <w:rPr>
                <w:sz w:val="4"/>
                <w:szCs w:val="4"/>
              </w:rPr>
            </w:pPr>
            <w:r>
              <w:rPr>
                <w:sz w:val="4"/>
                <w:szCs w:val="4"/>
              </w:rPr>
            </w:r>
          </w:p>
        </w:tc>
        <w:tc>
          <w:tcPr>
            <w:tcW w:w="2409" w:type="dxa"/>
            <w:tcBorders/>
            <w:vAlign w:val="center"/>
          </w:tcPr>
          <w:p>
            <w:pPr>
              <w:pStyle w:val="TableContents"/>
              <w:bidi w:val="0"/>
              <w:spacing w:before="0" w:after="283"/>
              <w:jc w:val="left"/>
              <w:rPr>
                <w:sz w:val="4"/>
                <w:szCs w:val="4"/>
              </w:rPr>
            </w:pPr>
            <w:r>
              <w:rPr>
                <w:sz w:val="4"/>
                <w:szCs w:val="4"/>
              </w:rPr>
            </w:r>
          </w:p>
        </w:tc>
        <w:tc>
          <w:tcPr>
            <w:tcW w:w="242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Adjusted EPS Guidance Reconciliation*</w:t>
            </w:r>
          </w:p>
        </w:tc>
      </w:tr>
      <w:tr>
        <w:trPr/>
        <w:tc>
          <w:tcPr>
            <w:tcW w:w="7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Range</w:t>
            </w:r>
          </w:p>
        </w:tc>
      </w:tr>
      <w:tr>
        <w:trPr/>
        <w:tc>
          <w:tcPr>
            <w:tcW w:w="7578"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r>
      <w:tr>
        <w:trPr/>
        <w:tc>
          <w:tcPr>
            <w:tcW w:w="75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2026 Guidance for Earnings per Share from Continuing Operations (GAAP)</w:t>
            </w:r>
          </w:p>
        </w:tc>
        <w:tc>
          <w:tcPr>
            <w:tcW w:w="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$8.93</w:t>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$9.08</w:t>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Purchase accounting expenses, net</w:t>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1.16</w:t>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and other costs, net</w:t>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0.51</w:t>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8"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r>
      <w:tr>
        <w:trPr/>
        <w:tc>
          <w:tcPr>
            <w:tcW w:w="7578"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r>
      <w:tr>
        <w:trPr/>
        <w:tc>
          <w:tcPr>
            <w:tcW w:w="75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2026 Guidance for Adjusted Earnings per Share from Continuing Operations (Non-GAAP)</w:t>
            </w:r>
          </w:p>
        </w:tc>
        <w:tc>
          <w:tcPr>
            <w:tcW w:w="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$10.60</w:t>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$10.75</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 Per share data and totals may be impacted by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IS - 7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IS - 7</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DOVER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QUARTERLY CASH FLOW AND FREE CASH FLOW (NON-GAAP)</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(unaudited)(in thousands)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Quarterly Cash Flow</w:t>
      </w:r>
    </w:p>
    <w:tbl>
      <w:tblPr>
        <w:tblW w:w="13394" w:type="dxa"/>
        <w:jc w:val="left"/>
        <w:tblInd w:w="0" w:type="dxa"/>
        <w:tblLayout w:type="fixed"/>
        <w:tblCellMar>
          <w:top w:w="28" w:type="dxa"/>
          <w:left w:w="28" w:type="dxa"/>
          <w:bottom w:w="28" w:type="dxa"/>
          <w:right w:w="28" w:type="dxa"/>
        </w:tblCellMar>
      </w:tblPr>
      <w:tblGrid>
        <w:gridCol w:w="337"/>
        <w:gridCol w:w="296"/>
        <w:gridCol w:w="298"/>
        <w:gridCol w:w="211"/>
        <w:gridCol w:w="826"/>
        <w:gridCol w:w="109"/>
        <w:gridCol w:w="211"/>
        <w:gridCol w:w="826"/>
        <w:gridCol w:w="109"/>
        <w:gridCol w:w="109"/>
        <w:gridCol w:w="211"/>
        <w:gridCol w:w="826"/>
        <w:gridCol w:w="109"/>
        <w:gridCol w:w="211"/>
        <w:gridCol w:w="841"/>
        <w:gridCol w:w="109"/>
        <w:gridCol w:w="109"/>
        <w:gridCol w:w="109"/>
        <w:gridCol w:w="109"/>
        <w:gridCol w:w="109"/>
        <w:gridCol w:w="109"/>
        <w:gridCol w:w="211"/>
        <w:gridCol w:w="826"/>
        <w:gridCol w:w="109"/>
        <w:gridCol w:w="211"/>
        <w:gridCol w:w="826"/>
        <w:gridCol w:w="109"/>
        <w:gridCol w:w="109"/>
        <w:gridCol w:w="211"/>
        <w:gridCol w:w="826"/>
        <w:gridCol w:w="109"/>
        <w:gridCol w:w="211"/>
        <w:gridCol w:w="841"/>
        <w:gridCol w:w="109"/>
        <w:gridCol w:w="211"/>
        <w:gridCol w:w="826"/>
        <w:gridCol w:w="109"/>
        <w:gridCol w:w="211"/>
        <w:gridCol w:w="991"/>
        <w:gridCol w:w="154"/>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7" w:type="dxa"/>
            <w:gridSpan w:val="1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4809" w:type="dxa"/>
            <w:gridSpan w:val="12"/>
            <w:tcBorders/>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Q1</w:t>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Q3</w:t>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Q3 YTD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Q1</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Q3</w:t>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Q3 YTD</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Q4</w:t>
            </w:r>
          </w:p>
        </w:tc>
        <w:tc>
          <w:tcPr>
            <w:tcW w:w="13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FY 2025</w:t>
            </w:r>
          </w:p>
        </w:tc>
      </w:tr>
      <w:tr>
        <w:trPr/>
        <w:tc>
          <w:tcPr>
            <w:tcW w:w="3332" w:type="dxa"/>
            <w:gridSpan w:val="10"/>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Flows Provided By (Used In):</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865,931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794,059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1,338,005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(96,767)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(681,584)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(58,857)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(814,627)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(71,967)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(886,594)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(161,451)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(73,586)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(641,362)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(280,347)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(624,870)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Quarterly Free Cash Flow (Non-GAAP)</w:t>
      </w:r>
    </w:p>
    <w:tbl>
      <w:tblPr>
        <w:tblW w:w="13649" w:type="dxa"/>
        <w:jc w:val="left"/>
        <w:tblInd w:w="0" w:type="dxa"/>
        <w:tblLayout w:type="fixed"/>
        <w:tblCellMar>
          <w:top w:w="28" w:type="dxa"/>
          <w:left w:w="28" w:type="dxa"/>
          <w:bottom w:w="28" w:type="dxa"/>
          <w:right w:w="28" w:type="dxa"/>
        </w:tblCellMar>
      </w:tblPr>
      <w:tblGrid>
        <w:gridCol w:w="611"/>
        <w:gridCol w:w="287"/>
        <w:gridCol w:w="288"/>
        <w:gridCol w:w="211"/>
        <w:gridCol w:w="826"/>
        <w:gridCol w:w="109"/>
        <w:gridCol w:w="211"/>
        <w:gridCol w:w="826"/>
        <w:gridCol w:w="109"/>
        <w:gridCol w:w="109"/>
        <w:gridCol w:w="211"/>
        <w:gridCol w:w="826"/>
        <w:gridCol w:w="109"/>
        <w:gridCol w:w="211"/>
        <w:gridCol w:w="841"/>
        <w:gridCol w:w="109"/>
        <w:gridCol w:w="109"/>
        <w:gridCol w:w="109"/>
        <w:gridCol w:w="109"/>
        <w:gridCol w:w="109"/>
        <w:gridCol w:w="109"/>
        <w:gridCol w:w="211"/>
        <w:gridCol w:w="826"/>
        <w:gridCol w:w="109"/>
        <w:gridCol w:w="211"/>
        <w:gridCol w:w="826"/>
        <w:gridCol w:w="109"/>
        <w:gridCol w:w="109"/>
        <w:gridCol w:w="211"/>
        <w:gridCol w:w="826"/>
        <w:gridCol w:w="109"/>
        <w:gridCol w:w="211"/>
        <w:gridCol w:w="841"/>
        <w:gridCol w:w="109"/>
        <w:gridCol w:w="211"/>
        <w:gridCol w:w="826"/>
        <w:gridCol w:w="109"/>
        <w:gridCol w:w="211"/>
        <w:gridCol w:w="991"/>
        <w:gridCol w:w="154"/>
      </w:tblGrid>
      <w:tr>
        <w:trPr/>
        <w:tc>
          <w:tcPr>
            <w:tcW w:w="61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7" w:type="dxa"/>
            <w:gridSpan w:val="1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4809" w:type="dxa"/>
            <w:gridSpan w:val="12"/>
            <w:tcBorders/>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Q1</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Q3</w:t>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Q3 YTD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Q1</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Q3</w:t>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Q3 YTD</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Q4</w:t>
            </w:r>
          </w:p>
        </w:tc>
        <w:tc>
          <w:tcPr>
            <w:tcW w:w="13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FY 2025</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flow from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190,997 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236,171 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438,763 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865,931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157,474 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212,340 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424,245 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794,059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543,946 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1,338,005</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Capital expenditures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(59,808)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(163,005)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(163,274)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(220,263)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Free cash flow</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131,189 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188,388 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383,349 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702,926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109,282 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151,408 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370,095 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630,785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486,957 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1,117,742</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 from operating activities as a percentage of revenue</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19.6 %</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13.4 %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20.4 %</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13.2 %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16.5 %</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flow from operating activities as a percentage of adjusted earnings from continuing operations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63.5 %</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113.1 %</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81.0 %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63.1 %</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117.4 %</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80.9 %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158.4 %</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101.0 %</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Free cash flow as a percentage of revenue</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10.9 %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17.8 %</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10.5 %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23.2 %</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13.8 %</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Free cash flow as a percentage of adjusted earnings from continuing operations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50.7 %</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98.8 %</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65.8 %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45.0 %</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102.4 %</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64.3 %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141.8 %</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84.4 %</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2463" w:type="dxa"/>
            <w:gridSpan w:val="37"/>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IS - 8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IS - 8</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DOVER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PERFORMANCE MEASURES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(unaudited)(in thousands)</w:t>
      </w:r>
    </w:p>
    <w:tbl>
      <w:tblPr>
        <w:tblW w:w="15194" w:type="dxa"/>
        <w:jc w:val="center"/>
        <w:tblInd w:w="0" w:type="dxa"/>
        <w:tblLayout w:type="fixed"/>
        <w:tblCellMar>
          <w:top w:w="28" w:type="dxa"/>
          <w:left w:w="28" w:type="dxa"/>
          <w:bottom w:w="28" w:type="dxa"/>
          <w:right w:w="28" w:type="dxa"/>
        </w:tblCellMar>
      </w:tblPr>
      <w:tblGrid>
        <w:gridCol w:w="682"/>
        <w:gridCol w:w="349"/>
        <w:gridCol w:w="350"/>
        <w:gridCol w:w="211"/>
        <w:gridCol w:w="976"/>
        <w:gridCol w:w="109"/>
        <w:gridCol w:w="211"/>
        <w:gridCol w:w="976"/>
        <w:gridCol w:w="109"/>
        <w:gridCol w:w="109"/>
        <w:gridCol w:w="211"/>
        <w:gridCol w:w="976"/>
        <w:gridCol w:w="109"/>
        <w:gridCol w:w="211"/>
        <w:gridCol w:w="991"/>
        <w:gridCol w:w="109"/>
        <w:gridCol w:w="109"/>
        <w:gridCol w:w="109"/>
        <w:gridCol w:w="109"/>
        <w:gridCol w:w="109"/>
        <w:gridCol w:w="109"/>
        <w:gridCol w:w="211"/>
        <w:gridCol w:w="976"/>
        <w:gridCol w:w="109"/>
        <w:gridCol w:w="211"/>
        <w:gridCol w:w="976"/>
        <w:gridCol w:w="109"/>
        <w:gridCol w:w="109"/>
        <w:gridCol w:w="211"/>
        <w:gridCol w:w="976"/>
        <w:gridCol w:w="109"/>
        <w:gridCol w:w="211"/>
        <w:gridCol w:w="991"/>
        <w:gridCol w:w="109"/>
        <w:gridCol w:w="211"/>
        <w:gridCol w:w="976"/>
        <w:gridCol w:w="109"/>
        <w:gridCol w:w="211"/>
        <w:gridCol w:w="991"/>
        <w:gridCol w:w="154"/>
      </w:tblGrid>
      <w:tr>
        <w:trPr/>
        <w:tc>
          <w:tcPr>
            <w:tcW w:w="68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7" w:type="dxa"/>
            <w:gridSpan w:val="1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5259" w:type="dxa"/>
            <w:gridSpan w:val="12"/>
            <w:tcBorders/>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Q1</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w:t>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Q3</w:t>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Q3 YTD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Q1</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w:t>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Q3</w:t>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Q3 YTD</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Q4</w:t>
            </w:r>
          </w:p>
        </w:tc>
        <w:tc>
          <w:tcPr>
            <w:tcW w:w="13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FY 2025</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u w:val="single"/>
              </w:rPr>
            </w:pPr>
            <w:r>
              <w:rPr>
                <w:rFonts w:ascii="Arial;sans-serif" w:hAnsi="Arial;sans-serif"/>
                <w:b/>
                <w:color w:val="000000"/>
                <w:sz w:val="18"/>
                <w:u w:val="single"/>
              </w:rPr>
              <w:t>BOOKINGS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Engineered Products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845,551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814,387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1,095,624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Clean Energy &amp; Fueling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592,608 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1,810,429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1,580,231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2,167,272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Imaging &amp; Identification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908,324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872,490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1,174,537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Pumps &amp; Process Solutions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597,578 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590,020 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1,744,775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1,540,405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2,041,184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Climate &amp; Sustainability Technologies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646,960 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1,801,283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1,194,968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1,665,049</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Intersegment eliminations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(4,567)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(6,039)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consolidated bookings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2,463,676 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2,331,353 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2,310,112 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7,105,141</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1,989,584 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2,008,591 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1,999,739 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5,997,914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2,139,713 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8,137,627</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IS - 9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IS - 9</w:t>
                      </w:r>
                    </w:p>
                  </w:txbxContent>
                </v:textbox>
                <w10:wrap type="none"/>
              </v:rect>
            </w:pict>
          </mc:Fallback>
        </mc:AlternateContent>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Non-GAAP Measures Definitions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an effort to provide investors with additional information regarding our results as determined by GAAP, management also discloses non-GAAP information that management believes provides useful information to investors. Adjusted earnings from continuing operations, adjusted diluted earnings per share from continuing operations, total segment earnings, total segment earnings margin, adjusted segment EBITDA, adjusted segment EBITDA margin, free cash flow, free cash flow as a percentage of revenue, free cash flow as a percentage of adjusted earnings from continuing operations, and organic revenue growth are not financial measures under GAAP and should not be considered as a substitute for earnings from continuing operations, diluted earnings per share from continuing operations, cash flows from operating activities, or revenue as determined in accordance with GAAP, and they may not be comparable to similarly titled measures reported by other companies.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items described in our definitions herein, unless otherwise noted, relate solely to our continuing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Adjusted earnings from continuing operations represents earnings from continuing operations adjusted for the effect of purchase accounting expenses, restructuring and other costs/benefits and gain/loss on dispositions. Purchase accounting expenses are primarily comprised of amortization of intangible assets. We exclude after-tax purchase accounting expenses because the amount and timing of such charges are significantly impacted by the timing, size, number and nature of the acquisitions the Company consummates. While we have a history of acquisition activity, our acquisitions do not happen in a predictive cycle. Exclusion of purchase accounting expenses facilitates more consistent comparisons of operating results over time. We believe it is important to understand that such intangible assets were recorded as part of purchase accounting and contribute to revenue generation. We exclude the other items because they occur for reasons that may be unrelated to the Company's commercial performance during the period and/or management believes they are not indicative of the Company's ongoing operating costs or gains in a given period.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Adjusted diluted earnings per share from continuing operations or adjusted earnings per share from continuing operations represents diluted earnings per share from continuing operations adjusted for the effect of purchase accounting expenses, restructuring and other costs/benefits and gain/loss on disposition.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Total segment earnings is defined as the sum of earnings before purchase accounting expenses, restructuring and other costs/benefits, gain/loss on dispositions, corporate expenses/other, interest expense, interest income and provision for income taxes for all segments. Total segment earnings margin is defined as total segment earnings divided by revenue.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Adjusted segment EBITDA is defined as segment earnings plus other depreciation and amortization expense, which relates to property, plant, and equipment and intangibles, and excludes amounts related to purchase accounting expenses and restructuring and other costs/benefits. Adjusted segment EBITDA margin is defined as adjusted segment EBITDA divided by revenue.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Management believes the non-GAAP measures above are useful to investors to better understand the Company’s ongoing profitability as they better reflect the Company's core operating results, offer more transparency and facilitate easier comparability to prior and future periods and to its peers.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Free cash flow represents net cash provided by operating activities minus capital expenditures. Free cash flow as a percentage of revenue equals free cash flow divided by revenue. Free cash flow as a percentage of adjusted earnings from continuing operations equals free cash flow divided by adjusted earnings from continuing operations. Management believes that free cash flow and free cash flow ratios are important measures of liquidity because they provide management and investors a measurement of cash generated from operations that is available for mandatory payment obligations and investment opportunities, such as funding acquisitions, paying dividends, repaying debt and repurchasing our common stock.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Management believes that reporting organic revenue growth, which excludes the impact of foreign currency exchange rates and the impact of acquisitions and dispositions, provides a useful comparison of our revenue and trends between periods. We do not provide a reconciliation of forward-looking organic revenue to the most directly comparable GAAP financial measure pursuant to the exception provided in Item 10(e)(1)(i)(B) of Regulation S-K because we are not able to provide a meaningful or accurate compilation of reconciling items. This is due to the inherent difficulty in accurately forecasting the timing and amounts of the items that would be excluded from the most directly comparable GAAP financial measure or are out of our control. For the same reasons, we are unable to address the probable significance of unavailable information which may be material.</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IS - 10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IS - 10</w:t>
                      </w:r>
                    </w:p>
                  </w:txbxContent>
                </v:textbox>
                <w10:wrap type="none"/>
              </v:rect>
            </w:pict>
          </mc:Fallback>
        </mc:AlternateContent>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Performance Measures Definitions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Bookings represent total orders received from customers in the current reporting period and exclude de-bookings related to orders received in prior periods, if any. This metric is an important measure of performance and an indicator of revenue order trends. </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 xml:space="preserve">We use the above operational metric in monitoring the performance of the business. We believe the operational metric is useful to investors and other users of our financial information in assessing the performance of our segments. </w:t>
      </w:r>
    </w:p>
    <w:p>
      <w:pPr>
        <w:pStyle w:val="TextBody"/>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IS - 11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IS - 11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5669</Words>
  <Characters>31258</Characters>
  <CharactersWithSpaces>35833</CharactersWithSpaces>
  <Paragraphs>2067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