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253365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219"/>
        <w:spacing w:after="0"/>
        <w:rPr>
          <w:sz w:val="20"/>
          <w:szCs w:val="20"/>
          <w:color w:val="auto"/>
        </w:rPr>
      </w:pPr>
      <w:r>
        <w:rPr>
          <w:rFonts w:ascii="Arial" w:cs="Arial" w:eastAsia="Arial" w:hAnsi="Arial"/>
          <w:sz w:val="23"/>
          <w:szCs w:val="23"/>
          <w:b w:val="1"/>
          <w:bCs w:val="1"/>
          <w:color w:val="auto"/>
        </w:rPr>
        <w:t>UNITED STATES</w:t>
      </w:r>
    </w:p>
    <w:p>
      <w:pPr>
        <w:spacing w:after="0" w:line="29" w:lineRule="exact"/>
        <w:rPr>
          <w:sz w:val="24"/>
          <w:szCs w:val="24"/>
          <w:color w:val="auto"/>
        </w:rPr>
      </w:pPr>
    </w:p>
    <w:p>
      <w:pPr>
        <w:jc w:val="center"/>
        <w:ind w:right="-219"/>
        <w:spacing w:after="0"/>
        <w:rPr>
          <w:sz w:val="20"/>
          <w:szCs w:val="20"/>
          <w:color w:val="auto"/>
        </w:rPr>
      </w:pPr>
      <w:r>
        <w:rPr>
          <w:rFonts w:ascii="Arial" w:cs="Arial" w:eastAsia="Arial" w:hAnsi="Arial"/>
          <w:sz w:val="23"/>
          <w:szCs w:val="23"/>
          <w:b w:val="1"/>
          <w:bCs w:val="1"/>
          <w:color w:val="auto"/>
        </w:rPr>
        <w:t>SECURITIES AND EXCHANGE COMMISSION</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Washington, D.C. 20549</w:t>
      </w:r>
    </w:p>
    <w:p>
      <w:pPr>
        <w:spacing w:after="0" w:line="394"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SCHEDULE 14A</w:t>
      </w:r>
    </w:p>
    <w:p>
      <w:pPr>
        <w:spacing w:after="0" w:line="30"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(Rule 14a-101)</w:t>
      </w:r>
    </w:p>
    <w:p>
      <w:pPr>
        <w:spacing w:after="0" w:line="200" w:lineRule="exact"/>
        <w:rPr>
          <w:sz w:val="24"/>
          <w:szCs w:val="24"/>
          <w:color w:val="auto"/>
        </w:rPr>
      </w:pPr>
    </w:p>
    <w:p>
      <w:pPr>
        <w:spacing w:after="0" w:line="208" w:lineRule="exact"/>
        <w:rPr>
          <w:sz w:val="24"/>
          <w:szCs w:val="24"/>
          <w:color w:val="auto"/>
        </w:rPr>
      </w:pPr>
    </w:p>
    <w:p>
      <w:pPr>
        <w:ind w:left="3220"/>
        <w:spacing w:after="0"/>
        <w:rPr>
          <w:sz w:val="20"/>
          <w:szCs w:val="20"/>
          <w:color w:val="auto"/>
        </w:rPr>
      </w:pPr>
      <w:r>
        <w:rPr>
          <w:rFonts w:ascii="Arial" w:cs="Arial" w:eastAsia="Arial" w:hAnsi="Arial"/>
          <w:sz w:val="20"/>
          <w:szCs w:val="20"/>
          <w:b w:val="1"/>
          <w:bCs w:val="1"/>
          <w:color w:val="auto"/>
        </w:rPr>
        <w:t>INFORMATION REQUIRED IN PROXY STATEMENT</w:t>
      </w:r>
    </w:p>
    <w:p>
      <w:pPr>
        <w:spacing w:after="0" w:line="104" w:lineRule="exact"/>
        <w:rPr>
          <w:sz w:val="24"/>
          <w:szCs w:val="24"/>
          <w:color w:val="auto"/>
        </w:rPr>
      </w:pPr>
    </w:p>
    <w:p>
      <w:pPr>
        <w:ind w:left="4140"/>
        <w:spacing w:after="0"/>
        <w:rPr>
          <w:sz w:val="20"/>
          <w:szCs w:val="20"/>
          <w:color w:val="auto"/>
        </w:rPr>
      </w:pPr>
      <w:r>
        <w:rPr>
          <w:rFonts w:ascii="Arial" w:cs="Arial" w:eastAsia="Arial" w:hAnsi="Arial"/>
          <w:sz w:val="20"/>
          <w:szCs w:val="20"/>
          <w:b w:val="1"/>
          <w:bCs w:val="1"/>
          <w:color w:val="auto"/>
        </w:rPr>
        <w:t>SCHEDULE 14A INFORMATION</w:t>
      </w:r>
    </w:p>
    <w:p>
      <w:pPr>
        <w:spacing w:after="0" w:line="104" w:lineRule="exact"/>
        <w:rPr>
          <w:sz w:val="24"/>
          <w:szCs w:val="24"/>
          <w:color w:val="auto"/>
        </w:rPr>
      </w:pPr>
    </w:p>
    <w:p>
      <w:pPr>
        <w:ind w:left="284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7"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SECURITIES EXCHANGE ACT OF 1934</w:t>
      </w:r>
    </w:p>
    <w:p>
      <w:pPr>
        <w:jc w:val="center"/>
        <w:ind w:right="-219"/>
        <w:spacing w:after="0"/>
        <w:rPr>
          <w:sz w:val="20"/>
          <w:szCs w:val="20"/>
          <w:color w:val="auto"/>
        </w:rPr>
      </w:pPr>
      <w:r>
        <w:rPr>
          <w:rFonts w:ascii="Arial" w:cs="Arial" w:eastAsia="Arial" w:hAnsi="Arial"/>
          <w:sz w:val="20"/>
          <w:szCs w:val="20"/>
          <w:b w:val="1"/>
          <w:bCs w:val="1"/>
          <w:color w:val="auto"/>
        </w:rPr>
        <w:t>(AMENDMENT NO.  )</w:t>
      </w:r>
    </w:p>
    <w:p>
      <w:pPr>
        <w:spacing w:after="0" w:line="76" w:lineRule="exact"/>
        <w:rPr>
          <w:sz w:val="24"/>
          <w:szCs w:val="24"/>
          <w:color w:val="auto"/>
        </w:rPr>
      </w:pPr>
    </w:p>
    <w:p>
      <w:pPr>
        <w:ind w:left="28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122" w:lineRule="exact"/>
        <w:rPr>
          <w:sz w:val="24"/>
          <w:szCs w:val="24"/>
          <w:color w:val="auto"/>
        </w:rPr>
      </w:pPr>
    </w:p>
    <w:p>
      <w:pPr>
        <w:ind w:left="280"/>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259" w:lineRule="exact"/>
        <w:rPr>
          <w:sz w:val="24"/>
          <w:szCs w:val="24"/>
          <w:color w:val="auto"/>
        </w:rPr>
      </w:pPr>
    </w:p>
    <w:p>
      <w:pPr>
        <w:ind w:left="280"/>
        <w:spacing w:after="0"/>
        <w:rPr>
          <w:sz w:val="20"/>
          <w:szCs w:val="20"/>
          <w:color w:val="auto"/>
        </w:rPr>
      </w:pPr>
      <w:r>
        <w:rPr>
          <w:rFonts w:ascii="Arial" w:cs="Arial" w:eastAsia="Arial" w:hAnsi="Arial"/>
          <w:sz w:val="15"/>
          <w:szCs w:val="15"/>
          <w:color w:val="auto"/>
        </w:rPr>
        <w:t>Check the appropriate box:</w:t>
      </w:r>
    </w:p>
    <w:p>
      <w:pPr>
        <w:spacing w:after="0" w:line="148" w:lineRule="exact"/>
        <w:rPr>
          <w:sz w:val="24"/>
          <w:szCs w:val="24"/>
          <w:color w:val="auto"/>
        </w:rPr>
      </w:pPr>
    </w:p>
    <w:p>
      <w:pPr>
        <w:ind w:left="720" w:hanging="553"/>
        <w:spacing w:after="0"/>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5"/>
          <w:szCs w:val="15"/>
          <w:color w:val="auto"/>
        </w:rPr>
        <w:t>Preliminary Proxy Statement</w:t>
      </w:r>
    </w:p>
    <w:p>
      <w:pPr>
        <w:spacing w:after="0" w:line="81" w:lineRule="exact"/>
        <w:rPr>
          <w:rFonts w:ascii="MS PGothic" w:cs="MS PGothic" w:eastAsia="MS PGothic" w:hAnsi="MS PGothic"/>
          <w:sz w:val="16"/>
          <w:szCs w:val="16"/>
          <w:color w:val="auto"/>
        </w:rPr>
      </w:pPr>
    </w:p>
    <w:p>
      <w:pPr>
        <w:ind w:left="720" w:hanging="553"/>
        <w:spacing w:after="0"/>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5"/>
          <w:szCs w:val="15"/>
          <w:color w:val="auto"/>
        </w:rPr>
        <w:t>Confidential, for Use of the Commission Only (as permitted by Rule 14a-6(e)(2))</w:t>
      </w:r>
    </w:p>
    <w:p>
      <w:pPr>
        <w:spacing w:after="0" w:line="82" w:lineRule="exact"/>
        <w:rPr>
          <w:sz w:val="24"/>
          <w:szCs w:val="24"/>
          <w:color w:val="auto"/>
        </w:rPr>
      </w:pPr>
    </w:p>
    <w:p>
      <w:pPr>
        <w:ind w:left="720" w:hanging="553"/>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5"/>
          <w:szCs w:val="15"/>
          <w:color w:val="auto"/>
        </w:rPr>
        <w:t>Definitive Proxy Statement</w:t>
      </w:r>
    </w:p>
    <w:p>
      <w:pPr>
        <w:spacing w:after="0" w:line="82" w:lineRule="exact"/>
        <w:rPr>
          <w:sz w:val="24"/>
          <w:szCs w:val="24"/>
          <w:color w:val="auto"/>
        </w:rPr>
      </w:pPr>
    </w:p>
    <w:p>
      <w:pPr>
        <w:ind w:left="720" w:hanging="553"/>
        <w:spacing w:after="0"/>
        <w:tabs>
          <w:tab w:leader="none" w:pos="720" w:val="left"/>
        </w:tabs>
        <w:numPr>
          <w:ilvl w:val="0"/>
          <w:numId w:val="3"/>
        </w:numPr>
        <w:rPr>
          <w:rFonts w:ascii="MS PGothic" w:cs="MS PGothic" w:eastAsia="MS PGothic" w:hAnsi="MS PGothic"/>
          <w:sz w:val="16"/>
          <w:szCs w:val="16"/>
          <w:color w:val="auto"/>
        </w:rPr>
      </w:pPr>
      <w:r>
        <w:rPr>
          <w:rFonts w:ascii="Arial" w:cs="Arial" w:eastAsia="Arial" w:hAnsi="Arial"/>
          <w:sz w:val="15"/>
          <w:szCs w:val="15"/>
          <w:color w:val="auto"/>
        </w:rPr>
        <w:t>Definitive Additional Materials</w:t>
      </w:r>
    </w:p>
    <w:p>
      <w:pPr>
        <w:spacing w:after="0" w:line="81" w:lineRule="exact"/>
        <w:rPr>
          <w:rFonts w:ascii="MS PGothic" w:cs="MS PGothic" w:eastAsia="MS PGothic" w:hAnsi="MS PGothic"/>
          <w:sz w:val="16"/>
          <w:szCs w:val="16"/>
          <w:color w:val="auto"/>
        </w:rPr>
      </w:pPr>
    </w:p>
    <w:p>
      <w:pPr>
        <w:ind w:left="720" w:hanging="553"/>
        <w:spacing w:after="0"/>
        <w:tabs>
          <w:tab w:leader="none" w:pos="720" w:val="left"/>
        </w:tabs>
        <w:numPr>
          <w:ilvl w:val="0"/>
          <w:numId w:val="3"/>
        </w:numPr>
        <w:rPr>
          <w:rFonts w:ascii="MS PGothic" w:cs="MS PGothic" w:eastAsia="MS PGothic" w:hAnsi="MS PGothic"/>
          <w:sz w:val="16"/>
          <w:szCs w:val="16"/>
          <w:color w:val="auto"/>
        </w:rPr>
      </w:pPr>
      <w:r>
        <w:rPr>
          <w:rFonts w:ascii="Arial" w:cs="Arial" w:eastAsia="Arial" w:hAnsi="Arial"/>
          <w:sz w:val="15"/>
          <w:szCs w:val="15"/>
          <w:color w:val="auto"/>
        </w:rPr>
        <w:t>Soliciting Material under Section 240.14a-2.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561340</wp:posOffset>
            </wp:positionV>
            <wp:extent cx="6929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68580</wp:posOffset>
            </wp:positionV>
            <wp:extent cx="2947035" cy="356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47035" cy="3568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67"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(Name of Person(s) Filing Proxy Statement, if other than Registrant)</w:t>
      </w:r>
    </w:p>
    <w:p>
      <w:pPr>
        <w:spacing w:after="0" w:line="125" w:lineRule="exact"/>
        <w:rPr>
          <w:sz w:val="24"/>
          <w:szCs w:val="24"/>
          <w:color w:val="auto"/>
        </w:rPr>
      </w:pPr>
    </w:p>
    <w:p>
      <w:pPr>
        <w:ind w:left="160"/>
        <w:spacing w:after="0"/>
        <w:rPr>
          <w:sz w:val="20"/>
          <w:szCs w:val="20"/>
          <w:color w:val="auto"/>
        </w:rPr>
      </w:pPr>
      <w:r>
        <w:rPr>
          <w:rFonts w:ascii="Arial" w:cs="Arial" w:eastAsia="Arial" w:hAnsi="Arial"/>
          <w:sz w:val="15"/>
          <w:szCs w:val="15"/>
          <w:color w:val="auto"/>
        </w:rPr>
        <w:t>Payment of Filing Fee (Check the appropriate box):</w:t>
      </w:r>
    </w:p>
    <w:p>
      <w:pPr>
        <w:spacing w:after="0" w:line="95" w:lineRule="exact"/>
        <w:rPr>
          <w:sz w:val="24"/>
          <w:szCs w:val="24"/>
          <w:color w:val="auto"/>
        </w:rPr>
      </w:pPr>
    </w:p>
    <w:p>
      <w:pPr>
        <w:ind w:left="720" w:hanging="553"/>
        <w:spacing w:after="0"/>
        <w:tabs>
          <w:tab w:leader="none" w:pos="72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22" w:lineRule="exact"/>
        <w:rPr>
          <w:sz w:val="24"/>
          <w:szCs w:val="24"/>
          <w:color w:val="auto"/>
        </w:rPr>
      </w:pPr>
    </w:p>
    <w:p>
      <w:pPr>
        <w:ind w:left="720" w:hanging="553"/>
        <w:spacing w:after="0"/>
        <w:tabs>
          <w:tab w:leader="none" w:pos="72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14a-6(i)(1) and 0-11.</w:t>
      </w:r>
    </w:p>
    <w:p>
      <w:pPr>
        <w:spacing w:after="0" w:line="121" w:lineRule="exact"/>
        <w:rPr>
          <w:rFonts w:ascii="MS PGothic" w:cs="MS PGothic" w:eastAsia="MS PGothic" w:hAnsi="MS PGothic"/>
          <w:sz w:val="15"/>
          <w:szCs w:val="15"/>
          <w:color w:val="auto"/>
        </w:rPr>
      </w:pPr>
    </w:p>
    <w:p>
      <w:pPr>
        <w:ind w:left="1260" w:hanging="531"/>
        <w:spacing w:after="0"/>
        <w:tabs>
          <w:tab w:leader="none" w:pos="126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82" w:lineRule="exact"/>
        <w:rPr>
          <w:rFonts w:ascii="Arial" w:cs="Arial" w:eastAsia="Arial" w:hAnsi="Arial"/>
          <w:sz w:val="15"/>
          <w:szCs w:val="15"/>
          <w:color w:val="auto"/>
        </w:rPr>
      </w:pPr>
    </w:p>
    <w:p>
      <w:pPr>
        <w:ind w:left="1260" w:hanging="531"/>
        <w:spacing w:after="0"/>
        <w:tabs>
          <w:tab w:leader="none" w:pos="126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82" w:lineRule="exact"/>
        <w:rPr>
          <w:rFonts w:ascii="Arial" w:cs="Arial" w:eastAsia="Arial" w:hAnsi="Arial"/>
          <w:sz w:val="15"/>
          <w:szCs w:val="15"/>
          <w:color w:val="auto"/>
        </w:rPr>
      </w:pPr>
    </w:p>
    <w:p>
      <w:pPr>
        <w:ind w:left="1260" w:right="100" w:hanging="531"/>
        <w:spacing w:after="0" w:line="249" w:lineRule="auto"/>
        <w:tabs>
          <w:tab w:leader="none" w:pos="126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257" w:lineRule="exact"/>
        <w:rPr>
          <w:rFonts w:ascii="Arial" w:cs="Arial" w:eastAsia="Arial" w:hAnsi="Arial"/>
          <w:sz w:val="15"/>
          <w:szCs w:val="15"/>
          <w:color w:val="auto"/>
        </w:rPr>
      </w:pPr>
    </w:p>
    <w:p>
      <w:pPr>
        <w:ind w:left="1260" w:hanging="531"/>
        <w:spacing w:after="0"/>
        <w:tabs>
          <w:tab w:leader="none" w:pos="126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82" w:lineRule="exact"/>
        <w:rPr>
          <w:rFonts w:ascii="Arial" w:cs="Arial" w:eastAsia="Arial" w:hAnsi="Arial"/>
          <w:sz w:val="15"/>
          <w:szCs w:val="15"/>
          <w:color w:val="auto"/>
        </w:rPr>
      </w:pPr>
    </w:p>
    <w:p>
      <w:pPr>
        <w:ind w:left="1260" w:hanging="531"/>
        <w:spacing w:after="0"/>
        <w:tabs>
          <w:tab w:leader="none" w:pos="126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202" w:lineRule="exact"/>
        <w:rPr>
          <w:rFonts w:ascii="Arial" w:cs="Arial" w:eastAsia="Arial" w:hAnsi="Arial"/>
          <w:sz w:val="15"/>
          <w:szCs w:val="15"/>
          <w:color w:val="auto"/>
        </w:rPr>
      </w:pPr>
    </w:p>
    <w:p>
      <w:pPr>
        <w:ind w:left="720" w:hanging="553"/>
        <w:spacing w:after="0"/>
        <w:tabs>
          <w:tab w:leader="none" w:pos="72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121" w:lineRule="exact"/>
        <w:rPr>
          <w:rFonts w:ascii="MS PGothic" w:cs="MS PGothic" w:eastAsia="MS PGothic" w:hAnsi="MS PGothic"/>
          <w:sz w:val="15"/>
          <w:szCs w:val="15"/>
          <w:color w:val="auto"/>
        </w:rPr>
      </w:pPr>
    </w:p>
    <w:p>
      <w:pPr>
        <w:ind w:left="720" w:hanging="553"/>
        <w:spacing w:after="0" w:line="249" w:lineRule="auto"/>
        <w:tabs>
          <w:tab w:leader="none" w:pos="72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0" w:lineRule="exact"/>
        <w:rPr>
          <w:rFonts w:ascii="MS PGothic" w:cs="MS PGothic" w:eastAsia="MS PGothic" w:hAnsi="MS PGothic"/>
          <w:sz w:val="15"/>
          <w:szCs w:val="15"/>
          <w:color w:val="auto"/>
        </w:rPr>
      </w:pPr>
    </w:p>
    <w:p>
      <w:pPr>
        <w:ind w:left="1260" w:hanging="531"/>
        <w:spacing w:after="0"/>
        <w:tabs>
          <w:tab w:leader="none" w:pos="126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188" w:lineRule="exact"/>
        <w:rPr>
          <w:rFonts w:ascii="Arial" w:cs="Arial" w:eastAsia="Arial" w:hAnsi="Arial"/>
          <w:sz w:val="15"/>
          <w:szCs w:val="15"/>
          <w:color w:val="auto"/>
        </w:rPr>
      </w:pPr>
    </w:p>
    <w:p>
      <w:pPr>
        <w:ind w:left="1260" w:hanging="531"/>
        <w:spacing w:after="0"/>
        <w:tabs>
          <w:tab w:leader="none" w:pos="126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188" w:lineRule="exact"/>
        <w:rPr>
          <w:rFonts w:ascii="Arial" w:cs="Arial" w:eastAsia="Arial" w:hAnsi="Arial"/>
          <w:sz w:val="15"/>
          <w:szCs w:val="15"/>
          <w:color w:val="auto"/>
        </w:rPr>
      </w:pPr>
    </w:p>
    <w:p>
      <w:pPr>
        <w:ind w:left="1260" w:hanging="531"/>
        <w:spacing w:after="0"/>
        <w:tabs>
          <w:tab w:leader="none" w:pos="126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188" w:lineRule="exact"/>
        <w:rPr>
          <w:rFonts w:ascii="Arial" w:cs="Arial" w:eastAsia="Arial" w:hAnsi="Arial"/>
          <w:sz w:val="15"/>
          <w:szCs w:val="15"/>
          <w:color w:val="auto"/>
        </w:rPr>
      </w:pPr>
    </w:p>
    <w:p>
      <w:pPr>
        <w:ind w:left="1260" w:hanging="531"/>
        <w:spacing w:after="0"/>
        <w:tabs>
          <w:tab w:leader="none" w:pos="126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-2622550</wp:posOffset>
            </wp:positionV>
            <wp:extent cx="6233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-2334260</wp:posOffset>
            </wp:positionV>
            <wp:extent cx="6233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-1943100</wp:posOffset>
            </wp:positionV>
            <wp:extent cx="6233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-1654810</wp:posOffset>
            </wp:positionV>
            <wp:extent cx="6233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-1331595</wp:posOffset>
            </wp:positionV>
            <wp:extent cx="6233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-601345</wp:posOffset>
            </wp:positionV>
            <wp:extent cx="6233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-372110</wp:posOffset>
            </wp:positionV>
            <wp:extent cx="6233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-142875</wp:posOffset>
            </wp:positionV>
            <wp:extent cx="6233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85725</wp:posOffset>
            </wp:positionV>
            <wp:extent cx="6233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204470</wp:posOffset>
            </wp:positionV>
            <wp:extent cx="69297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247015</wp:posOffset>
            </wp:positionV>
            <wp:extent cx="69297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20"/>
          </w:cols>
          <w:pgMar w:left="320" w:top="229" w:right="55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94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34200" cy="394970"/>
                    </a:xfrm>
                    <a:prstGeom prst="rect">
                      <a:avLst/>
                    </a:prstGeom>
                    <a:noFill/>
                  </pic:spPr>
                </pic:pic>
              </a:graphicData>
            </a:graphic>
          </wp:anchor>
        </w:drawing>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43"/>
          <w:szCs w:val="43"/>
          <w:b w:val="1"/>
          <w:bCs w:val="1"/>
          <w:color w:val="021496"/>
        </w:rPr>
        <w:t>Notice of 2022 Annual Meeting of Shareholders</w:t>
      </w:r>
    </w:p>
    <w:p>
      <w:pPr>
        <w:spacing w:after="0" w:line="200" w:lineRule="exact"/>
        <w:rPr>
          <w:sz w:val="20"/>
          <w:szCs w:val="20"/>
          <w:color w:val="auto"/>
        </w:rPr>
      </w:pPr>
    </w:p>
    <w:p>
      <w:pPr>
        <w:spacing w:after="0" w:line="2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May 6, 2022</w:t>
      </w:r>
    </w:p>
    <w:p>
      <w:pPr>
        <w:ind w:left="160"/>
        <w:spacing w:after="0" w:line="232" w:lineRule="auto"/>
        <w:rPr>
          <w:sz w:val="20"/>
          <w:szCs w:val="20"/>
          <w:color w:val="auto"/>
        </w:rPr>
      </w:pPr>
      <w:r>
        <w:rPr>
          <w:rFonts w:ascii="Arial" w:cs="Arial" w:eastAsia="Arial" w:hAnsi="Arial"/>
          <w:sz w:val="18"/>
          <w:szCs w:val="18"/>
          <w:color w:val="auto"/>
        </w:rPr>
        <w:t>9:00 a.m. Central Time</w:t>
      </w:r>
    </w:p>
    <w:p>
      <w:pPr>
        <w:ind w:left="160"/>
        <w:spacing w:after="0" w:line="233" w:lineRule="auto"/>
        <w:rPr>
          <w:sz w:val="20"/>
          <w:szCs w:val="20"/>
          <w:color w:val="auto"/>
        </w:rPr>
      </w:pPr>
      <w:r>
        <w:rPr>
          <w:rFonts w:ascii="Arial" w:cs="Arial" w:eastAsia="Arial" w:hAnsi="Arial"/>
          <w:sz w:val="18"/>
          <w:szCs w:val="18"/>
          <w:color w:val="auto"/>
        </w:rPr>
        <w:t>Dover Corporation Headquarters</w:t>
      </w:r>
    </w:p>
    <w:p>
      <w:pPr>
        <w:ind w:left="160"/>
        <w:spacing w:after="0" w:line="232" w:lineRule="auto"/>
        <w:rPr>
          <w:sz w:val="20"/>
          <w:szCs w:val="20"/>
          <w:color w:val="auto"/>
        </w:rPr>
      </w:pPr>
      <w:r>
        <w:rPr>
          <w:rFonts w:ascii="Arial" w:cs="Arial" w:eastAsia="Arial" w:hAnsi="Arial"/>
          <w:sz w:val="18"/>
          <w:szCs w:val="18"/>
          <w:color w:val="auto"/>
        </w:rPr>
        <w:t>3005 Highland Parkway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Downers Grove, Illinois 60515</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Dear Fellow Shareholder:</w:t>
      </w:r>
    </w:p>
    <w:p>
      <w:pPr>
        <w:spacing w:after="0" w:line="208" w:lineRule="exact"/>
        <w:rPr>
          <w:sz w:val="20"/>
          <w:szCs w:val="20"/>
          <w:color w:val="auto"/>
        </w:rPr>
      </w:pPr>
    </w:p>
    <w:p>
      <w:pPr>
        <w:ind w:left="160" w:right="660"/>
        <w:spacing w:after="0" w:line="239" w:lineRule="auto"/>
        <w:rPr>
          <w:sz w:val="20"/>
          <w:szCs w:val="20"/>
          <w:color w:val="auto"/>
        </w:rPr>
      </w:pPr>
      <w:r>
        <w:rPr>
          <w:rFonts w:ascii="Arial" w:cs="Arial" w:eastAsia="Arial" w:hAnsi="Arial"/>
          <w:sz w:val="18"/>
          <w:szCs w:val="18"/>
          <w:color w:val="auto"/>
        </w:rPr>
        <w:t>You are cordially invited to attend the Annual Meeting of Shareholders (the “Annual Meeting”) of Dover Corporation (“Dover” or the “Company”) at our headquarters on May 6, 2022 at 9:00 a.m., Central Time, to be held for the following purposes:</w:t>
      </w:r>
    </w:p>
    <w:p>
      <w:pPr>
        <w:spacing w:after="0" w:line="109" w:lineRule="exact"/>
        <w:rPr>
          <w:sz w:val="20"/>
          <w:szCs w:val="20"/>
          <w:color w:val="auto"/>
        </w:rPr>
      </w:pPr>
    </w:p>
    <w:p>
      <w:pPr>
        <w:ind w:left="1360" w:hanging="43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ten directors.</w:t>
      </w:r>
    </w:p>
    <w:p>
      <w:pPr>
        <w:spacing w:after="0" w:line="113" w:lineRule="exact"/>
        <w:rPr>
          <w:rFonts w:ascii="Arial" w:cs="Arial" w:eastAsia="Arial" w:hAnsi="Arial"/>
          <w:sz w:val="18"/>
          <w:szCs w:val="18"/>
          <w:color w:val="auto"/>
        </w:rPr>
      </w:pPr>
    </w:p>
    <w:p>
      <w:pPr>
        <w:ind w:left="1360" w:right="40" w:hanging="430"/>
        <w:spacing w:after="0" w:line="239" w:lineRule="auto"/>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(“PwC”) as our independent registered public accounting firm for 2022.</w:t>
      </w:r>
    </w:p>
    <w:p>
      <w:pPr>
        <w:spacing w:after="0" w:line="109" w:lineRule="exact"/>
        <w:rPr>
          <w:rFonts w:ascii="Arial" w:cs="Arial" w:eastAsia="Arial" w:hAnsi="Arial"/>
          <w:sz w:val="18"/>
          <w:szCs w:val="18"/>
          <w:color w:val="auto"/>
        </w:rPr>
      </w:pPr>
    </w:p>
    <w:p>
      <w:pPr>
        <w:ind w:left="1360" w:hanging="43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(“NEO”) compensation.</w:t>
      </w:r>
    </w:p>
    <w:p>
      <w:pPr>
        <w:spacing w:after="0" w:line="113" w:lineRule="exact"/>
        <w:rPr>
          <w:rFonts w:ascii="Arial" w:cs="Arial" w:eastAsia="Arial" w:hAnsi="Arial"/>
          <w:sz w:val="18"/>
          <w:szCs w:val="18"/>
          <w:color w:val="auto"/>
        </w:rPr>
      </w:pPr>
    </w:p>
    <w:p>
      <w:pPr>
        <w:ind w:left="1360" w:right="860" w:hanging="430"/>
        <w:spacing w:after="0" w:line="239" w:lineRule="auto"/>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 shareholder proposal regarding the right to allow shareholders to act by written consent, if properly presented.</w:t>
      </w:r>
    </w:p>
    <w:p>
      <w:pPr>
        <w:spacing w:after="0" w:line="109" w:lineRule="exact"/>
        <w:rPr>
          <w:rFonts w:ascii="Arial" w:cs="Arial" w:eastAsia="Arial" w:hAnsi="Arial"/>
          <w:sz w:val="18"/>
          <w:szCs w:val="18"/>
          <w:color w:val="auto"/>
        </w:rPr>
      </w:pPr>
    </w:p>
    <w:p>
      <w:pPr>
        <w:ind w:left="1360" w:right="760" w:hanging="430"/>
        <w:spacing w:after="0" w:line="239" w:lineRule="auto"/>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such other business as may properly come before the Annual Meeting, including any adjournments or postponements thereof.</w:t>
      </w:r>
    </w:p>
    <w:p>
      <w:pPr>
        <w:spacing w:after="0" w:line="203"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 xml:space="preserve">All holders of record at the close of business on March 9, 2022 are entitled to notice of and to vote at the Annual Meeting or any adjournments or postponements thereof. </w:t>
      </w:r>
      <w:r>
        <w:rPr>
          <w:rFonts w:ascii="Arial" w:cs="Arial" w:eastAsia="Arial" w:hAnsi="Arial"/>
          <w:sz w:val="18"/>
          <w:szCs w:val="18"/>
          <w:b w:val="1"/>
          <w:bCs w:val="1"/>
          <w:color w:val="auto"/>
        </w:rPr>
        <w:t>Whether or not you plan to attend the Annual Meeting, we urge you to vote your shares as</w:t>
      </w:r>
      <w:r>
        <w:rPr>
          <w:rFonts w:ascii="Arial" w:cs="Arial" w:eastAsia="Arial" w:hAnsi="Arial"/>
          <w:sz w:val="18"/>
          <w:szCs w:val="18"/>
          <w:color w:val="auto"/>
        </w:rPr>
        <w:t xml:space="preserve"> </w:t>
      </w:r>
      <w:r>
        <w:rPr>
          <w:rFonts w:ascii="Arial" w:cs="Arial" w:eastAsia="Arial" w:hAnsi="Arial"/>
          <w:sz w:val="18"/>
          <w:szCs w:val="18"/>
          <w:b w:val="1"/>
          <w:bCs w:val="1"/>
          <w:color w:val="auto"/>
        </w:rPr>
        <w:t>soon as possible.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March 17, 2022</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authority of the Board of Directors,</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Ivonne M. Cabrera</w:t>
      </w:r>
    </w:p>
    <w:p>
      <w:pPr>
        <w:jc w:val="right"/>
        <w:spacing w:after="0"/>
        <w:rPr>
          <w:sz w:val="20"/>
          <w:szCs w:val="20"/>
          <w:color w:val="auto"/>
        </w:rPr>
      </w:pPr>
      <w:r>
        <w:rPr>
          <w:rFonts w:ascii="Arial" w:cs="Arial" w:eastAsia="Arial" w:hAnsi="Arial"/>
          <w:sz w:val="18"/>
          <w:szCs w:val="18"/>
          <w:i w:val="1"/>
          <w:iCs w:val="1"/>
          <w:color w:val="auto"/>
        </w:rPr>
        <w:t>Secretary</w:t>
      </w:r>
    </w:p>
    <w:p>
      <w:pPr>
        <w:sectPr>
          <w:pgSz w:w="11900" w:h="16838" w:orient="portrait"/>
          <w:cols w:equalWidth="0" w:num="1">
            <w:col w:w="11080"/>
          </w:cols>
          <w:pgMar w:left="320" w:top="45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21496"/>
        </w:rPr>
        <w:t>TABLE OF CONTENTS</w:t>
      </w:r>
    </w:p>
    <w:p>
      <w:pPr>
        <w:spacing w:after="0" w:line="269"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9380" w:type="dxa"/>
            <w:vAlign w:val="bottom"/>
            <w:gridSpan w:val="34"/>
          </w:tcPr>
          <w:p>
            <w:pPr>
              <w:spacing w:after="0"/>
              <w:rPr>
                <w:sz w:val="20"/>
                <w:szCs w:val="20"/>
                <w:color w:val="auto"/>
              </w:rPr>
            </w:pPr>
            <w:r>
              <w:rPr>
                <w:rFonts w:ascii="Arial" w:cs="Arial" w:eastAsia="Arial" w:hAnsi="Arial"/>
                <w:sz w:val="20"/>
                <w:szCs w:val="20"/>
                <w:color w:val="021496"/>
              </w:rPr>
              <w:t>Notice of 2022 Annual Meeting of Shareholders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9380" w:type="dxa"/>
            <w:vAlign w:val="bottom"/>
            <w:gridSpan w:val="34"/>
          </w:tcPr>
          <w:p>
            <w:pPr>
              <w:spacing w:after="0"/>
              <w:rPr>
                <w:rFonts w:ascii="Arial" w:cs="Arial" w:eastAsia="Arial" w:hAnsi="Arial"/>
                <w:sz w:val="20"/>
                <w:szCs w:val="20"/>
                <w:color w:val="0000EE"/>
              </w:rPr>
            </w:pPr>
            <w:hyperlink w:anchor="page6">
              <w:r>
                <w:rPr>
                  <w:rFonts w:ascii="Arial" w:cs="Arial" w:eastAsia="Arial" w:hAnsi="Arial"/>
                  <w:sz w:val="20"/>
                  <w:szCs w:val="20"/>
                  <w:color w:val="0000EE"/>
                </w:rPr>
                <w:t>Proxy Statement Summary</w:t>
              </w:r>
            </w:hyperlink>
          </w:p>
        </w:tc>
        <w:tc>
          <w:tcPr>
            <w:tcW w:w="1480" w:type="dxa"/>
            <w:vAlign w:val="bottom"/>
          </w:tcPr>
          <w:p>
            <w:pPr>
              <w:jc w:val="right"/>
              <w:spacing w:after="0"/>
              <w:rPr>
                <w:sz w:val="20"/>
                <w:szCs w:val="20"/>
                <w:color w:val="auto"/>
              </w:rPr>
            </w:pPr>
            <w:r>
              <w:rPr>
                <w:rFonts w:ascii="Arial" w:cs="Arial" w:eastAsia="Arial" w:hAnsi="Arial"/>
                <w:sz w:val="20"/>
                <w:szCs w:val="20"/>
                <w:color w:val="021496"/>
              </w:rPr>
              <w:t>1</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1</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3"/>
          </w:tcPr>
          <w:p>
            <w:pPr>
              <w:spacing w:after="0" w:line="194" w:lineRule="exact"/>
              <w:rPr>
                <w:rFonts w:ascii="Arial" w:cs="Arial" w:eastAsia="Arial" w:hAnsi="Arial"/>
                <w:sz w:val="20"/>
                <w:szCs w:val="20"/>
                <w:color w:val="0000EE"/>
              </w:rPr>
            </w:pPr>
            <w:hyperlink w:anchor="page6">
              <w:r>
                <w:rPr>
                  <w:rFonts w:ascii="Arial" w:cs="Arial" w:eastAsia="Arial" w:hAnsi="Arial"/>
                  <w:sz w:val="20"/>
                  <w:szCs w:val="20"/>
                  <w:color w:val="0000EE"/>
                </w:rPr>
                <w:t>Annual Meeting Information</w:t>
              </w:r>
            </w:hyperlink>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1560" w:type="dxa"/>
            <w:vAlign w:val="bottom"/>
            <w:tcBorders>
              <w:top w:val="single" w:sz="8" w:color="0000EE"/>
              <w:bottom w:val="single" w:sz="8" w:color="0000EE"/>
            </w:tcBorders>
            <w:gridSpan w:val="2"/>
          </w:tcPr>
          <w:p>
            <w:pPr>
              <w:spacing w:after="0" w:line="194" w:lineRule="exact"/>
              <w:rPr>
                <w:rFonts w:ascii="Arial" w:cs="Arial" w:eastAsia="Arial" w:hAnsi="Arial"/>
                <w:sz w:val="20"/>
                <w:szCs w:val="20"/>
                <w:color w:val="0000EE"/>
                <w:w w:val="97"/>
              </w:rPr>
            </w:pPr>
            <w:hyperlink w:anchor="page6">
              <w:r>
                <w:rPr>
                  <w:rFonts w:ascii="Arial" w:cs="Arial" w:eastAsia="Arial" w:hAnsi="Arial"/>
                  <w:sz w:val="20"/>
                  <w:szCs w:val="20"/>
                  <w:color w:val="0000EE"/>
                  <w:w w:val="97"/>
                </w:rPr>
                <w:t>Items of Business</w:t>
              </w:r>
            </w:hyperlink>
          </w:p>
        </w:tc>
        <w:tc>
          <w:tcPr>
            <w:tcW w:w="840" w:type="dxa"/>
            <w:vAlign w:val="bottom"/>
            <w:tcBorders>
              <w:top w:val="single" w:sz="8" w:color="0000EE"/>
            </w:tcBorders>
            <w:gridSpan w:val="12"/>
          </w:tcPr>
          <w:p>
            <w:pPr>
              <w:spacing w:after="0"/>
              <w:rPr>
                <w:sz w:val="16"/>
                <w:szCs w:val="16"/>
                <w:color w:val="auto"/>
              </w:rPr>
            </w:pPr>
          </w:p>
        </w:tc>
        <w:tc>
          <w:tcPr>
            <w:tcW w:w="6340" w:type="dxa"/>
            <w:vAlign w:val="bottom"/>
            <w:gridSpan w:val="19"/>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1</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3"/>
          </w:tcPr>
          <w:p>
            <w:pPr>
              <w:spacing w:after="0" w:line="194" w:lineRule="exact"/>
              <w:rPr>
                <w:rFonts w:ascii="Arial" w:cs="Arial" w:eastAsia="Arial" w:hAnsi="Arial"/>
                <w:sz w:val="20"/>
                <w:szCs w:val="20"/>
                <w:color w:val="0000EE"/>
              </w:rPr>
            </w:pPr>
            <w:hyperlink w:anchor="page6">
              <w:r>
                <w:rPr>
                  <w:rFonts w:ascii="Arial" w:cs="Arial" w:eastAsia="Arial" w:hAnsi="Arial"/>
                  <w:sz w:val="20"/>
                  <w:szCs w:val="20"/>
                  <w:color w:val="0000EE"/>
                </w:rPr>
                <w:t>How to Submit Your Proxy</w:t>
              </w:r>
            </w:hyperlink>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1</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1720" w:type="dxa"/>
            <w:vAlign w:val="bottom"/>
            <w:tcBorders>
              <w:top w:val="single" w:sz="8" w:color="0000EE"/>
              <w:bottom w:val="single" w:sz="8" w:color="0000EE"/>
            </w:tcBorders>
            <w:gridSpan w:val="5"/>
          </w:tcPr>
          <w:p>
            <w:pPr>
              <w:spacing w:after="0" w:line="194" w:lineRule="exact"/>
              <w:rPr>
                <w:rFonts w:ascii="Arial" w:cs="Arial" w:eastAsia="Arial" w:hAnsi="Arial"/>
                <w:sz w:val="20"/>
                <w:szCs w:val="20"/>
                <w:color w:val="0000EE"/>
                <w:w w:val="97"/>
              </w:rPr>
            </w:pPr>
            <w:hyperlink w:anchor="page7">
              <w:r>
                <w:rPr>
                  <w:rFonts w:ascii="Arial" w:cs="Arial" w:eastAsia="Arial" w:hAnsi="Arial"/>
                  <w:sz w:val="20"/>
                  <w:szCs w:val="20"/>
                  <w:color w:val="0000EE"/>
                  <w:w w:val="97"/>
                </w:rPr>
                <w:t>Company Overview</w:t>
              </w:r>
            </w:hyperlink>
          </w:p>
        </w:tc>
        <w:tc>
          <w:tcPr>
            <w:tcW w:w="560" w:type="dxa"/>
            <w:vAlign w:val="bottom"/>
            <w:tcBorders>
              <w:top w:val="single" w:sz="8" w:color="0000EE"/>
            </w:tcBorders>
            <w:gridSpan w:val="7"/>
          </w:tcPr>
          <w:p>
            <w:pPr>
              <w:spacing w:after="0"/>
              <w:rPr>
                <w:sz w:val="16"/>
                <w:szCs w:val="16"/>
                <w:color w:val="auto"/>
              </w:rPr>
            </w:pPr>
          </w:p>
        </w:tc>
        <w:tc>
          <w:tcPr>
            <w:tcW w:w="6460" w:type="dxa"/>
            <w:vAlign w:val="bottom"/>
            <w:gridSpan w:val="21"/>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2</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500" w:type="dxa"/>
            <w:vAlign w:val="bottom"/>
            <w:tcBorders>
              <w:bottom w:val="single" w:sz="8" w:color="0000EE"/>
            </w:tcBorders>
            <w:gridSpan w:val="15"/>
          </w:tcPr>
          <w:p>
            <w:pPr>
              <w:spacing w:after="0" w:line="194" w:lineRule="exact"/>
              <w:rPr>
                <w:rFonts w:ascii="Arial" w:cs="Arial" w:eastAsia="Arial" w:hAnsi="Arial"/>
                <w:sz w:val="20"/>
                <w:szCs w:val="20"/>
                <w:color w:val="0000EE"/>
                <w:w w:val="97"/>
              </w:rPr>
            </w:pPr>
            <w:hyperlink w:anchor="page9">
              <w:r>
                <w:rPr>
                  <w:rFonts w:ascii="Arial" w:cs="Arial" w:eastAsia="Arial" w:hAnsi="Arial"/>
                  <w:sz w:val="20"/>
                  <w:szCs w:val="20"/>
                  <w:color w:val="0000EE"/>
                  <w:w w:val="97"/>
                </w:rPr>
                <w:t>2021 Performance Overview</w:t>
              </w:r>
            </w:hyperlink>
          </w:p>
        </w:tc>
        <w:tc>
          <w:tcPr>
            <w:tcW w:w="6240" w:type="dxa"/>
            <w:vAlign w:val="bottom"/>
            <w:gridSpan w:val="18"/>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000" w:type="dxa"/>
            <w:vAlign w:val="bottom"/>
            <w:tcBorders>
              <w:bottom w:val="single" w:sz="8" w:color="0000EE"/>
            </w:tcBorders>
            <w:gridSpan w:val="7"/>
          </w:tcPr>
          <w:p>
            <w:pPr>
              <w:spacing w:after="0" w:line="194" w:lineRule="exact"/>
              <w:rPr>
                <w:rFonts w:ascii="Arial" w:cs="Arial" w:eastAsia="Arial" w:hAnsi="Arial"/>
                <w:sz w:val="20"/>
                <w:szCs w:val="20"/>
                <w:color w:val="0000EE"/>
                <w:w w:val="97"/>
              </w:rPr>
            </w:pPr>
            <w:hyperlink w:anchor="page12">
              <w:r>
                <w:rPr>
                  <w:rFonts w:ascii="Arial" w:cs="Arial" w:eastAsia="Arial" w:hAnsi="Arial"/>
                  <w:sz w:val="20"/>
                  <w:szCs w:val="20"/>
                  <w:color w:val="0000EE"/>
                  <w:w w:val="97"/>
                </w:rPr>
                <w:t>Governance Highlights</w:t>
              </w:r>
            </w:hyperlink>
          </w:p>
        </w:tc>
        <w:tc>
          <w:tcPr>
            <w:tcW w:w="6740" w:type="dxa"/>
            <w:vAlign w:val="bottom"/>
            <w:gridSpan w:val="2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7</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3"/>
          </w:tcPr>
          <w:p>
            <w:pPr>
              <w:spacing w:after="0" w:line="194" w:lineRule="exact"/>
              <w:rPr>
                <w:rFonts w:ascii="Arial" w:cs="Arial" w:eastAsia="Arial" w:hAnsi="Arial"/>
                <w:sz w:val="20"/>
                <w:szCs w:val="20"/>
                <w:color w:val="0000EE"/>
              </w:rPr>
            </w:pPr>
            <w:hyperlink w:anchor="page12">
              <w:r>
                <w:rPr>
                  <w:rFonts w:ascii="Arial" w:cs="Arial" w:eastAsia="Arial" w:hAnsi="Arial"/>
                  <w:sz w:val="20"/>
                  <w:szCs w:val="20"/>
                  <w:color w:val="0000EE"/>
                </w:rPr>
                <w:t>Shareholder Engagement</w:t>
              </w:r>
            </w:hyperlink>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7</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180" w:type="dxa"/>
            <w:vAlign w:val="bottom"/>
            <w:tcBorders>
              <w:top w:val="single" w:sz="8" w:color="0000EE"/>
              <w:bottom w:val="single" w:sz="8" w:color="0000EE"/>
            </w:tcBorders>
            <w:gridSpan w:val="10"/>
          </w:tcPr>
          <w:p>
            <w:pPr>
              <w:spacing w:after="0" w:line="194" w:lineRule="exact"/>
              <w:rPr>
                <w:rFonts w:ascii="Arial" w:cs="Arial" w:eastAsia="Arial" w:hAnsi="Arial"/>
                <w:sz w:val="20"/>
                <w:szCs w:val="20"/>
                <w:color w:val="0000EE"/>
                <w:w w:val="97"/>
              </w:rPr>
            </w:pPr>
            <w:hyperlink w:anchor="page13">
              <w:r>
                <w:rPr>
                  <w:rFonts w:ascii="Arial" w:cs="Arial" w:eastAsia="Arial" w:hAnsi="Arial"/>
                  <w:sz w:val="20"/>
                  <w:szCs w:val="20"/>
                  <w:color w:val="0000EE"/>
                  <w:w w:val="97"/>
                </w:rPr>
                <w:t>Executive Compensation</w:t>
              </w:r>
            </w:hyperlink>
          </w:p>
        </w:tc>
        <w:tc>
          <w:tcPr>
            <w:tcW w:w="60" w:type="dxa"/>
            <w:vAlign w:val="bottom"/>
            <w:tcBorders>
              <w:top w:val="single" w:sz="8" w:color="0000EE"/>
            </w:tcBorders>
          </w:tcPr>
          <w:p>
            <w:pPr>
              <w:spacing w:after="0"/>
              <w:rPr>
                <w:sz w:val="16"/>
                <w:szCs w:val="16"/>
                <w:color w:val="auto"/>
              </w:rPr>
            </w:pPr>
          </w:p>
        </w:tc>
        <w:tc>
          <w:tcPr>
            <w:tcW w:w="6500" w:type="dxa"/>
            <w:vAlign w:val="bottom"/>
            <w:gridSpan w:val="22"/>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8</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1640" w:type="dxa"/>
            <w:vAlign w:val="bottom"/>
            <w:tcBorders>
              <w:bottom w:val="single" w:sz="8" w:color="0000EE"/>
            </w:tcBorders>
            <w:gridSpan w:val="3"/>
          </w:tcPr>
          <w:p>
            <w:pPr>
              <w:spacing w:after="0" w:line="194" w:lineRule="exact"/>
              <w:rPr>
                <w:rFonts w:ascii="Arial" w:cs="Arial" w:eastAsia="Arial" w:hAnsi="Arial"/>
                <w:sz w:val="20"/>
                <w:szCs w:val="20"/>
                <w:color w:val="0000EE"/>
                <w:w w:val="97"/>
              </w:rPr>
            </w:pPr>
            <w:hyperlink w:anchor="page14">
              <w:r>
                <w:rPr>
                  <w:rFonts w:ascii="Arial" w:cs="Arial" w:eastAsia="Arial" w:hAnsi="Arial"/>
                  <w:sz w:val="20"/>
                  <w:szCs w:val="20"/>
                  <w:color w:val="0000EE"/>
                  <w:w w:val="97"/>
                </w:rPr>
                <w:t>Director Nominees</w:t>
              </w:r>
            </w:hyperlink>
          </w:p>
        </w:tc>
        <w:tc>
          <w:tcPr>
            <w:tcW w:w="7100" w:type="dxa"/>
            <w:vAlign w:val="bottom"/>
            <w:gridSpan w:val="30"/>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9</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1700" w:type="dxa"/>
            <w:vAlign w:val="bottom"/>
            <w:tcBorders>
              <w:bottom w:val="single" w:sz="8" w:color="0000EE"/>
            </w:tcBorders>
            <w:gridSpan w:val="4"/>
          </w:tcPr>
          <w:p>
            <w:pPr>
              <w:spacing w:after="0" w:line="194" w:lineRule="exact"/>
              <w:rPr>
                <w:rFonts w:ascii="Arial" w:cs="Arial" w:eastAsia="Arial" w:hAnsi="Arial"/>
                <w:sz w:val="20"/>
                <w:szCs w:val="20"/>
                <w:color w:val="0000EE"/>
                <w:w w:val="97"/>
              </w:rPr>
            </w:pPr>
            <w:hyperlink w:anchor="page15">
              <w:r>
                <w:rPr>
                  <w:rFonts w:ascii="Arial" w:cs="Arial" w:eastAsia="Arial" w:hAnsi="Arial"/>
                  <w:sz w:val="20"/>
                  <w:szCs w:val="20"/>
                  <w:color w:val="0000EE"/>
                  <w:w w:val="97"/>
                </w:rPr>
                <w:t>Board Composition</w:t>
              </w:r>
            </w:hyperlink>
          </w:p>
        </w:tc>
        <w:tc>
          <w:tcPr>
            <w:tcW w:w="7040" w:type="dxa"/>
            <w:vAlign w:val="bottom"/>
            <w:gridSpan w:val="29"/>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10</w:t>
            </w:r>
          </w:p>
        </w:tc>
        <w:tc>
          <w:tcPr>
            <w:tcW w:w="0" w:type="dxa"/>
            <w:vAlign w:val="bottom"/>
          </w:tcPr>
          <w:p>
            <w:pPr>
              <w:spacing w:after="0"/>
              <w:rPr>
                <w:sz w:val="1"/>
                <w:szCs w:val="1"/>
                <w:color w:val="auto"/>
              </w:rPr>
            </w:pPr>
          </w:p>
        </w:tc>
      </w:tr>
      <w:tr>
        <w:trPr>
          <w:trHeight w:val="408"/>
        </w:trPr>
        <w:tc>
          <w:tcPr>
            <w:tcW w:w="9380" w:type="dxa"/>
            <w:vAlign w:val="bottom"/>
            <w:gridSpan w:val="34"/>
          </w:tcPr>
          <w:p>
            <w:pPr>
              <w:spacing w:after="0"/>
              <w:rPr>
                <w:rFonts w:ascii="Arial" w:cs="Arial" w:eastAsia="Arial" w:hAnsi="Arial"/>
                <w:sz w:val="20"/>
                <w:szCs w:val="20"/>
                <w:color w:val="0000EE"/>
              </w:rPr>
            </w:pPr>
            <w:hyperlink w:anchor="page16">
              <w:r>
                <w:rPr>
                  <w:rFonts w:ascii="Arial" w:cs="Arial" w:eastAsia="Arial" w:hAnsi="Arial"/>
                  <w:sz w:val="20"/>
                  <w:szCs w:val="20"/>
                  <w:color w:val="0000EE"/>
                </w:rPr>
                <w:t>Proposal 1 — Election of Directors</w:t>
              </w:r>
            </w:hyperlink>
          </w:p>
        </w:tc>
        <w:tc>
          <w:tcPr>
            <w:tcW w:w="1480" w:type="dxa"/>
            <w:vAlign w:val="bottom"/>
          </w:tcPr>
          <w:p>
            <w:pPr>
              <w:jc w:val="right"/>
              <w:spacing w:after="0"/>
              <w:rPr>
                <w:sz w:val="20"/>
                <w:szCs w:val="20"/>
                <w:color w:val="auto"/>
              </w:rPr>
            </w:pPr>
            <w:r>
              <w:rPr>
                <w:rFonts w:ascii="Arial" w:cs="Arial" w:eastAsia="Arial" w:hAnsi="Arial"/>
                <w:sz w:val="20"/>
                <w:szCs w:val="20"/>
                <w:color w:val="021496"/>
              </w:rPr>
              <w:t>11</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11</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3"/>
          </w:tcPr>
          <w:p>
            <w:pPr>
              <w:spacing w:after="0" w:line="194" w:lineRule="exact"/>
              <w:rPr>
                <w:rFonts w:ascii="Arial" w:cs="Arial" w:eastAsia="Arial" w:hAnsi="Arial"/>
                <w:sz w:val="20"/>
                <w:szCs w:val="20"/>
                <w:color w:val="0000EE"/>
              </w:rPr>
            </w:pPr>
            <w:hyperlink w:anchor="page16">
              <w:r>
                <w:rPr>
                  <w:rFonts w:ascii="Arial" w:cs="Arial" w:eastAsia="Arial" w:hAnsi="Arial"/>
                  <w:sz w:val="20"/>
                  <w:szCs w:val="20"/>
                  <w:color w:val="0000EE"/>
                </w:rPr>
                <w:t>Criteria for Director Nominees</w:t>
              </w:r>
            </w:hyperlink>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600" w:type="dxa"/>
            <w:vAlign w:val="bottom"/>
            <w:tcBorders>
              <w:top w:val="single" w:sz="8" w:color="0000EE"/>
            </w:tcBorders>
            <w:gridSpan w:val="16"/>
          </w:tcPr>
          <w:p>
            <w:pPr>
              <w:spacing w:after="0" w:line="194" w:lineRule="exact"/>
              <w:rPr>
                <w:rFonts w:ascii="Arial" w:cs="Arial" w:eastAsia="Arial" w:hAnsi="Arial"/>
                <w:sz w:val="20"/>
                <w:szCs w:val="20"/>
                <w:color w:val="0000EE"/>
              </w:rPr>
            </w:pPr>
            <w:hyperlink w:anchor="page17">
              <w:r>
                <w:rPr>
                  <w:rFonts w:ascii="Arial" w:cs="Arial" w:eastAsia="Arial" w:hAnsi="Arial"/>
                  <w:sz w:val="20"/>
                  <w:szCs w:val="20"/>
                  <w:color w:val="0000EE"/>
                </w:rPr>
                <w:t>Director Nomination Process</w:t>
              </w:r>
            </w:hyperlink>
          </w:p>
        </w:tc>
        <w:tc>
          <w:tcPr>
            <w:tcW w:w="6140" w:type="dxa"/>
            <w:vAlign w:val="bottom"/>
            <w:gridSpan w:val="17"/>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12</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500" w:type="dxa"/>
            <w:vAlign w:val="bottom"/>
            <w:tcBorders>
              <w:top w:val="single" w:sz="8" w:color="0000EE"/>
            </w:tcBorders>
            <w:gridSpan w:val="15"/>
          </w:tcPr>
          <w:p>
            <w:pPr>
              <w:spacing w:after="0" w:line="194" w:lineRule="exact"/>
              <w:rPr>
                <w:rFonts w:ascii="Arial" w:cs="Arial" w:eastAsia="Arial" w:hAnsi="Arial"/>
                <w:sz w:val="20"/>
                <w:szCs w:val="20"/>
                <w:color w:val="0000EE"/>
              </w:rPr>
            </w:pPr>
            <w:hyperlink w:anchor="page18">
              <w:r>
                <w:rPr>
                  <w:rFonts w:ascii="Arial" w:cs="Arial" w:eastAsia="Arial" w:hAnsi="Arial"/>
                  <w:sz w:val="20"/>
                  <w:szCs w:val="20"/>
                  <w:color w:val="0000EE"/>
                </w:rPr>
                <w:t>2022 Director Nominees</w:t>
              </w:r>
            </w:hyperlink>
          </w:p>
        </w:tc>
        <w:tc>
          <w:tcPr>
            <w:tcW w:w="6240" w:type="dxa"/>
            <w:vAlign w:val="bottom"/>
            <w:gridSpan w:val="18"/>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13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23</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3"/>
          </w:tcPr>
          <w:p>
            <w:pPr>
              <w:spacing w:after="0" w:line="194" w:lineRule="exact"/>
              <w:rPr>
                <w:rFonts w:ascii="Arial" w:cs="Arial" w:eastAsia="Arial" w:hAnsi="Arial"/>
                <w:sz w:val="20"/>
                <w:szCs w:val="20"/>
                <w:color w:val="0000EE"/>
              </w:rPr>
            </w:pPr>
            <w:hyperlink w:anchor="page28">
              <w:r>
                <w:rPr>
                  <w:rFonts w:ascii="Arial" w:cs="Arial" w:eastAsia="Arial" w:hAnsi="Arial"/>
                  <w:sz w:val="20"/>
                  <w:szCs w:val="20"/>
                  <w:color w:val="0000EE"/>
                </w:rPr>
                <w:t>Board Oversight and Governance Practices</w:t>
              </w:r>
            </w:hyperlink>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8"/>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31</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5580" w:type="dxa"/>
            <w:vAlign w:val="bottom"/>
            <w:tcBorders>
              <w:bottom w:val="single" w:sz="8" w:color="0000EE"/>
            </w:tcBorders>
            <w:gridSpan w:val="29"/>
          </w:tcPr>
          <w:p>
            <w:pPr>
              <w:spacing w:after="0" w:line="194" w:lineRule="exact"/>
              <w:rPr>
                <w:rFonts w:ascii="Arial" w:cs="Arial" w:eastAsia="Arial" w:hAnsi="Arial"/>
                <w:sz w:val="20"/>
                <w:szCs w:val="20"/>
                <w:color w:val="0000EE"/>
                <w:w w:val="97"/>
              </w:rPr>
            </w:pPr>
            <w:hyperlink w:anchor="page36">
              <w:r>
                <w:rPr>
                  <w:rFonts w:ascii="Arial" w:cs="Arial" w:eastAsia="Arial" w:hAnsi="Arial"/>
                  <w:sz w:val="20"/>
                  <w:szCs w:val="20"/>
                  <w:color w:val="0000EE"/>
                  <w:w w:val="97"/>
                </w:rPr>
                <w:t>Shareholder Engagement and History of Board Responsiveness</w:t>
              </w:r>
            </w:hyperlink>
          </w:p>
        </w:tc>
        <w:tc>
          <w:tcPr>
            <w:tcW w:w="3160" w:type="dxa"/>
            <w:vAlign w:val="bottom"/>
            <w:gridSpan w:val="4"/>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4960" w:type="dxa"/>
            <w:vAlign w:val="bottom"/>
            <w:tcBorders>
              <w:bottom w:val="single" w:sz="8" w:color="0000EE"/>
            </w:tcBorders>
            <w:gridSpan w:val="27"/>
          </w:tcPr>
          <w:p>
            <w:pPr>
              <w:spacing w:after="0" w:line="194" w:lineRule="exact"/>
              <w:rPr>
                <w:rFonts w:ascii="Arial" w:cs="Arial" w:eastAsia="Arial" w:hAnsi="Arial"/>
                <w:sz w:val="20"/>
                <w:szCs w:val="20"/>
                <w:color w:val="0000EE"/>
                <w:w w:val="97"/>
              </w:rPr>
            </w:pPr>
            <w:hyperlink w:anchor="page38">
              <w:r>
                <w:rPr>
                  <w:rFonts w:ascii="Arial" w:cs="Arial" w:eastAsia="Arial" w:hAnsi="Arial"/>
                  <w:sz w:val="20"/>
                  <w:szCs w:val="20"/>
                  <w:color w:val="0000EE"/>
                  <w:w w:val="97"/>
                </w:rPr>
                <w:t>Environmental, Social, and Governance Oversight (ESG)</w:t>
              </w:r>
            </w:hyperlink>
          </w:p>
        </w:tc>
        <w:tc>
          <w:tcPr>
            <w:tcW w:w="378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33</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160" w:type="dxa"/>
            <w:vAlign w:val="bottom"/>
            <w:tcBorders>
              <w:bottom w:val="single" w:sz="8" w:color="0000EE"/>
            </w:tcBorders>
            <w:gridSpan w:val="9"/>
          </w:tcPr>
          <w:p>
            <w:pPr>
              <w:spacing w:after="0" w:line="194" w:lineRule="exact"/>
              <w:rPr>
                <w:rFonts w:ascii="Arial" w:cs="Arial" w:eastAsia="Arial" w:hAnsi="Arial"/>
                <w:sz w:val="20"/>
                <w:szCs w:val="20"/>
                <w:color w:val="0000EE"/>
                <w:w w:val="97"/>
              </w:rPr>
            </w:pPr>
            <w:hyperlink w:anchor="page40">
              <w:r>
                <w:rPr>
                  <w:rFonts w:ascii="Arial" w:cs="Arial" w:eastAsia="Arial" w:hAnsi="Arial"/>
                  <w:sz w:val="20"/>
                  <w:szCs w:val="20"/>
                  <w:color w:val="0000EE"/>
                  <w:w w:val="97"/>
                </w:rPr>
                <w:t>Directors’ Compensation</w:t>
              </w:r>
            </w:hyperlink>
          </w:p>
        </w:tc>
        <w:tc>
          <w:tcPr>
            <w:tcW w:w="6580" w:type="dxa"/>
            <w:vAlign w:val="bottom"/>
            <w:gridSpan w:val="24"/>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35</w:t>
            </w:r>
          </w:p>
        </w:tc>
        <w:tc>
          <w:tcPr>
            <w:tcW w:w="0" w:type="dxa"/>
            <w:vAlign w:val="bottom"/>
          </w:tcPr>
          <w:p>
            <w:pPr>
              <w:spacing w:after="0"/>
              <w:rPr>
                <w:sz w:val="1"/>
                <w:szCs w:val="1"/>
                <w:color w:val="auto"/>
              </w:rPr>
            </w:pPr>
          </w:p>
        </w:tc>
      </w:tr>
      <w:tr>
        <w:trPr>
          <w:trHeight w:val="408"/>
        </w:trPr>
        <w:tc>
          <w:tcPr>
            <w:tcW w:w="8080" w:type="dxa"/>
            <w:vAlign w:val="bottom"/>
            <w:tcBorders>
              <w:bottom w:val="single" w:sz="8" w:color="0000EE"/>
            </w:tcBorders>
            <w:gridSpan w:val="32"/>
          </w:tcPr>
          <w:p>
            <w:pPr>
              <w:spacing w:after="0"/>
              <w:rPr>
                <w:rFonts w:ascii="Arial" w:cs="Arial" w:eastAsia="Arial" w:hAnsi="Arial"/>
                <w:sz w:val="20"/>
                <w:szCs w:val="20"/>
                <w:color w:val="0000EE"/>
                <w:w w:val="98"/>
              </w:rPr>
            </w:pPr>
            <w:hyperlink w:anchor="page42">
              <w:r>
                <w:rPr>
                  <w:rFonts w:ascii="Arial" w:cs="Arial" w:eastAsia="Arial" w:hAnsi="Arial"/>
                  <w:sz w:val="20"/>
                  <w:szCs w:val="20"/>
                  <w:color w:val="0000EE"/>
                  <w:w w:val="98"/>
                </w:rPr>
                <w:t>Proposal 2 — Ratification of Appointment of Independent Registered Public Accounting Firm</w:t>
              </w:r>
            </w:hyperlink>
          </w:p>
        </w:tc>
        <w:tc>
          <w:tcPr>
            <w:tcW w:w="1300" w:type="dxa"/>
            <w:vAlign w:val="bottom"/>
            <w:gridSpan w:val="2"/>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021496"/>
              </w:rPr>
              <w:t>37</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3"/>
          </w:tcPr>
          <w:p>
            <w:pPr>
              <w:spacing w:after="0" w:line="194" w:lineRule="exact"/>
              <w:rPr>
                <w:rFonts w:ascii="Arial" w:cs="Arial" w:eastAsia="Arial" w:hAnsi="Arial"/>
                <w:sz w:val="20"/>
                <w:szCs w:val="20"/>
                <w:color w:val="0000EE"/>
              </w:rPr>
            </w:pPr>
            <w:hyperlink w:anchor="page43">
              <w:r>
                <w:rPr>
                  <w:rFonts w:ascii="Arial" w:cs="Arial" w:eastAsia="Arial" w:hAnsi="Arial"/>
                  <w:sz w:val="20"/>
                  <w:szCs w:val="20"/>
                  <w:color w:val="0000EE"/>
                </w:rPr>
                <w:t>Audit Committee Report</w:t>
              </w:r>
            </w:hyperlink>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39</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5320" w:type="dxa"/>
            <w:vAlign w:val="bottom"/>
            <w:tcBorders>
              <w:bottom w:val="single" w:sz="8" w:color="0000EE"/>
            </w:tcBorders>
            <w:gridSpan w:val="28"/>
          </w:tcPr>
          <w:p>
            <w:pPr>
              <w:spacing w:after="0" w:line="194" w:lineRule="exact"/>
              <w:rPr>
                <w:rFonts w:ascii="Arial" w:cs="Arial" w:eastAsia="Arial" w:hAnsi="Arial"/>
                <w:sz w:val="20"/>
                <w:szCs w:val="20"/>
                <w:color w:val="0000EE"/>
                <w:w w:val="97"/>
              </w:rPr>
            </w:pPr>
            <w:hyperlink w:anchor="page44">
              <w:r>
                <w:rPr>
                  <w:rFonts w:ascii="Arial" w:cs="Arial" w:eastAsia="Arial" w:hAnsi="Arial"/>
                  <w:sz w:val="20"/>
                  <w:szCs w:val="20"/>
                  <w:color w:val="0000EE"/>
                  <w:w w:val="97"/>
                </w:rPr>
                <w:t>Fees Paid to Independent Registered Public Accounting Firm</w:t>
              </w:r>
            </w:hyperlink>
          </w:p>
        </w:tc>
        <w:tc>
          <w:tcPr>
            <w:tcW w:w="3420" w:type="dxa"/>
            <w:vAlign w:val="bottom"/>
            <w:gridSpan w:val="5"/>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7480" w:type="dxa"/>
            <w:vAlign w:val="bottom"/>
            <w:tcBorders>
              <w:bottom w:val="single" w:sz="8" w:color="0000EE"/>
            </w:tcBorders>
            <w:gridSpan w:val="32"/>
          </w:tcPr>
          <w:p>
            <w:pPr>
              <w:spacing w:after="0" w:line="194" w:lineRule="exact"/>
              <w:rPr>
                <w:rFonts w:ascii="Arial" w:cs="Arial" w:eastAsia="Arial" w:hAnsi="Arial"/>
                <w:sz w:val="20"/>
                <w:szCs w:val="20"/>
                <w:color w:val="0000EE"/>
                <w:w w:val="97"/>
              </w:rPr>
            </w:pPr>
            <w:hyperlink w:anchor="page44">
              <w:r>
                <w:rPr>
                  <w:rFonts w:ascii="Arial" w:cs="Arial" w:eastAsia="Arial" w:hAnsi="Arial"/>
                  <w:sz w:val="20"/>
                  <w:szCs w:val="20"/>
                  <w:color w:val="0000EE"/>
                  <w:w w:val="97"/>
                </w:rPr>
                <w:t>Pre-Approval of Services Provided by Independent Registered Public Accounting Firm</w:t>
              </w:r>
            </w:hyperlink>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39</w:t>
            </w:r>
          </w:p>
        </w:tc>
        <w:tc>
          <w:tcPr>
            <w:tcW w:w="0" w:type="dxa"/>
            <w:vAlign w:val="bottom"/>
          </w:tcPr>
          <w:p>
            <w:pPr>
              <w:spacing w:after="0"/>
              <w:rPr>
                <w:sz w:val="1"/>
                <w:szCs w:val="1"/>
                <w:color w:val="auto"/>
              </w:rPr>
            </w:pPr>
          </w:p>
        </w:tc>
      </w:tr>
      <w:tr>
        <w:trPr>
          <w:trHeight w:val="408"/>
        </w:trPr>
        <w:tc>
          <w:tcPr>
            <w:tcW w:w="3460" w:type="dxa"/>
            <w:vAlign w:val="bottom"/>
            <w:tcBorders>
              <w:bottom w:val="single" w:sz="8" w:color="0000EE"/>
            </w:tcBorders>
            <w:gridSpan w:val="20"/>
          </w:tcPr>
          <w:p>
            <w:pPr>
              <w:spacing w:after="0"/>
              <w:rPr>
                <w:rFonts w:ascii="Arial" w:cs="Arial" w:eastAsia="Arial" w:hAnsi="Arial"/>
                <w:sz w:val="20"/>
                <w:szCs w:val="20"/>
                <w:color w:val="0000EE"/>
                <w:w w:val="98"/>
              </w:rPr>
            </w:pPr>
            <w:hyperlink w:anchor="page45">
              <w:r>
                <w:rPr>
                  <w:rFonts w:ascii="Arial" w:cs="Arial" w:eastAsia="Arial" w:hAnsi="Arial"/>
                  <w:sz w:val="20"/>
                  <w:szCs w:val="20"/>
                  <w:color w:val="0000EE"/>
                  <w:w w:val="98"/>
                </w:rPr>
                <w:t>Compensation Discussion and Analysis</w:t>
              </w:r>
            </w:hyperlink>
          </w:p>
        </w:tc>
        <w:tc>
          <w:tcPr>
            <w:tcW w:w="5920" w:type="dxa"/>
            <w:vAlign w:val="bottom"/>
            <w:gridSpan w:val="14"/>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021496"/>
              </w:rPr>
              <w:t>40</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1760" w:type="dxa"/>
            <w:vAlign w:val="bottom"/>
            <w:tcBorders>
              <w:bottom w:val="single" w:sz="8" w:color="0000EE"/>
            </w:tcBorders>
            <w:gridSpan w:val="6"/>
          </w:tcPr>
          <w:p>
            <w:pPr>
              <w:spacing w:after="0" w:line="194" w:lineRule="exact"/>
              <w:rPr>
                <w:rFonts w:ascii="Arial" w:cs="Arial" w:eastAsia="Arial" w:hAnsi="Arial"/>
                <w:sz w:val="20"/>
                <w:szCs w:val="20"/>
                <w:color w:val="0000EE"/>
                <w:w w:val="97"/>
              </w:rPr>
            </w:pPr>
            <w:hyperlink w:anchor="page45">
              <w:r>
                <w:rPr>
                  <w:rFonts w:ascii="Arial" w:cs="Arial" w:eastAsia="Arial" w:hAnsi="Arial"/>
                  <w:sz w:val="20"/>
                  <w:szCs w:val="20"/>
                  <w:color w:val="0000EE"/>
                  <w:w w:val="97"/>
                </w:rPr>
                <w:t>Executive Summary</w:t>
              </w:r>
            </w:hyperlink>
          </w:p>
        </w:tc>
        <w:tc>
          <w:tcPr>
            <w:tcW w:w="6980" w:type="dxa"/>
            <w:vAlign w:val="bottom"/>
            <w:gridSpan w:val="27"/>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40</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4840" w:type="dxa"/>
            <w:vAlign w:val="bottom"/>
            <w:tcBorders>
              <w:bottom w:val="single" w:sz="8" w:color="0000EE"/>
            </w:tcBorders>
            <w:gridSpan w:val="26"/>
          </w:tcPr>
          <w:p>
            <w:pPr>
              <w:spacing w:after="0" w:line="194" w:lineRule="exact"/>
              <w:rPr>
                <w:rFonts w:ascii="Arial" w:cs="Arial" w:eastAsia="Arial" w:hAnsi="Arial"/>
                <w:sz w:val="20"/>
                <w:szCs w:val="20"/>
                <w:color w:val="0000EE"/>
                <w:w w:val="97"/>
              </w:rPr>
            </w:pPr>
            <w:hyperlink w:anchor="page47">
              <w:r>
                <w:rPr>
                  <w:rFonts w:ascii="Arial" w:cs="Arial" w:eastAsia="Arial" w:hAnsi="Arial"/>
                  <w:sz w:val="20"/>
                  <w:szCs w:val="20"/>
                  <w:color w:val="0000EE"/>
                  <w:w w:val="97"/>
                </w:rPr>
                <w:t>Say on Pay Vote Results and Shareholder Engagement</w:t>
              </w:r>
            </w:hyperlink>
          </w:p>
        </w:tc>
        <w:tc>
          <w:tcPr>
            <w:tcW w:w="3900" w:type="dxa"/>
            <w:vAlign w:val="bottom"/>
            <w:gridSpan w:val="7"/>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42</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6060" w:type="dxa"/>
            <w:vAlign w:val="bottom"/>
            <w:tcBorders>
              <w:bottom w:val="single" w:sz="8" w:color="0000EE"/>
            </w:tcBorders>
            <w:gridSpan w:val="30"/>
          </w:tcPr>
          <w:p>
            <w:pPr>
              <w:spacing w:after="0" w:line="194" w:lineRule="exact"/>
              <w:rPr>
                <w:rFonts w:ascii="Arial" w:cs="Arial" w:eastAsia="Arial" w:hAnsi="Arial"/>
                <w:sz w:val="20"/>
                <w:szCs w:val="20"/>
                <w:color w:val="0000EE"/>
                <w:w w:val="97"/>
              </w:rPr>
            </w:pPr>
            <w:hyperlink w:anchor="page48">
              <w:r>
                <w:rPr>
                  <w:rFonts w:ascii="Arial" w:cs="Arial" w:eastAsia="Arial" w:hAnsi="Arial"/>
                  <w:sz w:val="20"/>
                  <w:szCs w:val="20"/>
                  <w:color w:val="0000EE"/>
                  <w:w w:val="97"/>
                </w:rPr>
                <w:t>Dover’s Alignment with Leading Compensation Governance Practices</w:t>
              </w:r>
            </w:hyperlink>
          </w:p>
        </w:tc>
        <w:tc>
          <w:tcPr>
            <w:tcW w:w="2680" w:type="dxa"/>
            <w:vAlign w:val="bottom"/>
            <w:gridSpan w:val="3"/>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43</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180" w:type="dxa"/>
            <w:vAlign w:val="bottom"/>
            <w:tcBorders>
              <w:bottom w:val="single" w:sz="8" w:color="0000EE"/>
            </w:tcBorders>
            <w:gridSpan w:val="10"/>
          </w:tcPr>
          <w:p>
            <w:pPr>
              <w:spacing w:after="0" w:line="194" w:lineRule="exact"/>
              <w:rPr>
                <w:rFonts w:ascii="Arial" w:cs="Arial" w:eastAsia="Arial" w:hAnsi="Arial"/>
                <w:sz w:val="20"/>
                <w:szCs w:val="20"/>
                <w:color w:val="0000EE"/>
                <w:w w:val="97"/>
              </w:rPr>
            </w:pPr>
            <w:hyperlink w:anchor="page49">
              <w:r>
                <w:rPr>
                  <w:rFonts w:ascii="Arial" w:cs="Arial" w:eastAsia="Arial" w:hAnsi="Arial"/>
                  <w:sz w:val="20"/>
                  <w:szCs w:val="20"/>
                  <w:color w:val="0000EE"/>
                  <w:w w:val="97"/>
                </w:rPr>
                <w:t>Compensation Principles</w:t>
              </w:r>
            </w:hyperlink>
          </w:p>
        </w:tc>
        <w:tc>
          <w:tcPr>
            <w:tcW w:w="6560" w:type="dxa"/>
            <w:vAlign w:val="bottom"/>
            <w:gridSpan w:val="23"/>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44</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100" w:type="dxa"/>
            <w:vAlign w:val="bottom"/>
            <w:tcBorders>
              <w:bottom w:val="single" w:sz="8" w:color="0000EE"/>
            </w:tcBorders>
            <w:gridSpan w:val="8"/>
          </w:tcPr>
          <w:p>
            <w:pPr>
              <w:spacing w:after="0" w:line="194" w:lineRule="exact"/>
              <w:rPr>
                <w:rFonts w:ascii="Arial" w:cs="Arial" w:eastAsia="Arial" w:hAnsi="Arial"/>
                <w:sz w:val="20"/>
                <w:szCs w:val="20"/>
                <w:color w:val="0000EE"/>
                <w:w w:val="99"/>
              </w:rPr>
            </w:pPr>
            <w:hyperlink w:anchor="page50">
              <w:r>
                <w:rPr>
                  <w:rFonts w:ascii="Arial" w:cs="Arial" w:eastAsia="Arial" w:hAnsi="Arial"/>
                  <w:sz w:val="20"/>
                  <w:szCs w:val="20"/>
                  <w:color w:val="0000EE"/>
                  <w:w w:val="99"/>
                </w:rPr>
                <w:t>Compensation Process</w:t>
              </w:r>
            </w:hyperlink>
          </w:p>
        </w:tc>
        <w:tc>
          <w:tcPr>
            <w:tcW w:w="6640" w:type="dxa"/>
            <w:vAlign w:val="bottom"/>
            <w:gridSpan w:val="25"/>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45</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3"/>
          </w:tcPr>
          <w:p>
            <w:pPr>
              <w:spacing w:after="0" w:line="194" w:lineRule="exact"/>
              <w:rPr>
                <w:rFonts w:ascii="Arial" w:cs="Arial" w:eastAsia="Arial" w:hAnsi="Arial"/>
                <w:sz w:val="20"/>
                <w:szCs w:val="20"/>
                <w:color w:val="0000EE"/>
              </w:rPr>
            </w:pPr>
            <w:hyperlink w:anchor="page54">
              <w:r>
                <w:rPr>
                  <w:rFonts w:ascii="Arial" w:cs="Arial" w:eastAsia="Arial" w:hAnsi="Arial"/>
                  <w:sz w:val="20"/>
                  <w:szCs w:val="20"/>
                  <w:color w:val="0000EE"/>
                </w:rPr>
                <w:t>Elements of Executive Compensation</w:t>
              </w:r>
            </w:hyperlink>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49</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3260" w:type="dxa"/>
            <w:vAlign w:val="bottom"/>
            <w:tcBorders>
              <w:top w:val="single" w:sz="8" w:color="0000EE"/>
            </w:tcBorders>
            <w:gridSpan w:val="22"/>
          </w:tcPr>
          <w:p>
            <w:pPr>
              <w:spacing w:after="0" w:line="194" w:lineRule="exact"/>
              <w:rPr>
                <w:rFonts w:ascii="Arial" w:cs="Arial" w:eastAsia="Arial" w:hAnsi="Arial"/>
                <w:sz w:val="20"/>
                <w:szCs w:val="20"/>
                <w:color w:val="0000EE"/>
              </w:rPr>
            </w:pPr>
            <w:hyperlink w:anchor="page63">
              <w:r>
                <w:rPr>
                  <w:rFonts w:ascii="Arial" w:cs="Arial" w:eastAsia="Arial" w:hAnsi="Arial"/>
                  <w:sz w:val="20"/>
                  <w:szCs w:val="20"/>
                  <w:color w:val="0000EE"/>
                </w:rPr>
                <w:t>Other Benefits</w:t>
              </w:r>
            </w:hyperlink>
          </w:p>
        </w:tc>
        <w:tc>
          <w:tcPr>
            <w:tcW w:w="5480" w:type="dxa"/>
            <w:vAlign w:val="bottom"/>
            <w:gridSpan w:val="11"/>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58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20" w:type="dxa"/>
            <w:vAlign w:val="bottom"/>
            <w:gridSpan w:val="1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60</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3"/>
          </w:tcPr>
          <w:p>
            <w:pPr>
              <w:spacing w:after="0" w:line="194" w:lineRule="exact"/>
              <w:rPr>
                <w:rFonts w:ascii="Arial" w:cs="Arial" w:eastAsia="Arial" w:hAnsi="Arial"/>
                <w:sz w:val="20"/>
                <w:szCs w:val="20"/>
                <w:color w:val="0000EE"/>
              </w:rPr>
            </w:pPr>
            <w:hyperlink w:anchor="page65">
              <w:r>
                <w:rPr>
                  <w:rFonts w:ascii="Arial" w:cs="Arial" w:eastAsia="Arial" w:hAnsi="Arial"/>
                  <w:sz w:val="20"/>
                  <w:szCs w:val="20"/>
                  <w:color w:val="0000EE"/>
                </w:rPr>
                <w:t>Other Elements of Compensation</w:t>
              </w:r>
            </w:hyperlink>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680" w:type="dxa"/>
            <w:vAlign w:val="bottom"/>
            <w:gridSpan w:val="1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61</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2920" w:type="dxa"/>
            <w:vAlign w:val="bottom"/>
            <w:tcBorders>
              <w:bottom w:val="single" w:sz="8" w:color="0000EE"/>
            </w:tcBorders>
            <w:gridSpan w:val="21"/>
          </w:tcPr>
          <w:p>
            <w:pPr>
              <w:spacing w:after="0" w:line="194" w:lineRule="exact"/>
              <w:rPr>
                <w:rFonts w:ascii="Arial" w:cs="Arial" w:eastAsia="Arial" w:hAnsi="Arial"/>
                <w:sz w:val="20"/>
                <w:szCs w:val="20"/>
                <w:color w:val="0000EE"/>
                <w:w w:val="97"/>
              </w:rPr>
            </w:pPr>
            <w:hyperlink w:anchor="page66">
              <w:r>
                <w:rPr>
                  <w:rFonts w:ascii="Arial" w:cs="Arial" w:eastAsia="Arial" w:hAnsi="Arial"/>
                  <w:sz w:val="20"/>
                  <w:szCs w:val="20"/>
                  <w:color w:val="0000EE"/>
                  <w:w w:val="97"/>
                </w:rPr>
                <w:t>Compensation Committee Report</w:t>
              </w:r>
            </w:hyperlink>
          </w:p>
        </w:tc>
        <w:tc>
          <w:tcPr>
            <w:tcW w:w="5820" w:type="dxa"/>
            <w:vAlign w:val="bottom"/>
            <w:gridSpan w:val="12"/>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800" w:type="dxa"/>
            <w:vAlign w:val="bottom"/>
            <w:tcBorders>
              <w:bottom w:val="single" w:sz="8" w:color="0000EE"/>
            </w:tcBorders>
            <w:gridSpan w:val="18"/>
          </w:tcPr>
          <w:p>
            <w:pPr>
              <w:spacing w:after="0" w:line="194" w:lineRule="exact"/>
              <w:rPr>
                <w:rFonts w:ascii="Arial" w:cs="Arial" w:eastAsia="Arial" w:hAnsi="Arial"/>
                <w:sz w:val="20"/>
                <w:szCs w:val="20"/>
                <w:color w:val="0000EE"/>
                <w:w w:val="96"/>
              </w:rPr>
            </w:pPr>
            <w:hyperlink w:anchor="page67">
              <w:r>
                <w:rPr>
                  <w:rFonts w:ascii="Arial" w:cs="Arial" w:eastAsia="Arial" w:hAnsi="Arial"/>
                  <w:sz w:val="20"/>
                  <w:szCs w:val="20"/>
                  <w:color w:val="0000EE"/>
                  <w:w w:val="96"/>
                </w:rPr>
                <w:t>Executive Compensation Tables</w:t>
              </w:r>
            </w:hyperlink>
          </w:p>
        </w:tc>
        <w:tc>
          <w:tcPr>
            <w:tcW w:w="5940" w:type="dxa"/>
            <w:vAlign w:val="bottom"/>
            <w:gridSpan w:val="15"/>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62</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3"/>
          </w:tcPr>
          <w:p>
            <w:pPr>
              <w:spacing w:after="0" w:line="194" w:lineRule="exact"/>
              <w:rPr>
                <w:rFonts w:ascii="Arial" w:cs="Arial" w:eastAsia="Arial" w:hAnsi="Arial"/>
                <w:sz w:val="20"/>
                <w:szCs w:val="20"/>
                <w:color w:val="0000EE"/>
              </w:rPr>
            </w:pPr>
            <w:hyperlink w:anchor="page67">
              <w:r>
                <w:rPr>
                  <w:rFonts w:ascii="Arial" w:cs="Arial" w:eastAsia="Arial" w:hAnsi="Arial"/>
                  <w:sz w:val="20"/>
                  <w:szCs w:val="20"/>
                  <w:color w:val="0000EE"/>
                </w:rPr>
                <w:t>Summary Compensation Table</w:t>
              </w:r>
            </w:hyperlink>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62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680" w:type="dxa"/>
            <w:vAlign w:val="bottom"/>
            <w:gridSpan w:val="17"/>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64</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3"/>
          </w:tcPr>
          <w:p>
            <w:pPr>
              <w:spacing w:after="0" w:line="194" w:lineRule="exact"/>
              <w:rPr>
                <w:rFonts w:ascii="Arial" w:cs="Arial" w:eastAsia="Arial" w:hAnsi="Arial"/>
                <w:sz w:val="20"/>
                <w:szCs w:val="20"/>
                <w:color w:val="0000EE"/>
              </w:rPr>
            </w:pPr>
            <w:hyperlink w:anchor="page69">
              <w:r>
                <w:rPr>
                  <w:rFonts w:ascii="Arial" w:cs="Arial" w:eastAsia="Arial" w:hAnsi="Arial"/>
                  <w:sz w:val="20"/>
                  <w:szCs w:val="20"/>
                  <w:color w:val="0000EE"/>
                </w:rPr>
                <w:t>Grants of Plan-Based Awards in 2021</w:t>
              </w:r>
            </w:hyperlink>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680" w:type="dxa"/>
            <w:vAlign w:val="bottom"/>
            <w:gridSpan w:val="17"/>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66</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3"/>
          </w:tcPr>
          <w:p>
            <w:pPr>
              <w:spacing w:after="0" w:line="194" w:lineRule="exact"/>
              <w:rPr>
                <w:rFonts w:ascii="Arial" w:cs="Arial" w:eastAsia="Arial" w:hAnsi="Arial"/>
                <w:sz w:val="20"/>
                <w:szCs w:val="20"/>
                <w:color w:val="0000EE"/>
              </w:rPr>
            </w:pPr>
            <w:hyperlink w:anchor="page71">
              <w:r>
                <w:rPr>
                  <w:rFonts w:ascii="Arial" w:cs="Arial" w:eastAsia="Arial" w:hAnsi="Arial"/>
                  <w:sz w:val="20"/>
                  <w:szCs w:val="20"/>
                  <w:color w:val="0000EE"/>
                </w:rPr>
                <w:t>Outstanding Equity Awards at Fiscal Year-End 2021</w:t>
              </w:r>
            </w:hyperlink>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4500" w:type="dxa"/>
            <w:vAlign w:val="bottom"/>
            <w:tcBorders>
              <w:top w:val="single" w:sz="8" w:color="0000EE"/>
            </w:tcBorders>
            <w:gridSpan w:val="25"/>
          </w:tcPr>
          <w:p>
            <w:pPr>
              <w:spacing w:after="0" w:line="194" w:lineRule="exact"/>
              <w:rPr>
                <w:rFonts w:ascii="Arial" w:cs="Arial" w:eastAsia="Arial" w:hAnsi="Arial"/>
                <w:sz w:val="20"/>
                <w:szCs w:val="20"/>
                <w:color w:val="0000EE"/>
              </w:rPr>
            </w:pPr>
            <w:hyperlink w:anchor="page72">
              <w:r>
                <w:rPr>
                  <w:rFonts w:ascii="Arial" w:cs="Arial" w:eastAsia="Arial" w:hAnsi="Arial"/>
                  <w:sz w:val="20"/>
                  <w:szCs w:val="20"/>
                  <w:color w:val="0000EE"/>
                </w:rPr>
                <w:t>Option Exercises and Stock Vested in 2021</w:t>
              </w:r>
            </w:hyperlink>
          </w:p>
        </w:tc>
        <w:tc>
          <w:tcPr>
            <w:tcW w:w="4240" w:type="dxa"/>
            <w:vAlign w:val="bottom"/>
            <w:gridSpan w:val="8"/>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67</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3780" w:type="dxa"/>
            <w:vAlign w:val="bottom"/>
            <w:tcBorders>
              <w:top w:val="single" w:sz="8" w:color="0000EE"/>
            </w:tcBorders>
            <w:gridSpan w:val="24"/>
          </w:tcPr>
          <w:p>
            <w:pPr>
              <w:spacing w:after="0" w:line="194" w:lineRule="exact"/>
              <w:rPr>
                <w:rFonts w:ascii="Arial" w:cs="Arial" w:eastAsia="Arial" w:hAnsi="Arial"/>
                <w:sz w:val="20"/>
                <w:szCs w:val="20"/>
                <w:color w:val="0000EE"/>
              </w:rPr>
            </w:pPr>
            <w:hyperlink w:anchor="page73">
              <w:r>
                <w:rPr>
                  <w:rFonts w:ascii="Arial" w:cs="Arial" w:eastAsia="Arial" w:hAnsi="Arial"/>
                  <w:sz w:val="20"/>
                  <w:szCs w:val="20"/>
                  <w:color w:val="0000EE"/>
                </w:rPr>
                <w:t>Pension Benefits through 2021</w:t>
              </w:r>
            </w:hyperlink>
          </w:p>
        </w:tc>
        <w:tc>
          <w:tcPr>
            <w:tcW w:w="4960" w:type="dxa"/>
            <w:vAlign w:val="bottom"/>
            <w:gridSpan w:val="9"/>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68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w:t>
      </w:r>
    </w:p>
    <w:p>
      <w:pPr>
        <w:sectPr>
          <w:pgSz w:w="11900" w:h="16838" w:orient="portrait"/>
          <w:cols w:equalWidth="0" w:num="1">
            <w:col w:w="11080"/>
          </w:cols>
          <w:pgMar w:left="320" w:top="45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9200" w:type="dxa"/>
            <w:vAlign w:val="bottom"/>
            <w:gridSpan w:val="10"/>
          </w:tcPr>
          <w:p>
            <w:pPr>
              <w:spacing w:after="0"/>
              <w:rPr>
                <w:sz w:val="20"/>
                <w:szCs w:val="20"/>
                <w:color w:val="auto"/>
              </w:rPr>
            </w:pPr>
            <w:r>
              <w:rPr>
                <w:rFonts w:ascii="Arial" w:cs="Arial" w:eastAsia="Arial" w:hAnsi="Arial"/>
                <w:sz w:val="16"/>
                <w:szCs w:val="16"/>
                <w:b w:val="1"/>
                <w:bCs w:val="1"/>
                <w:color w:val="auto"/>
              </w:rPr>
              <w:t>TABLE OF CONTENTS</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40" w:type="dxa"/>
            <w:vAlign w:val="bottom"/>
          </w:tcPr>
          <w:p>
            <w:pPr>
              <w:spacing w:after="0"/>
              <w:rPr>
                <w:sz w:val="24"/>
                <w:szCs w:val="24"/>
                <w:color w:val="auto"/>
              </w:rPr>
            </w:pPr>
          </w:p>
        </w:tc>
        <w:tc>
          <w:tcPr>
            <w:tcW w:w="3940" w:type="dxa"/>
            <w:vAlign w:val="bottom"/>
            <w:tcBorders>
              <w:bottom w:val="single" w:sz="8" w:color="0000EE"/>
            </w:tcBorders>
            <w:gridSpan w:val="4"/>
          </w:tcPr>
          <w:p>
            <w:pPr>
              <w:spacing w:after="0"/>
              <w:rPr>
                <w:rFonts w:ascii="Arial" w:cs="Arial" w:eastAsia="Arial" w:hAnsi="Arial"/>
                <w:sz w:val="20"/>
                <w:szCs w:val="20"/>
                <w:color w:val="0000EE"/>
                <w:w w:val="97"/>
              </w:rPr>
            </w:pPr>
            <w:hyperlink w:anchor="page74">
              <w:r>
                <w:rPr>
                  <w:rFonts w:ascii="Arial" w:cs="Arial" w:eastAsia="Arial" w:hAnsi="Arial"/>
                  <w:sz w:val="20"/>
                  <w:szCs w:val="20"/>
                  <w:color w:val="0000EE"/>
                  <w:w w:val="97"/>
                </w:rPr>
                <w:t>Nonqualified Deferred Compensation in 2021</w:t>
              </w:r>
            </w:hyperlink>
          </w:p>
        </w:tc>
        <w:tc>
          <w:tcPr>
            <w:tcW w:w="4620" w:type="dxa"/>
            <w:vAlign w:val="bottom"/>
            <w:gridSpan w:val="5"/>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021496"/>
              </w:rPr>
              <w:t>69</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5120" w:type="dxa"/>
            <w:vAlign w:val="bottom"/>
            <w:tcBorders>
              <w:bottom w:val="single" w:sz="8" w:color="0000EE"/>
            </w:tcBorders>
            <w:gridSpan w:val="5"/>
          </w:tcPr>
          <w:p>
            <w:pPr>
              <w:spacing w:after="0" w:line="194" w:lineRule="exact"/>
              <w:rPr>
                <w:rFonts w:ascii="Arial" w:cs="Arial" w:eastAsia="Arial" w:hAnsi="Arial"/>
                <w:sz w:val="20"/>
                <w:szCs w:val="20"/>
                <w:color w:val="0000EE"/>
                <w:w w:val="97"/>
              </w:rPr>
            </w:pPr>
            <w:hyperlink w:anchor="page75">
              <w:r>
                <w:rPr>
                  <w:rFonts w:ascii="Arial" w:cs="Arial" w:eastAsia="Arial" w:hAnsi="Arial"/>
                  <w:sz w:val="20"/>
                  <w:szCs w:val="20"/>
                  <w:color w:val="0000EE"/>
                  <w:w w:val="97"/>
                </w:rPr>
                <w:t>Potential Payments upon Termination or Change in Control</w:t>
              </w:r>
            </w:hyperlink>
          </w:p>
        </w:tc>
        <w:tc>
          <w:tcPr>
            <w:tcW w:w="3440" w:type="dxa"/>
            <w:vAlign w:val="bottom"/>
            <w:gridSpan w:val="4"/>
          </w:tcPr>
          <w:p>
            <w:pPr>
              <w:spacing w:after="0"/>
              <w:rPr>
                <w:sz w:val="16"/>
                <w:szCs w:val="16"/>
                <w:color w:val="auto"/>
              </w:rPr>
            </w:pPr>
          </w:p>
        </w:tc>
        <w:tc>
          <w:tcPr>
            <w:tcW w:w="1660" w:type="dxa"/>
            <w:vAlign w:val="bottom"/>
          </w:tcPr>
          <w:p>
            <w:pPr>
              <w:jc w:val="right"/>
              <w:spacing w:after="0" w:line="194" w:lineRule="exact"/>
              <w:rPr>
                <w:sz w:val="20"/>
                <w:szCs w:val="20"/>
                <w:color w:val="auto"/>
              </w:rPr>
            </w:pPr>
            <w:r>
              <w:rPr>
                <w:rFonts w:ascii="Arial" w:cs="Arial" w:eastAsia="Arial" w:hAnsi="Arial"/>
                <w:sz w:val="20"/>
                <w:szCs w:val="20"/>
                <w:color w:val="021496"/>
              </w:rPr>
              <w:t>70</w:t>
            </w:r>
          </w:p>
        </w:tc>
        <w:tc>
          <w:tcPr>
            <w:tcW w:w="0" w:type="dxa"/>
            <w:vAlign w:val="bottom"/>
          </w:tcPr>
          <w:p>
            <w:pPr>
              <w:spacing w:after="0"/>
              <w:rPr>
                <w:sz w:val="1"/>
                <w:szCs w:val="1"/>
                <w:color w:val="auto"/>
              </w:rPr>
            </w:pPr>
          </w:p>
        </w:tc>
      </w:tr>
      <w:tr>
        <w:trPr>
          <w:trHeight w:val="408"/>
        </w:trPr>
        <w:tc>
          <w:tcPr>
            <w:tcW w:w="7520" w:type="dxa"/>
            <w:vAlign w:val="bottom"/>
            <w:tcBorders>
              <w:bottom w:val="single" w:sz="8" w:color="0000EE"/>
            </w:tcBorders>
            <w:gridSpan w:val="8"/>
          </w:tcPr>
          <w:p>
            <w:pPr>
              <w:spacing w:after="0"/>
              <w:rPr>
                <w:rFonts w:ascii="Arial" w:cs="Arial" w:eastAsia="Arial" w:hAnsi="Arial"/>
                <w:sz w:val="20"/>
                <w:szCs w:val="20"/>
                <w:color w:val="0000EE"/>
                <w:w w:val="97"/>
              </w:rPr>
            </w:pPr>
            <w:hyperlink w:anchor="page81">
              <w:r>
                <w:rPr>
                  <w:rFonts w:ascii="Arial" w:cs="Arial" w:eastAsia="Arial" w:hAnsi="Arial"/>
                  <w:sz w:val="20"/>
                  <w:szCs w:val="20"/>
                  <w:color w:val="0000EE"/>
                  <w:w w:val="97"/>
                </w:rPr>
                <w:t>Proposal 3 — Advisory Resolution to Approve Named Executive Officer Compensation</w:t>
              </w:r>
            </w:hyperlink>
          </w:p>
        </w:tc>
        <w:tc>
          <w:tcPr>
            <w:tcW w:w="1680" w:type="dxa"/>
            <w:vAlign w:val="bottom"/>
            <w:gridSpan w:val="2"/>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021496"/>
              </w:rPr>
              <w:t>76</w:t>
            </w:r>
          </w:p>
        </w:tc>
        <w:tc>
          <w:tcPr>
            <w:tcW w:w="0" w:type="dxa"/>
            <w:vAlign w:val="bottom"/>
          </w:tcPr>
          <w:p>
            <w:pPr>
              <w:spacing w:after="0"/>
              <w:rPr>
                <w:sz w:val="1"/>
                <w:szCs w:val="1"/>
                <w:color w:val="auto"/>
              </w:rPr>
            </w:pPr>
          </w:p>
        </w:tc>
      </w:tr>
      <w:tr>
        <w:trPr>
          <w:trHeight w:val="408"/>
        </w:trPr>
        <w:tc>
          <w:tcPr>
            <w:tcW w:w="9200" w:type="dxa"/>
            <w:vAlign w:val="bottom"/>
            <w:gridSpan w:val="10"/>
          </w:tcPr>
          <w:p>
            <w:pPr>
              <w:spacing w:after="0"/>
              <w:rPr>
                <w:rFonts w:ascii="Arial" w:cs="Arial" w:eastAsia="Arial" w:hAnsi="Arial"/>
                <w:sz w:val="20"/>
                <w:szCs w:val="20"/>
                <w:color w:val="0000EE"/>
              </w:rPr>
            </w:pPr>
            <w:hyperlink w:anchor="page82">
              <w:r>
                <w:rPr>
                  <w:rFonts w:ascii="Arial" w:cs="Arial" w:eastAsia="Arial" w:hAnsi="Arial"/>
                  <w:sz w:val="20"/>
                  <w:szCs w:val="20"/>
                  <w:color w:val="0000EE"/>
                </w:rPr>
                <w:t>Shareholder Proposal</w:t>
              </w:r>
            </w:hyperlink>
          </w:p>
        </w:tc>
        <w:tc>
          <w:tcPr>
            <w:tcW w:w="1660" w:type="dxa"/>
            <w:vAlign w:val="bottom"/>
          </w:tcPr>
          <w:p>
            <w:pPr>
              <w:jc w:val="right"/>
              <w:spacing w:after="0"/>
              <w:rPr>
                <w:sz w:val="20"/>
                <w:szCs w:val="20"/>
                <w:color w:val="auto"/>
              </w:rPr>
            </w:pPr>
            <w:r>
              <w:rPr>
                <w:rFonts w:ascii="Arial" w:cs="Arial" w:eastAsia="Arial" w:hAnsi="Arial"/>
                <w:sz w:val="20"/>
                <w:szCs w:val="20"/>
                <w:color w:val="021496"/>
              </w:rPr>
              <w:t>77</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6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77</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7140" w:type="dxa"/>
            <w:vAlign w:val="bottom"/>
            <w:tcBorders>
              <w:bottom w:val="single" w:sz="8" w:color="0000EE"/>
            </w:tcBorders>
            <w:gridSpan w:val="8"/>
          </w:tcPr>
          <w:p>
            <w:pPr>
              <w:spacing w:after="0" w:line="194" w:lineRule="exact"/>
              <w:rPr>
                <w:rFonts w:ascii="Arial" w:cs="Arial" w:eastAsia="Arial" w:hAnsi="Arial"/>
                <w:sz w:val="20"/>
                <w:szCs w:val="20"/>
                <w:color w:val="0000EE"/>
                <w:w w:val="97"/>
              </w:rPr>
            </w:pPr>
            <w:hyperlink w:anchor="page82">
              <w:r>
                <w:rPr>
                  <w:rFonts w:ascii="Arial" w:cs="Arial" w:eastAsia="Arial" w:hAnsi="Arial"/>
                  <w:sz w:val="20"/>
                  <w:szCs w:val="20"/>
                  <w:color w:val="0000EE"/>
                  <w:w w:val="97"/>
                </w:rPr>
                <w:t>Proposal 4 – Shareholder Proposal Regarding the Right to Act by Written Consent</w:t>
              </w:r>
            </w:hyperlink>
          </w:p>
        </w:tc>
        <w:tc>
          <w:tcPr>
            <w:tcW w:w="14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2560" w:type="dxa"/>
            <w:vAlign w:val="bottom"/>
            <w:tcBorders>
              <w:bottom w:val="single" w:sz="8" w:color="0000EE"/>
            </w:tcBorders>
            <w:gridSpan w:val="3"/>
          </w:tcPr>
          <w:p>
            <w:pPr>
              <w:spacing w:after="0"/>
              <w:rPr>
                <w:rFonts w:ascii="Arial" w:cs="Arial" w:eastAsia="Arial" w:hAnsi="Arial"/>
                <w:sz w:val="20"/>
                <w:szCs w:val="20"/>
                <w:color w:val="0000EE"/>
                <w:w w:val="97"/>
              </w:rPr>
            </w:pPr>
            <w:hyperlink w:anchor="page85">
              <w:r>
                <w:rPr>
                  <w:rFonts w:ascii="Arial" w:cs="Arial" w:eastAsia="Arial" w:hAnsi="Arial"/>
                  <w:sz w:val="20"/>
                  <w:szCs w:val="20"/>
                  <w:color w:val="0000EE"/>
                  <w:w w:val="97"/>
                </w:rPr>
                <w:t>Share Ownership Information</w:t>
              </w:r>
            </w:hyperlink>
          </w:p>
        </w:tc>
        <w:tc>
          <w:tcPr>
            <w:tcW w:w="6640" w:type="dxa"/>
            <w:vAlign w:val="bottom"/>
            <w:gridSpan w:val="7"/>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021496"/>
              </w:rPr>
              <w:t>80</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8560" w:type="dxa"/>
            <w:vAlign w:val="bottom"/>
            <w:gridSpan w:val="9"/>
          </w:tcPr>
          <w:p>
            <w:pPr>
              <w:spacing w:after="0" w:line="194" w:lineRule="exact"/>
              <w:rPr>
                <w:rFonts w:ascii="Arial" w:cs="Arial" w:eastAsia="Arial" w:hAnsi="Arial"/>
                <w:sz w:val="20"/>
                <w:szCs w:val="20"/>
                <w:color w:val="0000EE"/>
              </w:rPr>
            </w:pPr>
            <w:hyperlink w:anchor="page85">
              <w:r>
                <w:rPr>
                  <w:rFonts w:ascii="Arial" w:cs="Arial" w:eastAsia="Arial" w:hAnsi="Arial"/>
                  <w:sz w:val="20"/>
                  <w:szCs w:val="20"/>
                  <w:color w:val="0000EE"/>
                </w:rPr>
                <w:t>Security Ownership of Certain Beneficial Owners and Management</w:t>
              </w:r>
            </w:hyperlink>
          </w:p>
        </w:tc>
        <w:tc>
          <w:tcPr>
            <w:tcW w:w="1660" w:type="dxa"/>
            <w:vAlign w:val="bottom"/>
          </w:tcPr>
          <w:p>
            <w:pPr>
              <w:jc w:val="right"/>
              <w:spacing w:after="0" w:line="194" w:lineRule="exact"/>
              <w:rPr>
                <w:sz w:val="20"/>
                <w:szCs w:val="20"/>
                <w:color w:val="auto"/>
              </w:rPr>
            </w:pPr>
            <w:r>
              <w:rPr>
                <w:rFonts w:ascii="Arial" w:cs="Arial" w:eastAsia="Arial" w:hAnsi="Arial"/>
                <w:sz w:val="20"/>
                <w:szCs w:val="20"/>
                <w:color w:val="021496"/>
              </w:rPr>
              <w:t>80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060" w:type="dxa"/>
            <w:vAlign w:val="bottom"/>
            <w:tcBorders>
              <w:bottom w:val="single" w:sz="8" w:color="0000EE"/>
            </w:tcBorders>
            <w:gridSpan w:val="4"/>
          </w:tcPr>
          <w:p>
            <w:pPr>
              <w:spacing w:after="0"/>
              <w:rPr>
                <w:rFonts w:ascii="Arial" w:cs="Arial" w:eastAsia="Arial" w:hAnsi="Arial"/>
                <w:sz w:val="20"/>
                <w:szCs w:val="20"/>
                <w:color w:val="0000EE"/>
                <w:w w:val="97"/>
              </w:rPr>
            </w:pPr>
            <w:hyperlink w:anchor="page87">
              <w:r>
                <w:rPr>
                  <w:rFonts w:ascii="Arial" w:cs="Arial" w:eastAsia="Arial" w:hAnsi="Arial"/>
                  <w:sz w:val="20"/>
                  <w:szCs w:val="20"/>
                  <w:color w:val="0000EE"/>
                  <w:w w:val="97"/>
                </w:rPr>
                <w:t>General Information About the Annual Meeting</w:t>
              </w:r>
            </w:hyperlink>
          </w:p>
        </w:tc>
        <w:tc>
          <w:tcPr>
            <w:tcW w:w="5140" w:type="dxa"/>
            <w:vAlign w:val="bottom"/>
            <w:gridSpan w:val="6"/>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021496"/>
              </w:rPr>
              <w:t>82</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ii</w:t>
      </w:r>
    </w:p>
    <w:p>
      <w:pPr>
        <w:sectPr>
          <w:pgSz w:w="11900" w:h="16838" w:orient="portrait"/>
          <w:cols w:equalWidth="0" w:num="1">
            <w:col w:w="11080"/>
          </w:cols>
          <w:pgMar w:left="320" w:top="456"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21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34200" cy="582168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35"/>
          <w:szCs w:val="35"/>
          <w:b w:val="1"/>
          <w:bCs w:val="1"/>
          <w:color w:val="021496"/>
        </w:rPr>
        <w:t>PROXY STATEMENT SUMMARY</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Annual Meeting Information</w:t>
      </w:r>
    </w:p>
    <w:p>
      <w:pPr>
        <w:sectPr>
          <w:pgSz w:w="11900" w:h="16838" w:orient="portrait"/>
          <w:cols w:equalWidth="0" w:num="1">
            <w:col w:w="11080"/>
          </w:cols>
          <w:pgMar w:left="320" w:top="456" w:right="499" w:bottom="1440" w:gutter="0" w:footer="0" w:header="0"/>
        </w:sect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May 6, 2022</w:t>
      </w:r>
    </w:p>
    <w:p>
      <w:pPr>
        <w:spacing w:after="0" w:line="102" w:lineRule="exact"/>
        <w:rPr>
          <w:sz w:val="20"/>
          <w:szCs w:val="20"/>
          <w:color w:val="auto"/>
        </w:rPr>
      </w:pPr>
    </w:p>
    <w:p>
      <w:pPr>
        <w:sectPr>
          <w:pgSz w:w="11900" w:h="16838" w:orient="portrait"/>
          <w:cols w:equalWidth="0" w:num="2">
            <w:col w:w="1320" w:space="720"/>
            <w:col w:w="9040"/>
          </w:cols>
          <w:pgMar w:left="320" w:top="456" w:right="499" w:bottom="1440" w:gutter="0" w:footer="0" w:header="0"/>
          <w:type w:val="continuous"/>
        </w:sectPr>
      </w:pPr>
    </w:p>
    <w:p>
      <w:pPr>
        <w:ind w:left="340"/>
        <w:spacing w:after="0"/>
        <w:rPr>
          <w:sz w:val="20"/>
          <w:szCs w:val="20"/>
          <w:color w:val="auto"/>
        </w:rPr>
      </w:pPr>
      <w:r>
        <w:rPr>
          <w:rFonts w:ascii="Arial" w:cs="Arial" w:eastAsia="Arial" w:hAnsi="Arial"/>
          <w:sz w:val="16"/>
          <w:szCs w:val="16"/>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9:00 a.m., Central Time</w:t>
      </w:r>
    </w:p>
    <w:p>
      <w:pPr>
        <w:spacing w:after="0" w:line="90" w:lineRule="exact"/>
        <w:rPr>
          <w:sz w:val="20"/>
          <w:szCs w:val="20"/>
          <w:color w:val="auto"/>
        </w:rPr>
      </w:pPr>
    </w:p>
    <w:p>
      <w:pPr>
        <w:sectPr>
          <w:pgSz w:w="11900" w:h="16838" w:orient="portrait"/>
          <w:cols w:equalWidth="0" w:num="2">
            <w:col w:w="1320" w:space="720"/>
            <w:col w:w="9040"/>
          </w:cols>
          <w:pgMar w:left="320" w:top="456" w:right="499" w:bottom="1440" w:gutter="0" w:footer="0" w:header="0"/>
          <w:type w:val="continuous"/>
        </w:sectPr>
      </w:pPr>
    </w:p>
    <w:p>
      <w:pPr>
        <w:ind w:left="340"/>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9, 2022</w:t>
      </w:r>
    </w:p>
    <w:p>
      <w:pPr>
        <w:spacing w:after="0" w:line="90" w:lineRule="exact"/>
        <w:rPr>
          <w:sz w:val="20"/>
          <w:szCs w:val="20"/>
          <w:color w:val="auto"/>
        </w:rPr>
      </w:pPr>
    </w:p>
    <w:p>
      <w:pPr>
        <w:sectPr>
          <w:pgSz w:w="11900" w:h="16838" w:orient="portrait"/>
          <w:cols w:equalWidth="0" w:num="2">
            <w:col w:w="1340" w:space="700"/>
            <w:col w:w="9040"/>
          </w:cols>
          <w:pgMar w:left="320" w:top="456" w:right="499" w:bottom="1440" w:gutter="0" w:footer="0" w:header="0"/>
          <w:type w:val="continuous"/>
        </w:sectPr>
      </w:pPr>
    </w:p>
    <w:p>
      <w:pPr>
        <w:ind w:left="340"/>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Dover Corporation Headquarters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3005 Highland Parkway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Downers Grove, Illinois 60515</w:t>
      </w:r>
    </w:p>
    <w:p>
      <w:pPr>
        <w:spacing w:after="0" w:line="108" w:lineRule="exact"/>
        <w:rPr>
          <w:sz w:val="20"/>
          <w:szCs w:val="20"/>
          <w:color w:val="auto"/>
        </w:rPr>
      </w:pPr>
    </w:p>
    <w:p>
      <w:pPr>
        <w:sectPr>
          <w:pgSz w:w="11900" w:h="16838" w:orient="portrait"/>
          <w:cols w:equalWidth="0" w:num="2">
            <w:col w:w="1320" w:space="720"/>
            <w:col w:w="9040"/>
          </w:cols>
          <w:pgMar w:left="320" w:top="456" w:right="499" w:bottom="1440" w:gutter="0" w:footer="0" w:header="0"/>
          <w:type w:val="continuous"/>
        </w:sectPr>
      </w:pPr>
    </w:p>
    <w:p>
      <w:pPr>
        <w:ind w:left="2040" w:right="400"/>
        <w:spacing w:after="0" w:line="277" w:lineRule="auto"/>
        <w:rPr>
          <w:sz w:val="20"/>
          <w:szCs w:val="20"/>
          <w:color w:val="auto"/>
        </w:rPr>
      </w:pPr>
      <w:r>
        <w:rPr>
          <w:rFonts w:ascii="Arial" w:cs="Arial" w:eastAsia="Arial" w:hAnsi="Arial"/>
          <w:sz w:val="16"/>
          <w:szCs w:val="16"/>
          <w:color w:val="auto"/>
        </w:rPr>
        <w:t>For additional information about our Annual Meeting, please see “</w:t>
      </w:r>
      <w:r>
        <w:rPr>
          <w:rFonts w:ascii="Arial" w:cs="Arial" w:eastAsia="Arial" w:hAnsi="Arial"/>
          <w:sz w:val="16"/>
          <w:szCs w:val="16"/>
          <w:i w:val="1"/>
          <w:iCs w:val="1"/>
          <w:color w:val="auto"/>
        </w:rPr>
        <w:t>General Information About the Annual Meeting”</w:t>
      </w:r>
      <w:r>
        <w:rPr>
          <w:rFonts w:ascii="Arial" w:cs="Arial" w:eastAsia="Arial" w:hAnsi="Arial"/>
          <w:sz w:val="16"/>
          <w:szCs w:val="16"/>
          <w:color w:val="auto"/>
        </w:rPr>
        <w:t>. We are first mailing this Notice of Annual Meeting and Proxy Statement beginning on or about March 17, 2022.</w:t>
      </w:r>
    </w:p>
    <w:p>
      <w:pPr>
        <w:sectPr>
          <w:pgSz w:w="11900" w:h="16838" w:orient="portrait"/>
          <w:cols w:equalWidth="0" w:num="1">
            <w:col w:w="11080"/>
          </w:cols>
          <w:pgMar w:left="320" w:top="456" w:right="499" w:bottom="1440" w:gutter="0" w:footer="0" w:header="0"/>
          <w:type w:val="continuous"/>
        </w:sectPr>
      </w:pPr>
    </w:p>
    <w:p>
      <w:pPr>
        <w:spacing w:after="0" w:line="149"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Items of Business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four proposals to be voted on at the Annual Meeting:</w:t>
      </w:r>
    </w:p>
    <w:p>
      <w:pPr>
        <w:spacing w:after="0" w:line="222" w:lineRule="exact"/>
        <w:rPr>
          <w:sz w:val="20"/>
          <w:szCs w:val="20"/>
          <w:color w:val="auto"/>
        </w:rPr>
      </w:pPr>
    </w:p>
    <w:tbl>
      <w:tblPr>
        <w:tblLayout w:type="fixed"/>
        <w:tblInd w:w="340" w:type="dxa"/>
        <w:tblCellMar>
          <w:top w:w="0" w:type="dxa"/>
          <w:left w:w="0" w:type="dxa"/>
          <w:bottom w:w="0" w:type="dxa"/>
          <w:right w:w="0" w:type="dxa"/>
        </w:tblCellMar>
      </w:tblPr>
      <w:tr>
        <w:trPr>
          <w:trHeight w:val="316"/>
        </w:trPr>
        <w:tc>
          <w:tcPr>
            <w:tcW w:w="740" w:type="dxa"/>
            <w:vAlign w:val="bottom"/>
            <w:tcBorders>
              <w:top w:val="single" w:sz="8" w:color="021496"/>
              <w:right w:val="single" w:sz="8" w:color="999999"/>
            </w:tcBorders>
            <w:vMerge w:val="restart"/>
          </w:tcPr>
          <w:p>
            <w:pPr>
              <w:ind w:left="100"/>
              <w:spacing w:after="0"/>
              <w:rPr>
                <w:sz w:val="20"/>
                <w:szCs w:val="20"/>
                <w:color w:val="auto"/>
              </w:rPr>
            </w:pPr>
            <w:r>
              <w:rPr>
                <w:rFonts w:ascii="Arial" w:cs="Arial" w:eastAsia="Arial" w:hAnsi="Arial"/>
                <w:sz w:val="16"/>
                <w:szCs w:val="16"/>
                <w:b w:val="1"/>
                <w:bCs w:val="1"/>
                <w:color w:val="auto"/>
              </w:rPr>
              <w:t>ITEM</w:t>
            </w:r>
          </w:p>
        </w:tc>
        <w:tc>
          <w:tcPr>
            <w:tcW w:w="6980" w:type="dxa"/>
            <w:vAlign w:val="bottom"/>
            <w:tcBorders>
              <w:top w:val="single" w:sz="8" w:color="021496"/>
            </w:tcBorders>
          </w:tcPr>
          <w:p>
            <w:pPr>
              <w:spacing w:after="0"/>
              <w:rPr>
                <w:sz w:val="24"/>
                <w:szCs w:val="24"/>
                <w:color w:val="auto"/>
              </w:rPr>
            </w:pPr>
          </w:p>
        </w:tc>
        <w:tc>
          <w:tcPr>
            <w:tcW w:w="1700" w:type="dxa"/>
            <w:vAlign w:val="bottom"/>
            <w:tcBorders>
              <w:top w:val="single" w:sz="8" w:color="021496"/>
            </w:tcBorders>
          </w:tcPr>
          <w:p>
            <w:pPr>
              <w:jc w:val="center"/>
              <w:ind w:left="20"/>
              <w:spacing w:after="0"/>
              <w:rPr>
                <w:sz w:val="20"/>
                <w:szCs w:val="20"/>
                <w:color w:val="auto"/>
              </w:rPr>
            </w:pPr>
            <w:r>
              <w:rPr>
                <w:rFonts w:ascii="Arial" w:cs="Arial" w:eastAsia="Arial" w:hAnsi="Arial"/>
                <w:sz w:val="16"/>
                <w:szCs w:val="16"/>
                <w:b w:val="1"/>
                <w:bCs w:val="1"/>
                <w:color w:val="auto"/>
                <w:w w:val="99"/>
              </w:rPr>
              <w:t>Board Voting</w:t>
            </w:r>
          </w:p>
        </w:tc>
        <w:tc>
          <w:tcPr>
            <w:tcW w:w="1140" w:type="dxa"/>
            <w:vAlign w:val="bottom"/>
            <w:tcBorders>
              <w:top w:val="single" w:sz="8" w:color="021496"/>
            </w:tcBorders>
          </w:tcPr>
          <w:p>
            <w:pPr>
              <w:jc w:val="right"/>
              <w:ind w:right="3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3"/>
        </w:trPr>
        <w:tc>
          <w:tcPr>
            <w:tcW w:w="740" w:type="dxa"/>
            <w:vAlign w:val="bottom"/>
            <w:tcBorders>
              <w:right w:val="single" w:sz="8" w:color="999999"/>
            </w:tcBorders>
            <w:vMerge w:val="continue"/>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6"/>
                <w:szCs w:val="16"/>
                <w:b w:val="1"/>
                <w:bCs w:val="1"/>
                <w:color w:val="auto"/>
              </w:rPr>
              <w:t>Proposal</w:t>
            </w:r>
          </w:p>
        </w:tc>
        <w:tc>
          <w:tcPr>
            <w:tcW w:w="1700" w:type="dxa"/>
            <w:vAlign w:val="bottom"/>
          </w:tcPr>
          <w:p>
            <w:pPr>
              <w:jc w:val="center"/>
              <w:ind w:left="40"/>
              <w:spacing w:after="0"/>
              <w:rPr>
                <w:sz w:val="20"/>
                <w:szCs w:val="20"/>
                <w:color w:val="auto"/>
              </w:rPr>
            </w:pPr>
            <w:r>
              <w:rPr>
                <w:rFonts w:ascii="Arial" w:cs="Arial" w:eastAsia="Arial" w:hAnsi="Arial"/>
                <w:sz w:val="16"/>
                <w:szCs w:val="16"/>
                <w:b w:val="1"/>
                <w:bCs w:val="1"/>
                <w:color w:val="auto"/>
                <w:w w:val="99"/>
              </w:rPr>
              <w:t>Recommendation</w:t>
            </w: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Reference</w:t>
            </w:r>
          </w:p>
        </w:tc>
        <w:tc>
          <w:tcPr>
            <w:tcW w:w="0" w:type="dxa"/>
            <w:vAlign w:val="bottom"/>
          </w:tcPr>
          <w:p>
            <w:pPr>
              <w:spacing w:after="0"/>
              <w:rPr>
                <w:sz w:val="1"/>
                <w:szCs w:val="1"/>
                <w:color w:val="auto"/>
              </w:rPr>
            </w:pPr>
          </w:p>
        </w:tc>
      </w:tr>
      <w:tr>
        <w:trPr>
          <w:trHeight w:val="126"/>
        </w:trPr>
        <w:tc>
          <w:tcPr>
            <w:tcW w:w="740" w:type="dxa"/>
            <w:vAlign w:val="bottom"/>
            <w:tcBorders>
              <w:bottom w:val="single" w:sz="8" w:color="021496"/>
              <w:right w:val="single" w:sz="8" w:color="999999"/>
            </w:tcBorders>
          </w:tcPr>
          <w:p>
            <w:pPr>
              <w:spacing w:after="0"/>
              <w:rPr>
                <w:sz w:val="10"/>
                <w:szCs w:val="10"/>
                <w:color w:val="auto"/>
              </w:rPr>
            </w:pPr>
          </w:p>
        </w:tc>
        <w:tc>
          <w:tcPr>
            <w:tcW w:w="6980" w:type="dxa"/>
            <w:vAlign w:val="bottom"/>
            <w:tcBorders>
              <w:bottom w:val="single" w:sz="8" w:color="021496"/>
            </w:tcBorders>
          </w:tcPr>
          <w:p>
            <w:pPr>
              <w:spacing w:after="0"/>
              <w:rPr>
                <w:sz w:val="10"/>
                <w:szCs w:val="10"/>
                <w:color w:val="auto"/>
              </w:rPr>
            </w:pPr>
          </w:p>
        </w:tc>
        <w:tc>
          <w:tcPr>
            <w:tcW w:w="1700" w:type="dxa"/>
            <w:vAlign w:val="bottom"/>
            <w:tcBorders>
              <w:bottom w:val="single" w:sz="8" w:color="021496"/>
            </w:tcBorders>
          </w:tcPr>
          <w:p>
            <w:pPr>
              <w:spacing w:after="0"/>
              <w:rPr>
                <w:sz w:val="10"/>
                <w:szCs w:val="10"/>
                <w:color w:val="auto"/>
              </w:rPr>
            </w:pPr>
          </w:p>
        </w:tc>
        <w:tc>
          <w:tcPr>
            <w:tcW w:w="1140" w:type="dxa"/>
            <w:vAlign w:val="bottom"/>
            <w:tcBorders>
              <w:bottom w:val="single" w:sz="8" w:color="021496"/>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740" w:type="dxa"/>
            <w:vAlign w:val="bottom"/>
            <w:tcBorders>
              <w:right w:val="single" w:sz="8" w:color="999999"/>
            </w:tcBorders>
            <w:vMerge w:val="restart"/>
            <w:shd w:val="clear" w:color="auto" w:fill="D8D8D8"/>
          </w:tcPr>
          <w:p>
            <w:pPr>
              <w:ind w:left="100"/>
              <w:spacing w:after="0"/>
              <w:rPr>
                <w:sz w:val="20"/>
                <w:szCs w:val="20"/>
                <w:color w:val="auto"/>
              </w:rPr>
            </w:pPr>
            <w:r>
              <w:rPr>
                <w:rFonts w:ascii="Arial" w:cs="Arial" w:eastAsia="Arial" w:hAnsi="Arial"/>
                <w:sz w:val="16"/>
                <w:szCs w:val="16"/>
                <w:b w:val="1"/>
                <w:bCs w:val="1"/>
                <w:color w:val="auto"/>
              </w:rPr>
              <w:t>ITEM 1</w:t>
            </w:r>
          </w:p>
        </w:tc>
        <w:tc>
          <w:tcPr>
            <w:tcW w:w="6980" w:type="dxa"/>
            <w:vAlign w:val="bottom"/>
            <w:vMerge w:val="restart"/>
            <w:shd w:val="clear" w:color="auto" w:fill="D8D8D8"/>
          </w:tcPr>
          <w:p>
            <w:pPr>
              <w:ind w:left="340"/>
              <w:spacing w:after="0"/>
              <w:rPr>
                <w:sz w:val="20"/>
                <w:szCs w:val="20"/>
                <w:color w:val="auto"/>
              </w:rPr>
            </w:pPr>
            <w:r>
              <w:rPr>
                <w:rFonts w:ascii="Arial" w:cs="Arial" w:eastAsia="Arial" w:hAnsi="Arial"/>
                <w:sz w:val="16"/>
                <w:szCs w:val="16"/>
                <w:color w:val="auto"/>
              </w:rPr>
              <w:t>The election of ten nominees for director</w:t>
            </w:r>
          </w:p>
        </w:tc>
        <w:tc>
          <w:tcPr>
            <w:tcW w:w="1700" w:type="dxa"/>
            <w:vAlign w:val="bottom"/>
            <w:shd w:val="clear" w:color="auto" w:fill="D8D8D8"/>
          </w:tcPr>
          <w:p>
            <w:pPr>
              <w:jc w:val="center"/>
              <w:ind w:left="40"/>
              <w:spacing w:after="0"/>
              <w:rPr>
                <w:sz w:val="20"/>
                <w:szCs w:val="20"/>
                <w:color w:val="auto"/>
              </w:rPr>
            </w:pPr>
            <w:r>
              <w:rPr>
                <w:rFonts w:ascii="Arial" w:cs="Arial" w:eastAsia="Arial" w:hAnsi="Arial"/>
                <w:sz w:val="16"/>
                <w:szCs w:val="16"/>
                <w:b w:val="1"/>
                <w:bCs w:val="1"/>
                <w:color w:val="auto"/>
                <w:w w:val="99"/>
              </w:rPr>
              <w:t>FOR each director</w:t>
            </w:r>
          </w:p>
        </w:tc>
        <w:tc>
          <w:tcPr>
            <w:tcW w:w="1140" w:type="dxa"/>
            <w:vAlign w:val="bottom"/>
            <w:vMerge w:val="restart"/>
            <w:shd w:val="clear" w:color="auto" w:fill="D8D8D8"/>
          </w:tcPr>
          <w:p>
            <w:pPr>
              <w:jc w:val="right"/>
              <w:ind w:right="1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20"/>
        </w:trPr>
        <w:tc>
          <w:tcPr>
            <w:tcW w:w="740" w:type="dxa"/>
            <w:vAlign w:val="bottom"/>
            <w:tcBorders>
              <w:right w:val="single" w:sz="8" w:color="999999"/>
            </w:tcBorders>
            <w:vMerge w:val="continue"/>
            <w:shd w:val="clear" w:color="auto" w:fill="D8D8D8"/>
          </w:tcPr>
          <w:p>
            <w:pPr>
              <w:spacing w:after="0"/>
              <w:rPr>
                <w:sz w:val="10"/>
                <w:szCs w:val="10"/>
                <w:color w:val="auto"/>
              </w:rPr>
            </w:pPr>
          </w:p>
        </w:tc>
        <w:tc>
          <w:tcPr>
            <w:tcW w:w="6980" w:type="dxa"/>
            <w:vAlign w:val="bottom"/>
            <w:vMerge w:val="continue"/>
            <w:shd w:val="clear" w:color="auto" w:fill="D8D8D8"/>
          </w:tcPr>
          <w:p>
            <w:pPr>
              <w:spacing w:after="0"/>
              <w:rPr>
                <w:sz w:val="10"/>
                <w:szCs w:val="10"/>
                <w:color w:val="auto"/>
              </w:rPr>
            </w:pPr>
          </w:p>
        </w:tc>
        <w:tc>
          <w:tcPr>
            <w:tcW w:w="1700" w:type="dxa"/>
            <w:vAlign w:val="bottom"/>
            <w:vMerge w:val="restart"/>
            <w:shd w:val="clear" w:color="auto" w:fill="D8D8D8"/>
          </w:tcPr>
          <w:p>
            <w:pPr>
              <w:jc w:val="center"/>
              <w:ind w:left="40"/>
              <w:spacing w:after="0"/>
              <w:rPr>
                <w:sz w:val="20"/>
                <w:szCs w:val="20"/>
                <w:color w:val="auto"/>
              </w:rPr>
            </w:pPr>
            <w:r>
              <w:rPr>
                <w:rFonts w:ascii="Arial" w:cs="Arial" w:eastAsia="Arial" w:hAnsi="Arial"/>
                <w:sz w:val="16"/>
                <w:szCs w:val="16"/>
                <w:b w:val="1"/>
                <w:bCs w:val="1"/>
                <w:color w:val="auto"/>
              </w:rPr>
              <w:t>nominee</w:t>
            </w:r>
          </w:p>
        </w:tc>
        <w:tc>
          <w:tcPr>
            <w:tcW w:w="114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40" w:type="dxa"/>
            <w:vAlign w:val="bottom"/>
            <w:tcBorders>
              <w:right w:val="single" w:sz="8" w:color="999999"/>
            </w:tcBorders>
            <w:shd w:val="clear" w:color="auto" w:fill="D8D8D8"/>
          </w:tcPr>
          <w:p>
            <w:pPr>
              <w:spacing w:after="0"/>
              <w:rPr>
                <w:sz w:val="8"/>
                <w:szCs w:val="8"/>
                <w:color w:val="auto"/>
              </w:rPr>
            </w:pPr>
          </w:p>
        </w:tc>
        <w:tc>
          <w:tcPr>
            <w:tcW w:w="6980" w:type="dxa"/>
            <w:vAlign w:val="bottom"/>
            <w:shd w:val="clear" w:color="auto" w:fill="D8D8D8"/>
          </w:tcPr>
          <w:p>
            <w:pPr>
              <w:spacing w:after="0"/>
              <w:rPr>
                <w:sz w:val="8"/>
                <w:szCs w:val="8"/>
                <w:color w:val="auto"/>
              </w:rPr>
            </w:pPr>
          </w:p>
        </w:tc>
        <w:tc>
          <w:tcPr>
            <w:tcW w:w="1700" w:type="dxa"/>
            <w:vAlign w:val="bottom"/>
            <w:vMerge w:val="continue"/>
            <w:shd w:val="clear" w:color="auto" w:fill="D8D8D8"/>
          </w:tcPr>
          <w:p>
            <w:pPr>
              <w:spacing w:after="0"/>
              <w:rPr>
                <w:sz w:val="8"/>
                <w:szCs w:val="8"/>
                <w:color w:val="auto"/>
              </w:rPr>
            </w:pPr>
          </w:p>
        </w:tc>
        <w:tc>
          <w:tcPr>
            <w:tcW w:w="114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740" w:type="dxa"/>
            <w:vAlign w:val="bottom"/>
            <w:tcBorders>
              <w:right w:val="single" w:sz="8" w:color="999999"/>
            </w:tcBorders>
            <w:shd w:val="clear" w:color="auto" w:fill="D8D8D8"/>
          </w:tcPr>
          <w:p>
            <w:pPr>
              <w:spacing w:after="0"/>
              <w:rPr>
                <w:sz w:val="7"/>
                <w:szCs w:val="7"/>
                <w:color w:val="auto"/>
              </w:rPr>
            </w:pPr>
          </w:p>
        </w:tc>
        <w:tc>
          <w:tcPr>
            <w:tcW w:w="6980" w:type="dxa"/>
            <w:vAlign w:val="bottom"/>
            <w:shd w:val="clear" w:color="auto" w:fill="D8D8D8"/>
          </w:tcPr>
          <w:p>
            <w:pPr>
              <w:spacing w:after="0"/>
              <w:rPr>
                <w:sz w:val="7"/>
                <w:szCs w:val="7"/>
                <w:color w:val="auto"/>
              </w:rPr>
            </w:pPr>
          </w:p>
        </w:tc>
        <w:tc>
          <w:tcPr>
            <w:tcW w:w="1700" w:type="dxa"/>
            <w:vAlign w:val="bottom"/>
            <w:shd w:val="clear" w:color="auto" w:fill="D8D8D8"/>
          </w:tcPr>
          <w:p>
            <w:pPr>
              <w:spacing w:after="0"/>
              <w:rPr>
                <w:sz w:val="7"/>
                <w:szCs w:val="7"/>
                <w:color w:val="auto"/>
              </w:rPr>
            </w:pPr>
          </w:p>
        </w:tc>
        <w:tc>
          <w:tcPr>
            <w:tcW w:w="114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74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ITEM 2</w:t>
            </w:r>
          </w:p>
        </w:tc>
        <w:tc>
          <w:tcPr>
            <w:tcW w:w="6980" w:type="dxa"/>
            <w:vAlign w:val="bottom"/>
          </w:tcPr>
          <w:p>
            <w:pPr>
              <w:ind w:left="340"/>
              <w:spacing w:after="0"/>
              <w:rPr>
                <w:sz w:val="20"/>
                <w:szCs w:val="20"/>
                <w:color w:val="auto"/>
              </w:rPr>
            </w:pPr>
            <w:r>
              <w:rPr>
                <w:rFonts w:ascii="Arial" w:cs="Arial" w:eastAsia="Arial" w:hAnsi="Arial"/>
                <w:sz w:val="16"/>
                <w:szCs w:val="16"/>
                <w:color w:val="auto"/>
              </w:rPr>
              <w:t>The ratification of the appointment of PwC as our independent registered public accounting</w:t>
            </w:r>
          </w:p>
        </w:tc>
        <w:tc>
          <w:tcPr>
            <w:tcW w:w="1700" w:type="dxa"/>
            <w:vAlign w:val="bottom"/>
            <w:vMerge w:val="restart"/>
          </w:tcPr>
          <w:p>
            <w:pPr>
              <w:jc w:val="center"/>
              <w:ind w:left="40"/>
              <w:spacing w:after="0"/>
              <w:rPr>
                <w:sz w:val="20"/>
                <w:szCs w:val="20"/>
                <w:color w:val="auto"/>
              </w:rPr>
            </w:pPr>
            <w:r>
              <w:rPr>
                <w:rFonts w:ascii="Arial" w:cs="Arial" w:eastAsia="Arial" w:hAnsi="Arial"/>
                <w:sz w:val="16"/>
                <w:szCs w:val="16"/>
                <w:b w:val="1"/>
                <w:bCs w:val="1"/>
                <w:color w:val="auto"/>
              </w:rPr>
              <w:t>FOR</w:t>
            </w:r>
          </w:p>
        </w:tc>
        <w:tc>
          <w:tcPr>
            <w:tcW w:w="1140" w:type="dxa"/>
            <w:vAlign w:val="bottom"/>
            <w:vMerge w:val="restart"/>
          </w:tcPr>
          <w:p>
            <w:pPr>
              <w:jc w:val="right"/>
              <w:ind w:right="18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00"/>
        </w:trPr>
        <w:tc>
          <w:tcPr>
            <w:tcW w:w="740" w:type="dxa"/>
            <w:vAlign w:val="bottom"/>
            <w:tcBorders>
              <w:right w:val="single" w:sz="8" w:color="999999"/>
            </w:tcBorders>
          </w:tcPr>
          <w:p>
            <w:pPr>
              <w:spacing w:after="0"/>
              <w:rPr>
                <w:sz w:val="8"/>
                <w:szCs w:val="8"/>
                <w:color w:val="auto"/>
              </w:rPr>
            </w:pPr>
          </w:p>
        </w:tc>
        <w:tc>
          <w:tcPr>
            <w:tcW w:w="6980" w:type="dxa"/>
            <w:vAlign w:val="bottom"/>
            <w:vMerge w:val="restart"/>
          </w:tcPr>
          <w:p>
            <w:pPr>
              <w:ind w:left="340"/>
              <w:spacing w:after="0"/>
              <w:rPr>
                <w:sz w:val="20"/>
                <w:szCs w:val="20"/>
                <w:color w:val="auto"/>
              </w:rPr>
            </w:pPr>
            <w:r>
              <w:rPr>
                <w:rFonts w:ascii="Arial" w:cs="Arial" w:eastAsia="Arial" w:hAnsi="Arial"/>
                <w:sz w:val="16"/>
                <w:szCs w:val="16"/>
                <w:color w:val="auto"/>
              </w:rPr>
              <w:t>firm for 2022</w:t>
            </w:r>
          </w:p>
        </w:tc>
        <w:tc>
          <w:tcPr>
            <w:tcW w:w="17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40" w:type="dxa"/>
            <w:vAlign w:val="bottom"/>
            <w:tcBorders>
              <w:right w:val="single" w:sz="8" w:color="999999"/>
            </w:tcBorders>
          </w:tcPr>
          <w:p>
            <w:pPr>
              <w:spacing w:after="0"/>
              <w:rPr>
                <w:sz w:val="8"/>
                <w:szCs w:val="8"/>
                <w:color w:val="auto"/>
              </w:rPr>
            </w:pPr>
          </w:p>
        </w:tc>
        <w:tc>
          <w:tcPr>
            <w:tcW w:w="6980" w:type="dxa"/>
            <w:vAlign w:val="bottom"/>
            <w:vMerge w:val="continue"/>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740" w:type="dxa"/>
            <w:vAlign w:val="bottom"/>
            <w:tcBorders>
              <w:right w:val="single" w:sz="8" w:color="999999"/>
            </w:tcBorders>
          </w:tcPr>
          <w:p>
            <w:pPr>
              <w:spacing w:after="0"/>
              <w:rPr>
                <w:sz w:val="7"/>
                <w:szCs w:val="7"/>
                <w:color w:val="auto"/>
              </w:rPr>
            </w:pPr>
          </w:p>
        </w:tc>
        <w:tc>
          <w:tcPr>
            <w:tcW w:w="69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740" w:type="dxa"/>
            <w:vAlign w:val="bottom"/>
            <w:tcBorders>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ITEM 3</w:t>
            </w:r>
          </w:p>
        </w:tc>
        <w:tc>
          <w:tcPr>
            <w:tcW w:w="6980" w:type="dxa"/>
            <w:vAlign w:val="bottom"/>
            <w:shd w:val="clear" w:color="auto" w:fill="D8D8D8"/>
          </w:tcPr>
          <w:p>
            <w:pPr>
              <w:ind w:left="340"/>
              <w:spacing w:after="0"/>
              <w:rPr>
                <w:sz w:val="20"/>
                <w:szCs w:val="20"/>
                <w:color w:val="auto"/>
              </w:rPr>
            </w:pPr>
            <w:r>
              <w:rPr>
                <w:rFonts w:ascii="Arial" w:cs="Arial" w:eastAsia="Arial" w:hAnsi="Arial"/>
                <w:sz w:val="16"/>
                <w:szCs w:val="16"/>
                <w:color w:val="auto"/>
              </w:rPr>
              <w:t>An advisory resolution to approve NEO compensation</w:t>
            </w:r>
          </w:p>
        </w:tc>
        <w:tc>
          <w:tcPr>
            <w:tcW w:w="1700" w:type="dxa"/>
            <w:vAlign w:val="bottom"/>
            <w:shd w:val="clear" w:color="auto" w:fill="D8D8D8"/>
          </w:tcPr>
          <w:p>
            <w:pPr>
              <w:jc w:val="center"/>
              <w:ind w:left="40"/>
              <w:spacing w:after="0"/>
              <w:rPr>
                <w:sz w:val="20"/>
                <w:szCs w:val="20"/>
                <w:color w:val="auto"/>
              </w:rPr>
            </w:pPr>
            <w:r>
              <w:rPr>
                <w:rFonts w:ascii="Arial" w:cs="Arial" w:eastAsia="Arial" w:hAnsi="Arial"/>
                <w:sz w:val="16"/>
                <w:szCs w:val="16"/>
                <w:b w:val="1"/>
                <w:bCs w:val="1"/>
                <w:color w:val="auto"/>
              </w:rPr>
              <w:t>FOR</w:t>
            </w:r>
          </w:p>
        </w:tc>
        <w:tc>
          <w:tcPr>
            <w:tcW w:w="1140" w:type="dxa"/>
            <w:vAlign w:val="bottom"/>
            <w:shd w:val="clear" w:color="auto" w:fill="D8D8D8"/>
          </w:tcPr>
          <w:p>
            <w:pPr>
              <w:jc w:val="right"/>
              <w:ind w:right="18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86"/>
        </w:trPr>
        <w:tc>
          <w:tcPr>
            <w:tcW w:w="740" w:type="dxa"/>
            <w:vAlign w:val="bottom"/>
            <w:tcBorders>
              <w:right w:val="single" w:sz="8" w:color="999999"/>
            </w:tcBorders>
            <w:shd w:val="clear" w:color="auto" w:fill="D8D8D8"/>
          </w:tcPr>
          <w:p>
            <w:pPr>
              <w:spacing w:after="0"/>
              <w:rPr>
                <w:sz w:val="7"/>
                <w:szCs w:val="7"/>
                <w:color w:val="auto"/>
              </w:rPr>
            </w:pPr>
          </w:p>
        </w:tc>
        <w:tc>
          <w:tcPr>
            <w:tcW w:w="6980" w:type="dxa"/>
            <w:vAlign w:val="bottom"/>
            <w:shd w:val="clear" w:color="auto" w:fill="D8D8D8"/>
          </w:tcPr>
          <w:p>
            <w:pPr>
              <w:spacing w:after="0"/>
              <w:rPr>
                <w:sz w:val="7"/>
                <w:szCs w:val="7"/>
                <w:color w:val="auto"/>
              </w:rPr>
            </w:pPr>
          </w:p>
        </w:tc>
        <w:tc>
          <w:tcPr>
            <w:tcW w:w="1700" w:type="dxa"/>
            <w:vAlign w:val="bottom"/>
            <w:shd w:val="clear" w:color="auto" w:fill="D8D8D8"/>
          </w:tcPr>
          <w:p>
            <w:pPr>
              <w:spacing w:after="0"/>
              <w:rPr>
                <w:sz w:val="7"/>
                <w:szCs w:val="7"/>
                <w:color w:val="auto"/>
              </w:rPr>
            </w:pPr>
          </w:p>
        </w:tc>
        <w:tc>
          <w:tcPr>
            <w:tcW w:w="114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74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ITEM 4</w:t>
            </w:r>
          </w:p>
        </w:tc>
        <w:tc>
          <w:tcPr>
            <w:tcW w:w="6980" w:type="dxa"/>
            <w:vAlign w:val="bottom"/>
          </w:tcPr>
          <w:p>
            <w:pPr>
              <w:ind w:left="340"/>
              <w:spacing w:after="0"/>
              <w:rPr>
                <w:sz w:val="20"/>
                <w:szCs w:val="20"/>
                <w:color w:val="auto"/>
              </w:rPr>
            </w:pPr>
            <w:r>
              <w:rPr>
                <w:rFonts w:ascii="Arial" w:cs="Arial" w:eastAsia="Arial" w:hAnsi="Arial"/>
                <w:sz w:val="16"/>
                <w:szCs w:val="16"/>
                <w:color w:val="auto"/>
              </w:rPr>
              <w:t>A shareholder proposal regarding the right to allow shareholders to act by written consent,</w:t>
            </w:r>
          </w:p>
        </w:tc>
        <w:tc>
          <w:tcPr>
            <w:tcW w:w="1700" w:type="dxa"/>
            <w:vAlign w:val="bottom"/>
            <w:vMerge w:val="restart"/>
          </w:tcPr>
          <w:p>
            <w:pPr>
              <w:jc w:val="center"/>
              <w:ind w:left="20"/>
              <w:spacing w:after="0"/>
              <w:rPr>
                <w:sz w:val="20"/>
                <w:szCs w:val="20"/>
                <w:color w:val="auto"/>
              </w:rPr>
            </w:pPr>
            <w:r>
              <w:rPr>
                <w:rFonts w:ascii="Arial" w:cs="Arial" w:eastAsia="Arial" w:hAnsi="Arial"/>
                <w:sz w:val="16"/>
                <w:szCs w:val="16"/>
                <w:b w:val="1"/>
                <w:bCs w:val="1"/>
                <w:color w:val="auto"/>
                <w:w w:val="99"/>
              </w:rPr>
              <w:t>AGAINST</w:t>
            </w:r>
          </w:p>
        </w:tc>
        <w:tc>
          <w:tcPr>
            <w:tcW w:w="1140" w:type="dxa"/>
            <w:vAlign w:val="bottom"/>
            <w:vMerge w:val="restart"/>
          </w:tcPr>
          <w:p>
            <w:pPr>
              <w:jc w:val="right"/>
              <w:ind w:right="18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00"/>
        </w:trPr>
        <w:tc>
          <w:tcPr>
            <w:tcW w:w="740" w:type="dxa"/>
            <w:vAlign w:val="bottom"/>
            <w:tcBorders>
              <w:right w:val="single" w:sz="8" w:color="999999"/>
            </w:tcBorders>
          </w:tcPr>
          <w:p>
            <w:pPr>
              <w:spacing w:after="0"/>
              <w:rPr>
                <w:sz w:val="8"/>
                <w:szCs w:val="8"/>
                <w:color w:val="auto"/>
              </w:rPr>
            </w:pPr>
          </w:p>
        </w:tc>
        <w:tc>
          <w:tcPr>
            <w:tcW w:w="6980" w:type="dxa"/>
            <w:vAlign w:val="bottom"/>
            <w:vMerge w:val="restart"/>
          </w:tcPr>
          <w:p>
            <w:pPr>
              <w:ind w:left="340"/>
              <w:spacing w:after="0"/>
              <w:rPr>
                <w:sz w:val="20"/>
                <w:szCs w:val="20"/>
                <w:color w:val="auto"/>
              </w:rPr>
            </w:pPr>
            <w:r>
              <w:rPr>
                <w:rFonts w:ascii="Arial" w:cs="Arial" w:eastAsia="Arial" w:hAnsi="Arial"/>
                <w:sz w:val="16"/>
                <w:szCs w:val="16"/>
                <w:color w:val="auto"/>
              </w:rPr>
              <w:t>if properly presented</w:t>
            </w:r>
          </w:p>
        </w:tc>
        <w:tc>
          <w:tcPr>
            <w:tcW w:w="17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40" w:type="dxa"/>
            <w:vAlign w:val="bottom"/>
            <w:tcBorders>
              <w:right w:val="single" w:sz="8" w:color="999999"/>
            </w:tcBorders>
          </w:tcPr>
          <w:p>
            <w:pPr>
              <w:spacing w:after="0"/>
              <w:rPr>
                <w:sz w:val="8"/>
                <w:szCs w:val="8"/>
                <w:color w:val="auto"/>
              </w:rPr>
            </w:pPr>
          </w:p>
        </w:tc>
        <w:tc>
          <w:tcPr>
            <w:tcW w:w="6980" w:type="dxa"/>
            <w:vAlign w:val="bottom"/>
            <w:vMerge w:val="continue"/>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740" w:type="dxa"/>
            <w:vAlign w:val="bottom"/>
            <w:tcBorders>
              <w:bottom w:val="single" w:sz="8" w:color="021496"/>
              <w:right w:val="single" w:sz="8" w:color="999999"/>
            </w:tcBorders>
          </w:tcPr>
          <w:p>
            <w:pPr>
              <w:spacing w:after="0"/>
              <w:rPr>
                <w:sz w:val="7"/>
                <w:szCs w:val="7"/>
                <w:color w:val="auto"/>
              </w:rPr>
            </w:pPr>
          </w:p>
        </w:tc>
        <w:tc>
          <w:tcPr>
            <w:tcW w:w="6980" w:type="dxa"/>
            <w:vAlign w:val="bottom"/>
            <w:tcBorders>
              <w:bottom w:val="single" w:sz="8" w:color="021496"/>
            </w:tcBorders>
          </w:tcPr>
          <w:p>
            <w:pPr>
              <w:spacing w:after="0"/>
              <w:rPr>
                <w:sz w:val="7"/>
                <w:szCs w:val="7"/>
                <w:color w:val="auto"/>
              </w:rPr>
            </w:pPr>
          </w:p>
        </w:tc>
        <w:tc>
          <w:tcPr>
            <w:tcW w:w="1700" w:type="dxa"/>
            <w:vAlign w:val="bottom"/>
            <w:tcBorders>
              <w:bottom w:val="single" w:sz="8" w:color="021496"/>
            </w:tcBorders>
          </w:tcPr>
          <w:p>
            <w:pPr>
              <w:spacing w:after="0"/>
              <w:rPr>
                <w:sz w:val="7"/>
                <w:szCs w:val="7"/>
                <w:color w:val="auto"/>
              </w:rPr>
            </w:pPr>
          </w:p>
        </w:tc>
        <w:tc>
          <w:tcPr>
            <w:tcW w:w="1140" w:type="dxa"/>
            <w:vAlign w:val="bottom"/>
            <w:tcBorders>
              <w:bottom w:val="single" w:sz="8" w:color="021496"/>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How to Submit Your Proxy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Even if you plan to attend the Annual Meeting in person, please submit your proxy as soon as possible using one of the following methods:</w:t>
      </w:r>
    </w:p>
    <w:p>
      <w:pPr>
        <w:spacing w:after="0" w:line="104" w:lineRule="exact"/>
        <w:rPr>
          <w:sz w:val="20"/>
          <w:szCs w:val="20"/>
          <w:color w:val="auto"/>
        </w:rPr>
      </w:pPr>
    </w:p>
    <w:p>
      <w:pPr>
        <w:ind w:left="1160" w:hanging="294"/>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Via </w:t>
      </w:r>
      <w:r>
        <w:rPr>
          <w:rFonts w:ascii="Arial" w:cs="Arial" w:eastAsia="Arial" w:hAnsi="Arial"/>
          <w:sz w:val="16"/>
          <w:szCs w:val="16"/>
          <w:b w:val="1"/>
          <w:bCs w:val="1"/>
          <w:color w:val="auto"/>
        </w:rPr>
        <w:t>internet</w:t>
      </w:r>
      <w:r>
        <w:rPr>
          <w:rFonts w:ascii="Arial" w:cs="Arial" w:eastAsia="Arial" w:hAnsi="Arial"/>
          <w:sz w:val="16"/>
          <w:szCs w:val="16"/>
          <w:color w:val="auto"/>
        </w:rPr>
        <w:t xml:space="preserve"> by visiting www.proxyvote.com</w:t>
      </w:r>
    </w:p>
    <w:p>
      <w:pPr>
        <w:spacing w:after="0" w:line="123" w:lineRule="exact"/>
        <w:rPr>
          <w:rFonts w:ascii="Arial" w:cs="Arial" w:eastAsia="Arial" w:hAnsi="Arial"/>
          <w:sz w:val="16"/>
          <w:szCs w:val="16"/>
          <w:color w:val="auto"/>
        </w:rPr>
      </w:pPr>
    </w:p>
    <w:p>
      <w:pPr>
        <w:ind w:left="1160" w:hanging="294"/>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Via </w:t>
      </w:r>
      <w:r>
        <w:rPr>
          <w:rFonts w:ascii="Arial" w:cs="Arial" w:eastAsia="Arial" w:hAnsi="Arial"/>
          <w:sz w:val="16"/>
          <w:szCs w:val="16"/>
          <w:b w:val="1"/>
          <w:bCs w:val="1"/>
          <w:color w:val="auto"/>
        </w:rPr>
        <w:t>telephone</w:t>
      </w:r>
      <w:r>
        <w:rPr>
          <w:rFonts w:ascii="Arial" w:cs="Arial" w:eastAsia="Arial" w:hAnsi="Arial"/>
          <w:sz w:val="16"/>
          <w:szCs w:val="16"/>
          <w:color w:val="auto"/>
        </w:rPr>
        <w:t xml:space="preserve"> by calling 1-800-690-6903</w:t>
      </w:r>
    </w:p>
    <w:p>
      <w:pPr>
        <w:spacing w:after="0" w:line="123" w:lineRule="exact"/>
        <w:rPr>
          <w:rFonts w:ascii="Arial" w:cs="Arial" w:eastAsia="Arial" w:hAnsi="Arial"/>
          <w:sz w:val="16"/>
          <w:szCs w:val="16"/>
          <w:color w:val="auto"/>
        </w:rPr>
      </w:pPr>
    </w:p>
    <w:p>
      <w:pPr>
        <w:ind w:left="1160" w:right="300" w:hanging="294"/>
        <w:spacing w:after="0" w:line="282"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Via </w:t>
      </w:r>
      <w:r>
        <w:rPr>
          <w:rFonts w:ascii="Arial" w:cs="Arial" w:eastAsia="Arial" w:hAnsi="Arial"/>
          <w:sz w:val="16"/>
          <w:szCs w:val="16"/>
          <w:b w:val="1"/>
          <w:bCs w:val="1"/>
          <w:color w:val="auto"/>
        </w:rPr>
        <w:t>mail</w:t>
      </w:r>
      <w:r>
        <w:rPr>
          <w:rFonts w:ascii="Arial" w:cs="Arial" w:eastAsia="Arial" w:hAnsi="Arial"/>
          <w:sz w:val="16"/>
          <w:szCs w:val="16"/>
          <w:color w:val="auto"/>
        </w:rPr>
        <w:t xml:space="preserve"> by marking, signing and dating your proxy card or voting instruction form (if you received proxy materials by mail) and returning it to the address listed therein</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w:t>
      </w:r>
    </w:p>
    <w:p>
      <w:pPr>
        <w:sectPr>
          <w:pgSz w:w="11900" w:h="16838" w:orient="portrait"/>
          <w:cols w:equalWidth="0" w:num="1">
            <w:col w:w="11080"/>
          </w:cols>
          <w:pgMar w:left="320" w:top="456" w:right="4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104775</wp:posOffset>
            </wp:positionV>
            <wp:extent cx="6934200" cy="5880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34200" cy="5880735"/>
                    </a:xfrm>
                    <a:prstGeom prst="rect">
                      <a:avLst/>
                    </a:prstGeom>
                    <a:noFill/>
                  </pic:spPr>
                </pic:pic>
              </a:graphicData>
            </a:graphic>
          </wp:anchor>
        </w:drawing>
      </w:r>
    </w:p>
    <w:p>
      <w:pPr>
        <w:spacing w:after="0" w:line="307"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Company Overview</w:t>
      </w:r>
    </w:p>
    <w:p>
      <w:pPr>
        <w:spacing w:after="0" w:line="144" w:lineRule="exact"/>
        <w:rPr>
          <w:sz w:val="20"/>
          <w:szCs w:val="20"/>
          <w:color w:val="auto"/>
        </w:rPr>
      </w:pPr>
    </w:p>
    <w:p>
      <w:pPr>
        <w:ind w:left="340" w:right="200"/>
        <w:spacing w:after="0" w:line="247" w:lineRule="auto"/>
        <w:rPr>
          <w:sz w:val="20"/>
          <w:szCs w:val="20"/>
          <w:color w:val="auto"/>
        </w:rPr>
      </w:pPr>
      <w:r>
        <w:rPr>
          <w:rFonts w:ascii="Arial" w:cs="Arial" w:eastAsia="Arial" w:hAnsi="Arial"/>
          <w:sz w:val="16"/>
          <w:szCs w:val="16"/>
          <w:color w:val="auto"/>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We combine global scale, operational agility, world-class engineering capability, and customer intimacy to lead the markets we serve. Recognized for our entrepreneurial approach for over 60 years, our team of over 25,000 employees takes an ownership mindset, collaborating with customers to redefine what’s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Management Philosophy</w:t>
      </w:r>
    </w:p>
    <w:p>
      <w:pPr>
        <w:spacing w:after="0" w:line="137" w:lineRule="exact"/>
        <w:rPr>
          <w:sz w:val="20"/>
          <w:szCs w:val="20"/>
          <w:color w:val="auto"/>
        </w:rPr>
      </w:pPr>
    </w:p>
    <w:p>
      <w:pPr>
        <w:ind w:left="1160" w:right="420" w:hanging="401"/>
        <w:spacing w:after="0" w:line="263"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executive management team </w:t>
      </w:r>
      <w:r>
        <w:rPr>
          <w:rFonts w:ascii="Arial" w:cs="Arial" w:eastAsia="Arial" w:hAnsi="Arial"/>
          <w:sz w:val="16"/>
          <w:szCs w:val="16"/>
          <w:color w:val="000000"/>
        </w:rPr>
        <w:t>is committed to steadily creating shareholder value through a combination of sustained long-term</w:t>
      </w:r>
      <w:r>
        <w:rPr>
          <w:rFonts w:ascii="Arial" w:cs="Arial" w:eastAsia="Arial" w:hAnsi="Arial"/>
          <w:sz w:val="16"/>
          <w:szCs w:val="16"/>
          <w:b w:val="1"/>
          <w:bCs w:val="1"/>
          <w:color w:val="021496"/>
        </w:rPr>
        <w:t xml:space="preserve"> </w:t>
      </w:r>
      <w:r>
        <w:rPr>
          <w:rFonts w:ascii="Arial" w:cs="Arial" w:eastAsia="Arial" w:hAnsi="Arial"/>
          <w:sz w:val="16"/>
          <w:szCs w:val="16"/>
          <w:color w:val="000000"/>
        </w:rPr>
        <w:t>profitable growth, operational excellence, superior free cash flow generation, and productive capital re-deployment while adhering to a conservative financial policy.</w:t>
      </w:r>
    </w:p>
    <w:p>
      <w:pPr>
        <w:spacing w:after="0" w:line="77" w:lineRule="exact"/>
        <w:rPr>
          <w:rFonts w:ascii="Arial" w:cs="Arial" w:eastAsia="Arial" w:hAnsi="Arial"/>
          <w:sz w:val="16"/>
          <w:szCs w:val="16"/>
          <w:color w:val="auto"/>
        </w:rPr>
      </w:pPr>
    </w:p>
    <w:p>
      <w:pPr>
        <w:ind w:left="1160" w:right="220" w:hanging="401"/>
        <w:spacing w:after="0" w:line="263"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businesses </w:t>
      </w:r>
      <w:r>
        <w:rPr>
          <w:rFonts w:ascii="Arial" w:cs="Arial" w:eastAsia="Arial" w:hAnsi="Arial"/>
          <w:sz w:val="16"/>
          <w:szCs w:val="16"/>
          <w:color w:val="000000"/>
        </w:rPr>
        <w:t>seek to be leaders in a diverse set of growing markets where customers are loyal to trusted partners and suppliers, and</w:t>
      </w:r>
      <w:r>
        <w:rPr>
          <w:rFonts w:ascii="Arial" w:cs="Arial" w:eastAsia="Arial" w:hAnsi="Arial"/>
          <w:sz w:val="16"/>
          <w:szCs w:val="16"/>
          <w:b w:val="1"/>
          <w:bCs w:val="1"/>
          <w:color w:val="021496"/>
        </w:rPr>
        <w:t xml:space="preserve"> </w:t>
      </w:r>
      <w:r>
        <w:rPr>
          <w:rFonts w:ascii="Arial" w:cs="Arial" w:eastAsia="Arial" w:hAnsi="Arial"/>
          <w:sz w:val="16"/>
          <w:szCs w:val="16"/>
          <w:color w:val="000000"/>
        </w:rPr>
        <w:t>value product performance and differentiation driven by superior engineering, manufacturing precision, total solution development, and excellent supply chain performance.</w:t>
      </w:r>
    </w:p>
    <w:p>
      <w:pPr>
        <w:spacing w:after="0" w:line="77" w:lineRule="exact"/>
        <w:rPr>
          <w:rFonts w:ascii="Arial" w:cs="Arial" w:eastAsia="Arial" w:hAnsi="Arial"/>
          <w:sz w:val="16"/>
          <w:szCs w:val="16"/>
          <w:color w:val="auto"/>
        </w:rPr>
      </w:pPr>
    </w:p>
    <w:p>
      <w:pPr>
        <w:ind w:left="1160" w:right="840" w:hanging="401"/>
        <w:spacing w:after="0" w:line="282"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companies </w:t>
      </w:r>
      <w:r>
        <w:rPr>
          <w:rFonts w:ascii="Arial" w:cs="Arial" w:eastAsia="Arial" w:hAnsi="Arial"/>
          <w:sz w:val="16"/>
          <w:szCs w:val="16"/>
          <w:color w:val="000000"/>
        </w:rPr>
        <w:t>are long-time leaders in their respective markets and are known for their innovation, engineering capability, and</w:t>
      </w:r>
      <w:r>
        <w:rPr>
          <w:rFonts w:ascii="Arial" w:cs="Arial" w:eastAsia="Arial" w:hAnsi="Arial"/>
          <w:sz w:val="16"/>
          <w:szCs w:val="16"/>
          <w:b w:val="1"/>
          <w:bCs w:val="1"/>
          <w:color w:val="021496"/>
        </w:rPr>
        <w:t xml:space="preserve"> </w:t>
      </w:r>
      <w:r>
        <w:rPr>
          <w:rFonts w:ascii="Arial" w:cs="Arial" w:eastAsia="Arial" w:hAnsi="Arial"/>
          <w:sz w:val="16"/>
          <w:szCs w:val="16"/>
          <w:color w:val="000000"/>
        </w:rPr>
        <w:t>customer service excellence.</w:t>
      </w:r>
    </w:p>
    <w:p>
      <w:pPr>
        <w:spacing w:after="0" w:line="62" w:lineRule="exact"/>
        <w:rPr>
          <w:rFonts w:ascii="Arial" w:cs="Arial" w:eastAsia="Arial" w:hAnsi="Arial"/>
          <w:sz w:val="16"/>
          <w:szCs w:val="16"/>
          <w:color w:val="auto"/>
        </w:rPr>
      </w:pPr>
    </w:p>
    <w:p>
      <w:pPr>
        <w:ind w:left="1160" w:right="360" w:hanging="401"/>
        <w:spacing w:after="0" w:line="282"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sustainable business practices </w:t>
      </w:r>
      <w:r>
        <w:rPr>
          <w:rFonts w:ascii="Arial" w:cs="Arial" w:eastAsia="Arial" w:hAnsi="Arial"/>
          <w:sz w:val="16"/>
          <w:szCs w:val="16"/>
          <w:color w:val="000000"/>
        </w:rPr>
        <w:t>are focused on reducing environmental impact and developing products that help our customers</w:t>
      </w:r>
      <w:r>
        <w:rPr>
          <w:rFonts w:ascii="Arial" w:cs="Arial" w:eastAsia="Arial" w:hAnsi="Arial"/>
          <w:sz w:val="16"/>
          <w:szCs w:val="16"/>
          <w:b w:val="1"/>
          <w:bCs w:val="1"/>
          <w:color w:val="021496"/>
        </w:rPr>
        <w:t xml:space="preserve"> </w:t>
      </w:r>
      <w:r>
        <w:rPr>
          <w:rFonts w:ascii="Arial" w:cs="Arial" w:eastAsia="Arial" w:hAnsi="Arial"/>
          <w:sz w:val="16"/>
          <w:szCs w:val="16"/>
          <w:color w:val="000000"/>
        </w:rPr>
        <w:t>meet their sustainability goals.</w:t>
      </w:r>
    </w:p>
    <w:p>
      <w:pPr>
        <w:spacing w:after="0" w:line="62" w:lineRule="exact"/>
        <w:rPr>
          <w:rFonts w:ascii="Arial" w:cs="Arial" w:eastAsia="Arial" w:hAnsi="Arial"/>
          <w:sz w:val="16"/>
          <w:szCs w:val="16"/>
          <w:color w:val="auto"/>
        </w:rPr>
      </w:pPr>
    </w:p>
    <w:p>
      <w:pPr>
        <w:ind w:left="1160" w:right="500" w:hanging="401"/>
        <w:spacing w:after="0" w:line="263"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operating structure </w:t>
      </w:r>
      <w:r>
        <w:rPr>
          <w:rFonts w:ascii="Arial" w:cs="Arial" w:eastAsia="Arial" w:hAnsi="Arial"/>
          <w:sz w:val="16"/>
          <w:szCs w:val="16"/>
          <w:color w:val="000000"/>
        </w:rPr>
        <w:t>of five business segments allows for differentiated acquisition focus consistent with our portfolio and capital</w:t>
      </w:r>
      <w:r>
        <w:rPr>
          <w:rFonts w:ascii="Arial" w:cs="Arial" w:eastAsia="Arial" w:hAnsi="Arial"/>
          <w:sz w:val="16"/>
          <w:szCs w:val="16"/>
          <w:b w:val="1"/>
          <w:bCs w:val="1"/>
          <w:color w:val="021496"/>
        </w:rPr>
        <w:t xml:space="preserve"> </w:t>
      </w:r>
      <w:r>
        <w:rPr>
          <w:rFonts w:ascii="Arial" w:cs="Arial" w:eastAsia="Arial" w:hAnsi="Arial"/>
          <w:sz w:val="16"/>
          <w:szCs w:val="16"/>
          <w:color w:val="000000"/>
        </w:rPr>
        <w:t>allocation priorities which, coupled with functional expertise at our corporate center, presents opportunities to identify and capture operating synergies, such as global sourcing and supply chain integration, shared services, and manufacturing practices.</w:t>
      </w:r>
    </w:p>
    <w:p>
      <w:pPr>
        <w:spacing w:after="0" w:line="77" w:lineRule="exact"/>
        <w:rPr>
          <w:rFonts w:ascii="Arial" w:cs="Arial" w:eastAsia="Arial" w:hAnsi="Arial"/>
          <w:sz w:val="16"/>
          <w:szCs w:val="16"/>
          <w:color w:val="auto"/>
        </w:rPr>
      </w:pPr>
    </w:p>
    <w:p>
      <w:pPr>
        <w:ind w:left="1160" w:right="640" w:hanging="401"/>
        <w:spacing w:after="0" w:line="256"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executive management team </w:t>
      </w:r>
      <w:r>
        <w:rPr>
          <w:rFonts w:ascii="Arial" w:cs="Arial" w:eastAsia="Arial" w:hAnsi="Arial"/>
          <w:sz w:val="16"/>
          <w:szCs w:val="16"/>
          <w:color w:val="000000"/>
        </w:rPr>
        <w:t>sets strategic direction, initiatives and goals, provides oversight of strategy execution and</w:t>
      </w:r>
      <w:r>
        <w:rPr>
          <w:rFonts w:ascii="Arial" w:cs="Arial" w:eastAsia="Arial" w:hAnsi="Arial"/>
          <w:sz w:val="16"/>
          <w:szCs w:val="16"/>
          <w:b w:val="1"/>
          <w:bCs w:val="1"/>
          <w:color w:val="021496"/>
        </w:rPr>
        <w:t xml:space="preserve"> </w:t>
      </w:r>
      <w:r>
        <w:rPr>
          <w:rFonts w:ascii="Arial" w:cs="Arial" w:eastAsia="Arial" w:hAnsi="Arial"/>
          <w:sz w:val="16"/>
          <w:szCs w:val="16"/>
          <w:color w:val="000000"/>
        </w:rPr>
        <w:t>achievement of these goals for our business segments, and with oversight from our Board of Directors (our “Board”), makes capital allocation decisions, including organic investment initiatives, major capital projects, acquisitions, and the return of capital to our shareholders.</w:t>
      </w:r>
    </w:p>
    <w:p>
      <w:pPr>
        <w:spacing w:after="0" w:line="84" w:lineRule="exact"/>
        <w:rPr>
          <w:rFonts w:ascii="Arial" w:cs="Arial" w:eastAsia="Arial" w:hAnsi="Arial"/>
          <w:sz w:val="16"/>
          <w:szCs w:val="16"/>
          <w:color w:val="auto"/>
        </w:rPr>
      </w:pPr>
    </w:p>
    <w:p>
      <w:pPr>
        <w:ind w:left="1160" w:right="440" w:hanging="401"/>
        <w:spacing w:after="0" w:line="282"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operating culture </w:t>
      </w:r>
      <w:r>
        <w:rPr>
          <w:rFonts w:ascii="Arial" w:cs="Arial" w:eastAsia="Arial" w:hAnsi="Arial"/>
          <w:sz w:val="16"/>
          <w:szCs w:val="16"/>
          <w:color w:val="000000"/>
        </w:rPr>
        <w:t>fosters high ethical and performance standards, values accountability, rigor, trust, inclusion, respect, and open</w:t>
      </w:r>
      <w:r>
        <w:rPr>
          <w:rFonts w:ascii="Arial" w:cs="Arial" w:eastAsia="Arial" w:hAnsi="Arial"/>
          <w:sz w:val="16"/>
          <w:szCs w:val="16"/>
          <w:b w:val="1"/>
          <w:bCs w:val="1"/>
          <w:color w:val="021496"/>
        </w:rPr>
        <w:t xml:space="preserve"> </w:t>
      </w:r>
      <w:r>
        <w:rPr>
          <w:rFonts w:ascii="Arial" w:cs="Arial" w:eastAsia="Arial" w:hAnsi="Arial"/>
          <w:sz w:val="16"/>
          <w:szCs w:val="16"/>
          <w:color w:val="000000"/>
        </w:rPr>
        <w:t>communications, and is designed to encourage individual growth and operational effectiveness.</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w:t>
      </w:r>
    </w:p>
    <w:p>
      <w:pPr>
        <w:sectPr>
          <w:pgSz w:w="11900" w:h="16838" w:orient="portrait"/>
          <w:cols w:equalWidth="0" w:num="1">
            <w:col w:w="11080"/>
          </w:cols>
          <w:pgMar w:left="320" w:top="456"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104775</wp:posOffset>
            </wp:positionV>
            <wp:extent cx="6934200" cy="5575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4200" cy="5575300"/>
                    </a:xfrm>
                    <a:prstGeom prst="rect">
                      <a:avLst/>
                    </a:prstGeom>
                    <a:noFill/>
                  </pic:spPr>
                </pic:pic>
              </a:graphicData>
            </a:graphic>
          </wp:anchor>
        </w:drawing>
      </w:r>
    </w:p>
    <w:p>
      <w:pPr>
        <w:spacing w:after="0" w:line="307"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Company Goals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committed to driving superior shareholder return through three key tenets of our corporate strategy.</w:t>
      </w:r>
    </w:p>
    <w:p>
      <w:pPr>
        <w:spacing w:after="0" w:line="104" w:lineRule="exact"/>
        <w:rPr>
          <w:sz w:val="20"/>
          <w:szCs w:val="20"/>
          <w:color w:val="auto"/>
        </w:rPr>
      </w:pPr>
    </w:p>
    <w:p>
      <w:pPr>
        <w:ind w:left="1200" w:right="400"/>
        <w:spacing w:after="0" w:line="263" w:lineRule="auto"/>
        <w:rPr>
          <w:sz w:val="20"/>
          <w:szCs w:val="20"/>
          <w:color w:val="auto"/>
        </w:rPr>
      </w:pPr>
      <w:r>
        <w:rPr>
          <w:rFonts w:ascii="Arial" w:cs="Arial" w:eastAsia="Arial" w:hAnsi="Arial"/>
          <w:sz w:val="16"/>
          <w:szCs w:val="16"/>
          <w:color w:val="auto"/>
        </w:rPr>
        <w:t xml:space="preserve">We are committed to </w:t>
      </w:r>
      <w:r>
        <w:rPr>
          <w:rFonts w:ascii="Arial" w:cs="Arial" w:eastAsia="Arial" w:hAnsi="Arial"/>
          <w:sz w:val="16"/>
          <w:szCs w:val="16"/>
          <w:b w:val="1"/>
          <w:bCs w:val="1"/>
          <w:color w:val="021496"/>
        </w:rPr>
        <w:t>achieving organic sales growth above global gross domestic product growth (greater than GDP or 3% to</w:t>
      </w:r>
      <w:r>
        <w:rPr>
          <w:rFonts w:ascii="Arial" w:cs="Arial" w:eastAsia="Arial" w:hAnsi="Arial"/>
          <w:sz w:val="16"/>
          <w:szCs w:val="16"/>
          <w:color w:val="auto"/>
        </w:rPr>
        <w:t xml:space="preserve"> </w:t>
      </w:r>
      <w:r>
        <w:rPr>
          <w:rFonts w:ascii="Arial" w:cs="Arial" w:eastAsia="Arial" w:hAnsi="Arial"/>
          <w:sz w:val="16"/>
          <w:szCs w:val="16"/>
          <w:b w:val="1"/>
          <w:bCs w:val="1"/>
          <w:color w:val="021496"/>
        </w:rPr>
        <w:t>5% annually on average) over a long-term business cycle</w:t>
      </w:r>
      <w:r>
        <w:rPr>
          <w:rFonts w:ascii="Arial" w:cs="Arial" w:eastAsia="Arial" w:hAnsi="Arial"/>
          <w:sz w:val="16"/>
          <w:szCs w:val="16"/>
          <w:color w:val="000000"/>
        </w:rPr>
        <w:t>, absent prolonged adverse economic conditions, complemented by</w:t>
      </w:r>
      <w:r>
        <w:rPr>
          <w:rFonts w:ascii="Arial" w:cs="Arial" w:eastAsia="Arial" w:hAnsi="Arial"/>
          <w:sz w:val="16"/>
          <w:szCs w:val="16"/>
          <w:b w:val="1"/>
          <w:bCs w:val="1"/>
          <w:color w:val="021496"/>
        </w:rPr>
        <w:t xml:space="preserve"> growth through strategic acquisitions</w:t>
      </w:r>
      <w:r>
        <w:rPr>
          <w:rFonts w:ascii="Arial" w:cs="Arial" w:eastAsia="Arial" w:hAnsi="Arial"/>
          <w:sz w:val="16"/>
          <w:szCs w:val="16"/>
          <w:color w:val="000000"/>
        </w:rPr>
        <w:t>.</w:t>
      </w:r>
    </w:p>
    <w:p>
      <w:pPr>
        <w:spacing w:after="0" w:line="10" w:lineRule="exact"/>
        <w:rPr>
          <w:sz w:val="20"/>
          <w:szCs w:val="20"/>
          <w:color w:val="auto"/>
        </w:rPr>
      </w:pPr>
    </w:p>
    <w:p>
      <w:pPr>
        <w:ind w:left="1200" w:right="200"/>
        <w:spacing w:after="0" w:line="253" w:lineRule="auto"/>
        <w:rPr>
          <w:sz w:val="20"/>
          <w:szCs w:val="20"/>
          <w:color w:val="auto"/>
        </w:rPr>
      </w:pPr>
      <w:r>
        <w:rPr>
          <w:rFonts w:ascii="Arial" w:cs="Arial" w:eastAsia="Arial" w:hAnsi="Arial"/>
          <w:sz w:val="16"/>
          <w:szCs w:val="16"/>
          <w:color w:val="auto"/>
        </w:rPr>
        <w:t xml:space="preserve">We are focused on </w:t>
      </w:r>
      <w:r>
        <w:rPr>
          <w:rFonts w:ascii="Arial" w:cs="Arial" w:eastAsia="Arial" w:hAnsi="Arial"/>
          <w:sz w:val="16"/>
          <w:szCs w:val="16"/>
          <w:b w:val="1"/>
          <w:bCs w:val="1"/>
          <w:color w:val="021496"/>
        </w:rPr>
        <w:t>improving returns on capital, as well as segment and corporate earnings margins</w:t>
      </w:r>
      <w:r>
        <w:rPr>
          <w:rFonts w:ascii="Arial" w:cs="Arial" w:eastAsia="Arial" w:hAnsi="Arial"/>
          <w:sz w:val="16"/>
          <w:szCs w:val="16"/>
          <w:color w:val="auto"/>
        </w:rPr>
        <w:t xml:space="preserve"> by enhancing our operational capabilities and making investments across the organization in digital capabilities, automation, operations management, information technology, shared services, and talent. We also focus on continuous, effective cost management and productivity initiatives, including automation and digitally-supported manufacturing, supply chain optimization, e-commerce and digital go-to-market, restructuring activities, improved footprint utilization, strategic pricing and portfolio management.</w:t>
      </w:r>
    </w:p>
    <w:p>
      <w:pPr>
        <w:spacing w:after="0" w:line="87" w:lineRule="exact"/>
        <w:rPr>
          <w:sz w:val="20"/>
          <w:szCs w:val="20"/>
          <w:color w:val="auto"/>
        </w:rPr>
      </w:pPr>
    </w:p>
    <w:p>
      <w:pPr>
        <w:ind w:left="1200" w:right="640"/>
        <w:spacing w:after="0" w:line="282" w:lineRule="auto"/>
        <w:rPr>
          <w:sz w:val="20"/>
          <w:szCs w:val="20"/>
          <w:color w:val="auto"/>
        </w:rPr>
      </w:pPr>
      <w:r>
        <w:rPr>
          <w:rFonts w:ascii="Arial" w:cs="Arial" w:eastAsia="Arial" w:hAnsi="Arial"/>
          <w:sz w:val="16"/>
          <w:szCs w:val="16"/>
          <w:color w:val="auto"/>
        </w:rPr>
        <w:t xml:space="preserve">We aim to generate </w:t>
      </w:r>
      <w:r>
        <w:rPr>
          <w:rFonts w:ascii="Arial" w:cs="Arial" w:eastAsia="Arial" w:hAnsi="Arial"/>
          <w:sz w:val="16"/>
          <w:szCs w:val="16"/>
          <w:b w:val="1"/>
          <w:bCs w:val="1"/>
          <w:color w:val="021496"/>
        </w:rPr>
        <w:t>strong and growing free cash flow and earnings per share (“EPS”)</w:t>
      </w:r>
      <w:r>
        <w:rPr>
          <w:rFonts w:ascii="Arial" w:cs="Arial" w:eastAsia="Arial" w:hAnsi="Arial"/>
          <w:sz w:val="16"/>
          <w:szCs w:val="16"/>
          <w:color w:val="auto"/>
        </w:rPr>
        <w:t xml:space="preserve"> through strong earnings performance, productivity improvements, and active working capital management.</w:t>
      </w:r>
    </w:p>
    <w:p>
      <w:pPr>
        <w:spacing w:after="0" w:line="243" w:lineRule="exact"/>
        <w:rPr>
          <w:sz w:val="20"/>
          <w:szCs w:val="20"/>
          <w:color w:val="auto"/>
        </w:rPr>
      </w:pPr>
    </w:p>
    <w:p>
      <w:pPr>
        <w:ind w:left="340" w:right="740"/>
        <w:spacing w:after="0" w:line="250" w:lineRule="auto"/>
        <w:rPr>
          <w:sz w:val="20"/>
          <w:szCs w:val="20"/>
          <w:color w:val="auto"/>
        </w:rPr>
      </w:pPr>
      <w:r>
        <w:rPr>
          <w:rFonts w:ascii="Arial" w:cs="Arial" w:eastAsia="Arial" w:hAnsi="Arial"/>
          <w:sz w:val="16"/>
          <w:szCs w:val="16"/>
          <w:color w:val="auto"/>
        </w:rPr>
        <w:t>We support achievement of these goals by aligning management compensation with strategic and financial objectives, actively managing our portfolio to increase enterprise scale, improve business mix over time, and pursuing acquisitions that fit the characteristics of an ideal Dover business, and investing in talent development programs.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2021 Financial Results</w:t>
      </w:r>
    </w:p>
    <w:p>
      <w:pPr>
        <w:spacing w:after="0" w:line="144" w:lineRule="exact"/>
        <w:rPr>
          <w:sz w:val="20"/>
          <w:szCs w:val="20"/>
          <w:color w:val="auto"/>
        </w:rPr>
      </w:pPr>
    </w:p>
    <w:p>
      <w:pPr>
        <w:ind w:left="340" w:right="480"/>
        <w:spacing w:after="0" w:line="256" w:lineRule="auto"/>
        <w:rPr>
          <w:sz w:val="20"/>
          <w:szCs w:val="20"/>
          <w:color w:val="auto"/>
        </w:rPr>
      </w:pPr>
      <w:r>
        <w:rPr>
          <w:rFonts w:ascii="Arial" w:cs="Arial" w:eastAsia="Arial" w:hAnsi="Arial"/>
          <w:sz w:val="16"/>
          <w:szCs w:val="16"/>
          <w:color w:val="auto"/>
        </w:rPr>
        <w:t>In 2021, we continued our long track record of delivering value to our shareholders, despite an operational environment that continues to present challenges due to the COVID-19 pandemic.</w:t>
      </w:r>
    </w:p>
    <w:p>
      <w:pPr>
        <w:spacing w:after="0" w:line="270" w:lineRule="exact"/>
        <w:rPr>
          <w:sz w:val="20"/>
          <w:szCs w:val="20"/>
          <w:color w:val="auto"/>
        </w:rPr>
      </w:pPr>
    </w:p>
    <w:tbl>
      <w:tblPr>
        <w:tblLayout w:type="fixed"/>
        <w:tblInd w:w="760" w:type="dxa"/>
        <w:tblCellMar>
          <w:top w:w="0" w:type="dxa"/>
          <w:left w:w="0" w:type="dxa"/>
          <w:bottom w:w="0" w:type="dxa"/>
          <w:right w:w="0" w:type="dxa"/>
        </w:tblCellMar>
      </w:tblPr>
      <w:tr>
        <w:trPr>
          <w:trHeight w:val="213"/>
        </w:trPr>
        <w:tc>
          <w:tcPr>
            <w:tcW w:w="6660" w:type="dxa"/>
            <w:vAlign w:val="bottom"/>
          </w:tcPr>
          <w:p>
            <w:pPr>
              <w:ind w:left="100"/>
              <w:spacing w:after="0"/>
              <w:rPr>
                <w:sz w:val="20"/>
                <w:szCs w:val="20"/>
                <w:color w:val="auto"/>
              </w:rPr>
            </w:pPr>
            <w:r>
              <w:rPr>
                <w:rFonts w:ascii="Arial" w:cs="Arial" w:eastAsia="Arial" w:hAnsi="Arial"/>
                <w:sz w:val="16"/>
                <w:szCs w:val="16"/>
                <w:b w:val="1"/>
                <w:bCs w:val="1"/>
                <w:color w:val="auto"/>
              </w:rPr>
              <w:t>US GAAP</w:t>
            </w:r>
          </w:p>
        </w:tc>
        <w:tc>
          <w:tcPr>
            <w:tcW w:w="1160" w:type="dxa"/>
            <w:vAlign w:val="bottom"/>
          </w:tcPr>
          <w:p>
            <w:pPr>
              <w:jc w:val="right"/>
              <w:ind w:right="240"/>
              <w:spacing w:after="0"/>
              <w:rPr>
                <w:sz w:val="20"/>
                <w:szCs w:val="20"/>
                <w:color w:val="auto"/>
              </w:rPr>
            </w:pPr>
            <w:r>
              <w:rPr>
                <w:rFonts w:ascii="Arial" w:cs="Arial" w:eastAsia="Arial" w:hAnsi="Arial"/>
                <w:sz w:val="16"/>
                <w:szCs w:val="16"/>
                <w:b w:val="1"/>
                <w:bCs w:val="1"/>
                <w:color w:val="auto"/>
              </w:rPr>
              <w:t>FY2021</w:t>
            </w: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FY2020</w:t>
            </w:r>
          </w:p>
        </w:tc>
        <w:tc>
          <w:tcPr>
            <w:tcW w:w="760" w:type="dxa"/>
            <w:vAlign w:val="bottom"/>
          </w:tcPr>
          <w:p>
            <w:pPr>
              <w:spacing w:after="0"/>
              <w:rPr>
                <w:sz w:val="18"/>
                <w:szCs w:val="18"/>
                <w:color w:val="auto"/>
              </w:rPr>
            </w:pPr>
          </w:p>
        </w:tc>
      </w:tr>
      <w:tr>
        <w:trPr>
          <w:trHeight w:val="46"/>
        </w:trPr>
        <w:tc>
          <w:tcPr>
            <w:tcW w:w="6660" w:type="dxa"/>
            <w:vAlign w:val="bottom"/>
            <w:tcBorders>
              <w:bottom w:val="single" w:sz="8" w:color="021496"/>
            </w:tcBorders>
          </w:tcPr>
          <w:p>
            <w:pPr>
              <w:spacing w:after="0"/>
              <w:rPr>
                <w:sz w:val="3"/>
                <w:szCs w:val="3"/>
                <w:color w:val="auto"/>
              </w:rPr>
            </w:pPr>
          </w:p>
        </w:tc>
        <w:tc>
          <w:tcPr>
            <w:tcW w:w="1160" w:type="dxa"/>
            <w:vAlign w:val="bottom"/>
            <w:tcBorders>
              <w:bottom w:val="single" w:sz="8" w:color="021496"/>
            </w:tcBorders>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c>
          <w:tcPr>
            <w:tcW w:w="760" w:type="dxa"/>
            <w:vAlign w:val="bottom"/>
            <w:tcBorders>
              <w:bottom w:val="single" w:sz="8" w:color="021496"/>
            </w:tcBorders>
          </w:tcPr>
          <w:p>
            <w:pPr>
              <w:spacing w:after="0"/>
              <w:rPr>
                <w:sz w:val="3"/>
                <w:szCs w:val="3"/>
                <w:color w:val="auto"/>
              </w:rPr>
            </w:pPr>
          </w:p>
        </w:tc>
      </w:tr>
      <w:tr>
        <w:trPr>
          <w:trHeight w:val="242"/>
        </w:trPr>
        <w:tc>
          <w:tcPr>
            <w:tcW w:w="6660" w:type="dxa"/>
            <w:vAlign w:val="bottom"/>
          </w:tcPr>
          <w:p>
            <w:pPr>
              <w:ind w:left="460"/>
              <w:spacing w:after="0"/>
              <w:rPr>
                <w:sz w:val="20"/>
                <w:szCs w:val="20"/>
                <w:color w:val="auto"/>
              </w:rPr>
            </w:pPr>
            <w:r>
              <w:rPr>
                <w:rFonts w:ascii="Arial" w:cs="Arial" w:eastAsia="Arial" w:hAnsi="Arial"/>
                <w:sz w:val="16"/>
                <w:szCs w:val="16"/>
                <w:color w:val="auto"/>
              </w:rPr>
              <w:t>Revenue ($M)</w:t>
            </w: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7,907</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6,684</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18%</w:t>
            </w:r>
          </w:p>
        </w:tc>
      </w:tr>
      <w:tr>
        <w:trPr>
          <w:trHeight w:val="59"/>
        </w:trPr>
        <w:tc>
          <w:tcPr>
            <w:tcW w:w="6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321"/>
        </w:trPr>
        <w:tc>
          <w:tcPr>
            <w:tcW w:w="6660" w:type="dxa"/>
            <w:vAlign w:val="bottom"/>
            <w:shd w:val="clear" w:color="auto" w:fill="D8D8D8"/>
          </w:tcPr>
          <w:p>
            <w:pPr>
              <w:ind w:left="460"/>
              <w:spacing w:after="0"/>
              <w:rPr>
                <w:sz w:val="20"/>
                <w:szCs w:val="20"/>
                <w:color w:val="auto"/>
              </w:rPr>
            </w:pPr>
            <w:r>
              <w:rPr>
                <w:rFonts w:ascii="Arial" w:cs="Arial" w:eastAsia="Arial" w:hAnsi="Arial"/>
                <w:sz w:val="16"/>
                <w:szCs w:val="16"/>
                <w:color w:val="auto"/>
              </w:rPr>
              <w:t>Net earnings ($M)</w:t>
            </w:r>
            <w:r>
              <w:rPr>
                <w:rFonts w:ascii="Arial" w:cs="Arial" w:eastAsia="Arial" w:hAnsi="Arial"/>
                <w:sz w:val="27"/>
                <w:szCs w:val="27"/>
                <w:color w:val="auto"/>
                <w:vertAlign w:val="superscript"/>
              </w:rPr>
              <w:t>(1)</w:t>
            </w:r>
          </w:p>
        </w:tc>
        <w:tc>
          <w:tcPr>
            <w:tcW w:w="1160" w:type="dxa"/>
            <w:vAlign w:val="bottom"/>
            <w:shd w:val="clear" w:color="auto" w:fill="D8D8D8"/>
          </w:tcPr>
          <w:p>
            <w:pPr>
              <w:jc w:val="right"/>
              <w:ind w:right="220"/>
              <w:spacing w:after="0"/>
              <w:rPr>
                <w:sz w:val="20"/>
                <w:szCs w:val="20"/>
                <w:color w:val="auto"/>
              </w:rPr>
            </w:pPr>
            <w:r>
              <w:rPr>
                <w:rFonts w:ascii="Arial" w:cs="Arial" w:eastAsia="Arial" w:hAnsi="Arial"/>
                <w:sz w:val="16"/>
                <w:szCs w:val="16"/>
                <w:color w:val="auto"/>
              </w:rPr>
              <w:t>1,124</w:t>
            </w:r>
          </w:p>
        </w:tc>
        <w:tc>
          <w:tcPr>
            <w:tcW w:w="1140" w:type="dxa"/>
            <w:vAlign w:val="bottom"/>
            <w:shd w:val="clear" w:color="auto" w:fill="D8D8D8"/>
          </w:tcPr>
          <w:p>
            <w:pPr>
              <w:jc w:val="right"/>
              <w:ind w:right="180"/>
              <w:spacing w:after="0"/>
              <w:rPr>
                <w:sz w:val="20"/>
                <w:szCs w:val="20"/>
                <w:color w:val="auto"/>
              </w:rPr>
            </w:pPr>
            <w:r>
              <w:rPr>
                <w:rFonts w:ascii="Arial" w:cs="Arial" w:eastAsia="Arial" w:hAnsi="Arial"/>
                <w:sz w:val="16"/>
                <w:szCs w:val="16"/>
                <w:color w:val="auto"/>
              </w:rPr>
              <w:t>683</w:t>
            </w:r>
          </w:p>
        </w:tc>
        <w:tc>
          <w:tcPr>
            <w:tcW w:w="76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64%</w:t>
            </w:r>
          </w:p>
        </w:tc>
      </w:tr>
      <w:tr>
        <w:trPr>
          <w:trHeight w:val="262"/>
        </w:trPr>
        <w:tc>
          <w:tcPr>
            <w:tcW w:w="6660" w:type="dxa"/>
            <w:vAlign w:val="bottom"/>
          </w:tcPr>
          <w:p>
            <w:pPr>
              <w:ind w:left="460"/>
              <w:spacing w:after="0"/>
              <w:rPr>
                <w:sz w:val="20"/>
                <w:szCs w:val="20"/>
                <w:color w:val="auto"/>
              </w:rPr>
            </w:pPr>
            <w:r>
              <w:rPr>
                <w:rFonts w:ascii="Arial" w:cs="Arial" w:eastAsia="Arial" w:hAnsi="Arial"/>
                <w:sz w:val="16"/>
                <w:szCs w:val="16"/>
                <w:color w:val="auto"/>
              </w:rPr>
              <w:t>Diluted EPS ($)</w:t>
            </w: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7.74</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4.70</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65%</w:t>
            </w:r>
          </w:p>
        </w:tc>
      </w:tr>
      <w:tr>
        <w:trPr>
          <w:trHeight w:val="59"/>
        </w:trPr>
        <w:tc>
          <w:tcPr>
            <w:tcW w:w="6660" w:type="dxa"/>
            <w:vAlign w:val="bottom"/>
            <w:tcBorders>
              <w:bottom w:val="single" w:sz="8" w:color="021496"/>
            </w:tcBorders>
          </w:tcPr>
          <w:p>
            <w:pPr>
              <w:spacing w:after="0"/>
              <w:rPr>
                <w:sz w:val="5"/>
                <w:szCs w:val="5"/>
                <w:color w:val="auto"/>
              </w:rPr>
            </w:pPr>
          </w:p>
        </w:tc>
        <w:tc>
          <w:tcPr>
            <w:tcW w:w="1160" w:type="dxa"/>
            <w:vAlign w:val="bottom"/>
            <w:tcBorders>
              <w:bottom w:val="single" w:sz="8" w:color="021496"/>
            </w:tcBorders>
          </w:tcPr>
          <w:p>
            <w:pPr>
              <w:spacing w:after="0"/>
              <w:rPr>
                <w:sz w:val="5"/>
                <w:szCs w:val="5"/>
                <w:color w:val="auto"/>
              </w:rPr>
            </w:pPr>
          </w:p>
        </w:tc>
        <w:tc>
          <w:tcPr>
            <w:tcW w:w="1140" w:type="dxa"/>
            <w:vAlign w:val="bottom"/>
            <w:tcBorders>
              <w:bottom w:val="single" w:sz="8" w:color="021496"/>
            </w:tcBorders>
          </w:tcPr>
          <w:p>
            <w:pPr>
              <w:spacing w:after="0"/>
              <w:rPr>
                <w:sz w:val="5"/>
                <w:szCs w:val="5"/>
                <w:color w:val="auto"/>
              </w:rPr>
            </w:pPr>
          </w:p>
        </w:tc>
        <w:tc>
          <w:tcPr>
            <w:tcW w:w="760" w:type="dxa"/>
            <w:vAlign w:val="bottom"/>
            <w:tcBorders>
              <w:bottom w:val="single" w:sz="8" w:color="021496"/>
            </w:tcBorders>
          </w:tcPr>
          <w:p>
            <w:pPr>
              <w:spacing w:after="0"/>
              <w:rPr>
                <w:sz w:val="5"/>
                <w:szCs w:val="5"/>
                <w:color w:val="auto"/>
              </w:rPr>
            </w:pPr>
          </w:p>
        </w:tc>
      </w:tr>
      <w:tr>
        <w:trPr>
          <w:trHeight w:val="274"/>
        </w:trPr>
        <w:tc>
          <w:tcPr>
            <w:tcW w:w="6660" w:type="dxa"/>
            <w:vAlign w:val="bottom"/>
            <w:tcBorders>
              <w:bottom w:val="single" w:sz="8" w:color="021496"/>
            </w:tcBorders>
          </w:tcPr>
          <w:p>
            <w:pPr>
              <w:ind w:left="100"/>
              <w:spacing w:after="0" w:line="273" w:lineRule="exact"/>
              <w:rPr>
                <w:sz w:val="20"/>
                <w:szCs w:val="20"/>
                <w:color w:val="auto"/>
              </w:rPr>
            </w:pPr>
            <w:r>
              <w:rPr>
                <w:rFonts w:ascii="Arial" w:cs="Arial" w:eastAsia="Arial" w:hAnsi="Arial"/>
                <w:sz w:val="16"/>
                <w:szCs w:val="16"/>
                <w:b w:val="1"/>
                <w:bCs w:val="1"/>
                <w:color w:val="auto"/>
              </w:rPr>
              <w:t>Non-GAAP</w:t>
            </w:r>
            <w:r>
              <w:rPr>
                <w:rFonts w:ascii="Arial" w:cs="Arial" w:eastAsia="Arial" w:hAnsi="Arial"/>
                <w:sz w:val="27"/>
                <w:szCs w:val="27"/>
                <w:b w:val="1"/>
                <w:bCs w:val="1"/>
                <w:color w:val="auto"/>
                <w:vertAlign w:val="superscript"/>
              </w:rPr>
              <w:t>(2)</w:t>
            </w:r>
          </w:p>
        </w:tc>
        <w:tc>
          <w:tcPr>
            <w:tcW w:w="1160" w:type="dxa"/>
            <w:vAlign w:val="bottom"/>
            <w:tcBorders>
              <w:bottom w:val="single" w:sz="8" w:color="021496"/>
            </w:tcBorders>
          </w:tcPr>
          <w:p>
            <w:pPr>
              <w:spacing w:after="0"/>
              <w:rPr>
                <w:sz w:val="23"/>
                <w:szCs w:val="23"/>
                <w:color w:val="auto"/>
              </w:rPr>
            </w:pPr>
          </w:p>
        </w:tc>
        <w:tc>
          <w:tcPr>
            <w:tcW w:w="1140" w:type="dxa"/>
            <w:vAlign w:val="bottom"/>
            <w:tcBorders>
              <w:bottom w:val="single" w:sz="8" w:color="021496"/>
            </w:tcBorders>
          </w:tcPr>
          <w:p>
            <w:pPr>
              <w:spacing w:after="0"/>
              <w:rPr>
                <w:sz w:val="23"/>
                <w:szCs w:val="23"/>
                <w:color w:val="auto"/>
              </w:rPr>
            </w:pPr>
          </w:p>
        </w:tc>
        <w:tc>
          <w:tcPr>
            <w:tcW w:w="760" w:type="dxa"/>
            <w:vAlign w:val="bottom"/>
            <w:tcBorders>
              <w:bottom w:val="single" w:sz="8" w:color="021496"/>
            </w:tcBorders>
          </w:tcPr>
          <w:p>
            <w:pPr>
              <w:spacing w:after="0"/>
              <w:rPr>
                <w:sz w:val="23"/>
                <w:szCs w:val="23"/>
                <w:color w:val="auto"/>
              </w:rPr>
            </w:pPr>
          </w:p>
        </w:tc>
      </w:tr>
      <w:tr>
        <w:trPr>
          <w:trHeight w:val="242"/>
        </w:trPr>
        <w:tc>
          <w:tcPr>
            <w:tcW w:w="6660" w:type="dxa"/>
            <w:vAlign w:val="bottom"/>
          </w:tcPr>
          <w:p>
            <w:pPr>
              <w:ind w:left="460"/>
              <w:spacing w:after="0"/>
              <w:rPr>
                <w:sz w:val="20"/>
                <w:szCs w:val="20"/>
                <w:color w:val="auto"/>
              </w:rPr>
            </w:pPr>
            <w:r>
              <w:rPr>
                <w:rFonts w:ascii="Arial" w:cs="Arial" w:eastAsia="Arial" w:hAnsi="Arial"/>
                <w:sz w:val="16"/>
                <w:szCs w:val="16"/>
                <w:color w:val="auto"/>
              </w:rPr>
              <w:t>Organic revenue change</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15%</w:t>
            </w:r>
          </w:p>
        </w:tc>
      </w:tr>
      <w:tr>
        <w:trPr>
          <w:trHeight w:val="59"/>
        </w:trPr>
        <w:tc>
          <w:tcPr>
            <w:tcW w:w="6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321"/>
        </w:trPr>
        <w:tc>
          <w:tcPr>
            <w:tcW w:w="6660" w:type="dxa"/>
            <w:vAlign w:val="bottom"/>
            <w:shd w:val="clear" w:color="auto" w:fill="D8D8D8"/>
          </w:tcPr>
          <w:p>
            <w:pPr>
              <w:ind w:left="440"/>
              <w:spacing w:after="0"/>
              <w:rPr>
                <w:sz w:val="20"/>
                <w:szCs w:val="20"/>
                <w:color w:val="auto"/>
              </w:rPr>
            </w:pPr>
            <w:r>
              <w:rPr>
                <w:rFonts w:ascii="Arial" w:cs="Arial" w:eastAsia="Arial" w:hAnsi="Arial"/>
                <w:sz w:val="16"/>
                <w:szCs w:val="16"/>
                <w:color w:val="auto"/>
              </w:rPr>
              <w:t>Adjusted net earnings ($M)</w:t>
            </w:r>
            <w:r>
              <w:rPr>
                <w:rFonts w:ascii="Arial" w:cs="Arial" w:eastAsia="Arial" w:hAnsi="Arial"/>
                <w:sz w:val="27"/>
                <w:szCs w:val="27"/>
                <w:color w:val="auto"/>
                <w:vertAlign w:val="superscript"/>
              </w:rPr>
              <w:t>(3)</w:t>
            </w:r>
          </w:p>
        </w:tc>
        <w:tc>
          <w:tcPr>
            <w:tcW w:w="1160" w:type="dxa"/>
            <w:vAlign w:val="bottom"/>
            <w:shd w:val="clear" w:color="auto" w:fill="D8D8D8"/>
          </w:tcPr>
          <w:p>
            <w:pPr>
              <w:jc w:val="right"/>
              <w:ind w:right="220"/>
              <w:spacing w:after="0"/>
              <w:rPr>
                <w:sz w:val="20"/>
                <w:szCs w:val="20"/>
                <w:color w:val="auto"/>
              </w:rPr>
            </w:pPr>
            <w:r>
              <w:rPr>
                <w:rFonts w:ascii="Arial" w:cs="Arial" w:eastAsia="Arial" w:hAnsi="Arial"/>
                <w:sz w:val="16"/>
                <w:szCs w:val="16"/>
                <w:color w:val="auto"/>
              </w:rPr>
              <w:t>1,109</w:t>
            </w:r>
          </w:p>
        </w:tc>
        <w:tc>
          <w:tcPr>
            <w:tcW w:w="1140" w:type="dxa"/>
            <w:vAlign w:val="bottom"/>
            <w:shd w:val="clear" w:color="auto" w:fill="D8D8D8"/>
          </w:tcPr>
          <w:p>
            <w:pPr>
              <w:jc w:val="right"/>
              <w:ind w:right="180"/>
              <w:spacing w:after="0"/>
              <w:rPr>
                <w:sz w:val="20"/>
                <w:szCs w:val="20"/>
                <w:color w:val="auto"/>
              </w:rPr>
            </w:pPr>
            <w:r>
              <w:rPr>
                <w:rFonts w:ascii="Arial" w:cs="Arial" w:eastAsia="Arial" w:hAnsi="Arial"/>
                <w:sz w:val="16"/>
                <w:szCs w:val="16"/>
                <w:color w:val="auto"/>
              </w:rPr>
              <w:t>824</w:t>
            </w:r>
          </w:p>
        </w:tc>
        <w:tc>
          <w:tcPr>
            <w:tcW w:w="76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35%</w:t>
            </w:r>
          </w:p>
        </w:tc>
      </w:tr>
      <w:tr>
        <w:trPr>
          <w:trHeight w:val="262"/>
        </w:trPr>
        <w:tc>
          <w:tcPr>
            <w:tcW w:w="6660" w:type="dxa"/>
            <w:vAlign w:val="bottom"/>
          </w:tcPr>
          <w:p>
            <w:pPr>
              <w:ind w:left="440"/>
              <w:spacing w:after="0"/>
              <w:rPr>
                <w:sz w:val="20"/>
                <w:szCs w:val="20"/>
                <w:color w:val="auto"/>
              </w:rPr>
            </w:pPr>
            <w:r>
              <w:rPr>
                <w:rFonts w:ascii="Arial" w:cs="Arial" w:eastAsia="Arial" w:hAnsi="Arial"/>
                <w:sz w:val="16"/>
                <w:szCs w:val="16"/>
                <w:color w:val="auto"/>
              </w:rPr>
              <w:t>Adjusted diluted EPS ($)</w:t>
            </w: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7.63</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5.67</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35%</w:t>
            </w:r>
          </w:p>
        </w:tc>
      </w:tr>
    </w:tbl>
    <w:p>
      <w:pPr>
        <w:spacing w:after="0" w:line="81" w:lineRule="exact"/>
        <w:rPr>
          <w:sz w:val="20"/>
          <w:szCs w:val="20"/>
          <w:color w:val="auto"/>
        </w:rPr>
      </w:pPr>
    </w:p>
    <w:p>
      <w:pPr>
        <w:ind w:left="760" w:right="260"/>
        <w:spacing w:after="0" w:line="252" w:lineRule="auto"/>
        <w:rPr>
          <w:sz w:val="20"/>
          <w:szCs w:val="20"/>
          <w:color w:val="auto"/>
        </w:rPr>
      </w:pPr>
      <w:r>
        <w:rPr>
          <w:rFonts w:ascii="Arial" w:cs="Arial" w:eastAsia="Arial" w:hAnsi="Arial"/>
          <w:sz w:val="11"/>
          <w:szCs w:val="11"/>
          <w:i w:val="1"/>
          <w:iCs w:val="1"/>
          <w:color w:val="auto"/>
        </w:rPr>
        <w:t>(1)</w:t>
      </w:r>
      <w:r>
        <w:rPr>
          <w:rFonts w:ascii="Arial" w:cs="Arial" w:eastAsia="Arial" w:hAnsi="Arial"/>
          <w:sz w:val="12"/>
          <w:szCs w:val="12"/>
          <w:i w:val="1"/>
          <w:iCs w:val="1"/>
          <w:color w:val="auto"/>
        </w:rPr>
        <w:t>Full year 2021 and 2020 net earnings include rightsizing and other costs of $31.1 million and $40.7 million, respectively. Full year 2020 also includes a $3.9 million non-cash gain on</w:t>
      </w:r>
      <w:r>
        <w:rPr>
          <w:rFonts w:ascii="Arial" w:cs="Arial" w:eastAsia="Arial" w:hAnsi="Arial"/>
          <w:sz w:val="11"/>
          <w:szCs w:val="11"/>
          <w:i w:val="1"/>
          <w:iCs w:val="1"/>
          <w:color w:val="auto"/>
        </w:rPr>
        <w:t xml:space="preserve"> </w:t>
      </w:r>
      <w:r>
        <w:rPr>
          <w:rFonts w:ascii="Arial" w:cs="Arial" w:eastAsia="Arial" w:hAnsi="Arial"/>
          <w:sz w:val="12"/>
          <w:szCs w:val="12"/>
          <w:i w:val="1"/>
          <w:iCs w:val="1"/>
          <w:color w:val="auto"/>
        </w:rPr>
        <w:t>the sale of AMS Chino, and full year 2021 also includes a $135.1 million gain on the sale of Unified Brands and a $18.0 million gain related to the sale of our Race Winning Brands equity method investment.</w:t>
      </w:r>
    </w:p>
    <w:p>
      <w:pPr>
        <w:spacing w:after="0" w:line="7" w:lineRule="exact"/>
        <w:rPr>
          <w:sz w:val="20"/>
          <w:szCs w:val="20"/>
          <w:color w:val="auto"/>
        </w:rPr>
      </w:pPr>
    </w:p>
    <w:p>
      <w:pPr>
        <w:ind w:left="760"/>
        <w:spacing w:after="0"/>
        <w:rPr>
          <w:sz w:val="20"/>
          <w:szCs w:val="20"/>
          <w:color w:val="auto"/>
        </w:rPr>
      </w:pPr>
      <w:r>
        <w:rPr>
          <w:rFonts w:ascii="Arial" w:cs="Arial" w:eastAsia="Arial" w:hAnsi="Arial"/>
          <w:sz w:val="11"/>
          <w:szCs w:val="11"/>
          <w:i w:val="1"/>
          <w:iCs w:val="1"/>
          <w:color w:val="auto"/>
        </w:rPr>
        <w:t>(2)</w:t>
      </w:r>
      <w:r>
        <w:rPr>
          <w:rFonts w:ascii="Arial" w:cs="Arial" w:eastAsia="Arial" w:hAnsi="Arial"/>
          <w:sz w:val="12"/>
          <w:szCs w:val="12"/>
          <w:i w:val="1"/>
          <w:iCs w:val="1"/>
          <w:color w:val="auto"/>
        </w:rPr>
        <w:t>Definitions and reconciliations of non-GAAP measures are included at the end of this proxy statement.</w:t>
      </w:r>
    </w:p>
    <w:p>
      <w:pPr>
        <w:spacing w:after="0" w:line="36" w:lineRule="exact"/>
        <w:rPr>
          <w:sz w:val="20"/>
          <w:szCs w:val="20"/>
          <w:color w:val="auto"/>
        </w:rPr>
      </w:pPr>
    </w:p>
    <w:p>
      <w:pPr>
        <w:ind w:left="760"/>
        <w:spacing w:after="0"/>
        <w:rPr>
          <w:sz w:val="20"/>
          <w:szCs w:val="20"/>
          <w:color w:val="auto"/>
        </w:rPr>
      </w:pPr>
      <w:r>
        <w:rPr>
          <w:rFonts w:ascii="Arial" w:cs="Arial" w:eastAsia="Arial" w:hAnsi="Arial"/>
          <w:sz w:val="11"/>
          <w:szCs w:val="11"/>
          <w:i w:val="1"/>
          <w:iCs w:val="1"/>
          <w:color w:val="auto"/>
        </w:rPr>
        <w:t>(3)</w:t>
      </w:r>
      <w:r>
        <w:rPr>
          <w:rFonts w:ascii="Arial" w:cs="Arial" w:eastAsia="Arial" w:hAnsi="Arial"/>
          <w:sz w:val="12"/>
          <w:szCs w:val="12"/>
          <w:i w:val="1"/>
          <w:iCs w:val="1"/>
          <w:color w:val="auto"/>
        </w:rPr>
        <w:t>Full year 2021 and 2020 adjusted net earnings exclude acquisition-related amortization costs of $107.2 million and $104.1 million, respectively, and rightsizing and other costs of</w:t>
      </w:r>
    </w:p>
    <w:p>
      <w:pPr>
        <w:spacing w:after="0" w:line="8" w:lineRule="exact"/>
        <w:rPr>
          <w:sz w:val="20"/>
          <w:szCs w:val="20"/>
          <w:color w:val="auto"/>
        </w:rPr>
      </w:pPr>
    </w:p>
    <w:p>
      <w:pPr>
        <w:ind w:left="760" w:right="200"/>
        <w:spacing w:after="0" w:line="251" w:lineRule="auto"/>
        <w:rPr>
          <w:sz w:val="20"/>
          <w:szCs w:val="20"/>
          <w:color w:val="auto"/>
        </w:rPr>
      </w:pPr>
      <w:r>
        <w:rPr>
          <w:rFonts w:ascii="Arial" w:cs="Arial" w:eastAsia="Arial" w:hAnsi="Arial"/>
          <w:sz w:val="12"/>
          <w:szCs w:val="12"/>
          <w:i w:val="1"/>
          <w:iCs w:val="1"/>
          <w:color w:val="auto"/>
        </w:rPr>
        <w:t>$31.1 million and $40.7 million, respectively. Full year 2020 also excludes a $3.9 million non-cash gain on the sale of AMS Chino, and full year 2021 also excludes a $135.1 million gain on the sale of Unified Brands and a $18.0 million gain related to the sale of our Race Winning Brands equity method investment.</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w:t>
      </w:r>
    </w:p>
    <w:p>
      <w:pPr>
        <w:sectPr>
          <w:pgSz w:w="11900" w:h="16838" w:orient="portrait"/>
          <w:cols w:equalWidth="0" w:num="1">
            <w:col w:w="11080"/>
          </w:cols>
          <w:pgMar w:left="320" w:top="456"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145" w:lineRule="exact"/>
        <w:rPr>
          <w:sz w:val="20"/>
          <w:szCs w:val="20"/>
          <w:color w:val="auto"/>
        </w:rPr>
      </w:pPr>
    </w:p>
    <w:tbl>
      <w:tblPr>
        <w:tblLayout w:type="fixed"/>
        <w:tblInd w:w="170" w:type="dxa"/>
        <w:tblCellMar>
          <w:top w:w="0" w:type="dxa"/>
          <w:left w:w="0" w:type="dxa"/>
          <w:bottom w:w="0" w:type="dxa"/>
          <w:right w:w="0" w:type="dxa"/>
        </w:tblCellMar>
      </w:tblPr>
      <w:tr>
        <w:trPr>
          <w:trHeight w:val="492"/>
        </w:trPr>
        <w:tc>
          <w:tcPr>
            <w:tcW w:w="200" w:type="dxa"/>
            <w:vAlign w:val="bottom"/>
            <w:tcBorders>
              <w:top w:val="single" w:sz="8" w:color="auto"/>
              <w:left w:val="single" w:sz="8" w:color="auto"/>
            </w:tcBorders>
          </w:tcPr>
          <w:p>
            <w:pPr>
              <w:spacing w:after="0"/>
              <w:rPr>
                <w:sz w:val="24"/>
                <w:szCs w:val="24"/>
                <w:color w:val="auto"/>
              </w:rPr>
            </w:pPr>
          </w:p>
        </w:tc>
        <w:tc>
          <w:tcPr>
            <w:tcW w:w="1072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25"/>
                <w:szCs w:val="25"/>
                <w:b w:val="1"/>
                <w:bCs w:val="1"/>
                <w:color w:val="021496"/>
              </w:rPr>
              <w:t>2021 Performance Overview</w:t>
            </w:r>
          </w:p>
        </w:tc>
        <w:tc>
          <w:tcPr>
            <w:tcW w:w="0" w:type="dxa"/>
            <w:vAlign w:val="bottom"/>
          </w:tcPr>
          <w:p>
            <w:pPr>
              <w:spacing w:after="0"/>
              <w:rPr>
                <w:sz w:val="1"/>
                <w:szCs w:val="1"/>
                <w:color w:val="auto"/>
              </w:rPr>
            </w:pPr>
          </w:p>
        </w:tc>
      </w:tr>
      <w:tr>
        <w:trPr>
          <w:trHeight w:val="234"/>
        </w:trPr>
        <w:tc>
          <w:tcPr>
            <w:tcW w:w="200" w:type="dxa"/>
            <w:vAlign w:val="bottom"/>
            <w:tcBorders>
              <w:left w:val="single" w:sz="8" w:color="auto"/>
            </w:tcBorders>
          </w:tcPr>
          <w:p>
            <w:pPr>
              <w:spacing w:after="0"/>
              <w:rPr>
                <w:sz w:val="20"/>
                <w:szCs w:val="20"/>
                <w:color w:val="auto"/>
              </w:rPr>
            </w:pPr>
          </w:p>
        </w:tc>
        <w:tc>
          <w:tcPr>
            <w:tcW w:w="2520" w:type="dxa"/>
            <w:vAlign w:val="bottom"/>
            <w:tcBorders>
              <w:bottom w:val="single" w:sz="8" w:color="021496"/>
            </w:tcBorders>
          </w:tcPr>
          <w:p>
            <w:pPr>
              <w:spacing w:after="0"/>
              <w:rPr>
                <w:sz w:val="20"/>
                <w:szCs w:val="20"/>
                <w:color w:val="auto"/>
              </w:rPr>
            </w:pPr>
          </w:p>
        </w:tc>
        <w:tc>
          <w:tcPr>
            <w:tcW w:w="8040" w:type="dxa"/>
            <w:vAlign w:val="bottom"/>
            <w:tcBorders>
              <w:bottom w:val="single" w:sz="8" w:color="021496"/>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0" w:type="dxa"/>
            <w:vAlign w:val="bottom"/>
            <w:tcBorders>
              <w:left w:val="single" w:sz="8" w:color="auto"/>
              <w:right w:val="single" w:sz="8" w:color="021496"/>
            </w:tcBorders>
          </w:tcPr>
          <w:p>
            <w:pPr>
              <w:spacing w:after="0"/>
              <w:rPr>
                <w:sz w:val="21"/>
                <w:szCs w:val="21"/>
                <w:color w:val="auto"/>
              </w:rPr>
            </w:pPr>
          </w:p>
        </w:tc>
        <w:tc>
          <w:tcPr>
            <w:tcW w:w="2520" w:type="dxa"/>
            <w:vAlign w:val="bottom"/>
            <w:tcBorders>
              <w:right w:val="single" w:sz="8" w:color="021496"/>
            </w:tcBorders>
            <w:shd w:val="clear" w:color="auto" w:fill="EAEFED"/>
          </w:tcPr>
          <w:p>
            <w:pPr>
              <w:spacing w:after="0"/>
              <w:rPr>
                <w:sz w:val="21"/>
                <w:szCs w:val="21"/>
                <w:color w:val="auto"/>
              </w:rPr>
            </w:pPr>
          </w:p>
        </w:tc>
        <w:tc>
          <w:tcPr>
            <w:tcW w:w="8040" w:type="dxa"/>
            <w:vAlign w:val="bottom"/>
            <w:tcBorders>
              <w:right w:val="single" w:sz="8" w:color="021496"/>
            </w:tcBorders>
          </w:tcPr>
          <w:p>
            <w:pPr>
              <w:ind w:left="440"/>
              <w:spacing w:after="0"/>
              <w:rPr>
                <w:sz w:val="20"/>
                <w:szCs w:val="20"/>
                <w:color w:val="auto"/>
              </w:rPr>
            </w:pPr>
            <w:r>
              <w:rPr>
                <w:rFonts w:ascii="Arial" w:cs="Arial" w:eastAsia="Arial" w:hAnsi="Arial"/>
                <w:sz w:val="16"/>
                <w:szCs w:val="16"/>
                <w:color w:val="auto"/>
              </w:rPr>
              <w:t xml:space="preserve">•  In 2021, we completed </w:t>
            </w:r>
            <w:r>
              <w:rPr>
                <w:rFonts w:ascii="Arial" w:cs="Arial" w:eastAsia="Arial" w:hAnsi="Arial"/>
                <w:sz w:val="16"/>
                <w:szCs w:val="16"/>
                <w:b w:val="1"/>
                <w:bCs w:val="1"/>
                <w:color w:val="021496"/>
              </w:rPr>
              <w:t>9 acquisitions</w:t>
            </w:r>
            <w:r>
              <w:rPr>
                <w:rFonts w:ascii="Arial" w:cs="Arial" w:eastAsia="Arial" w:hAnsi="Arial"/>
                <w:sz w:val="16"/>
                <w:szCs w:val="16"/>
                <w:color w:val="auto"/>
              </w:rPr>
              <w:t>. The acquisitions of Acme Cryogenics, Inc. (“Acme</w:t>
            </w: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0" w:type="dxa"/>
            <w:vAlign w:val="bottom"/>
            <w:tcBorders>
              <w:left w:val="single" w:sz="8" w:color="auto"/>
              <w:right w:val="single" w:sz="8" w:color="021496"/>
            </w:tcBorders>
          </w:tcPr>
          <w:p>
            <w:pPr>
              <w:spacing w:after="0"/>
              <w:rPr>
                <w:sz w:val="14"/>
                <w:szCs w:val="14"/>
                <w:color w:val="auto"/>
              </w:rPr>
            </w:pPr>
          </w:p>
        </w:tc>
        <w:tc>
          <w:tcPr>
            <w:tcW w:w="2520" w:type="dxa"/>
            <w:vAlign w:val="bottom"/>
            <w:tcBorders>
              <w:right w:val="single" w:sz="8" w:color="021496"/>
            </w:tcBorders>
            <w:shd w:val="clear" w:color="auto" w:fill="EAEFED"/>
          </w:tcPr>
          <w:p>
            <w:pPr>
              <w:spacing w:after="0"/>
              <w:rPr>
                <w:sz w:val="14"/>
                <w:szCs w:val="14"/>
                <w:color w:val="auto"/>
              </w:rPr>
            </w:pPr>
          </w:p>
        </w:tc>
        <w:tc>
          <w:tcPr>
            <w:tcW w:w="8040" w:type="dxa"/>
            <w:vAlign w:val="bottom"/>
            <w:tcBorders>
              <w:right w:val="single" w:sz="8" w:color="021496"/>
            </w:tcBorders>
          </w:tcPr>
          <w:p>
            <w:pPr>
              <w:ind w:left="660"/>
              <w:spacing w:after="0" w:line="168" w:lineRule="exact"/>
              <w:rPr>
                <w:sz w:val="20"/>
                <w:szCs w:val="20"/>
                <w:color w:val="auto"/>
              </w:rPr>
            </w:pPr>
            <w:r>
              <w:rPr>
                <w:rFonts w:ascii="Arial" w:cs="Arial" w:eastAsia="Arial" w:hAnsi="Arial"/>
                <w:sz w:val="16"/>
                <w:szCs w:val="16"/>
                <w:color w:val="auto"/>
              </w:rPr>
              <w:t>Cryogenics”), Engineered Controls International, LLC (“RegO”) and LIQAL B.V. (“LIQAL”) within the</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 xml:space="preserve">Clean Energy &amp; Fueling segment </w:t>
            </w:r>
            <w:r>
              <w:rPr>
                <w:rFonts w:ascii="Arial" w:cs="Arial" w:eastAsia="Arial" w:hAnsi="Arial"/>
                <w:sz w:val="16"/>
                <w:szCs w:val="16"/>
                <w:b w:val="1"/>
                <w:bCs w:val="1"/>
                <w:color w:val="021496"/>
              </w:rPr>
              <w:t>complement our existing operations and expand our evolving</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 w:type="dxa"/>
            <w:vAlign w:val="bottom"/>
            <w:tcBorders>
              <w:left w:val="single" w:sz="8" w:color="auto"/>
              <w:right w:val="single" w:sz="8" w:color="021496"/>
            </w:tcBorders>
          </w:tcPr>
          <w:p>
            <w:pPr>
              <w:spacing w:after="0"/>
              <w:rPr>
                <w:sz w:val="18"/>
                <w:szCs w:val="18"/>
                <w:color w:val="auto"/>
              </w:rPr>
            </w:pPr>
          </w:p>
        </w:tc>
        <w:tc>
          <w:tcPr>
            <w:tcW w:w="2520" w:type="dxa"/>
            <w:vAlign w:val="bottom"/>
            <w:tcBorders>
              <w:right w:val="single" w:sz="8" w:color="021496"/>
            </w:tcBorders>
            <w:shd w:val="clear" w:color="auto" w:fill="EAEFED"/>
          </w:tcPr>
          <w:p>
            <w:pPr>
              <w:spacing w:after="0"/>
              <w:rPr>
                <w:sz w:val="18"/>
                <w:szCs w:val="18"/>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b w:val="1"/>
                <w:bCs w:val="1"/>
                <w:color w:val="021496"/>
              </w:rPr>
              <w:t>fueling portfolio toward clean energy</w:t>
            </w:r>
            <w:r>
              <w:rPr>
                <w:rFonts w:ascii="Arial" w:cs="Arial" w:eastAsia="Arial" w:hAnsi="Arial"/>
                <w:sz w:val="16"/>
                <w:szCs w:val="16"/>
                <w:color w:val="000000"/>
              </w:rPr>
              <w:t>.</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0" w:type="dxa"/>
            <w:vAlign w:val="bottom"/>
            <w:tcBorders>
              <w:left w:val="single" w:sz="8" w:color="auto"/>
              <w:right w:val="single" w:sz="8" w:color="021496"/>
            </w:tcBorders>
          </w:tcPr>
          <w:p>
            <w:pPr>
              <w:spacing w:after="0"/>
              <w:rPr>
                <w:sz w:val="22"/>
                <w:szCs w:val="22"/>
                <w:color w:val="auto"/>
              </w:rPr>
            </w:pPr>
          </w:p>
        </w:tc>
        <w:tc>
          <w:tcPr>
            <w:tcW w:w="2520" w:type="dxa"/>
            <w:vAlign w:val="bottom"/>
            <w:tcBorders>
              <w:right w:val="single" w:sz="8" w:color="021496"/>
            </w:tcBorders>
            <w:vMerge w:val="restart"/>
            <w:shd w:val="clear" w:color="auto" w:fill="EAEFED"/>
          </w:tcPr>
          <w:p>
            <w:pPr>
              <w:jc w:val="center"/>
              <w:ind w:left="134"/>
              <w:spacing w:after="0"/>
              <w:rPr>
                <w:sz w:val="20"/>
                <w:szCs w:val="20"/>
                <w:color w:val="auto"/>
              </w:rPr>
            </w:pPr>
            <w:r>
              <w:rPr>
                <w:rFonts w:ascii="Arial" w:cs="Arial" w:eastAsia="Arial" w:hAnsi="Arial"/>
                <w:sz w:val="16"/>
                <w:szCs w:val="16"/>
                <w:b w:val="1"/>
                <w:bCs w:val="1"/>
                <w:color w:val="auto"/>
              </w:rPr>
              <w:t>Portfolio &amp; Strategic Actions</w:t>
            </w:r>
          </w:p>
        </w:tc>
        <w:tc>
          <w:tcPr>
            <w:tcW w:w="8040" w:type="dxa"/>
            <w:vAlign w:val="bottom"/>
            <w:tcBorders>
              <w:right w:val="single" w:sz="8" w:color="021496"/>
            </w:tcBorders>
          </w:tcPr>
          <w:p>
            <w:pPr>
              <w:ind w:left="440"/>
              <w:spacing w:after="0"/>
              <w:rPr>
                <w:sz w:val="20"/>
                <w:szCs w:val="20"/>
                <w:color w:val="auto"/>
              </w:rPr>
            </w:pPr>
            <w:r>
              <w:rPr>
                <w:rFonts w:ascii="Arial" w:cs="Arial" w:eastAsia="Arial" w:hAnsi="Arial"/>
                <w:sz w:val="16"/>
                <w:szCs w:val="16"/>
                <w:color w:val="auto"/>
              </w:rPr>
              <w:t>•  As part of the regular review of our portfolio and the fit of our businesses, we completed the sale of</w:t>
            </w:r>
          </w:p>
        </w:tc>
        <w:tc>
          <w:tcPr>
            <w:tcW w:w="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vMerge w:val="continue"/>
            <w:shd w:val="clear" w:color="auto" w:fill="EAEFED"/>
          </w:tcPr>
          <w:p>
            <w:pPr>
              <w:spacing w:after="0"/>
              <w:rPr>
                <w:sz w:val="16"/>
                <w:szCs w:val="16"/>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Unified Brands within the Climate &amp; Sustainability Technologies segment and our Race Winning Brands</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equity method investment within the Engineered Products segment.</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00" w:type="dxa"/>
            <w:vAlign w:val="bottom"/>
            <w:tcBorders>
              <w:left w:val="single" w:sz="8" w:color="auto"/>
              <w:right w:val="single" w:sz="8" w:color="021496"/>
            </w:tcBorders>
          </w:tcPr>
          <w:p>
            <w:pPr>
              <w:spacing w:after="0"/>
              <w:rPr>
                <w:sz w:val="22"/>
                <w:szCs w:val="22"/>
                <w:color w:val="auto"/>
              </w:rPr>
            </w:pPr>
          </w:p>
        </w:tc>
        <w:tc>
          <w:tcPr>
            <w:tcW w:w="2520" w:type="dxa"/>
            <w:vAlign w:val="bottom"/>
            <w:tcBorders>
              <w:right w:val="single" w:sz="8" w:color="021496"/>
            </w:tcBorders>
            <w:shd w:val="clear" w:color="auto" w:fill="EAEFED"/>
          </w:tcPr>
          <w:p>
            <w:pPr>
              <w:spacing w:after="0"/>
              <w:rPr>
                <w:sz w:val="22"/>
                <w:szCs w:val="22"/>
                <w:color w:val="auto"/>
              </w:rPr>
            </w:pPr>
          </w:p>
        </w:tc>
        <w:tc>
          <w:tcPr>
            <w:tcW w:w="8040" w:type="dxa"/>
            <w:vAlign w:val="bottom"/>
            <w:tcBorders>
              <w:right w:val="single" w:sz="8" w:color="021496"/>
            </w:tcBorders>
          </w:tcPr>
          <w:p>
            <w:pPr>
              <w:ind w:left="440"/>
              <w:spacing w:after="0"/>
              <w:rPr>
                <w:sz w:val="20"/>
                <w:szCs w:val="20"/>
                <w:color w:val="auto"/>
              </w:rPr>
            </w:pPr>
            <w:r>
              <w:rPr>
                <w:rFonts w:ascii="Arial" w:cs="Arial" w:eastAsia="Arial" w:hAnsi="Arial"/>
                <w:sz w:val="16"/>
                <w:szCs w:val="16"/>
                <w:color w:val="auto"/>
              </w:rPr>
              <w:t>•  In recognition of recent portfolio changes, we recently changed the name of the Fueling Solutions</w:t>
            </w:r>
          </w:p>
        </w:tc>
        <w:tc>
          <w:tcPr>
            <w:tcW w:w="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segment to “Clean Energy &amp; Fueling,” and the Refrigeration &amp; Food Equipment segment to “Climate &amp;</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Sustainability Technologies” to better reflect the markets and customers served by the businesses</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within these segments.</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00" w:type="dxa"/>
            <w:vAlign w:val="bottom"/>
            <w:tcBorders>
              <w:left w:val="single" w:sz="8" w:color="auto"/>
              <w:right w:val="single" w:sz="8" w:color="021496"/>
            </w:tcBorders>
          </w:tcPr>
          <w:p>
            <w:pPr>
              <w:spacing w:after="0"/>
              <w:rPr>
                <w:sz w:val="7"/>
                <w:szCs w:val="7"/>
                <w:color w:val="auto"/>
              </w:rPr>
            </w:pPr>
          </w:p>
        </w:tc>
        <w:tc>
          <w:tcPr>
            <w:tcW w:w="2520" w:type="dxa"/>
            <w:vAlign w:val="bottom"/>
            <w:tcBorders>
              <w:bottom w:val="single" w:sz="8" w:color="021496"/>
              <w:right w:val="single" w:sz="8" w:color="021496"/>
            </w:tcBorders>
            <w:shd w:val="clear" w:color="auto" w:fill="EAEFED"/>
          </w:tcPr>
          <w:p>
            <w:pPr>
              <w:spacing w:after="0"/>
              <w:rPr>
                <w:sz w:val="7"/>
                <w:szCs w:val="7"/>
                <w:color w:val="auto"/>
              </w:rPr>
            </w:pPr>
          </w:p>
        </w:tc>
        <w:tc>
          <w:tcPr>
            <w:tcW w:w="8040" w:type="dxa"/>
            <w:vAlign w:val="bottom"/>
            <w:tcBorders>
              <w:bottom w:val="single" w:sz="8" w:color="021496"/>
              <w:right w:val="single" w:sz="8" w:color="021496"/>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200" w:type="dxa"/>
            <w:vAlign w:val="bottom"/>
            <w:tcBorders>
              <w:left w:val="single" w:sz="8" w:color="auto"/>
              <w:right w:val="single" w:sz="8" w:color="021496"/>
            </w:tcBorders>
          </w:tcPr>
          <w:p>
            <w:pPr>
              <w:spacing w:after="0"/>
              <w:rPr>
                <w:sz w:val="24"/>
                <w:szCs w:val="24"/>
                <w:color w:val="auto"/>
              </w:rPr>
            </w:pPr>
          </w:p>
        </w:tc>
        <w:tc>
          <w:tcPr>
            <w:tcW w:w="2520" w:type="dxa"/>
            <w:vAlign w:val="bottom"/>
            <w:tcBorders>
              <w:right w:val="single" w:sz="8" w:color="021496"/>
            </w:tcBorders>
            <w:shd w:val="clear" w:color="auto" w:fill="EAEFED"/>
          </w:tcPr>
          <w:p>
            <w:pPr>
              <w:spacing w:after="0"/>
              <w:rPr>
                <w:sz w:val="24"/>
                <w:szCs w:val="24"/>
                <w:color w:val="auto"/>
              </w:rPr>
            </w:pPr>
          </w:p>
        </w:tc>
        <w:tc>
          <w:tcPr>
            <w:tcW w:w="8040" w:type="dxa"/>
            <w:vAlign w:val="bottom"/>
            <w:tcBorders>
              <w:right w:val="single" w:sz="8" w:color="021496"/>
            </w:tcBorders>
          </w:tcPr>
          <w:p>
            <w:pPr>
              <w:ind w:left="4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021496"/>
              </w:rPr>
              <w:t>Increased revenue, profitability, and earnings per share</w:t>
            </w:r>
            <w:r>
              <w:rPr>
                <w:rFonts w:ascii="Arial" w:cs="Arial" w:eastAsia="Arial" w:hAnsi="Arial"/>
                <w:sz w:val="16"/>
                <w:szCs w:val="16"/>
                <w:color w:val="auto"/>
              </w:rPr>
              <w:t xml:space="preserve"> despite a challenging global business</w:t>
            </w: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environment caused by COVID-19.</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0" w:type="dxa"/>
            <w:vAlign w:val="bottom"/>
            <w:tcBorders>
              <w:left w:val="single" w:sz="8" w:color="auto"/>
              <w:right w:val="single" w:sz="8" w:color="021496"/>
            </w:tcBorders>
          </w:tcPr>
          <w:p>
            <w:pPr>
              <w:spacing w:after="0"/>
              <w:rPr>
                <w:sz w:val="20"/>
                <w:szCs w:val="20"/>
                <w:color w:val="auto"/>
              </w:rPr>
            </w:pPr>
          </w:p>
        </w:tc>
        <w:tc>
          <w:tcPr>
            <w:tcW w:w="2520" w:type="dxa"/>
            <w:vAlign w:val="bottom"/>
            <w:tcBorders>
              <w:right w:val="single" w:sz="8" w:color="021496"/>
            </w:tcBorders>
            <w:shd w:val="clear" w:color="auto" w:fill="EAEFED"/>
          </w:tcPr>
          <w:p>
            <w:pPr>
              <w:spacing w:after="0"/>
              <w:rPr>
                <w:sz w:val="20"/>
                <w:szCs w:val="20"/>
                <w:color w:val="auto"/>
              </w:rPr>
            </w:pPr>
          </w:p>
        </w:tc>
        <w:tc>
          <w:tcPr>
            <w:tcW w:w="8040" w:type="dxa"/>
            <w:vAlign w:val="bottom"/>
            <w:tcBorders>
              <w:right w:val="single" w:sz="8" w:color="021496"/>
            </w:tcBorders>
          </w:tcPr>
          <w:p>
            <w:pPr>
              <w:ind w:left="440"/>
              <w:spacing w:after="0"/>
              <w:rPr>
                <w:sz w:val="20"/>
                <w:szCs w:val="20"/>
                <w:color w:val="auto"/>
              </w:rPr>
            </w:pPr>
            <w:r>
              <w:rPr>
                <w:rFonts w:ascii="Arial" w:cs="Arial" w:eastAsia="Arial" w:hAnsi="Arial"/>
                <w:sz w:val="16"/>
                <w:szCs w:val="16"/>
                <w:color w:val="auto"/>
              </w:rPr>
              <w:t xml:space="preserve">•  We continued to execute on our </w:t>
            </w:r>
            <w:r>
              <w:rPr>
                <w:rFonts w:ascii="Arial" w:cs="Arial" w:eastAsia="Arial" w:hAnsi="Arial"/>
                <w:sz w:val="16"/>
                <w:szCs w:val="16"/>
                <w:b w:val="1"/>
                <w:bCs w:val="1"/>
                <w:color w:val="021496"/>
              </w:rPr>
              <w:t>broad-based multi-year efficiency and margin expansion</w:t>
            </w: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0" w:type="dxa"/>
            <w:vAlign w:val="bottom"/>
            <w:tcBorders>
              <w:left w:val="single" w:sz="8" w:color="auto"/>
              <w:right w:val="single" w:sz="8" w:color="021496"/>
            </w:tcBorders>
          </w:tcPr>
          <w:p>
            <w:pPr>
              <w:spacing w:after="0"/>
              <w:rPr>
                <w:sz w:val="18"/>
                <w:szCs w:val="18"/>
                <w:color w:val="auto"/>
              </w:rPr>
            </w:pPr>
          </w:p>
        </w:tc>
        <w:tc>
          <w:tcPr>
            <w:tcW w:w="2520" w:type="dxa"/>
            <w:vAlign w:val="bottom"/>
            <w:tcBorders>
              <w:right w:val="single" w:sz="8" w:color="021496"/>
            </w:tcBorders>
            <w:shd w:val="clear" w:color="auto" w:fill="EAEFED"/>
          </w:tcPr>
          <w:p>
            <w:pPr>
              <w:spacing w:after="0"/>
              <w:rPr>
                <w:sz w:val="18"/>
                <w:szCs w:val="18"/>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b w:val="1"/>
                <w:bCs w:val="1"/>
                <w:color w:val="021496"/>
              </w:rPr>
              <w:t>program</w:t>
            </w:r>
            <w:r>
              <w:rPr>
                <w:rFonts w:ascii="Arial" w:cs="Arial" w:eastAsia="Arial" w:hAnsi="Arial"/>
                <w:sz w:val="16"/>
                <w:szCs w:val="16"/>
                <w:color w:val="000000"/>
              </w:rPr>
              <w:t>, designed to reduce our selling, general and administrative cost base and rationalize our</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vMerge w:val="restart"/>
            <w:shd w:val="clear" w:color="auto" w:fill="EAEFED"/>
          </w:tcPr>
          <w:p>
            <w:pPr>
              <w:jc w:val="center"/>
              <w:ind w:left="134"/>
              <w:spacing w:after="0"/>
              <w:rPr>
                <w:sz w:val="20"/>
                <w:szCs w:val="20"/>
                <w:color w:val="auto"/>
              </w:rPr>
            </w:pPr>
            <w:r>
              <w:rPr>
                <w:rFonts w:ascii="Arial" w:cs="Arial" w:eastAsia="Arial" w:hAnsi="Arial"/>
                <w:sz w:val="16"/>
                <w:szCs w:val="16"/>
                <w:b w:val="1"/>
                <w:bCs w:val="1"/>
                <w:color w:val="auto"/>
              </w:rPr>
              <w:t>Strong Operational Execution</w:t>
            </w: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manufacturing and supply chain footprint across the portfolio.</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0" w:type="dxa"/>
            <w:vAlign w:val="bottom"/>
            <w:tcBorders>
              <w:left w:val="single" w:sz="8" w:color="auto"/>
              <w:right w:val="single" w:sz="8" w:color="021496"/>
            </w:tcBorders>
          </w:tcPr>
          <w:p>
            <w:pPr>
              <w:spacing w:after="0"/>
              <w:rPr>
                <w:sz w:val="12"/>
                <w:szCs w:val="12"/>
                <w:color w:val="auto"/>
              </w:rPr>
            </w:pPr>
          </w:p>
        </w:tc>
        <w:tc>
          <w:tcPr>
            <w:tcW w:w="2520" w:type="dxa"/>
            <w:vAlign w:val="bottom"/>
            <w:tcBorders>
              <w:right w:val="single" w:sz="8" w:color="021496"/>
            </w:tcBorders>
            <w:vMerge w:val="continue"/>
            <w:shd w:val="clear" w:color="auto" w:fill="EAEFED"/>
          </w:tcPr>
          <w:p>
            <w:pPr>
              <w:spacing w:after="0"/>
              <w:rPr>
                <w:sz w:val="12"/>
                <w:szCs w:val="12"/>
                <w:color w:val="auto"/>
              </w:rPr>
            </w:pPr>
          </w:p>
        </w:tc>
        <w:tc>
          <w:tcPr>
            <w:tcW w:w="8040" w:type="dxa"/>
            <w:vAlign w:val="bottom"/>
            <w:tcBorders>
              <w:right w:val="single" w:sz="8" w:color="021496"/>
            </w:tcBorders>
            <w:vMerge w:val="restart"/>
          </w:tcPr>
          <w:p>
            <w:pPr>
              <w:ind w:left="440"/>
              <w:spacing w:after="0"/>
              <w:rPr>
                <w:sz w:val="20"/>
                <w:szCs w:val="20"/>
                <w:color w:val="auto"/>
              </w:rPr>
            </w:pPr>
            <w:r>
              <w:rPr>
                <w:rFonts w:ascii="Arial" w:cs="Arial" w:eastAsia="Arial" w:hAnsi="Arial"/>
                <w:sz w:val="16"/>
                <w:szCs w:val="16"/>
                <w:color w:val="auto"/>
              </w:rPr>
              <w:t>•  Continuing to build upon our four enterprise capabilities in support of margin expansion initiatives.</w:t>
            </w: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0" w:type="dxa"/>
            <w:vAlign w:val="bottom"/>
            <w:tcBorders>
              <w:left w:val="single" w:sz="8" w:color="auto"/>
              <w:right w:val="single" w:sz="8" w:color="021496"/>
            </w:tcBorders>
          </w:tcPr>
          <w:p>
            <w:pPr>
              <w:spacing w:after="0"/>
              <w:rPr>
                <w:sz w:val="10"/>
                <w:szCs w:val="10"/>
                <w:color w:val="auto"/>
              </w:rPr>
            </w:pPr>
          </w:p>
        </w:tc>
        <w:tc>
          <w:tcPr>
            <w:tcW w:w="2520" w:type="dxa"/>
            <w:vAlign w:val="bottom"/>
            <w:tcBorders>
              <w:right w:val="single" w:sz="8" w:color="021496"/>
            </w:tcBorders>
            <w:vMerge w:val="restart"/>
            <w:shd w:val="clear" w:color="auto" w:fill="EAEFED"/>
          </w:tcPr>
          <w:p>
            <w:pPr>
              <w:jc w:val="center"/>
              <w:ind w:left="54"/>
              <w:spacing w:after="0"/>
              <w:rPr>
                <w:sz w:val="20"/>
                <w:szCs w:val="20"/>
                <w:color w:val="auto"/>
              </w:rPr>
            </w:pPr>
            <w:r>
              <w:rPr>
                <w:rFonts w:ascii="Arial" w:cs="Arial" w:eastAsia="Arial" w:hAnsi="Arial"/>
                <w:sz w:val="16"/>
                <w:szCs w:val="16"/>
                <w:b w:val="1"/>
                <w:bCs w:val="1"/>
                <w:color w:val="auto"/>
              </w:rPr>
              <w:t>and</w:t>
            </w:r>
          </w:p>
        </w:tc>
        <w:tc>
          <w:tcPr>
            <w:tcW w:w="8040" w:type="dxa"/>
            <w:vAlign w:val="bottom"/>
            <w:tcBorders>
              <w:right w:val="single" w:sz="8" w:color="021496"/>
            </w:tcBorders>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0" w:type="dxa"/>
            <w:vAlign w:val="bottom"/>
            <w:tcBorders>
              <w:left w:val="single" w:sz="8" w:color="auto"/>
              <w:right w:val="single" w:sz="8" w:color="021496"/>
            </w:tcBorders>
          </w:tcPr>
          <w:p>
            <w:pPr>
              <w:spacing w:after="0"/>
              <w:rPr>
                <w:sz w:val="5"/>
                <w:szCs w:val="5"/>
                <w:color w:val="auto"/>
              </w:rPr>
            </w:pPr>
          </w:p>
        </w:tc>
        <w:tc>
          <w:tcPr>
            <w:tcW w:w="2520" w:type="dxa"/>
            <w:vAlign w:val="bottom"/>
            <w:tcBorders>
              <w:right w:val="single" w:sz="8" w:color="021496"/>
            </w:tcBorders>
            <w:vMerge w:val="continue"/>
            <w:shd w:val="clear" w:color="auto" w:fill="EAEFED"/>
          </w:tcPr>
          <w:p>
            <w:pPr>
              <w:spacing w:after="0"/>
              <w:rPr>
                <w:sz w:val="5"/>
                <w:szCs w:val="5"/>
                <w:color w:val="auto"/>
              </w:rPr>
            </w:pPr>
          </w:p>
        </w:tc>
        <w:tc>
          <w:tcPr>
            <w:tcW w:w="8040" w:type="dxa"/>
            <w:vAlign w:val="bottom"/>
            <w:tcBorders>
              <w:right w:val="single" w:sz="8" w:color="021496"/>
            </w:tcBorders>
            <w:vMerge w:val="restart"/>
          </w:tcPr>
          <w:p>
            <w:pPr>
              <w:ind w:left="760"/>
              <w:spacing w:after="0"/>
              <w:rPr>
                <w:sz w:val="20"/>
                <w:szCs w:val="20"/>
                <w:color w:val="auto"/>
              </w:rPr>
            </w:pPr>
            <w:r>
              <w:rPr>
                <w:rFonts w:ascii="Arial" w:cs="Arial" w:eastAsia="Arial" w:hAnsi="Arial"/>
                <w:sz w:val="16"/>
                <w:szCs w:val="16"/>
                <w:color w:val="auto"/>
              </w:rPr>
              <w:t xml:space="preserve">-   We are continuing to (1) leverage our </w:t>
            </w:r>
            <w:r>
              <w:rPr>
                <w:rFonts w:ascii="Arial" w:cs="Arial" w:eastAsia="Arial" w:hAnsi="Arial"/>
                <w:sz w:val="16"/>
                <w:szCs w:val="16"/>
                <w:b w:val="1"/>
                <w:bCs w:val="1"/>
                <w:color w:val="021496"/>
              </w:rPr>
              <w:t>Digital Labs team to improve our internal and market-</w:t>
            </w:r>
          </w:p>
        </w:tc>
        <w:tc>
          <w:tcPr>
            <w:tcW w:w="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0" w:type="dxa"/>
            <w:vAlign w:val="bottom"/>
            <w:tcBorders>
              <w:left w:val="single" w:sz="8" w:color="auto"/>
              <w:right w:val="single" w:sz="8" w:color="021496"/>
            </w:tcBorders>
          </w:tcPr>
          <w:p>
            <w:pPr>
              <w:spacing w:after="0"/>
              <w:rPr>
                <w:sz w:val="15"/>
                <w:szCs w:val="15"/>
                <w:color w:val="auto"/>
              </w:rPr>
            </w:pPr>
          </w:p>
        </w:tc>
        <w:tc>
          <w:tcPr>
            <w:tcW w:w="2520" w:type="dxa"/>
            <w:vAlign w:val="bottom"/>
            <w:tcBorders>
              <w:right w:val="single" w:sz="8" w:color="021496"/>
            </w:tcBorders>
            <w:shd w:val="clear" w:color="auto" w:fill="EAEFED"/>
          </w:tcPr>
          <w:p>
            <w:pPr>
              <w:jc w:val="center"/>
              <w:ind w:left="154"/>
              <w:spacing w:after="0" w:line="174" w:lineRule="exact"/>
              <w:rPr>
                <w:sz w:val="20"/>
                <w:szCs w:val="20"/>
                <w:color w:val="auto"/>
              </w:rPr>
            </w:pPr>
            <w:r>
              <w:rPr>
                <w:rFonts w:ascii="Arial" w:cs="Arial" w:eastAsia="Arial" w:hAnsi="Arial"/>
                <w:sz w:val="16"/>
                <w:szCs w:val="16"/>
                <w:b w:val="1"/>
                <w:bCs w:val="1"/>
                <w:color w:val="auto"/>
                <w:w w:val="99"/>
              </w:rPr>
              <w:t>Profitability</w:t>
            </w:r>
          </w:p>
        </w:tc>
        <w:tc>
          <w:tcPr>
            <w:tcW w:w="8040" w:type="dxa"/>
            <w:vAlign w:val="bottom"/>
            <w:tcBorders>
              <w:right w:val="single" w:sz="8" w:color="021496"/>
            </w:tcBorders>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1080"/>
              <w:spacing w:after="0"/>
              <w:rPr>
                <w:sz w:val="20"/>
                <w:szCs w:val="20"/>
                <w:color w:val="auto"/>
              </w:rPr>
            </w:pPr>
            <w:r>
              <w:rPr>
                <w:rFonts w:ascii="Arial" w:cs="Arial" w:eastAsia="Arial" w:hAnsi="Arial"/>
                <w:sz w:val="16"/>
                <w:szCs w:val="16"/>
                <w:b w:val="1"/>
                <w:bCs w:val="1"/>
                <w:color w:val="021496"/>
              </w:rPr>
              <w:t>facing digital capabilities</w:t>
            </w:r>
            <w:r>
              <w:rPr>
                <w:rFonts w:ascii="Arial" w:cs="Arial" w:eastAsia="Arial" w:hAnsi="Arial"/>
                <w:sz w:val="16"/>
                <w:szCs w:val="16"/>
                <w:color w:val="000000"/>
              </w:rPr>
              <w:t>, (2) improve</w:t>
            </w:r>
            <w:r>
              <w:rPr>
                <w:rFonts w:ascii="Arial" w:cs="Arial" w:eastAsia="Arial" w:hAnsi="Arial"/>
                <w:sz w:val="16"/>
                <w:szCs w:val="16"/>
                <w:b w:val="1"/>
                <w:bCs w:val="1"/>
                <w:color w:val="021496"/>
              </w:rPr>
              <w:t xml:space="preserve"> utilization and optimization of our manufacturing</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1080"/>
              <w:spacing w:after="0"/>
              <w:rPr>
                <w:sz w:val="20"/>
                <w:szCs w:val="20"/>
                <w:color w:val="auto"/>
              </w:rPr>
            </w:pPr>
            <w:r>
              <w:rPr>
                <w:rFonts w:ascii="Arial" w:cs="Arial" w:eastAsia="Arial" w:hAnsi="Arial"/>
                <w:sz w:val="16"/>
                <w:szCs w:val="16"/>
                <w:b w:val="1"/>
                <w:bCs w:val="1"/>
                <w:color w:val="021496"/>
              </w:rPr>
              <w:t>footprint through centralized resources and investment</w:t>
            </w:r>
            <w:r>
              <w:rPr>
                <w:rFonts w:ascii="Arial" w:cs="Arial" w:eastAsia="Arial" w:hAnsi="Arial"/>
                <w:sz w:val="16"/>
                <w:szCs w:val="16"/>
                <w:color w:val="000000"/>
              </w:rPr>
              <w:t>, (3) further</w:t>
            </w:r>
            <w:r>
              <w:rPr>
                <w:rFonts w:ascii="Arial" w:cs="Arial" w:eastAsia="Arial" w:hAnsi="Arial"/>
                <w:sz w:val="16"/>
                <w:szCs w:val="16"/>
                <w:b w:val="1"/>
                <w:bCs w:val="1"/>
                <w:color w:val="021496"/>
              </w:rPr>
              <w:t xml:space="preserve"> centralize shared</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1080"/>
              <w:spacing w:after="0"/>
              <w:rPr>
                <w:sz w:val="20"/>
                <w:szCs w:val="20"/>
                <w:color w:val="auto"/>
              </w:rPr>
            </w:pPr>
            <w:r>
              <w:rPr>
                <w:rFonts w:ascii="Arial" w:cs="Arial" w:eastAsia="Arial" w:hAnsi="Arial"/>
                <w:sz w:val="16"/>
                <w:szCs w:val="16"/>
                <w:b w:val="1"/>
                <w:bCs w:val="1"/>
                <w:color w:val="021496"/>
              </w:rPr>
              <w:t xml:space="preserve">services </w:t>
            </w:r>
            <w:r>
              <w:rPr>
                <w:rFonts w:ascii="Arial" w:cs="Arial" w:eastAsia="Arial" w:hAnsi="Arial"/>
                <w:sz w:val="16"/>
                <w:szCs w:val="16"/>
                <w:color w:val="000000"/>
              </w:rPr>
              <w:t>under Dover Business Services, and (4) invest in our India Innovation Center shared</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 w:type="dxa"/>
            <w:vAlign w:val="bottom"/>
            <w:tcBorders>
              <w:left w:val="single" w:sz="8" w:color="auto"/>
              <w:right w:val="single" w:sz="8" w:color="021496"/>
            </w:tcBorders>
          </w:tcPr>
          <w:p>
            <w:pPr>
              <w:spacing w:after="0"/>
              <w:rPr>
                <w:sz w:val="18"/>
                <w:szCs w:val="18"/>
                <w:color w:val="auto"/>
              </w:rPr>
            </w:pPr>
          </w:p>
        </w:tc>
        <w:tc>
          <w:tcPr>
            <w:tcW w:w="2520" w:type="dxa"/>
            <w:vAlign w:val="bottom"/>
            <w:tcBorders>
              <w:right w:val="single" w:sz="8" w:color="021496"/>
            </w:tcBorders>
            <w:shd w:val="clear" w:color="auto" w:fill="EAEFED"/>
          </w:tcPr>
          <w:p>
            <w:pPr>
              <w:spacing w:after="0"/>
              <w:rPr>
                <w:sz w:val="18"/>
                <w:szCs w:val="18"/>
                <w:color w:val="auto"/>
              </w:rPr>
            </w:pPr>
          </w:p>
        </w:tc>
        <w:tc>
          <w:tcPr>
            <w:tcW w:w="8040" w:type="dxa"/>
            <w:vAlign w:val="bottom"/>
            <w:tcBorders>
              <w:right w:val="single" w:sz="8" w:color="021496"/>
            </w:tcBorders>
          </w:tcPr>
          <w:p>
            <w:pPr>
              <w:ind w:left="1080"/>
              <w:spacing w:after="0"/>
              <w:rPr>
                <w:sz w:val="20"/>
                <w:szCs w:val="20"/>
                <w:color w:val="auto"/>
              </w:rPr>
            </w:pPr>
            <w:r>
              <w:rPr>
                <w:rFonts w:ascii="Arial" w:cs="Arial" w:eastAsia="Arial" w:hAnsi="Arial"/>
                <w:sz w:val="16"/>
                <w:szCs w:val="16"/>
                <w:color w:val="auto"/>
              </w:rPr>
              <w:t xml:space="preserve">services with a focus on </w:t>
            </w:r>
            <w:r>
              <w:rPr>
                <w:rFonts w:ascii="Arial" w:cs="Arial" w:eastAsia="Arial" w:hAnsi="Arial"/>
                <w:sz w:val="16"/>
                <w:szCs w:val="16"/>
                <w:b w:val="1"/>
                <w:bCs w:val="1"/>
                <w:color w:val="021496"/>
              </w:rPr>
              <w:t>engineering capabilities</w:t>
            </w:r>
            <w:r>
              <w:rPr>
                <w:rFonts w:ascii="Arial" w:cs="Arial" w:eastAsia="Arial" w:hAnsi="Arial"/>
                <w:sz w:val="16"/>
                <w:szCs w:val="16"/>
                <w:color w:val="auto"/>
              </w:rPr>
              <w:t>.</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0" w:type="dxa"/>
            <w:vAlign w:val="bottom"/>
            <w:tcBorders>
              <w:left w:val="single" w:sz="8" w:color="auto"/>
              <w:right w:val="single" w:sz="8" w:color="021496"/>
            </w:tcBorders>
          </w:tcPr>
          <w:p>
            <w:pPr>
              <w:spacing w:after="0"/>
              <w:rPr>
                <w:sz w:val="23"/>
                <w:szCs w:val="23"/>
                <w:color w:val="auto"/>
              </w:rPr>
            </w:pPr>
          </w:p>
        </w:tc>
        <w:tc>
          <w:tcPr>
            <w:tcW w:w="2520" w:type="dxa"/>
            <w:vAlign w:val="bottom"/>
            <w:tcBorders>
              <w:right w:val="single" w:sz="8" w:color="021496"/>
            </w:tcBorders>
            <w:shd w:val="clear" w:color="auto" w:fill="EAEFED"/>
          </w:tcPr>
          <w:p>
            <w:pPr>
              <w:spacing w:after="0"/>
              <w:rPr>
                <w:sz w:val="23"/>
                <w:szCs w:val="23"/>
                <w:color w:val="auto"/>
              </w:rPr>
            </w:pPr>
          </w:p>
        </w:tc>
        <w:tc>
          <w:tcPr>
            <w:tcW w:w="8040" w:type="dxa"/>
            <w:vAlign w:val="bottom"/>
            <w:tcBorders>
              <w:right w:val="single" w:sz="8" w:color="021496"/>
            </w:tcBorders>
          </w:tcPr>
          <w:p>
            <w:pPr>
              <w:ind w:left="440"/>
              <w:spacing w:after="0"/>
              <w:rPr>
                <w:sz w:val="20"/>
                <w:szCs w:val="20"/>
                <w:color w:val="auto"/>
              </w:rPr>
            </w:pPr>
            <w:r>
              <w:rPr>
                <w:rFonts w:ascii="Arial" w:cs="Arial" w:eastAsia="Arial" w:hAnsi="Arial"/>
                <w:sz w:val="16"/>
                <w:szCs w:val="16"/>
                <w:color w:val="auto"/>
              </w:rPr>
              <w:t xml:space="preserve">•  Synergy capture from recent acquisitions presents </w:t>
            </w:r>
            <w:r>
              <w:rPr>
                <w:rFonts w:ascii="Arial" w:cs="Arial" w:eastAsia="Arial" w:hAnsi="Arial"/>
                <w:sz w:val="16"/>
                <w:szCs w:val="16"/>
                <w:b w:val="1"/>
                <w:bCs w:val="1"/>
                <w:color w:val="021496"/>
              </w:rPr>
              <w:t>additional margin upside</w:t>
            </w:r>
            <w:r>
              <w:rPr>
                <w:rFonts w:ascii="Arial" w:cs="Arial" w:eastAsia="Arial" w:hAnsi="Arial"/>
                <w:sz w:val="16"/>
                <w:szCs w:val="16"/>
                <w:b w:val="1"/>
                <w:bCs w:val="1"/>
                <w:color w:val="auto"/>
              </w:rPr>
              <w:t>.</w:t>
            </w:r>
          </w:p>
        </w:tc>
        <w:tc>
          <w:tcPr>
            <w:tcW w:w="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6"/>
        </w:trPr>
        <w:tc>
          <w:tcPr>
            <w:tcW w:w="200" w:type="dxa"/>
            <w:vAlign w:val="bottom"/>
            <w:tcBorders>
              <w:left w:val="single" w:sz="8" w:color="auto"/>
              <w:right w:val="single" w:sz="8" w:color="021496"/>
            </w:tcBorders>
          </w:tcPr>
          <w:p>
            <w:pPr>
              <w:spacing w:after="0"/>
              <w:rPr>
                <w:sz w:val="7"/>
                <w:szCs w:val="7"/>
                <w:color w:val="auto"/>
              </w:rPr>
            </w:pPr>
          </w:p>
        </w:tc>
        <w:tc>
          <w:tcPr>
            <w:tcW w:w="2520" w:type="dxa"/>
            <w:vAlign w:val="bottom"/>
            <w:tcBorders>
              <w:bottom w:val="single" w:sz="8" w:color="021496"/>
              <w:right w:val="single" w:sz="8" w:color="021496"/>
            </w:tcBorders>
            <w:shd w:val="clear" w:color="auto" w:fill="EAEFED"/>
          </w:tcPr>
          <w:p>
            <w:pPr>
              <w:spacing w:after="0"/>
              <w:rPr>
                <w:sz w:val="7"/>
                <w:szCs w:val="7"/>
                <w:color w:val="auto"/>
              </w:rPr>
            </w:pPr>
          </w:p>
        </w:tc>
        <w:tc>
          <w:tcPr>
            <w:tcW w:w="8040" w:type="dxa"/>
            <w:vAlign w:val="bottom"/>
            <w:tcBorders>
              <w:bottom w:val="single" w:sz="8" w:color="021496"/>
              <w:right w:val="single" w:sz="8" w:color="021496"/>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0" w:type="dxa"/>
            <w:vAlign w:val="bottom"/>
            <w:tcBorders>
              <w:left w:val="single" w:sz="8" w:color="auto"/>
              <w:right w:val="single" w:sz="8" w:color="021496"/>
            </w:tcBorders>
          </w:tcPr>
          <w:p>
            <w:pPr>
              <w:spacing w:after="0"/>
              <w:rPr>
                <w:sz w:val="21"/>
                <w:szCs w:val="21"/>
                <w:color w:val="auto"/>
              </w:rPr>
            </w:pPr>
          </w:p>
        </w:tc>
        <w:tc>
          <w:tcPr>
            <w:tcW w:w="2520" w:type="dxa"/>
            <w:vAlign w:val="bottom"/>
            <w:tcBorders>
              <w:right w:val="single" w:sz="8" w:color="021496"/>
            </w:tcBorders>
            <w:shd w:val="clear" w:color="auto" w:fill="EAEFED"/>
          </w:tcPr>
          <w:p>
            <w:pPr>
              <w:spacing w:after="0"/>
              <w:rPr>
                <w:sz w:val="21"/>
                <w:szCs w:val="21"/>
                <w:color w:val="auto"/>
              </w:rPr>
            </w:pPr>
          </w:p>
        </w:tc>
        <w:tc>
          <w:tcPr>
            <w:tcW w:w="8040" w:type="dxa"/>
            <w:vAlign w:val="bottom"/>
            <w:tcBorders>
              <w:right w:val="single" w:sz="8" w:color="021496"/>
            </w:tcBorders>
          </w:tcPr>
          <w:p>
            <w:pPr>
              <w:ind w:left="440"/>
              <w:spacing w:after="0"/>
              <w:rPr>
                <w:sz w:val="20"/>
                <w:szCs w:val="20"/>
                <w:color w:val="auto"/>
              </w:rPr>
            </w:pPr>
            <w:r>
              <w:rPr>
                <w:rFonts w:ascii="Arial" w:cs="Arial" w:eastAsia="Arial" w:hAnsi="Arial"/>
                <w:sz w:val="16"/>
                <w:szCs w:val="16"/>
                <w:color w:val="auto"/>
              </w:rPr>
              <w:t xml:space="preserve">•  We made </w:t>
            </w:r>
            <w:r>
              <w:rPr>
                <w:rFonts w:ascii="Arial" w:cs="Arial" w:eastAsia="Arial" w:hAnsi="Arial"/>
                <w:sz w:val="16"/>
                <w:szCs w:val="16"/>
                <w:b w:val="1"/>
                <w:bCs w:val="1"/>
                <w:color w:val="021496"/>
              </w:rPr>
              <w:t>9 strategic bolt-on acquisitions</w:t>
            </w:r>
            <w:r>
              <w:rPr>
                <w:rFonts w:ascii="Arial" w:cs="Arial" w:eastAsia="Arial" w:hAnsi="Arial"/>
                <w:sz w:val="16"/>
                <w:szCs w:val="16"/>
                <w:color w:val="auto"/>
              </w:rPr>
              <w:t xml:space="preserve"> — the most since 2016 — for an aggregate consideration</w:t>
            </w: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0" w:type="dxa"/>
            <w:vAlign w:val="bottom"/>
            <w:tcBorders>
              <w:left w:val="single" w:sz="8" w:color="auto"/>
              <w:right w:val="single" w:sz="8" w:color="021496"/>
            </w:tcBorders>
          </w:tcPr>
          <w:p>
            <w:pPr>
              <w:spacing w:after="0"/>
              <w:rPr>
                <w:sz w:val="14"/>
                <w:szCs w:val="14"/>
                <w:color w:val="auto"/>
              </w:rPr>
            </w:pPr>
          </w:p>
        </w:tc>
        <w:tc>
          <w:tcPr>
            <w:tcW w:w="2520" w:type="dxa"/>
            <w:vAlign w:val="bottom"/>
            <w:tcBorders>
              <w:right w:val="single" w:sz="8" w:color="021496"/>
            </w:tcBorders>
            <w:shd w:val="clear" w:color="auto" w:fill="EAEFED"/>
          </w:tcPr>
          <w:p>
            <w:pPr>
              <w:spacing w:after="0"/>
              <w:rPr>
                <w:sz w:val="14"/>
                <w:szCs w:val="14"/>
                <w:color w:val="auto"/>
              </w:rPr>
            </w:pPr>
          </w:p>
        </w:tc>
        <w:tc>
          <w:tcPr>
            <w:tcW w:w="8040" w:type="dxa"/>
            <w:vAlign w:val="bottom"/>
            <w:tcBorders>
              <w:right w:val="single" w:sz="8" w:color="021496"/>
            </w:tcBorders>
          </w:tcPr>
          <w:p>
            <w:pPr>
              <w:ind w:left="660"/>
              <w:spacing w:after="0" w:line="168" w:lineRule="exact"/>
              <w:rPr>
                <w:sz w:val="20"/>
                <w:szCs w:val="20"/>
                <w:color w:val="auto"/>
              </w:rPr>
            </w:pPr>
            <w:r>
              <w:rPr>
                <w:rFonts w:ascii="Arial" w:cs="Arial" w:eastAsia="Arial" w:hAnsi="Arial"/>
                <w:sz w:val="16"/>
                <w:szCs w:val="16"/>
                <w:color w:val="auto"/>
              </w:rPr>
              <w:t>of $1,125.1 million, net of cash acquired and including contingent consideration, that enhance our</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0" w:type="dxa"/>
            <w:vAlign w:val="bottom"/>
            <w:tcBorders>
              <w:left w:val="single" w:sz="8" w:color="auto"/>
              <w:right w:val="single" w:sz="8" w:color="021496"/>
            </w:tcBorders>
          </w:tcPr>
          <w:p>
            <w:pPr>
              <w:spacing w:after="0"/>
              <w:rPr>
                <w:sz w:val="18"/>
                <w:szCs w:val="18"/>
                <w:color w:val="auto"/>
              </w:rPr>
            </w:pPr>
          </w:p>
        </w:tc>
        <w:tc>
          <w:tcPr>
            <w:tcW w:w="2520" w:type="dxa"/>
            <w:vAlign w:val="bottom"/>
            <w:tcBorders>
              <w:right w:val="single" w:sz="8" w:color="021496"/>
            </w:tcBorders>
            <w:vMerge w:val="restart"/>
            <w:shd w:val="clear" w:color="auto" w:fill="EAEFED"/>
          </w:tcPr>
          <w:p>
            <w:pPr>
              <w:jc w:val="center"/>
              <w:ind w:left="54"/>
              <w:spacing w:after="0"/>
              <w:rPr>
                <w:sz w:val="20"/>
                <w:szCs w:val="20"/>
                <w:color w:val="auto"/>
              </w:rPr>
            </w:pPr>
            <w:r>
              <w:rPr>
                <w:rFonts w:ascii="Arial" w:cs="Arial" w:eastAsia="Arial" w:hAnsi="Arial"/>
                <w:sz w:val="16"/>
                <w:szCs w:val="16"/>
                <w:b w:val="1"/>
                <w:bCs w:val="1"/>
                <w:color w:val="auto"/>
              </w:rPr>
              <w:t>Disciplined</w:t>
            </w: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 xml:space="preserve">businesses </w:t>
            </w:r>
            <w:r>
              <w:rPr>
                <w:rFonts w:ascii="Arial" w:cs="Arial" w:eastAsia="Arial" w:hAnsi="Arial"/>
                <w:sz w:val="16"/>
                <w:szCs w:val="16"/>
                <w:b w:val="1"/>
                <w:bCs w:val="1"/>
                <w:color w:val="021496"/>
              </w:rPr>
              <w:t>with new capabilities and attractive end-market exposures</w:t>
            </w:r>
            <w:r>
              <w:rPr>
                <w:rFonts w:ascii="Arial" w:cs="Arial" w:eastAsia="Arial" w:hAnsi="Arial"/>
                <w:sz w:val="16"/>
                <w:szCs w:val="16"/>
                <w:color w:val="auto"/>
              </w:rPr>
              <w:t>.</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0" w:type="dxa"/>
            <w:vAlign w:val="bottom"/>
            <w:tcBorders>
              <w:left w:val="single" w:sz="8" w:color="auto"/>
              <w:right w:val="single" w:sz="8" w:color="021496"/>
            </w:tcBorders>
          </w:tcPr>
          <w:p>
            <w:pPr>
              <w:spacing w:after="0"/>
              <w:rPr>
                <w:sz w:val="5"/>
                <w:szCs w:val="5"/>
                <w:color w:val="auto"/>
              </w:rPr>
            </w:pPr>
          </w:p>
        </w:tc>
        <w:tc>
          <w:tcPr>
            <w:tcW w:w="2520" w:type="dxa"/>
            <w:vAlign w:val="bottom"/>
            <w:tcBorders>
              <w:right w:val="single" w:sz="8" w:color="021496"/>
            </w:tcBorders>
            <w:vMerge w:val="continue"/>
            <w:shd w:val="clear" w:color="auto" w:fill="EAEFED"/>
          </w:tcPr>
          <w:p>
            <w:pPr>
              <w:spacing w:after="0"/>
              <w:rPr>
                <w:sz w:val="5"/>
                <w:szCs w:val="5"/>
                <w:color w:val="auto"/>
              </w:rPr>
            </w:pPr>
          </w:p>
        </w:tc>
        <w:tc>
          <w:tcPr>
            <w:tcW w:w="8040" w:type="dxa"/>
            <w:vAlign w:val="bottom"/>
            <w:tcBorders>
              <w:right w:val="single" w:sz="8" w:color="021496"/>
            </w:tcBorders>
            <w:vMerge w:val="restart"/>
          </w:tcPr>
          <w:p>
            <w:pPr>
              <w:ind w:left="440"/>
              <w:spacing w:after="0"/>
              <w:rPr>
                <w:sz w:val="20"/>
                <w:szCs w:val="20"/>
                <w:color w:val="auto"/>
              </w:rPr>
            </w:pPr>
            <w:r>
              <w:rPr>
                <w:rFonts w:ascii="Arial" w:cs="Arial" w:eastAsia="Arial" w:hAnsi="Arial"/>
                <w:sz w:val="16"/>
                <w:szCs w:val="16"/>
                <w:color w:val="auto"/>
              </w:rPr>
              <w:t xml:space="preserve">•  We continued our </w:t>
            </w:r>
            <w:r>
              <w:rPr>
                <w:rFonts w:ascii="Arial" w:cs="Arial" w:eastAsia="Arial" w:hAnsi="Arial"/>
                <w:sz w:val="16"/>
                <w:szCs w:val="16"/>
                <w:b w:val="1"/>
                <w:bCs w:val="1"/>
                <w:color w:val="021496"/>
              </w:rPr>
              <w:t>history of providing regular capital returns to shareholders</w:t>
            </w:r>
            <w:r>
              <w:rPr>
                <w:rFonts w:ascii="Arial" w:cs="Arial" w:eastAsia="Arial" w:hAnsi="Arial"/>
                <w:sz w:val="16"/>
                <w:szCs w:val="16"/>
                <w:color w:val="auto"/>
              </w:rPr>
              <w:t xml:space="preserve"> by increasing our</w:t>
            </w:r>
          </w:p>
        </w:tc>
        <w:tc>
          <w:tcPr>
            <w:tcW w:w="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0" w:type="dxa"/>
            <w:vAlign w:val="bottom"/>
            <w:tcBorders>
              <w:left w:val="single" w:sz="8" w:color="auto"/>
              <w:right w:val="single" w:sz="8" w:color="021496"/>
            </w:tcBorders>
          </w:tcPr>
          <w:p>
            <w:pPr>
              <w:spacing w:after="0"/>
              <w:rPr>
                <w:sz w:val="15"/>
                <w:szCs w:val="15"/>
                <w:color w:val="auto"/>
              </w:rPr>
            </w:pPr>
          </w:p>
        </w:tc>
        <w:tc>
          <w:tcPr>
            <w:tcW w:w="2520" w:type="dxa"/>
            <w:vAlign w:val="bottom"/>
            <w:tcBorders>
              <w:right w:val="single" w:sz="8" w:color="021496"/>
            </w:tcBorders>
            <w:shd w:val="clear" w:color="auto" w:fill="EAEFED"/>
          </w:tcPr>
          <w:p>
            <w:pPr>
              <w:jc w:val="center"/>
              <w:ind w:left="54"/>
              <w:spacing w:after="0" w:line="174" w:lineRule="exact"/>
              <w:rPr>
                <w:sz w:val="20"/>
                <w:szCs w:val="20"/>
                <w:color w:val="auto"/>
              </w:rPr>
            </w:pPr>
            <w:r>
              <w:rPr>
                <w:rFonts w:ascii="Arial" w:cs="Arial" w:eastAsia="Arial" w:hAnsi="Arial"/>
                <w:sz w:val="16"/>
                <w:szCs w:val="16"/>
                <w:b w:val="1"/>
                <w:bCs w:val="1"/>
                <w:color w:val="auto"/>
              </w:rPr>
              <w:t>Capital</w:t>
            </w:r>
          </w:p>
        </w:tc>
        <w:tc>
          <w:tcPr>
            <w:tcW w:w="8040" w:type="dxa"/>
            <w:vAlign w:val="bottom"/>
            <w:tcBorders>
              <w:right w:val="single" w:sz="8" w:color="021496"/>
            </w:tcBorders>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0" w:type="dxa"/>
            <w:vAlign w:val="bottom"/>
            <w:tcBorders>
              <w:left w:val="single" w:sz="8" w:color="auto"/>
              <w:right w:val="single" w:sz="8" w:color="021496"/>
            </w:tcBorders>
          </w:tcPr>
          <w:p>
            <w:pPr>
              <w:spacing w:after="0"/>
              <w:rPr>
                <w:sz w:val="19"/>
                <w:szCs w:val="19"/>
                <w:color w:val="auto"/>
              </w:rPr>
            </w:pPr>
          </w:p>
        </w:tc>
        <w:tc>
          <w:tcPr>
            <w:tcW w:w="2520" w:type="dxa"/>
            <w:vAlign w:val="bottom"/>
            <w:tcBorders>
              <w:right w:val="single" w:sz="8" w:color="021496"/>
            </w:tcBorders>
            <w:shd w:val="clear" w:color="auto" w:fill="EAEFED"/>
          </w:tcPr>
          <w:p>
            <w:pPr>
              <w:jc w:val="center"/>
              <w:ind w:left="54"/>
              <w:spacing w:after="0"/>
              <w:rPr>
                <w:sz w:val="20"/>
                <w:szCs w:val="20"/>
                <w:color w:val="auto"/>
              </w:rPr>
            </w:pPr>
            <w:r>
              <w:rPr>
                <w:rFonts w:ascii="Arial" w:cs="Arial" w:eastAsia="Arial" w:hAnsi="Arial"/>
                <w:sz w:val="16"/>
                <w:szCs w:val="16"/>
                <w:b w:val="1"/>
                <w:bCs w:val="1"/>
                <w:color w:val="auto"/>
              </w:rPr>
              <w:t>Allocation</w:t>
            </w: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 xml:space="preserve">quarterly dividend, marking our </w:t>
            </w:r>
            <w:r>
              <w:rPr>
                <w:rFonts w:ascii="Arial" w:cs="Arial" w:eastAsia="Arial" w:hAnsi="Arial"/>
                <w:sz w:val="16"/>
                <w:szCs w:val="16"/>
                <w:b w:val="1"/>
                <w:bCs w:val="1"/>
                <w:color w:val="021496"/>
              </w:rPr>
              <w:t>66</w:t>
            </w:r>
            <w:r>
              <w:rPr>
                <w:rFonts w:ascii="Arial" w:cs="Arial" w:eastAsia="Arial" w:hAnsi="Arial"/>
                <w:sz w:val="10"/>
                <w:szCs w:val="10"/>
                <w:b w:val="1"/>
                <w:bCs w:val="1"/>
                <w:color w:val="021496"/>
              </w:rPr>
              <w:t>th</w:t>
            </w:r>
            <w:r>
              <w:rPr>
                <w:rFonts w:ascii="Arial" w:cs="Arial" w:eastAsia="Arial" w:hAnsi="Arial"/>
                <w:sz w:val="16"/>
                <w:szCs w:val="16"/>
                <w:color w:val="auto"/>
              </w:rPr>
              <w:t xml:space="preserve"> </w:t>
            </w:r>
            <w:r>
              <w:rPr>
                <w:rFonts w:ascii="Arial" w:cs="Arial" w:eastAsia="Arial" w:hAnsi="Arial"/>
                <w:sz w:val="16"/>
                <w:szCs w:val="16"/>
                <w:b w:val="1"/>
                <w:bCs w:val="1"/>
                <w:color w:val="021496"/>
              </w:rPr>
              <w:t>consecutive year of dividend increases</w:t>
            </w:r>
            <w:r>
              <w:rPr>
                <w:rFonts w:ascii="Arial" w:cs="Arial" w:eastAsia="Arial" w:hAnsi="Arial"/>
                <w:sz w:val="16"/>
                <w:szCs w:val="16"/>
                <w:color w:val="auto"/>
              </w:rPr>
              <w:t>.</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0" w:type="dxa"/>
            <w:vAlign w:val="bottom"/>
            <w:tcBorders>
              <w:left w:val="single" w:sz="8" w:color="auto"/>
              <w:right w:val="single" w:sz="8" w:color="021496"/>
            </w:tcBorders>
          </w:tcPr>
          <w:p>
            <w:pPr>
              <w:spacing w:after="0"/>
              <w:rPr>
                <w:sz w:val="19"/>
                <w:szCs w:val="19"/>
                <w:color w:val="auto"/>
              </w:rPr>
            </w:pPr>
          </w:p>
        </w:tc>
        <w:tc>
          <w:tcPr>
            <w:tcW w:w="2520" w:type="dxa"/>
            <w:vAlign w:val="bottom"/>
            <w:tcBorders>
              <w:right w:val="single" w:sz="8" w:color="021496"/>
            </w:tcBorders>
            <w:shd w:val="clear" w:color="auto" w:fill="EAEFED"/>
          </w:tcPr>
          <w:p>
            <w:pPr>
              <w:spacing w:after="0"/>
              <w:rPr>
                <w:sz w:val="19"/>
                <w:szCs w:val="19"/>
                <w:color w:val="auto"/>
              </w:rPr>
            </w:pPr>
          </w:p>
        </w:tc>
        <w:tc>
          <w:tcPr>
            <w:tcW w:w="8040" w:type="dxa"/>
            <w:vAlign w:val="bottom"/>
            <w:tcBorders>
              <w:right w:val="single" w:sz="8" w:color="021496"/>
            </w:tcBorders>
          </w:tcPr>
          <w:p>
            <w:pPr>
              <w:ind w:left="440"/>
              <w:spacing w:after="0"/>
              <w:rPr>
                <w:sz w:val="20"/>
                <w:szCs w:val="20"/>
                <w:color w:val="auto"/>
              </w:rPr>
            </w:pPr>
            <w:r>
              <w:rPr>
                <w:rFonts w:ascii="Arial" w:cs="Arial" w:eastAsia="Arial" w:hAnsi="Arial"/>
                <w:sz w:val="16"/>
                <w:szCs w:val="16"/>
                <w:color w:val="auto"/>
              </w:rPr>
              <w:t>•  We made $171.5 million in capital expenditures in 2021, representing 2.2% of revenue, in line with our</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0" w:type="dxa"/>
            <w:vAlign w:val="bottom"/>
            <w:tcBorders>
              <w:left w:val="single" w:sz="8" w:color="auto"/>
              <w:right w:val="single" w:sz="8" w:color="021496"/>
            </w:tcBorders>
          </w:tcPr>
          <w:p>
            <w:pPr>
              <w:spacing w:after="0"/>
              <w:rPr>
                <w:sz w:val="18"/>
                <w:szCs w:val="18"/>
                <w:color w:val="auto"/>
              </w:rPr>
            </w:pPr>
          </w:p>
        </w:tc>
        <w:tc>
          <w:tcPr>
            <w:tcW w:w="2520" w:type="dxa"/>
            <w:vAlign w:val="bottom"/>
            <w:tcBorders>
              <w:right w:val="single" w:sz="8" w:color="021496"/>
            </w:tcBorders>
            <w:shd w:val="clear" w:color="auto" w:fill="EAEFED"/>
          </w:tcPr>
          <w:p>
            <w:pPr>
              <w:spacing w:after="0"/>
              <w:rPr>
                <w:sz w:val="18"/>
                <w:szCs w:val="18"/>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 xml:space="preserve">priority of </w:t>
            </w:r>
            <w:r>
              <w:rPr>
                <w:rFonts w:ascii="Arial" w:cs="Arial" w:eastAsia="Arial" w:hAnsi="Arial"/>
                <w:sz w:val="16"/>
                <w:szCs w:val="16"/>
                <w:b w:val="1"/>
                <w:bCs w:val="1"/>
                <w:color w:val="021496"/>
              </w:rPr>
              <w:t>organic reinvestment to grow and strengthen our existing businesses</w:t>
            </w:r>
            <w:r>
              <w:rPr>
                <w:rFonts w:ascii="Arial" w:cs="Arial" w:eastAsia="Arial" w:hAnsi="Arial"/>
                <w:sz w:val="16"/>
                <w:szCs w:val="16"/>
                <w:b w:val="1"/>
                <w:bCs w:val="1"/>
                <w:color w:val="auto"/>
              </w:rPr>
              <w:t>.</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00" w:type="dxa"/>
            <w:vAlign w:val="bottom"/>
            <w:tcBorders>
              <w:left w:val="single" w:sz="8" w:color="auto"/>
              <w:right w:val="single" w:sz="8" w:color="021496"/>
            </w:tcBorders>
          </w:tcPr>
          <w:p>
            <w:pPr>
              <w:spacing w:after="0"/>
              <w:rPr>
                <w:sz w:val="7"/>
                <w:szCs w:val="7"/>
                <w:color w:val="auto"/>
              </w:rPr>
            </w:pPr>
          </w:p>
        </w:tc>
        <w:tc>
          <w:tcPr>
            <w:tcW w:w="2520" w:type="dxa"/>
            <w:vAlign w:val="bottom"/>
            <w:tcBorders>
              <w:bottom w:val="single" w:sz="8" w:color="021496"/>
              <w:right w:val="single" w:sz="8" w:color="021496"/>
            </w:tcBorders>
            <w:shd w:val="clear" w:color="auto" w:fill="EAEFED"/>
          </w:tcPr>
          <w:p>
            <w:pPr>
              <w:spacing w:after="0"/>
              <w:rPr>
                <w:sz w:val="7"/>
                <w:szCs w:val="7"/>
                <w:color w:val="auto"/>
              </w:rPr>
            </w:pPr>
          </w:p>
        </w:tc>
        <w:tc>
          <w:tcPr>
            <w:tcW w:w="8040" w:type="dxa"/>
            <w:vAlign w:val="bottom"/>
            <w:tcBorders>
              <w:bottom w:val="single" w:sz="8" w:color="021496"/>
              <w:right w:val="single" w:sz="8" w:color="021496"/>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0" w:type="dxa"/>
            <w:vAlign w:val="bottom"/>
            <w:tcBorders>
              <w:left w:val="single" w:sz="8" w:color="auto"/>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80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9"/>
        </w:trPr>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200" w:type="dxa"/>
            <w:vAlign w:val="bottom"/>
            <w:gridSpan w:val="2"/>
          </w:tcPr>
          <w:p>
            <w:pPr>
              <w:ind w:left="4500"/>
              <w:spacing w:after="0"/>
              <w:rPr>
                <w:sz w:val="20"/>
                <w:szCs w:val="20"/>
                <w:color w:val="auto"/>
              </w:rPr>
            </w:pPr>
            <w:r>
              <w:rPr>
                <w:rFonts w:ascii="Arial" w:cs="Arial" w:eastAsia="Arial" w:hAnsi="Arial"/>
                <w:sz w:val="16"/>
                <w:szCs w:val="16"/>
                <w:b w:val="1"/>
                <w:bCs w:val="1"/>
                <w:color w:val="auto"/>
                <w:w w:val="98"/>
              </w:rPr>
              <w:t xml:space="preserve">DOVER CORPORATION </w:t>
            </w:r>
            <w:r>
              <w:rPr>
                <w:rFonts w:ascii="Arial" w:cs="Arial" w:eastAsia="Arial" w:hAnsi="Arial"/>
                <w:sz w:val="16"/>
                <w:szCs w:val="16"/>
                <w:color w:val="auto"/>
                <w:w w:val="98"/>
              </w:rPr>
              <w:t>–</w:t>
            </w:r>
            <w:r>
              <w:rPr>
                <w:rFonts w:ascii="Arial" w:cs="Arial" w:eastAsia="Arial" w:hAnsi="Arial"/>
                <w:sz w:val="16"/>
                <w:szCs w:val="16"/>
                <w:b w:val="1"/>
                <w:bCs w:val="1"/>
                <w:color w:val="auto"/>
                <w:w w:val="98"/>
              </w:rPr>
              <w:t xml:space="preserve"> </w:t>
            </w:r>
            <w:r>
              <w:rPr>
                <w:rFonts w:ascii="Arial" w:cs="Arial" w:eastAsia="Arial" w:hAnsi="Arial"/>
                <w:sz w:val="16"/>
                <w:szCs w:val="16"/>
                <w:i w:val="1"/>
                <w:iCs w:val="1"/>
                <w:color w:val="auto"/>
                <w:w w:val="98"/>
              </w:rPr>
              <w:t>2022 Proxy Statement</w:t>
            </w:r>
            <w:r>
              <w:rPr>
                <w:rFonts w:ascii="Arial" w:cs="Arial" w:eastAsia="Arial" w:hAnsi="Arial"/>
                <w:sz w:val="16"/>
                <w:szCs w:val="16"/>
                <w:b w:val="1"/>
                <w:bCs w:val="1"/>
                <w:color w:val="auto"/>
                <w:w w:val="98"/>
              </w:rPr>
              <w:t xml:space="preserve"> </w:t>
            </w:r>
            <w:r>
              <w:rPr>
                <w:rFonts w:ascii="Arial" w:cs="Arial" w:eastAsia="Arial" w:hAnsi="Arial"/>
                <w:sz w:val="16"/>
                <w:szCs w:val="16"/>
                <w:color w:val="auto"/>
                <w:w w:val="98"/>
              </w:rPr>
              <w:t>4</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104775</wp:posOffset>
            </wp:positionV>
            <wp:extent cx="6934200" cy="3129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4200" cy="3129280"/>
                    </a:xfrm>
                    <a:prstGeom prst="rect">
                      <a:avLst/>
                    </a:prstGeom>
                    <a:noFill/>
                  </pic:spPr>
                </pic:pic>
              </a:graphicData>
            </a:graphic>
          </wp:anchor>
        </w:drawing>
      </w:r>
    </w:p>
    <w:p>
      <w:pPr>
        <w:spacing w:after="0" w:line="307"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2021 Performance Overview, cont.</w:t>
      </w:r>
    </w:p>
    <w:p>
      <w:pPr>
        <w:spacing w:after="0" w:line="338"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2220" w:type="dxa"/>
            <w:vAlign w:val="bottom"/>
            <w:vMerge w:val="restart"/>
          </w:tcPr>
          <w:p>
            <w:pPr>
              <w:jc w:val="center"/>
              <w:ind w:left="400"/>
              <w:spacing w:after="0"/>
              <w:rPr>
                <w:sz w:val="20"/>
                <w:szCs w:val="20"/>
                <w:color w:val="auto"/>
              </w:rPr>
            </w:pPr>
            <w:r>
              <w:rPr>
                <w:rFonts w:ascii="Arial" w:cs="Arial" w:eastAsia="Arial" w:hAnsi="Arial"/>
                <w:sz w:val="16"/>
                <w:szCs w:val="16"/>
                <w:b w:val="1"/>
                <w:bCs w:val="1"/>
                <w:color w:val="auto"/>
              </w:rPr>
              <w:t>Cash Flow</w:t>
            </w:r>
          </w:p>
        </w:tc>
        <w:tc>
          <w:tcPr>
            <w:tcW w:w="8340" w:type="dxa"/>
            <w:vAlign w:val="bottom"/>
          </w:tcPr>
          <w:p>
            <w:pPr>
              <w:ind w:left="440"/>
              <w:spacing w:after="0"/>
              <w:rPr>
                <w:sz w:val="20"/>
                <w:szCs w:val="20"/>
                <w:color w:val="auto"/>
              </w:rPr>
            </w:pPr>
            <w:r>
              <w:rPr>
                <w:rFonts w:ascii="Arial" w:cs="Arial" w:eastAsia="Arial" w:hAnsi="Arial"/>
                <w:sz w:val="16"/>
                <w:szCs w:val="16"/>
                <w:color w:val="auto"/>
              </w:rPr>
              <w:t xml:space="preserve">•  We </w:t>
            </w:r>
            <w:r>
              <w:rPr>
                <w:rFonts w:ascii="Arial" w:cs="Arial" w:eastAsia="Arial" w:hAnsi="Arial"/>
                <w:sz w:val="16"/>
                <w:szCs w:val="16"/>
                <w:b w:val="1"/>
                <w:bCs w:val="1"/>
                <w:color w:val="021496"/>
              </w:rPr>
              <w:t>generated free cash flow</w:t>
            </w:r>
            <w:r>
              <w:rPr>
                <w:rFonts w:ascii="Arial" w:cs="Arial" w:eastAsia="Arial" w:hAnsi="Arial"/>
                <w:sz w:val="10"/>
                <w:szCs w:val="10"/>
                <w:b w:val="1"/>
                <w:bCs w:val="1"/>
                <w:color w:val="021496"/>
              </w:rPr>
              <w:t>(1)</w:t>
            </w:r>
            <w:r>
              <w:rPr>
                <w:rFonts w:ascii="Arial" w:cs="Arial" w:eastAsia="Arial" w:hAnsi="Arial"/>
                <w:sz w:val="16"/>
                <w:szCs w:val="16"/>
                <w:color w:val="auto"/>
              </w:rPr>
              <w:t xml:space="preserve"> of $944 million, representing 11.9% of revenue and 84.0% of net earnings</w:t>
            </w:r>
          </w:p>
        </w:tc>
        <w:tc>
          <w:tcPr>
            <w:tcW w:w="0" w:type="dxa"/>
            <w:vAlign w:val="bottom"/>
          </w:tcPr>
          <w:p>
            <w:pPr>
              <w:spacing w:after="0"/>
              <w:rPr>
                <w:sz w:val="1"/>
                <w:szCs w:val="1"/>
                <w:color w:val="auto"/>
              </w:rPr>
            </w:pPr>
          </w:p>
        </w:tc>
      </w:tr>
      <w:tr>
        <w:trPr>
          <w:trHeight w:val="107"/>
        </w:trPr>
        <w:tc>
          <w:tcPr>
            <w:tcW w:w="2220" w:type="dxa"/>
            <w:vAlign w:val="bottom"/>
            <w:vMerge w:val="continue"/>
          </w:tcPr>
          <w:p>
            <w:pPr>
              <w:spacing w:after="0"/>
              <w:rPr>
                <w:sz w:val="9"/>
                <w:szCs w:val="9"/>
                <w:color w:val="auto"/>
              </w:rPr>
            </w:pPr>
          </w:p>
        </w:tc>
        <w:tc>
          <w:tcPr>
            <w:tcW w:w="8340" w:type="dxa"/>
            <w:vAlign w:val="bottom"/>
            <w:vMerge w:val="restart"/>
          </w:tcPr>
          <w:p>
            <w:pPr>
              <w:ind w:left="640"/>
              <w:spacing w:after="0"/>
              <w:rPr>
                <w:sz w:val="20"/>
                <w:szCs w:val="20"/>
                <w:color w:val="auto"/>
              </w:rPr>
            </w:pPr>
            <w:r>
              <w:rPr>
                <w:rFonts w:ascii="Arial" w:cs="Arial" w:eastAsia="Arial" w:hAnsi="Arial"/>
                <w:sz w:val="16"/>
                <w:szCs w:val="16"/>
                <w:color w:val="auto"/>
              </w:rPr>
              <w:t xml:space="preserve">as a result of </w:t>
            </w:r>
            <w:r>
              <w:rPr>
                <w:rFonts w:ascii="Arial" w:cs="Arial" w:eastAsia="Arial" w:hAnsi="Arial"/>
                <w:sz w:val="16"/>
                <w:szCs w:val="16"/>
                <w:b w:val="1"/>
                <w:bCs w:val="1"/>
                <w:color w:val="021496"/>
              </w:rPr>
              <w:t>broad-based cost-control efforts and proactive working capital management</w:t>
            </w:r>
            <w:r>
              <w:rPr>
                <w:rFonts w:ascii="Arial" w:cs="Arial" w:eastAsia="Arial" w:hAnsi="Arial"/>
                <w:sz w:val="16"/>
                <w:szCs w:val="16"/>
                <w:color w:val="auto"/>
              </w:rPr>
              <w:t>. Cash flow</w:t>
            </w:r>
          </w:p>
        </w:tc>
        <w:tc>
          <w:tcPr>
            <w:tcW w:w="0" w:type="dxa"/>
            <w:vAlign w:val="bottom"/>
          </w:tcPr>
          <w:p>
            <w:pPr>
              <w:spacing w:after="0"/>
              <w:rPr>
                <w:sz w:val="1"/>
                <w:szCs w:val="1"/>
                <w:color w:val="auto"/>
              </w:rPr>
            </w:pPr>
          </w:p>
        </w:tc>
      </w:tr>
      <w:tr>
        <w:trPr>
          <w:trHeight w:val="100"/>
        </w:trPr>
        <w:tc>
          <w:tcPr>
            <w:tcW w:w="2220" w:type="dxa"/>
            <w:vAlign w:val="bottom"/>
            <w:vMerge w:val="restart"/>
          </w:tcPr>
          <w:p>
            <w:pPr>
              <w:jc w:val="center"/>
              <w:ind w:left="400"/>
              <w:spacing w:after="0"/>
              <w:rPr>
                <w:sz w:val="20"/>
                <w:szCs w:val="20"/>
                <w:color w:val="auto"/>
              </w:rPr>
            </w:pPr>
            <w:r>
              <w:rPr>
                <w:rFonts w:ascii="Arial" w:cs="Arial" w:eastAsia="Arial" w:hAnsi="Arial"/>
                <w:sz w:val="16"/>
                <w:szCs w:val="16"/>
                <w:b w:val="1"/>
                <w:bCs w:val="1"/>
                <w:color w:val="auto"/>
              </w:rPr>
              <w:t>Generation</w:t>
            </w:r>
          </w:p>
        </w:tc>
        <w:tc>
          <w:tcPr>
            <w:tcW w:w="8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220" w:type="dxa"/>
            <w:vAlign w:val="bottom"/>
            <w:vMerge w:val="continue"/>
          </w:tcPr>
          <w:p>
            <w:pPr>
              <w:spacing w:after="0"/>
              <w:rPr>
                <w:sz w:val="9"/>
                <w:szCs w:val="9"/>
                <w:color w:val="auto"/>
              </w:rPr>
            </w:pPr>
          </w:p>
        </w:tc>
        <w:tc>
          <w:tcPr>
            <w:tcW w:w="8340" w:type="dxa"/>
            <w:vAlign w:val="bottom"/>
            <w:vMerge w:val="restart"/>
          </w:tcPr>
          <w:p>
            <w:pPr>
              <w:ind w:left="640"/>
              <w:spacing w:after="0"/>
              <w:rPr>
                <w:sz w:val="20"/>
                <w:szCs w:val="20"/>
                <w:color w:val="auto"/>
              </w:rPr>
            </w:pPr>
            <w:r>
              <w:rPr>
                <w:rFonts w:ascii="Arial" w:cs="Arial" w:eastAsia="Arial" w:hAnsi="Arial"/>
                <w:sz w:val="16"/>
                <w:szCs w:val="16"/>
                <w:color w:val="auto"/>
              </w:rPr>
              <w:t>provided by operating activities was $1,115.9 million.</w:t>
            </w:r>
          </w:p>
        </w:tc>
        <w:tc>
          <w:tcPr>
            <w:tcW w:w="0" w:type="dxa"/>
            <w:vAlign w:val="bottom"/>
          </w:tcPr>
          <w:p>
            <w:pPr>
              <w:spacing w:after="0"/>
              <w:rPr>
                <w:sz w:val="1"/>
                <w:szCs w:val="1"/>
                <w:color w:val="auto"/>
              </w:rPr>
            </w:pPr>
          </w:p>
        </w:tc>
      </w:tr>
      <w:tr>
        <w:trPr>
          <w:trHeight w:val="80"/>
        </w:trPr>
        <w:tc>
          <w:tcPr>
            <w:tcW w:w="2220" w:type="dxa"/>
            <w:vAlign w:val="bottom"/>
          </w:tcPr>
          <w:p>
            <w:pPr>
              <w:spacing w:after="0"/>
              <w:rPr>
                <w:sz w:val="6"/>
                <w:szCs w:val="6"/>
                <w:color w:val="auto"/>
              </w:rPr>
            </w:pPr>
          </w:p>
        </w:tc>
        <w:tc>
          <w:tcPr>
            <w:tcW w:w="8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220" w:type="dxa"/>
            <w:vAlign w:val="bottom"/>
            <w:tcBorders>
              <w:bottom w:val="single" w:sz="8" w:color="021496"/>
            </w:tcBorders>
          </w:tcPr>
          <w:p>
            <w:pPr>
              <w:spacing w:after="0"/>
              <w:rPr>
                <w:sz w:val="7"/>
                <w:szCs w:val="7"/>
                <w:color w:val="auto"/>
              </w:rPr>
            </w:pPr>
          </w:p>
        </w:tc>
        <w:tc>
          <w:tcPr>
            <w:tcW w:w="8340" w:type="dxa"/>
            <w:vAlign w:val="bottom"/>
            <w:tcBorders>
              <w:bottom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220" w:type="dxa"/>
            <w:vAlign w:val="bottom"/>
          </w:tcPr>
          <w:p>
            <w:pPr>
              <w:spacing w:after="0"/>
              <w:rPr>
                <w:sz w:val="21"/>
                <w:szCs w:val="21"/>
                <w:color w:val="auto"/>
              </w:rPr>
            </w:pPr>
          </w:p>
        </w:tc>
        <w:tc>
          <w:tcPr>
            <w:tcW w:w="8340" w:type="dxa"/>
            <w:vAlign w:val="bottom"/>
          </w:tcPr>
          <w:p>
            <w:pPr>
              <w:ind w:left="440"/>
              <w:spacing w:after="0"/>
              <w:rPr>
                <w:sz w:val="20"/>
                <w:szCs w:val="20"/>
                <w:color w:val="auto"/>
              </w:rPr>
            </w:pPr>
            <w:r>
              <w:rPr>
                <w:rFonts w:ascii="Arial" w:cs="Arial" w:eastAsia="Arial" w:hAnsi="Arial"/>
                <w:sz w:val="16"/>
                <w:szCs w:val="16"/>
                <w:color w:val="auto"/>
              </w:rPr>
              <w:t xml:space="preserve">•  We made progress on several fronts in line with our </w:t>
            </w:r>
            <w:r>
              <w:rPr>
                <w:rFonts w:ascii="Arial" w:cs="Arial" w:eastAsia="Arial" w:hAnsi="Arial"/>
                <w:sz w:val="16"/>
                <w:szCs w:val="16"/>
                <w:b w:val="1"/>
                <w:bCs w:val="1"/>
                <w:color w:val="auto"/>
              </w:rPr>
              <w:t>t</w:t>
            </w:r>
            <w:r>
              <w:rPr>
                <w:rFonts w:ascii="Arial" w:cs="Arial" w:eastAsia="Arial" w:hAnsi="Arial"/>
                <w:sz w:val="16"/>
                <w:szCs w:val="16"/>
                <w:b w:val="1"/>
                <w:bCs w:val="1"/>
                <w:color w:val="021496"/>
              </w:rPr>
              <w:t>hree-year plan</w:t>
            </w:r>
            <w:r>
              <w:rPr>
                <w:rFonts w:ascii="Arial" w:cs="Arial" w:eastAsia="Arial" w:hAnsi="Arial"/>
                <w:sz w:val="16"/>
                <w:szCs w:val="16"/>
                <w:color w:val="auto"/>
              </w:rPr>
              <w:t xml:space="preserve"> to expand the scope and robustness of</w:t>
            </w:r>
          </w:p>
        </w:tc>
        <w:tc>
          <w:tcPr>
            <w:tcW w:w="0" w:type="dxa"/>
            <w:vAlign w:val="bottom"/>
          </w:tcPr>
          <w:p>
            <w:pPr>
              <w:spacing w:after="0"/>
              <w:rPr>
                <w:sz w:val="1"/>
                <w:szCs w:val="1"/>
                <w:color w:val="auto"/>
              </w:rPr>
            </w:pPr>
          </w:p>
        </w:tc>
      </w:tr>
      <w:tr>
        <w:trPr>
          <w:trHeight w:val="193"/>
        </w:trPr>
        <w:tc>
          <w:tcPr>
            <w:tcW w:w="2220" w:type="dxa"/>
            <w:vAlign w:val="bottom"/>
          </w:tcPr>
          <w:p>
            <w:pPr>
              <w:spacing w:after="0"/>
              <w:rPr>
                <w:sz w:val="16"/>
                <w:szCs w:val="16"/>
                <w:color w:val="auto"/>
              </w:rPr>
            </w:pPr>
          </w:p>
        </w:tc>
        <w:tc>
          <w:tcPr>
            <w:tcW w:w="8340" w:type="dxa"/>
            <w:vAlign w:val="bottom"/>
          </w:tcPr>
          <w:p>
            <w:pPr>
              <w:ind w:left="640"/>
              <w:spacing w:after="0"/>
              <w:rPr>
                <w:sz w:val="20"/>
                <w:szCs w:val="20"/>
                <w:color w:val="auto"/>
              </w:rPr>
            </w:pPr>
            <w:r>
              <w:rPr>
                <w:rFonts w:ascii="Arial" w:cs="Arial" w:eastAsia="Arial" w:hAnsi="Arial"/>
                <w:sz w:val="16"/>
                <w:szCs w:val="16"/>
                <w:color w:val="auto"/>
              </w:rPr>
              <w:t>our environmental, social, and governance (“ESG”) practices and disclosures.</w:t>
            </w:r>
          </w:p>
        </w:tc>
        <w:tc>
          <w:tcPr>
            <w:tcW w:w="0" w:type="dxa"/>
            <w:vAlign w:val="bottom"/>
          </w:tcPr>
          <w:p>
            <w:pPr>
              <w:spacing w:after="0"/>
              <w:rPr>
                <w:sz w:val="1"/>
                <w:szCs w:val="1"/>
                <w:color w:val="auto"/>
              </w:rPr>
            </w:pPr>
          </w:p>
        </w:tc>
      </w:tr>
      <w:tr>
        <w:trPr>
          <w:trHeight w:val="261"/>
        </w:trPr>
        <w:tc>
          <w:tcPr>
            <w:tcW w:w="2220" w:type="dxa"/>
            <w:vAlign w:val="bottom"/>
          </w:tcPr>
          <w:p>
            <w:pPr>
              <w:spacing w:after="0"/>
              <w:rPr>
                <w:sz w:val="22"/>
                <w:szCs w:val="22"/>
                <w:color w:val="auto"/>
              </w:rPr>
            </w:pPr>
          </w:p>
        </w:tc>
        <w:tc>
          <w:tcPr>
            <w:tcW w:w="8340" w:type="dxa"/>
            <w:vAlign w:val="bottom"/>
          </w:tcPr>
          <w:p>
            <w:pPr>
              <w:ind w:left="680"/>
              <w:spacing w:after="0"/>
              <w:rPr>
                <w:sz w:val="20"/>
                <w:szCs w:val="20"/>
                <w:color w:val="auto"/>
              </w:rPr>
            </w:pPr>
            <w:r>
              <w:rPr>
                <w:rFonts w:ascii="Arial" w:cs="Arial" w:eastAsia="Arial" w:hAnsi="Arial"/>
                <w:sz w:val="16"/>
                <w:szCs w:val="16"/>
                <w:color w:val="auto"/>
              </w:rPr>
              <w:t xml:space="preserve">-   We announced </w:t>
            </w:r>
            <w:r>
              <w:rPr>
                <w:rFonts w:ascii="Arial" w:cs="Arial" w:eastAsia="Arial" w:hAnsi="Arial"/>
                <w:sz w:val="16"/>
                <w:szCs w:val="16"/>
                <w:b w:val="1"/>
                <w:bCs w:val="1"/>
                <w:color w:val="021496"/>
              </w:rPr>
              <w:t>science-based targets to reduce our greenhouse gas (“GHG”) emissions</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7"/>
        </w:trPr>
        <w:tc>
          <w:tcPr>
            <w:tcW w:w="2220" w:type="dxa"/>
            <w:vAlign w:val="bottom"/>
          </w:tcPr>
          <w:p>
            <w:pPr>
              <w:spacing w:after="0"/>
              <w:rPr>
                <w:sz w:val="16"/>
                <w:szCs w:val="16"/>
                <w:color w:val="auto"/>
              </w:rPr>
            </w:pPr>
          </w:p>
        </w:tc>
        <w:tc>
          <w:tcPr>
            <w:tcW w:w="8340" w:type="dxa"/>
            <w:vAlign w:val="bottom"/>
          </w:tcPr>
          <w:p>
            <w:pPr>
              <w:ind w:left="1000"/>
              <w:spacing w:after="0"/>
              <w:rPr>
                <w:sz w:val="20"/>
                <w:szCs w:val="20"/>
                <w:color w:val="auto"/>
              </w:rPr>
            </w:pPr>
            <w:r>
              <w:rPr>
                <w:rFonts w:ascii="Arial" w:cs="Arial" w:eastAsia="Arial" w:hAnsi="Arial"/>
                <w:sz w:val="16"/>
                <w:szCs w:val="16"/>
                <w:color w:val="auto"/>
              </w:rPr>
              <w:t>including an absolute reduction of scope 1 and scope 2 market-based GHG emissions of 30 percent by</w:t>
            </w:r>
          </w:p>
        </w:tc>
        <w:tc>
          <w:tcPr>
            <w:tcW w:w="0" w:type="dxa"/>
            <w:vAlign w:val="bottom"/>
          </w:tcPr>
          <w:p>
            <w:pPr>
              <w:spacing w:after="0"/>
              <w:rPr>
                <w:sz w:val="1"/>
                <w:szCs w:val="1"/>
                <w:color w:val="auto"/>
              </w:rPr>
            </w:pPr>
          </w:p>
        </w:tc>
      </w:tr>
      <w:tr>
        <w:trPr>
          <w:trHeight w:val="187"/>
        </w:trPr>
        <w:tc>
          <w:tcPr>
            <w:tcW w:w="2220" w:type="dxa"/>
            <w:vAlign w:val="bottom"/>
          </w:tcPr>
          <w:p>
            <w:pPr>
              <w:spacing w:after="0"/>
              <w:rPr>
                <w:sz w:val="16"/>
                <w:szCs w:val="16"/>
                <w:color w:val="auto"/>
              </w:rPr>
            </w:pPr>
          </w:p>
        </w:tc>
        <w:tc>
          <w:tcPr>
            <w:tcW w:w="8340" w:type="dxa"/>
            <w:vAlign w:val="bottom"/>
          </w:tcPr>
          <w:p>
            <w:pPr>
              <w:ind w:left="1000"/>
              <w:spacing w:after="0"/>
              <w:rPr>
                <w:sz w:val="20"/>
                <w:szCs w:val="20"/>
                <w:color w:val="auto"/>
              </w:rPr>
            </w:pPr>
            <w:r>
              <w:rPr>
                <w:rFonts w:ascii="Arial" w:cs="Arial" w:eastAsia="Arial" w:hAnsi="Arial"/>
                <w:sz w:val="16"/>
                <w:szCs w:val="16"/>
                <w:color w:val="auto"/>
              </w:rPr>
              <w:t>2030 (from a 2019 baseline year), and an absolute reduction of scope 3 GHG emissions of 15 percent</w:t>
            </w:r>
          </w:p>
        </w:tc>
        <w:tc>
          <w:tcPr>
            <w:tcW w:w="0" w:type="dxa"/>
            <w:vAlign w:val="bottom"/>
          </w:tcPr>
          <w:p>
            <w:pPr>
              <w:spacing w:after="0"/>
              <w:rPr>
                <w:sz w:val="1"/>
                <w:szCs w:val="1"/>
                <w:color w:val="auto"/>
              </w:rPr>
            </w:pPr>
          </w:p>
        </w:tc>
      </w:tr>
      <w:tr>
        <w:trPr>
          <w:trHeight w:val="193"/>
        </w:trPr>
        <w:tc>
          <w:tcPr>
            <w:tcW w:w="2220" w:type="dxa"/>
            <w:vAlign w:val="bottom"/>
          </w:tcPr>
          <w:p>
            <w:pPr>
              <w:spacing w:after="0"/>
              <w:rPr>
                <w:sz w:val="16"/>
                <w:szCs w:val="16"/>
                <w:color w:val="auto"/>
              </w:rPr>
            </w:pPr>
          </w:p>
        </w:tc>
        <w:tc>
          <w:tcPr>
            <w:tcW w:w="8340" w:type="dxa"/>
            <w:vAlign w:val="bottom"/>
          </w:tcPr>
          <w:p>
            <w:pPr>
              <w:ind w:left="1000"/>
              <w:spacing w:after="0"/>
              <w:rPr>
                <w:sz w:val="20"/>
                <w:szCs w:val="20"/>
                <w:color w:val="auto"/>
              </w:rPr>
            </w:pPr>
            <w:r>
              <w:rPr>
                <w:rFonts w:ascii="Arial" w:cs="Arial" w:eastAsia="Arial" w:hAnsi="Arial"/>
                <w:sz w:val="16"/>
                <w:szCs w:val="16"/>
                <w:color w:val="auto"/>
              </w:rPr>
              <w:t>by 2030 (from a 2019 baseline year).</w:t>
            </w:r>
          </w:p>
        </w:tc>
        <w:tc>
          <w:tcPr>
            <w:tcW w:w="0" w:type="dxa"/>
            <w:vAlign w:val="bottom"/>
          </w:tcPr>
          <w:p>
            <w:pPr>
              <w:spacing w:after="0"/>
              <w:rPr>
                <w:sz w:val="1"/>
                <w:szCs w:val="1"/>
                <w:color w:val="auto"/>
              </w:rPr>
            </w:pPr>
          </w:p>
        </w:tc>
      </w:tr>
      <w:tr>
        <w:trPr>
          <w:trHeight w:val="255"/>
        </w:trPr>
        <w:tc>
          <w:tcPr>
            <w:tcW w:w="2220" w:type="dxa"/>
            <w:vAlign w:val="bottom"/>
          </w:tcPr>
          <w:p>
            <w:pPr>
              <w:jc w:val="center"/>
              <w:ind w:left="400"/>
              <w:spacing w:after="0"/>
              <w:rPr>
                <w:sz w:val="20"/>
                <w:szCs w:val="20"/>
                <w:color w:val="auto"/>
              </w:rPr>
            </w:pPr>
            <w:r>
              <w:rPr>
                <w:rFonts w:ascii="Arial" w:cs="Arial" w:eastAsia="Arial" w:hAnsi="Arial"/>
                <w:sz w:val="16"/>
                <w:szCs w:val="16"/>
                <w:b w:val="1"/>
                <w:bCs w:val="1"/>
                <w:color w:val="auto"/>
              </w:rPr>
              <w:t>ESG</w:t>
            </w:r>
          </w:p>
        </w:tc>
        <w:tc>
          <w:tcPr>
            <w:tcW w:w="8340" w:type="dxa"/>
            <w:vAlign w:val="bottom"/>
          </w:tcPr>
          <w:p>
            <w:pPr>
              <w:ind w:left="680"/>
              <w:spacing w:after="0"/>
              <w:rPr>
                <w:sz w:val="20"/>
                <w:szCs w:val="20"/>
                <w:color w:val="auto"/>
              </w:rPr>
            </w:pPr>
            <w:r>
              <w:rPr>
                <w:rFonts w:ascii="Arial" w:cs="Arial" w:eastAsia="Arial" w:hAnsi="Arial"/>
                <w:sz w:val="16"/>
                <w:szCs w:val="16"/>
                <w:color w:val="auto"/>
              </w:rPr>
              <w:t>-   Given the increasing focus on climate risk, we conducted a climate risk assessment and scenario</w:t>
            </w:r>
          </w:p>
        </w:tc>
        <w:tc>
          <w:tcPr>
            <w:tcW w:w="0" w:type="dxa"/>
            <w:vAlign w:val="bottom"/>
          </w:tcPr>
          <w:p>
            <w:pPr>
              <w:spacing w:after="0"/>
              <w:rPr>
                <w:sz w:val="1"/>
                <w:szCs w:val="1"/>
                <w:color w:val="auto"/>
              </w:rPr>
            </w:pPr>
          </w:p>
        </w:tc>
      </w:tr>
      <w:tr>
        <w:trPr>
          <w:trHeight w:val="194"/>
        </w:trPr>
        <w:tc>
          <w:tcPr>
            <w:tcW w:w="2220" w:type="dxa"/>
            <w:vAlign w:val="bottom"/>
          </w:tcPr>
          <w:p>
            <w:pPr>
              <w:jc w:val="center"/>
              <w:ind w:left="400"/>
              <w:spacing w:after="0"/>
              <w:rPr>
                <w:sz w:val="20"/>
                <w:szCs w:val="20"/>
                <w:color w:val="auto"/>
              </w:rPr>
            </w:pPr>
            <w:r>
              <w:rPr>
                <w:rFonts w:ascii="Arial" w:cs="Arial" w:eastAsia="Arial" w:hAnsi="Arial"/>
                <w:sz w:val="16"/>
                <w:szCs w:val="16"/>
                <w:b w:val="1"/>
                <w:bCs w:val="1"/>
                <w:color w:val="auto"/>
              </w:rPr>
              <w:t>Initiative</w:t>
            </w:r>
          </w:p>
        </w:tc>
        <w:tc>
          <w:tcPr>
            <w:tcW w:w="8340" w:type="dxa"/>
            <w:vAlign w:val="bottom"/>
          </w:tcPr>
          <w:p>
            <w:pPr>
              <w:ind w:left="1000"/>
              <w:spacing w:after="0"/>
              <w:rPr>
                <w:sz w:val="20"/>
                <w:szCs w:val="20"/>
                <w:color w:val="auto"/>
              </w:rPr>
            </w:pPr>
            <w:r>
              <w:rPr>
                <w:rFonts w:ascii="Arial" w:cs="Arial" w:eastAsia="Arial" w:hAnsi="Arial"/>
                <w:sz w:val="16"/>
                <w:szCs w:val="16"/>
                <w:color w:val="auto"/>
              </w:rPr>
              <w:t>analysis aligned with the Task Force on Climate-related Financial Disclosures (“TCFD”) reporting</w:t>
            </w:r>
          </w:p>
        </w:tc>
        <w:tc>
          <w:tcPr>
            <w:tcW w:w="0" w:type="dxa"/>
            <w:vAlign w:val="bottom"/>
          </w:tcPr>
          <w:p>
            <w:pPr>
              <w:spacing w:after="0"/>
              <w:rPr>
                <w:sz w:val="1"/>
                <w:szCs w:val="1"/>
                <w:color w:val="auto"/>
              </w:rPr>
            </w:pPr>
          </w:p>
        </w:tc>
      </w:tr>
      <w:tr>
        <w:trPr>
          <w:trHeight w:val="187"/>
        </w:trPr>
        <w:tc>
          <w:tcPr>
            <w:tcW w:w="2220" w:type="dxa"/>
            <w:vAlign w:val="bottom"/>
          </w:tcPr>
          <w:p>
            <w:pPr>
              <w:spacing w:after="0"/>
              <w:rPr>
                <w:sz w:val="16"/>
                <w:szCs w:val="16"/>
                <w:color w:val="auto"/>
              </w:rPr>
            </w:pPr>
          </w:p>
        </w:tc>
        <w:tc>
          <w:tcPr>
            <w:tcW w:w="8340" w:type="dxa"/>
            <w:vAlign w:val="bottom"/>
          </w:tcPr>
          <w:p>
            <w:pPr>
              <w:ind w:left="1000"/>
              <w:spacing w:after="0"/>
              <w:rPr>
                <w:sz w:val="20"/>
                <w:szCs w:val="20"/>
                <w:color w:val="auto"/>
              </w:rPr>
            </w:pPr>
            <w:r>
              <w:rPr>
                <w:rFonts w:ascii="Arial" w:cs="Arial" w:eastAsia="Arial" w:hAnsi="Arial"/>
                <w:sz w:val="16"/>
                <w:szCs w:val="16"/>
                <w:color w:val="auto"/>
              </w:rPr>
              <w:t>framework and published a summary of the results to further improve transparency regarding our ESG</w:t>
            </w:r>
          </w:p>
        </w:tc>
        <w:tc>
          <w:tcPr>
            <w:tcW w:w="0" w:type="dxa"/>
            <w:vAlign w:val="bottom"/>
          </w:tcPr>
          <w:p>
            <w:pPr>
              <w:spacing w:after="0"/>
              <w:rPr>
                <w:sz w:val="1"/>
                <w:szCs w:val="1"/>
                <w:color w:val="auto"/>
              </w:rPr>
            </w:pPr>
          </w:p>
        </w:tc>
      </w:tr>
      <w:tr>
        <w:trPr>
          <w:trHeight w:val="193"/>
        </w:trPr>
        <w:tc>
          <w:tcPr>
            <w:tcW w:w="2220" w:type="dxa"/>
            <w:vAlign w:val="bottom"/>
          </w:tcPr>
          <w:p>
            <w:pPr>
              <w:spacing w:after="0"/>
              <w:rPr>
                <w:sz w:val="16"/>
                <w:szCs w:val="16"/>
                <w:color w:val="auto"/>
              </w:rPr>
            </w:pPr>
          </w:p>
        </w:tc>
        <w:tc>
          <w:tcPr>
            <w:tcW w:w="8340" w:type="dxa"/>
            <w:vAlign w:val="bottom"/>
          </w:tcPr>
          <w:p>
            <w:pPr>
              <w:ind w:left="1000"/>
              <w:spacing w:after="0"/>
              <w:rPr>
                <w:sz w:val="20"/>
                <w:szCs w:val="20"/>
                <w:color w:val="auto"/>
              </w:rPr>
            </w:pPr>
            <w:r>
              <w:rPr>
                <w:rFonts w:ascii="Arial" w:cs="Arial" w:eastAsia="Arial" w:hAnsi="Arial"/>
                <w:sz w:val="16"/>
                <w:szCs w:val="16"/>
                <w:color w:val="auto"/>
              </w:rPr>
              <w:t>areas of focus.</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0" w:right="600" w:hanging="204"/>
        <w:spacing w:after="0" w:line="256" w:lineRule="auto"/>
        <w:tabs>
          <w:tab w:leader="none" w:pos="3187"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We established a working group with four of our largest operating companies by emissions designed to </w:t>
      </w:r>
      <w:r>
        <w:rPr>
          <w:rFonts w:ascii="Arial" w:cs="Arial" w:eastAsia="Arial" w:hAnsi="Arial"/>
          <w:sz w:val="16"/>
          <w:szCs w:val="16"/>
          <w:b w:val="1"/>
          <w:bCs w:val="1"/>
          <w:color w:val="021496"/>
        </w:rPr>
        <w:t xml:space="preserve">embed sustainability considerations </w:t>
      </w:r>
      <w:r>
        <w:rPr>
          <w:rFonts w:ascii="Arial" w:cs="Arial" w:eastAsia="Arial" w:hAnsi="Arial"/>
          <w:sz w:val="16"/>
          <w:szCs w:val="16"/>
          <w:color w:val="000000"/>
        </w:rPr>
        <w:t>into product development in 2021.</w:t>
      </w:r>
    </w:p>
    <w:p>
      <w:pPr>
        <w:spacing w:after="0" w:line="62" w:lineRule="exact"/>
        <w:rPr>
          <w:rFonts w:ascii="Arial" w:cs="Arial" w:eastAsia="Arial" w:hAnsi="Arial"/>
          <w:sz w:val="16"/>
          <w:szCs w:val="16"/>
          <w:color w:val="auto"/>
        </w:rPr>
      </w:pPr>
    </w:p>
    <w:p>
      <w:pPr>
        <w:ind w:left="3200" w:right="640" w:hanging="204"/>
        <w:spacing w:after="0" w:line="256" w:lineRule="auto"/>
        <w:tabs>
          <w:tab w:leader="none" w:pos="3187" w:val="left"/>
        </w:tabs>
        <w:numPr>
          <w:ilvl w:val="1"/>
          <w:numId w:val="9"/>
        </w:numPr>
        <w:rPr>
          <w:rFonts w:ascii="Arial" w:cs="Arial" w:eastAsia="Arial" w:hAnsi="Arial"/>
          <w:sz w:val="16"/>
          <w:szCs w:val="16"/>
          <w:color w:val="auto"/>
        </w:rPr>
      </w:pPr>
      <w:r>
        <w:rPr>
          <w:rFonts w:ascii="Arial" w:cs="Arial" w:eastAsia="Arial" w:hAnsi="Arial"/>
          <w:sz w:val="16"/>
          <w:szCs w:val="16"/>
          <w:color w:val="auto"/>
        </w:rPr>
        <w:t>We announced a goal of reducing Total Recordable Injury Rate (“TRIR”) by 40% by 2025 (from a 2019 baseline year).</w:t>
      </w:r>
    </w:p>
    <w:p>
      <w:pPr>
        <w:spacing w:after="0" w:line="95" w:lineRule="exact"/>
        <w:rPr>
          <w:rFonts w:ascii="Arial" w:cs="Arial" w:eastAsia="Arial" w:hAnsi="Arial"/>
          <w:sz w:val="16"/>
          <w:szCs w:val="16"/>
          <w:color w:val="auto"/>
        </w:rPr>
      </w:pPr>
    </w:p>
    <w:p>
      <w:pPr>
        <w:ind w:left="500" w:hanging="156"/>
        <w:spacing w:after="0"/>
        <w:tabs>
          <w:tab w:leader="none" w:pos="500" w:val="left"/>
        </w:tabs>
        <w:numPr>
          <w:ilvl w:val="0"/>
          <w:numId w:val="9"/>
        </w:numPr>
        <w:rPr>
          <w:rFonts w:ascii="Arial" w:cs="Arial" w:eastAsia="Arial" w:hAnsi="Arial"/>
          <w:sz w:val="11"/>
          <w:szCs w:val="11"/>
          <w:i w:val="1"/>
          <w:iCs w:val="1"/>
          <w:color w:val="auto"/>
        </w:rPr>
      </w:pPr>
      <w:r>
        <w:rPr>
          <w:rFonts w:ascii="Arial" w:cs="Arial" w:eastAsia="Arial" w:hAnsi="Arial"/>
          <w:sz w:val="12"/>
          <w:szCs w:val="12"/>
          <w:i w:val="1"/>
          <w:iCs w:val="1"/>
          <w:color w:val="auto"/>
        </w:rPr>
        <w:t>Definitions and reconciliations of non-GAAP measures are included at the end of this proxy statement.</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w:t>
      </w:r>
    </w:p>
    <w:p>
      <w:pPr>
        <w:sectPr>
          <w:pgSz w:w="11900" w:h="16838" w:orient="portrait"/>
          <w:cols w:equalWidth="0" w:num="1">
            <w:col w:w="11080"/>
          </w:cols>
          <w:pgMar w:left="320" w:top="456"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104775</wp:posOffset>
            </wp:positionV>
            <wp:extent cx="6934200" cy="3978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0" cy="3978910"/>
                    </a:xfrm>
                    <a:prstGeom prst="rect">
                      <a:avLst/>
                    </a:prstGeom>
                    <a:noFill/>
                  </pic:spPr>
                </pic:pic>
              </a:graphicData>
            </a:graphic>
          </wp:anchor>
        </w:drawing>
      </w:r>
    </w:p>
    <w:p>
      <w:pPr>
        <w:spacing w:after="0" w:line="307"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Total Shareholder Return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2021, we continued our long track record of delivering superior value-creation to our shareholders.</w:t>
      </w: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FFFFFF"/>
        </w:rPr>
        <w:t>Total Shareholder Return</w:t>
      </w:r>
      <w:r>
        <w:rPr>
          <w:rFonts w:ascii="Arial" w:cs="Arial" w:eastAsia="Arial" w:hAnsi="Arial"/>
          <w:sz w:val="27"/>
          <w:szCs w:val="27"/>
          <w:b w:val="1"/>
          <w:bCs w:val="1"/>
          <w:color w:val="FFFFFF"/>
          <w:vertAlign w:val="superscript"/>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Note : These figures represent annualized returns.</w:t>
      </w:r>
    </w:p>
    <w:p>
      <w:pPr>
        <w:spacing w:after="0" w:line="5" w:lineRule="exact"/>
        <w:rPr>
          <w:sz w:val="20"/>
          <w:szCs w:val="20"/>
          <w:color w:val="auto"/>
        </w:rPr>
      </w:pPr>
    </w:p>
    <w:p>
      <w:pPr>
        <w:ind w:left="2460" w:hanging="299"/>
        <w:spacing w:after="0"/>
        <w:tabs>
          <w:tab w:leader="none" w:pos="24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End date for returns periods is December 31, 2021.</w:t>
      </w:r>
    </w:p>
    <w:p>
      <w:pPr>
        <w:ind w:left="2480" w:right="2000" w:hanging="319"/>
        <w:spacing w:after="0" w:line="242" w:lineRule="auto"/>
        <w:tabs>
          <w:tab w:leader="none" w:pos="245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Annualized Total Shareholder Return including dividends and spin-offs. Fortive Corporation went public in July 2016 and Ingersoll-Rand merged with Gardner Denver in March 2020. Both stocks are excluded from periods prior to go public / merger dates. </w:t>
      </w:r>
      <w:r>
        <w:rPr>
          <w:rFonts w:ascii="Arial" w:cs="Arial" w:eastAsia="Arial" w:hAnsi="Arial"/>
          <w:sz w:val="12"/>
          <w:szCs w:val="12"/>
          <w:b w:val="1"/>
          <w:bCs w:val="1"/>
          <w:color w:val="auto"/>
        </w:rPr>
        <w:t>Source</w:t>
      </w:r>
      <w:r>
        <w:rPr>
          <w:rFonts w:ascii="Arial" w:cs="Arial" w:eastAsia="Arial" w:hAnsi="Arial"/>
          <w:sz w:val="12"/>
          <w:szCs w:val="12"/>
          <w:color w:val="auto"/>
        </w:rPr>
        <w:t>: Capital IQ</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w:t>
      </w:r>
    </w:p>
    <w:p>
      <w:pPr>
        <w:sectPr>
          <w:pgSz w:w="11900" w:h="16838" w:orient="portrait"/>
          <w:cols w:equalWidth="0" w:num="1">
            <w:col w:w="11080"/>
          </w:cols>
          <w:pgMar w:left="320" w:top="456"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104775</wp:posOffset>
            </wp:positionV>
            <wp:extent cx="6934200" cy="5039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200" cy="5039995"/>
                    </a:xfrm>
                    <a:prstGeom prst="rect">
                      <a:avLst/>
                    </a:prstGeom>
                    <a:noFill/>
                  </pic:spPr>
                </pic:pic>
              </a:graphicData>
            </a:graphic>
          </wp:anchor>
        </w:drawing>
      </w:r>
    </w:p>
    <w:p>
      <w:pPr>
        <w:spacing w:after="0" w:line="307"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Governance Highlights</w:t>
      </w:r>
    </w:p>
    <w:p>
      <w:pPr>
        <w:spacing w:after="0" w:line="104" w:lineRule="exact"/>
        <w:rPr>
          <w:sz w:val="20"/>
          <w:szCs w:val="20"/>
          <w:color w:val="auto"/>
        </w:rPr>
      </w:pPr>
    </w:p>
    <w:p>
      <w:pPr>
        <w:ind w:left="340" w:right="620"/>
        <w:spacing w:after="0" w:line="256" w:lineRule="auto"/>
        <w:rPr>
          <w:sz w:val="20"/>
          <w:szCs w:val="20"/>
          <w:color w:val="auto"/>
        </w:rPr>
      </w:pPr>
      <w:r>
        <w:rPr>
          <w:rFonts w:ascii="Arial" w:cs="Arial" w:eastAsia="Arial" w:hAnsi="Arial"/>
          <w:sz w:val="16"/>
          <w:szCs w:val="16"/>
          <w:color w:val="auto"/>
        </w:rPr>
        <w:t>Our Board is committed to sound governance practices designed to promote the long-term interests of shareholders and strengthen Board and management accountability. Highlights include:</w:t>
      </w: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4660" w:type="dxa"/>
            <w:vAlign w:val="bottom"/>
            <w:tcBorders>
              <w:top w:val="single" w:sz="8" w:color="021496"/>
              <w:bottom w:val="single" w:sz="8" w:color="021496"/>
            </w:tcBorders>
          </w:tcPr>
          <w:p>
            <w:pPr>
              <w:ind w:left="1780"/>
              <w:spacing w:after="0"/>
              <w:rPr>
                <w:sz w:val="20"/>
                <w:szCs w:val="20"/>
                <w:color w:val="auto"/>
              </w:rPr>
            </w:pPr>
            <w:r>
              <w:rPr>
                <w:rFonts w:ascii="Arial" w:cs="Arial" w:eastAsia="Arial" w:hAnsi="Arial"/>
                <w:sz w:val="16"/>
                <w:szCs w:val="16"/>
                <w:b w:val="1"/>
                <w:bCs w:val="1"/>
                <w:color w:val="auto"/>
              </w:rPr>
              <w:t>BOARD OF DIRECTORS</w:t>
            </w:r>
          </w:p>
        </w:tc>
        <w:tc>
          <w:tcPr>
            <w:tcW w:w="5900" w:type="dxa"/>
            <w:vAlign w:val="bottom"/>
            <w:tcBorders>
              <w:top w:val="single" w:sz="8" w:color="021496"/>
              <w:bottom w:val="single" w:sz="8" w:color="021496"/>
            </w:tcBorders>
          </w:tcPr>
          <w:p>
            <w:pPr>
              <w:jc w:val="center"/>
              <w:ind w:left="460"/>
              <w:spacing w:after="0"/>
              <w:rPr>
                <w:sz w:val="20"/>
                <w:szCs w:val="20"/>
                <w:color w:val="auto"/>
              </w:rPr>
            </w:pPr>
            <w:r>
              <w:rPr>
                <w:rFonts w:ascii="Arial" w:cs="Arial" w:eastAsia="Arial" w:hAnsi="Arial"/>
                <w:sz w:val="16"/>
                <w:szCs w:val="16"/>
                <w:b w:val="1"/>
                <w:bCs w:val="1"/>
                <w:color w:val="auto"/>
              </w:rPr>
              <w:t>GOVERNANCE HIGHLIGHTS</w:t>
            </w:r>
          </w:p>
        </w:tc>
      </w:tr>
      <w:tr>
        <w:trPr>
          <w:trHeight w:val="236"/>
        </w:trPr>
        <w:tc>
          <w:tcPr>
            <w:tcW w:w="4660" w:type="dxa"/>
            <w:vAlign w:val="bottom"/>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Independent Board leadership</w:t>
            </w:r>
          </w:p>
        </w:tc>
        <w:tc>
          <w:tcPr>
            <w:tcW w:w="5900" w:type="dxa"/>
            <w:vAlign w:val="bottom"/>
          </w:tcPr>
          <w:p>
            <w:pPr>
              <w:jc w:val="center"/>
              <w:ind w:left="4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 2019, achieved removal of all remaining supermajority</w:t>
            </w:r>
          </w:p>
        </w:tc>
      </w:tr>
      <w:tr>
        <w:trPr>
          <w:trHeight w:val="157"/>
        </w:trPr>
        <w:tc>
          <w:tcPr>
            <w:tcW w:w="4660" w:type="dxa"/>
            <w:vAlign w:val="bottom"/>
          </w:tcPr>
          <w:p>
            <w:pPr>
              <w:spacing w:after="0"/>
              <w:rPr>
                <w:sz w:val="13"/>
                <w:szCs w:val="13"/>
                <w:color w:val="auto"/>
              </w:rPr>
            </w:pPr>
          </w:p>
        </w:tc>
        <w:tc>
          <w:tcPr>
            <w:tcW w:w="5900" w:type="dxa"/>
            <w:vAlign w:val="bottom"/>
          </w:tcPr>
          <w:p>
            <w:pPr>
              <w:ind w:left="1380"/>
              <w:spacing w:after="0" w:line="157" w:lineRule="exact"/>
              <w:rPr>
                <w:sz w:val="20"/>
                <w:szCs w:val="20"/>
                <w:color w:val="auto"/>
              </w:rPr>
            </w:pPr>
            <w:r>
              <w:rPr>
                <w:rFonts w:ascii="Arial" w:cs="Arial" w:eastAsia="Arial" w:hAnsi="Arial"/>
                <w:sz w:val="16"/>
                <w:szCs w:val="16"/>
                <w:color w:val="auto"/>
              </w:rPr>
              <w:t>voting provisions in our charter</w:t>
            </w:r>
          </w:p>
        </w:tc>
      </w:tr>
    </w:tbl>
    <w:p>
      <w:pPr>
        <w:spacing w:after="0" w:line="3" w:lineRule="exact"/>
        <w:rPr>
          <w:sz w:val="20"/>
          <w:szCs w:val="20"/>
          <w:color w:val="auto"/>
        </w:rPr>
      </w:pPr>
    </w:p>
    <w:p>
      <w:pPr>
        <w:ind w:left="960" w:hanging="291"/>
        <w:spacing w:after="0"/>
        <w:tabs>
          <w:tab w:leader="none" w:pos="960" w:val="left"/>
        </w:tabs>
        <w:numPr>
          <w:ilvl w:val="0"/>
          <w:numId w:val="11"/>
        </w:numPr>
        <w:rPr>
          <w:rFonts w:ascii="MS PGothic" w:cs="MS PGothic" w:eastAsia="MS PGothic" w:hAnsi="MS PGothic"/>
          <w:sz w:val="16"/>
          <w:szCs w:val="16"/>
          <w:color w:val="auto"/>
        </w:rPr>
      </w:pPr>
      <w:r>
        <w:rPr>
          <w:rFonts w:ascii="Arial" w:cs="Arial" w:eastAsia="Arial" w:hAnsi="Arial"/>
          <w:sz w:val="16"/>
          <w:szCs w:val="16"/>
          <w:color w:val="auto"/>
        </w:rPr>
        <w:t>In 2020, adopted a diversity search policy for external director</w:t>
      </w:r>
    </w:p>
    <w:tbl>
      <w:tblPr>
        <w:tblLayout w:type="fixed"/>
        <w:tblInd w:w="660" w:type="dxa"/>
        <w:tblCellMar>
          <w:top w:w="0" w:type="dxa"/>
          <w:left w:w="0" w:type="dxa"/>
          <w:bottom w:w="0" w:type="dxa"/>
          <w:right w:w="0" w:type="dxa"/>
        </w:tblCellMar>
      </w:tblPr>
      <w:tr>
        <w:trPr>
          <w:trHeight w:val="204"/>
        </w:trPr>
        <w:tc>
          <w:tcPr>
            <w:tcW w:w="5120" w:type="dxa"/>
            <w:vAlign w:val="bottom"/>
          </w:tcPr>
          <w:p>
            <w:pPr>
              <w:ind w:left="320"/>
              <w:spacing w:after="0"/>
              <w:rPr>
                <w:sz w:val="20"/>
                <w:szCs w:val="20"/>
                <w:color w:val="auto"/>
              </w:rPr>
            </w:pPr>
            <w:r>
              <w:rPr>
                <w:rFonts w:ascii="Arial" w:cs="Arial" w:eastAsia="Arial" w:hAnsi="Arial"/>
                <w:sz w:val="16"/>
                <w:szCs w:val="16"/>
                <w:color w:val="auto"/>
              </w:rPr>
              <w:t>and Chief Executive Officer (“CEO”) searches conducted by</w:t>
            </w:r>
          </w:p>
        </w:tc>
        <w:tc>
          <w:tcPr>
            <w:tcW w:w="488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 February 2020, reduced ownership threshold required to</w:t>
            </w:r>
          </w:p>
        </w:tc>
        <w:tc>
          <w:tcPr>
            <w:tcW w:w="0" w:type="dxa"/>
            <w:vAlign w:val="bottom"/>
          </w:tcPr>
          <w:p>
            <w:pPr>
              <w:spacing w:after="0"/>
              <w:rPr>
                <w:sz w:val="1"/>
                <w:szCs w:val="1"/>
                <w:color w:val="auto"/>
              </w:rPr>
            </w:pPr>
          </w:p>
        </w:tc>
      </w:tr>
      <w:tr>
        <w:trPr>
          <w:trHeight w:val="193"/>
        </w:trPr>
        <w:tc>
          <w:tcPr>
            <w:tcW w:w="5120" w:type="dxa"/>
            <w:vAlign w:val="bottom"/>
          </w:tcPr>
          <w:p>
            <w:pPr>
              <w:ind w:left="320"/>
              <w:spacing w:after="0"/>
              <w:rPr>
                <w:sz w:val="20"/>
                <w:szCs w:val="20"/>
                <w:color w:val="auto"/>
              </w:rPr>
            </w:pPr>
            <w:r>
              <w:rPr>
                <w:rFonts w:ascii="Arial" w:cs="Arial" w:eastAsia="Arial" w:hAnsi="Arial"/>
                <w:sz w:val="16"/>
                <w:szCs w:val="16"/>
                <w:color w:val="auto"/>
              </w:rPr>
              <w:t>third-party search firms</w:t>
            </w:r>
          </w:p>
        </w:tc>
        <w:tc>
          <w:tcPr>
            <w:tcW w:w="4880" w:type="dxa"/>
            <w:vAlign w:val="bottom"/>
          </w:tcPr>
          <w:p>
            <w:pPr>
              <w:ind w:left="600"/>
              <w:spacing w:after="0"/>
              <w:rPr>
                <w:sz w:val="20"/>
                <w:szCs w:val="20"/>
                <w:color w:val="auto"/>
              </w:rPr>
            </w:pPr>
            <w:r>
              <w:rPr>
                <w:rFonts w:ascii="Arial" w:cs="Arial" w:eastAsia="Arial" w:hAnsi="Arial"/>
                <w:sz w:val="16"/>
                <w:szCs w:val="16"/>
                <w:color w:val="auto"/>
              </w:rPr>
              <w:t>call a special meeting of shareholders to 15% from 25%</w:t>
            </w:r>
          </w:p>
        </w:tc>
        <w:tc>
          <w:tcPr>
            <w:tcW w:w="0" w:type="dxa"/>
            <w:vAlign w:val="bottom"/>
          </w:tcPr>
          <w:p>
            <w:pPr>
              <w:spacing w:after="0"/>
              <w:rPr>
                <w:sz w:val="1"/>
                <w:szCs w:val="1"/>
                <w:color w:val="auto"/>
              </w:rPr>
            </w:pPr>
          </w:p>
        </w:tc>
      </w:tr>
      <w:tr>
        <w:trPr>
          <w:trHeight w:val="355"/>
        </w:trPr>
        <w:tc>
          <w:tcPr>
            <w:tcW w:w="512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All directors are independent, other than the CEO</w:t>
            </w:r>
          </w:p>
        </w:tc>
        <w:tc>
          <w:tcPr>
            <w:tcW w:w="488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Proxy access right at 3%/3 years/2 or 20% of Board/20</w:t>
            </w:r>
          </w:p>
        </w:tc>
        <w:tc>
          <w:tcPr>
            <w:tcW w:w="0" w:type="dxa"/>
            <w:vAlign w:val="bottom"/>
          </w:tcPr>
          <w:p>
            <w:pPr>
              <w:spacing w:after="0"/>
              <w:rPr>
                <w:sz w:val="1"/>
                <w:szCs w:val="1"/>
                <w:color w:val="auto"/>
              </w:rPr>
            </w:pPr>
          </w:p>
        </w:tc>
      </w:tr>
      <w:tr>
        <w:trPr>
          <w:trHeight w:val="193"/>
        </w:trPr>
        <w:tc>
          <w:tcPr>
            <w:tcW w:w="5120" w:type="dxa"/>
            <w:vAlign w:val="bottom"/>
            <w:vMerge w:val="restart"/>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Annual election of directors</w:t>
            </w:r>
          </w:p>
        </w:tc>
        <w:tc>
          <w:tcPr>
            <w:tcW w:w="4880" w:type="dxa"/>
            <w:vAlign w:val="bottom"/>
          </w:tcPr>
          <w:p>
            <w:pPr>
              <w:ind w:left="600"/>
              <w:spacing w:after="0"/>
              <w:rPr>
                <w:sz w:val="20"/>
                <w:szCs w:val="20"/>
                <w:color w:val="auto"/>
              </w:rPr>
            </w:pPr>
            <w:r>
              <w:rPr>
                <w:rFonts w:ascii="Arial" w:cs="Arial" w:eastAsia="Arial" w:hAnsi="Arial"/>
                <w:sz w:val="16"/>
                <w:szCs w:val="16"/>
                <w:color w:val="auto"/>
              </w:rPr>
              <w:t>shareholder aggregation allowance</w:t>
            </w:r>
          </w:p>
        </w:tc>
        <w:tc>
          <w:tcPr>
            <w:tcW w:w="0" w:type="dxa"/>
            <w:vAlign w:val="bottom"/>
          </w:tcPr>
          <w:p>
            <w:pPr>
              <w:spacing w:after="0"/>
              <w:rPr>
                <w:sz w:val="1"/>
                <w:szCs w:val="1"/>
                <w:color w:val="auto"/>
              </w:rPr>
            </w:pPr>
          </w:p>
        </w:tc>
      </w:tr>
      <w:tr>
        <w:trPr>
          <w:trHeight w:val="178"/>
        </w:trPr>
        <w:tc>
          <w:tcPr>
            <w:tcW w:w="5120" w:type="dxa"/>
            <w:vAlign w:val="bottom"/>
            <w:vMerge w:val="continue"/>
          </w:tcPr>
          <w:p>
            <w:pPr>
              <w:spacing w:after="0"/>
              <w:rPr>
                <w:sz w:val="15"/>
                <w:szCs w:val="15"/>
                <w:color w:val="auto"/>
              </w:rPr>
            </w:pPr>
          </w:p>
        </w:tc>
        <w:tc>
          <w:tcPr>
            <w:tcW w:w="4880" w:type="dxa"/>
            <w:vAlign w:val="bottom"/>
            <w:vMerge w:val="restart"/>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Strong share retention guidelines for directors and executive</w:t>
            </w:r>
          </w:p>
        </w:tc>
        <w:tc>
          <w:tcPr>
            <w:tcW w:w="0" w:type="dxa"/>
            <w:vAlign w:val="bottom"/>
          </w:tcPr>
          <w:p>
            <w:pPr>
              <w:spacing w:after="0"/>
              <w:rPr>
                <w:sz w:val="1"/>
                <w:szCs w:val="1"/>
                <w:color w:val="auto"/>
              </w:rPr>
            </w:pPr>
          </w:p>
        </w:tc>
      </w:tr>
      <w:tr>
        <w:trPr>
          <w:trHeight w:val="177"/>
        </w:trPr>
        <w:tc>
          <w:tcPr>
            <w:tcW w:w="5120" w:type="dxa"/>
            <w:vAlign w:val="bottom"/>
            <w:vMerge w:val="restart"/>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Majority voting for directors and director resignation policy in</w:t>
            </w:r>
          </w:p>
        </w:tc>
        <w:tc>
          <w:tcPr>
            <w:tcW w:w="4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20" w:type="dxa"/>
            <w:vAlign w:val="bottom"/>
            <w:vMerge w:val="continue"/>
          </w:tcPr>
          <w:p>
            <w:pPr>
              <w:spacing w:after="0"/>
              <w:rPr>
                <w:sz w:val="15"/>
                <w:szCs w:val="15"/>
                <w:color w:val="auto"/>
              </w:rPr>
            </w:pPr>
          </w:p>
        </w:tc>
        <w:tc>
          <w:tcPr>
            <w:tcW w:w="4880" w:type="dxa"/>
            <w:vAlign w:val="bottom"/>
          </w:tcPr>
          <w:p>
            <w:pPr>
              <w:ind w:left="600"/>
              <w:spacing w:after="0" w:line="174" w:lineRule="exact"/>
              <w:rPr>
                <w:sz w:val="20"/>
                <w:szCs w:val="20"/>
                <w:color w:val="auto"/>
              </w:rPr>
            </w:pPr>
            <w:r>
              <w:rPr>
                <w:rFonts w:ascii="Arial" w:cs="Arial" w:eastAsia="Arial" w:hAnsi="Arial"/>
                <w:sz w:val="16"/>
                <w:szCs w:val="16"/>
                <w:color w:val="auto"/>
              </w:rPr>
              <w:t>officers</w:t>
            </w:r>
          </w:p>
        </w:tc>
        <w:tc>
          <w:tcPr>
            <w:tcW w:w="0" w:type="dxa"/>
            <w:vAlign w:val="bottom"/>
          </w:tcPr>
          <w:p>
            <w:pPr>
              <w:spacing w:after="0"/>
              <w:rPr>
                <w:sz w:val="1"/>
                <w:szCs w:val="1"/>
                <w:color w:val="auto"/>
              </w:rPr>
            </w:pPr>
          </w:p>
        </w:tc>
      </w:tr>
      <w:tr>
        <w:trPr>
          <w:trHeight w:val="193"/>
        </w:trPr>
        <w:tc>
          <w:tcPr>
            <w:tcW w:w="5120" w:type="dxa"/>
            <w:vAlign w:val="bottom"/>
          </w:tcPr>
          <w:p>
            <w:pPr>
              <w:ind w:left="320"/>
              <w:spacing w:after="0"/>
              <w:rPr>
                <w:sz w:val="20"/>
                <w:szCs w:val="20"/>
                <w:color w:val="auto"/>
              </w:rPr>
            </w:pPr>
            <w:r>
              <w:rPr>
                <w:rFonts w:ascii="Arial" w:cs="Arial" w:eastAsia="Arial" w:hAnsi="Arial"/>
                <w:sz w:val="16"/>
                <w:szCs w:val="16"/>
                <w:color w:val="auto"/>
              </w:rPr>
              <w:t>uncontested elections</w:t>
            </w:r>
          </w:p>
        </w:tc>
        <w:tc>
          <w:tcPr>
            <w:tcW w:w="4880" w:type="dxa"/>
            <w:vAlign w:val="bottom"/>
            <w:vMerge w:val="restart"/>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Executive compensation driven by pay-for-performance</w:t>
            </w:r>
          </w:p>
        </w:tc>
        <w:tc>
          <w:tcPr>
            <w:tcW w:w="0" w:type="dxa"/>
            <w:vAlign w:val="bottom"/>
          </w:tcPr>
          <w:p>
            <w:pPr>
              <w:spacing w:after="0"/>
              <w:rPr>
                <w:sz w:val="1"/>
                <w:szCs w:val="1"/>
                <w:color w:val="auto"/>
              </w:rPr>
            </w:pPr>
          </w:p>
        </w:tc>
      </w:tr>
      <w:tr>
        <w:trPr>
          <w:trHeight w:val="181"/>
        </w:trPr>
        <w:tc>
          <w:tcPr>
            <w:tcW w:w="5120" w:type="dxa"/>
            <w:vAlign w:val="bottom"/>
            <w:vMerge w:val="restart"/>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Comprehensive annual individual evaluations of one-third of the</w:t>
            </w:r>
          </w:p>
        </w:tc>
        <w:tc>
          <w:tcPr>
            <w:tcW w:w="4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20" w:type="dxa"/>
            <w:vAlign w:val="bottom"/>
            <w:vMerge w:val="continue"/>
          </w:tcPr>
          <w:p>
            <w:pPr>
              <w:spacing w:after="0"/>
              <w:rPr>
                <w:sz w:val="15"/>
                <w:szCs w:val="15"/>
                <w:color w:val="auto"/>
              </w:rPr>
            </w:pPr>
          </w:p>
        </w:tc>
        <w:tc>
          <w:tcPr>
            <w:tcW w:w="4880" w:type="dxa"/>
            <w:vAlign w:val="bottom"/>
          </w:tcPr>
          <w:p>
            <w:pPr>
              <w:ind w:left="600"/>
              <w:spacing w:after="0" w:line="174" w:lineRule="exact"/>
              <w:rPr>
                <w:sz w:val="20"/>
                <w:szCs w:val="20"/>
                <w:color w:val="auto"/>
              </w:rPr>
            </w:pPr>
            <w:r>
              <w:rPr>
                <w:rFonts w:ascii="Arial" w:cs="Arial" w:eastAsia="Arial" w:hAnsi="Arial"/>
                <w:sz w:val="16"/>
                <w:szCs w:val="16"/>
                <w:color w:val="auto"/>
              </w:rPr>
              <w:t>philosophy</w:t>
            </w:r>
          </w:p>
        </w:tc>
        <w:tc>
          <w:tcPr>
            <w:tcW w:w="0" w:type="dxa"/>
            <w:vAlign w:val="bottom"/>
          </w:tcPr>
          <w:p>
            <w:pPr>
              <w:spacing w:after="0"/>
              <w:rPr>
                <w:sz w:val="1"/>
                <w:szCs w:val="1"/>
                <w:color w:val="auto"/>
              </w:rPr>
            </w:pPr>
          </w:p>
        </w:tc>
      </w:tr>
      <w:tr>
        <w:trPr>
          <w:trHeight w:val="193"/>
        </w:trPr>
        <w:tc>
          <w:tcPr>
            <w:tcW w:w="5120" w:type="dxa"/>
            <w:vAlign w:val="bottom"/>
          </w:tcPr>
          <w:p>
            <w:pPr>
              <w:ind w:left="320"/>
              <w:spacing w:after="0"/>
              <w:rPr>
                <w:sz w:val="20"/>
                <w:szCs w:val="20"/>
                <w:color w:val="auto"/>
              </w:rPr>
            </w:pPr>
            <w:r>
              <w:rPr>
                <w:rFonts w:ascii="Arial" w:cs="Arial" w:eastAsia="Arial" w:hAnsi="Arial"/>
                <w:sz w:val="16"/>
                <w:szCs w:val="16"/>
                <w:color w:val="auto"/>
              </w:rPr>
              <w:t>directors</w:t>
            </w:r>
          </w:p>
        </w:tc>
        <w:tc>
          <w:tcPr>
            <w:tcW w:w="4880" w:type="dxa"/>
            <w:vAlign w:val="bottom"/>
            <w:vMerge w:val="restart"/>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Executive officers not permitted to hedge or pledge company</w:t>
            </w:r>
          </w:p>
        </w:tc>
        <w:tc>
          <w:tcPr>
            <w:tcW w:w="0" w:type="dxa"/>
            <w:vAlign w:val="bottom"/>
          </w:tcPr>
          <w:p>
            <w:pPr>
              <w:spacing w:after="0"/>
              <w:rPr>
                <w:sz w:val="1"/>
                <w:szCs w:val="1"/>
                <w:color w:val="auto"/>
              </w:rPr>
            </w:pPr>
          </w:p>
        </w:tc>
      </w:tr>
      <w:tr>
        <w:trPr>
          <w:trHeight w:val="181"/>
        </w:trPr>
        <w:tc>
          <w:tcPr>
            <w:tcW w:w="5120" w:type="dxa"/>
            <w:vAlign w:val="bottom"/>
            <w:vMerge w:val="restart"/>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Regular executive sessions of independent directors</w:t>
            </w:r>
          </w:p>
        </w:tc>
        <w:tc>
          <w:tcPr>
            <w:tcW w:w="4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120" w:type="dxa"/>
            <w:vAlign w:val="bottom"/>
            <w:vMerge w:val="continue"/>
          </w:tcPr>
          <w:p>
            <w:pPr>
              <w:spacing w:after="0"/>
              <w:rPr>
                <w:sz w:val="16"/>
                <w:szCs w:val="16"/>
                <w:color w:val="auto"/>
              </w:rPr>
            </w:pPr>
          </w:p>
        </w:tc>
        <w:tc>
          <w:tcPr>
            <w:tcW w:w="4880" w:type="dxa"/>
            <w:vAlign w:val="bottom"/>
          </w:tcPr>
          <w:p>
            <w:pPr>
              <w:ind w:left="600"/>
              <w:spacing w:after="0"/>
              <w:rPr>
                <w:sz w:val="20"/>
                <w:szCs w:val="20"/>
                <w:color w:val="auto"/>
              </w:rPr>
            </w:pPr>
            <w:r>
              <w:rPr>
                <w:rFonts w:ascii="Arial" w:cs="Arial" w:eastAsia="Arial" w:hAnsi="Arial"/>
                <w:sz w:val="16"/>
                <w:szCs w:val="16"/>
                <w:color w:val="auto"/>
              </w:rPr>
              <w:t>shares</w:t>
            </w:r>
          </w:p>
        </w:tc>
        <w:tc>
          <w:tcPr>
            <w:tcW w:w="0" w:type="dxa"/>
            <w:vAlign w:val="bottom"/>
          </w:tcPr>
          <w:p>
            <w:pPr>
              <w:spacing w:after="0"/>
              <w:rPr>
                <w:sz w:val="1"/>
                <w:szCs w:val="1"/>
                <w:color w:val="auto"/>
              </w:rPr>
            </w:pPr>
          </w:p>
        </w:tc>
      </w:tr>
      <w:tr>
        <w:trPr>
          <w:trHeight w:val="352"/>
        </w:trPr>
        <w:tc>
          <w:tcPr>
            <w:tcW w:w="512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Robust succession planning</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Shareholder Engagement</w:t>
      </w:r>
    </w:p>
    <w:p>
      <w:pPr>
        <w:spacing w:after="0" w:line="104" w:lineRule="exact"/>
        <w:rPr>
          <w:sz w:val="20"/>
          <w:szCs w:val="20"/>
          <w:color w:val="auto"/>
        </w:rPr>
      </w:pPr>
    </w:p>
    <w:p>
      <w:pPr>
        <w:ind w:left="340" w:right="220"/>
        <w:spacing w:after="0" w:line="245" w:lineRule="auto"/>
        <w:rPr>
          <w:sz w:val="20"/>
          <w:szCs w:val="20"/>
          <w:color w:val="auto"/>
        </w:rPr>
      </w:pPr>
      <w:r>
        <w:rPr>
          <w:rFonts w:ascii="Arial" w:cs="Arial" w:eastAsia="Arial" w:hAnsi="Arial"/>
          <w:sz w:val="16"/>
          <w:szCs w:val="16"/>
          <w:color w:val="auto"/>
        </w:rPr>
        <w:t>We encourage feedback from shareholders and have a strong history of engaging with investors on a range of topics, including our executive compensation program, evolving trends and best practices. In 2021, we continued our focus on regularly engaging with shareholders. We reached out to holders of approximately 60% of our shares outstanding, and engaged with governance professionals and/or portfolio managers at investors holding approximately 31% of our shares outstanding. During these discussions, we discussed many key topics, including our commitment to diversity and inclusion, progress on our ESG program and disclosures, our executive compensation program, and our corporate governance practices. Investors continued to express broad support for our governance structures and executive compensation program, including the changes implemented in 2020 in response to shareholder feedback, and shared their views on matters related to diversity and inclusion and our independent, well-qualified Board. Further, investors highlighted the importance of continuing our ongoing engagement with them in the future on long-term corporate strategy and ESG initiatives. For more detailed information regarding these discussions, please see “Shareholder Engagement and History of Board Responsiveness” on page 31.</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w:t>
      </w:r>
    </w:p>
    <w:p>
      <w:pPr>
        <w:sectPr>
          <w:pgSz w:w="11900" w:h="16838" w:orient="portrait"/>
          <w:cols w:equalWidth="0" w:num="1">
            <w:col w:w="11080"/>
          </w:cols>
          <w:pgMar w:left="320" w:top="456"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104775</wp:posOffset>
            </wp:positionV>
            <wp:extent cx="6934200" cy="579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4200" cy="5796280"/>
                    </a:xfrm>
                    <a:prstGeom prst="rect">
                      <a:avLst/>
                    </a:prstGeom>
                    <a:noFill/>
                  </pic:spPr>
                </pic:pic>
              </a:graphicData>
            </a:graphic>
          </wp:anchor>
        </w:drawing>
      </w:r>
    </w:p>
    <w:p>
      <w:pPr>
        <w:spacing w:after="0" w:line="307"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Executive Compensation</w:t>
      </w:r>
    </w:p>
    <w:p>
      <w:pPr>
        <w:spacing w:after="0" w:line="144" w:lineRule="exact"/>
        <w:rPr>
          <w:sz w:val="20"/>
          <w:szCs w:val="20"/>
          <w:color w:val="auto"/>
        </w:rPr>
      </w:pPr>
    </w:p>
    <w:p>
      <w:pPr>
        <w:ind w:left="340" w:right="740"/>
        <w:spacing w:after="0" w:line="256" w:lineRule="auto"/>
        <w:rPr>
          <w:sz w:val="20"/>
          <w:szCs w:val="20"/>
          <w:color w:val="auto"/>
        </w:rPr>
      </w:pPr>
      <w:r>
        <w:rPr>
          <w:rFonts w:ascii="Arial" w:cs="Arial" w:eastAsia="Arial" w:hAnsi="Arial"/>
          <w:sz w:val="16"/>
          <w:szCs w:val="16"/>
          <w:color w:val="auto"/>
        </w:rPr>
        <w:t>Our compensation program for executive officers is designed to emphasize performance-based compensation in alignment with our business strategy.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21496"/>
        </w:rPr>
        <w:t>2021 Executive Compensation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pay mix for our CEO and other NEOs, which is highly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EXECUTIVE COMPENSATION PROGRAM HIGHLIGHTS</w:t>
      </w:r>
    </w:p>
    <w:p>
      <w:pPr>
        <w:spacing w:after="0" w:line="361" w:lineRule="exact"/>
        <w:rPr>
          <w:sz w:val="20"/>
          <w:szCs w:val="20"/>
          <w:color w:val="auto"/>
        </w:rPr>
      </w:pPr>
    </w:p>
    <w:p>
      <w:pPr>
        <w:ind w:left="960" w:hanging="291"/>
        <w:spacing w:after="0"/>
        <w:tabs>
          <w:tab w:leader="none" w:pos="960"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Pay-for-performance philosophy — a substantial majority of NEO pay is performance-based and tied to Dover’s stock price performance</w:t>
      </w:r>
    </w:p>
    <w:p>
      <w:pPr>
        <w:spacing w:after="0" w:line="177" w:lineRule="exact"/>
        <w:rPr>
          <w:rFonts w:ascii="MS PGothic" w:cs="MS PGothic" w:eastAsia="MS PGothic" w:hAnsi="MS PGothic"/>
          <w:sz w:val="16"/>
          <w:szCs w:val="16"/>
          <w:color w:val="auto"/>
        </w:rPr>
      </w:pPr>
    </w:p>
    <w:p>
      <w:pPr>
        <w:ind w:left="980" w:right="340" w:hanging="311"/>
        <w:spacing w:after="0" w:line="273" w:lineRule="auto"/>
        <w:tabs>
          <w:tab w:leader="none" w:pos="953"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Significant portion of long-term compensation is performance-based, with long-term incentives vesting over three years subject to rigorous three-year performance period</w:t>
      </w:r>
    </w:p>
    <w:p>
      <w:pPr>
        <w:spacing w:after="0" w:line="129" w:lineRule="exact"/>
        <w:rPr>
          <w:rFonts w:ascii="MS PGothic" w:cs="MS PGothic" w:eastAsia="MS PGothic" w:hAnsi="MS PGothic"/>
          <w:sz w:val="16"/>
          <w:szCs w:val="16"/>
          <w:color w:val="auto"/>
        </w:rPr>
      </w:pPr>
    </w:p>
    <w:p>
      <w:pPr>
        <w:ind w:left="960" w:hanging="291"/>
        <w:spacing w:after="0"/>
        <w:tabs>
          <w:tab w:leader="none" w:pos="960"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Strong share ownership guidelines for NEOs</w:t>
      </w:r>
    </w:p>
    <w:p>
      <w:pPr>
        <w:spacing w:after="0" w:line="177" w:lineRule="exact"/>
        <w:rPr>
          <w:rFonts w:ascii="MS PGothic" w:cs="MS PGothic" w:eastAsia="MS PGothic" w:hAnsi="MS PGothic"/>
          <w:sz w:val="16"/>
          <w:szCs w:val="16"/>
          <w:color w:val="auto"/>
        </w:rPr>
      </w:pPr>
    </w:p>
    <w:p>
      <w:pPr>
        <w:ind w:left="960" w:hanging="291"/>
        <w:spacing w:after="0"/>
        <w:tabs>
          <w:tab w:leader="none" w:pos="960"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Equity awards with anti-hedging and anti-pledging provisions</w:t>
      </w:r>
    </w:p>
    <w:p>
      <w:pPr>
        <w:spacing w:after="0" w:line="177" w:lineRule="exact"/>
        <w:rPr>
          <w:rFonts w:ascii="MS PGothic" w:cs="MS PGothic" w:eastAsia="MS PGothic" w:hAnsi="MS PGothic"/>
          <w:sz w:val="16"/>
          <w:szCs w:val="16"/>
          <w:color w:val="auto"/>
        </w:rPr>
      </w:pPr>
    </w:p>
    <w:p>
      <w:pPr>
        <w:ind w:left="980" w:right="460" w:hanging="311"/>
        <w:spacing w:after="0" w:line="273" w:lineRule="auto"/>
        <w:tabs>
          <w:tab w:leader="none" w:pos="953"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Investors provided with clear disclosure regarding the individual strategic objectives and financial metrics in our Executive Officer Annual Incentive Plan (“AIP”)</w:t>
      </w:r>
    </w:p>
    <w:p>
      <w:pPr>
        <w:spacing w:after="0" w:line="129" w:lineRule="exact"/>
        <w:rPr>
          <w:rFonts w:ascii="MS PGothic" w:cs="MS PGothic" w:eastAsia="MS PGothic" w:hAnsi="MS PGothic"/>
          <w:sz w:val="16"/>
          <w:szCs w:val="16"/>
          <w:color w:val="auto"/>
        </w:rPr>
      </w:pPr>
    </w:p>
    <w:p>
      <w:pPr>
        <w:ind w:left="960" w:hanging="291"/>
        <w:spacing w:after="0"/>
        <w:tabs>
          <w:tab w:leader="none" w:pos="960"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ESG oversight incorporated into our CEO’s individual strategic objectives in the AIP</w:t>
      </w:r>
    </w:p>
    <w:p>
      <w:pPr>
        <w:spacing w:after="0" w:line="177" w:lineRule="exact"/>
        <w:rPr>
          <w:rFonts w:ascii="MS PGothic" w:cs="MS PGothic" w:eastAsia="MS PGothic" w:hAnsi="MS PGothic"/>
          <w:sz w:val="16"/>
          <w:szCs w:val="16"/>
          <w:color w:val="auto"/>
        </w:rPr>
      </w:pPr>
    </w:p>
    <w:p>
      <w:pPr>
        <w:ind w:left="960" w:hanging="291"/>
        <w:spacing w:after="0"/>
        <w:tabs>
          <w:tab w:leader="none" w:pos="960"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Robust clawback structure</w:t>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w:t>
      </w:r>
    </w:p>
    <w:p>
      <w:pPr>
        <w:sectPr>
          <w:pgSz w:w="11900" w:h="16838" w:orient="portrait"/>
          <w:cols w:equalWidth="0" w:num="1">
            <w:col w:w="11080"/>
          </w:cols>
          <w:pgMar w:left="320" w:top="456"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104775</wp:posOffset>
            </wp:positionV>
            <wp:extent cx="6934200" cy="65347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4200" cy="6534785"/>
                    </a:xfrm>
                    <a:prstGeom prst="rect">
                      <a:avLst/>
                    </a:prstGeom>
                    <a:noFill/>
                  </pic:spPr>
                </pic:pic>
              </a:graphicData>
            </a:graphic>
          </wp:anchor>
        </w:drawing>
      </w:r>
    </w:p>
    <w:p>
      <w:pPr>
        <w:spacing w:after="0" w:line="307"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Director Nominees</w:t>
      </w:r>
    </w:p>
    <w:p>
      <w:pPr>
        <w:spacing w:after="0" w:line="144" w:lineRule="exact"/>
        <w:rPr>
          <w:sz w:val="20"/>
          <w:szCs w:val="20"/>
          <w:color w:val="auto"/>
        </w:rPr>
      </w:pPr>
    </w:p>
    <w:p>
      <w:pPr>
        <w:ind w:left="340" w:right="360"/>
        <w:spacing w:after="0" w:line="250" w:lineRule="auto"/>
        <w:rPr>
          <w:sz w:val="20"/>
          <w:szCs w:val="20"/>
          <w:color w:val="auto"/>
        </w:rPr>
      </w:pPr>
      <w:r>
        <w:rPr>
          <w:rFonts w:ascii="Arial" w:cs="Arial" w:eastAsia="Arial" w:hAnsi="Arial"/>
          <w:sz w:val="16"/>
          <w:szCs w:val="16"/>
          <w:color w:val="auto"/>
        </w:rPr>
        <w:t>Our Governance and Nominating Committee maintains an active and engaged Board through a robust refreshment process, which focuses on ensuring our Board has a diverse skill set that benefits from both the industry- and company-specific knowledge of our longer-tenured directors, as well as the fresh perspectives brought by our newer directors.</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3440" w:type="dxa"/>
            <w:vAlign w:val="bottom"/>
            <w:tcBorders>
              <w:top w:val="single" w:sz="8" w:color="021496"/>
            </w:tcBorders>
          </w:tcPr>
          <w:p>
            <w:pPr>
              <w:spacing w:after="0"/>
              <w:rPr>
                <w:sz w:val="15"/>
                <w:szCs w:val="15"/>
                <w:color w:val="auto"/>
              </w:rPr>
            </w:pPr>
          </w:p>
        </w:tc>
        <w:tc>
          <w:tcPr>
            <w:tcW w:w="2600" w:type="dxa"/>
            <w:vAlign w:val="bottom"/>
            <w:tcBorders>
              <w:top w:val="single" w:sz="8" w:color="021496"/>
            </w:tcBorders>
          </w:tcPr>
          <w:p>
            <w:pPr>
              <w:spacing w:after="0"/>
              <w:rPr>
                <w:sz w:val="15"/>
                <w:szCs w:val="15"/>
                <w:color w:val="auto"/>
              </w:rPr>
            </w:pPr>
          </w:p>
        </w:tc>
        <w:tc>
          <w:tcPr>
            <w:tcW w:w="1840" w:type="dxa"/>
            <w:vAlign w:val="bottom"/>
            <w:tcBorders>
              <w:top w:val="single" w:sz="8" w:color="021496"/>
            </w:tcBorders>
          </w:tcPr>
          <w:p>
            <w:pPr>
              <w:spacing w:after="0"/>
              <w:rPr>
                <w:sz w:val="15"/>
                <w:szCs w:val="15"/>
                <w:color w:val="auto"/>
              </w:rPr>
            </w:pPr>
          </w:p>
        </w:tc>
        <w:tc>
          <w:tcPr>
            <w:tcW w:w="1420" w:type="dxa"/>
            <w:vAlign w:val="bottom"/>
            <w:tcBorders>
              <w:top w:val="single" w:sz="8" w:color="021496"/>
            </w:tcBorders>
          </w:tcPr>
          <w:p>
            <w:pPr>
              <w:spacing w:after="0"/>
              <w:rPr>
                <w:sz w:val="15"/>
                <w:szCs w:val="15"/>
                <w:color w:val="auto"/>
              </w:rPr>
            </w:pPr>
          </w:p>
        </w:tc>
        <w:tc>
          <w:tcPr>
            <w:tcW w:w="1260" w:type="dxa"/>
            <w:vAlign w:val="bottom"/>
            <w:tcBorders>
              <w:top w:val="single" w:sz="8" w:color="021496"/>
            </w:tcBorders>
          </w:tcPr>
          <w:p>
            <w:pPr>
              <w:ind w:left="120"/>
              <w:spacing w:after="0"/>
              <w:rPr>
                <w:sz w:val="20"/>
                <w:szCs w:val="20"/>
                <w:color w:val="auto"/>
              </w:rPr>
            </w:pPr>
            <w:r>
              <w:rPr>
                <w:rFonts w:ascii="Arial" w:cs="Arial" w:eastAsia="Arial" w:hAnsi="Arial"/>
                <w:sz w:val="14"/>
                <w:szCs w:val="14"/>
                <w:b w:val="1"/>
                <w:bCs w:val="1"/>
                <w:color w:val="auto"/>
              </w:rPr>
              <w:t>OTHER PUBLIC</w:t>
            </w:r>
          </w:p>
        </w:tc>
      </w:tr>
      <w:tr>
        <w:trPr>
          <w:trHeight w:val="160"/>
        </w:trPr>
        <w:tc>
          <w:tcPr>
            <w:tcW w:w="34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20" w:type="dxa"/>
            <w:vAlign w:val="bottom"/>
          </w:tcPr>
          <w:p>
            <w:pPr>
              <w:jc w:val="center"/>
              <w:ind w:left="49"/>
              <w:spacing w:after="0"/>
              <w:rPr>
                <w:sz w:val="20"/>
                <w:szCs w:val="20"/>
                <w:color w:val="auto"/>
              </w:rPr>
            </w:pPr>
            <w:r>
              <w:rPr>
                <w:rFonts w:ascii="Arial" w:cs="Arial" w:eastAsia="Arial" w:hAnsi="Arial"/>
                <w:sz w:val="14"/>
                <w:szCs w:val="14"/>
                <w:b w:val="1"/>
                <w:bCs w:val="1"/>
                <w:color w:val="auto"/>
              </w:rPr>
              <w:t>COMMITTEES</w:t>
            </w:r>
          </w:p>
        </w:tc>
        <w:tc>
          <w:tcPr>
            <w:tcW w:w="1260" w:type="dxa"/>
            <w:vAlign w:val="bottom"/>
          </w:tcPr>
          <w:p>
            <w:pPr>
              <w:jc w:val="center"/>
              <w:ind w:left="29"/>
              <w:spacing w:after="0"/>
              <w:rPr>
                <w:sz w:val="20"/>
                <w:szCs w:val="20"/>
                <w:color w:val="auto"/>
              </w:rPr>
            </w:pPr>
            <w:r>
              <w:rPr>
                <w:rFonts w:ascii="Arial" w:cs="Arial" w:eastAsia="Arial" w:hAnsi="Arial"/>
                <w:sz w:val="14"/>
                <w:szCs w:val="14"/>
                <w:b w:val="1"/>
                <w:bCs w:val="1"/>
                <w:color w:val="auto"/>
              </w:rPr>
              <w:t>COMPANY</w:t>
            </w:r>
          </w:p>
        </w:tc>
      </w:tr>
      <w:tr>
        <w:trPr>
          <w:trHeight w:val="187"/>
        </w:trPr>
        <w:tc>
          <w:tcPr>
            <w:tcW w:w="3440" w:type="dxa"/>
            <w:vAlign w:val="bottom"/>
            <w:tcBorders>
              <w:bottom w:val="single" w:sz="8" w:color="021496"/>
            </w:tcBorders>
          </w:tcPr>
          <w:p>
            <w:pPr>
              <w:ind w:left="1960"/>
              <w:spacing w:after="0"/>
              <w:rPr>
                <w:sz w:val="20"/>
                <w:szCs w:val="20"/>
                <w:color w:val="auto"/>
              </w:rPr>
            </w:pPr>
            <w:r>
              <w:rPr>
                <w:rFonts w:ascii="Arial" w:cs="Arial" w:eastAsia="Arial" w:hAnsi="Arial"/>
                <w:sz w:val="14"/>
                <w:szCs w:val="14"/>
                <w:b w:val="1"/>
                <w:bCs w:val="1"/>
                <w:color w:val="auto"/>
              </w:rPr>
              <w:t>NAME</w:t>
            </w:r>
          </w:p>
        </w:tc>
        <w:tc>
          <w:tcPr>
            <w:tcW w:w="2600" w:type="dxa"/>
            <w:vAlign w:val="bottom"/>
            <w:tcBorders>
              <w:bottom w:val="single" w:sz="8" w:color="021496"/>
            </w:tcBorders>
          </w:tcPr>
          <w:p>
            <w:pPr>
              <w:ind w:left="1080"/>
              <w:spacing w:after="0"/>
              <w:rPr>
                <w:sz w:val="20"/>
                <w:szCs w:val="20"/>
                <w:color w:val="auto"/>
              </w:rPr>
            </w:pPr>
            <w:r>
              <w:rPr>
                <w:rFonts w:ascii="Arial" w:cs="Arial" w:eastAsia="Arial" w:hAnsi="Arial"/>
                <w:sz w:val="14"/>
                <w:szCs w:val="14"/>
                <w:b w:val="1"/>
                <w:bCs w:val="1"/>
                <w:color w:val="auto"/>
              </w:rPr>
              <w:t>OCCUPATION</w:t>
            </w:r>
          </w:p>
        </w:tc>
        <w:tc>
          <w:tcPr>
            <w:tcW w:w="1840" w:type="dxa"/>
            <w:vAlign w:val="bottom"/>
            <w:tcBorders>
              <w:bottom w:val="single" w:sz="8" w:color="021496"/>
            </w:tcBorders>
          </w:tcPr>
          <w:p>
            <w:pPr>
              <w:ind w:left="600"/>
              <w:spacing w:after="0"/>
              <w:rPr>
                <w:sz w:val="20"/>
                <w:szCs w:val="20"/>
                <w:color w:val="auto"/>
              </w:rPr>
            </w:pPr>
            <w:r>
              <w:rPr>
                <w:rFonts w:ascii="Arial" w:cs="Arial" w:eastAsia="Arial" w:hAnsi="Arial"/>
                <w:sz w:val="14"/>
                <w:szCs w:val="14"/>
                <w:b w:val="1"/>
                <w:bCs w:val="1"/>
                <w:color w:val="auto"/>
              </w:rPr>
              <w:t>INDEPENDENT</w:t>
            </w:r>
          </w:p>
        </w:tc>
        <w:tc>
          <w:tcPr>
            <w:tcW w:w="1420" w:type="dxa"/>
            <w:vAlign w:val="bottom"/>
            <w:tcBorders>
              <w:bottom w:val="single" w:sz="8" w:color="021496"/>
            </w:tcBorders>
          </w:tcPr>
          <w:p>
            <w:pPr>
              <w:jc w:val="center"/>
              <w:ind w:left="29"/>
              <w:spacing w:after="0"/>
              <w:rPr>
                <w:sz w:val="20"/>
                <w:szCs w:val="20"/>
                <w:color w:val="auto"/>
              </w:rPr>
            </w:pPr>
            <w:r>
              <w:rPr>
                <w:rFonts w:ascii="Arial" w:cs="Arial" w:eastAsia="Arial" w:hAnsi="Arial"/>
                <w:sz w:val="14"/>
                <w:szCs w:val="14"/>
                <w:b w:val="1"/>
                <w:bCs w:val="1"/>
                <w:color w:val="auto"/>
              </w:rPr>
              <w:t>MEMBERSHIPS*</w:t>
            </w:r>
          </w:p>
        </w:tc>
        <w:tc>
          <w:tcPr>
            <w:tcW w:w="1260" w:type="dxa"/>
            <w:vAlign w:val="bottom"/>
            <w:tcBorders>
              <w:bottom w:val="single" w:sz="8" w:color="021496"/>
            </w:tcBorders>
          </w:tcPr>
          <w:p>
            <w:pPr>
              <w:jc w:val="center"/>
              <w:ind w:left="49"/>
              <w:spacing w:after="0"/>
              <w:rPr>
                <w:sz w:val="20"/>
                <w:szCs w:val="20"/>
                <w:color w:val="auto"/>
              </w:rPr>
            </w:pPr>
            <w:r>
              <w:rPr>
                <w:rFonts w:ascii="Arial" w:cs="Arial" w:eastAsia="Arial" w:hAnsi="Arial"/>
                <w:sz w:val="14"/>
                <w:szCs w:val="14"/>
                <w:b w:val="1"/>
                <w:bCs w:val="1"/>
                <w:color w:val="auto"/>
              </w:rPr>
              <w:t>BOARDS</w:t>
            </w:r>
          </w:p>
        </w:tc>
      </w:tr>
    </w:tbl>
    <w:p>
      <w:pPr>
        <w:spacing w:after="0" w:line="52" w:lineRule="exact"/>
        <w:rPr>
          <w:sz w:val="20"/>
          <w:szCs w:val="20"/>
          <w:color w:val="auto"/>
        </w:rPr>
      </w:pPr>
    </w:p>
    <w:p>
      <w:pPr>
        <w:sectPr>
          <w:pgSz w:w="11900" w:h="16838" w:orient="portrait"/>
          <w:cols w:equalWidth="0" w:num="1">
            <w:col w:w="11080"/>
          </w:cols>
          <w:pgMar w:left="320" w:top="456" w:right="499" w:bottom="1440" w:gutter="0" w:footer="0" w:header="0"/>
        </w:sectPr>
      </w:pPr>
    </w:p>
    <w:p>
      <w:pPr>
        <w:ind w:left="1480"/>
        <w:spacing w:after="0"/>
        <w:rPr>
          <w:sz w:val="20"/>
          <w:szCs w:val="20"/>
          <w:color w:val="auto"/>
        </w:rPr>
      </w:pPr>
      <w:r>
        <w:rPr>
          <w:rFonts w:ascii="Arial" w:cs="Arial" w:eastAsia="Arial" w:hAnsi="Arial"/>
          <w:sz w:val="11"/>
          <w:szCs w:val="11"/>
          <w:b w:val="1"/>
          <w:bCs w:val="1"/>
          <w:color w:val="auto"/>
        </w:rPr>
        <w:t>Deborah L. DeHaas</w:t>
      </w:r>
    </w:p>
    <w:p>
      <w:pPr>
        <w:ind w:left="1480"/>
        <w:spacing w:after="0"/>
        <w:rPr>
          <w:sz w:val="20"/>
          <w:szCs w:val="20"/>
          <w:color w:val="auto"/>
        </w:rPr>
      </w:pPr>
      <w:r>
        <w:rPr>
          <w:rFonts w:ascii="Arial" w:cs="Arial" w:eastAsia="Arial" w:hAnsi="Arial"/>
          <w:sz w:val="11"/>
          <w:szCs w:val="11"/>
          <w:color w:val="auto"/>
        </w:rPr>
        <w:t>Age: 62</w:t>
      </w:r>
    </w:p>
    <w:p>
      <w:pPr>
        <w:ind w:left="1480"/>
        <w:spacing w:after="0"/>
        <w:rPr>
          <w:sz w:val="20"/>
          <w:szCs w:val="20"/>
          <w:color w:val="auto"/>
        </w:rPr>
      </w:pPr>
      <w:r>
        <w:rPr>
          <w:rFonts w:ascii="Arial" w:cs="Arial" w:eastAsia="Arial" w:hAnsi="Arial"/>
          <w:sz w:val="11"/>
          <w:szCs w:val="11"/>
          <w:color w:val="auto"/>
        </w:rPr>
        <w:t>Director Since: 2021</w:t>
      </w:r>
    </w:p>
    <w:p>
      <w:pPr>
        <w:spacing w:after="0" w:line="200" w:lineRule="exact"/>
        <w:rPr>
          <w:sz w:val="20"/>
          <w:szCs w:val="20"/>
          <w:color w:val="auto"/>
        </w:rPr>
      </w:pP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0"/>
          <w:szCs w:val="10"/>
          <w:b w:val="1"/>
          <w:bCs w:val="1"/>
          <w:color w:val="auto"/>
        </w:rPr>
        <w:t>H. John Gilbertson, Jr.</w:t>
      </w:r>
    </w:p>
    <w:p>
      <w:pPr>
        <w:spacing w:after="0" w:line="11"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Age: 65</w:t>
      </w:r>
    </w:p>
    <w:p>
      <w:pPr>
        <w:ind w:left="1480"/>
        <w:spacing w:after="0"/>
        <w:rPr>
          <w:sz w:val="20"/>
          <w:szCs w:val="20"/>
          <w:color w:val="auto"/>
        </w:rPr>
      </w:pPr>
      <w:r>
        <w:rPr>
          <w:rFonts w:ascii="Arial" w:cs="Arial" w:eastAsia="Arial" w:hAnsi="Arial"/>
          <w:sz w:val="11"/>
          <w:szCs w:val="11"/>
          <w:color w:val="auto"/>
        </w:rPr>
        <w:t>Director Since: 2018</w:t>
      </w:r>
    </w:p>
    <w:p>
      <w:pPr>
        <w:spacing w:after="0" w:line="200" w:lineRule="exact"/>
        <w:rPr>
          <w:sz w:val="20"/>
          <w:szCs w:val="20"/>
          <w:color w:val="auto"/>
        </w:rPr>
      </w:pPr>
    </w:p>
    <w:p>
      <w:pPr>
        <w:spacing w:after="0" w:line="223" w:lineRule="exact"/>
        <w:rPr>
          <w:sz w:val="20"/>
          <w:szCs w:val="20"/>
          <w:color w:val="auto"/>
        </w:rPr>
      </w:pPr>
    </w:p>
    <w:p>
      <w:pPr>
        <w:ind w:left="1480"/>
        <w:spacing w:after="0"/>
        <w:rPr>
          <w:sz w:val="20"/>
          <w:szCs w:val="20"/>
          <w:color w:val="auto"/>
        </w:rPr>
      </w:pPr>
      <w:r>
        <w:rPr>
          <w:rFonts w:ascii="Arial" w:cs="Arial" w:eastAsia="Arial" w:hAnsi="Arial"/>
          <w:sz w:val="11"/>
          <w:szCs w:val="11"/>
          <w:b w:val="1"/>
          <w:bCs w:val="1"/>
          <w:color w:val="auto"/>
        </w:rPr>
        <w:t>Kristiane C. Graham</w:t>
      </w:r>
    </w:p>
    <w:p>
      <w:pPr>
        <w:ind w:left="1480"/>
        <w:spacing w:after="0"/>
        <w:rPr>
          <w:sz w:val="20"/>
          <w:szCs w:val="20"/>
          <w:color w:val="auto"/>
        </w:rPr>
      </w:pPr>
      <w:r>
        <w:rPr>
          <w:rFonts w:ascii="Arial" w:cs="Arial" w:eastAsia="Arial" w:hAnsi="Arial"/>
          <w:sz w:val="11"/>
          <w:szCs w:val="11"/>
          <w:color w:val="auto"/>
        </w:rPr>
        <w:t>Age: 64</w:t>
      </w:r>
    </w:p>
    <w:p>
      <w:pPr>
        <w:ind w:left="1480"/>
        <w:spacing w:after="0"/>
        <w:rPr>
          <w:sz w:val="20"/>
          <w:szCs w:val="20"/>
          <w:color w:val="auto"/>
        </w:rPr>
      </w:pPr>
      <w:r>
        <w:rPr>
          <w:rFonts w:ascii="Arial" w:cs="Arial" w:eastAsia="Arial" w:hAnsi="Arial"/>
          <w:sz w:val="11"/>
          <w:szCs w:val="11"/>
          <w:color w:val="auto"/>
        </w:rPr>
        <w:t>Director Since: 1999</w:t>
      </w:r>
    </w:p>
    <w:p>
      <w:pPr>
        <w:spacing w:after="0" w:line="200" w:lineRule="exact"/>
        <w:rPr>
          <w:sz w:val="20"/>
          <w:szCs w:val="20"/>
          <w:color w:val="auto"/>
        </w:rPr>
      </w:pP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1"/>
          <w:szCs w:val="11"/>
          <w:b w:val="1"/>
          <w:bCs w:val="1"/>
          <w:color w:val="auto"/>
        </w:rPr>
        <w:t>Michael F. Johnston</w:t>
      </w:r>
    </w:p>
    <w:p>
      <w:pPr>
        <w:ind w:left="1480"/>
        <w:spacing w:after="0"/>
        <w:rPr>
          <w:sz w:val="20"/>
          <w:szCs w:val="20"/>
          <w:color w:val="auto"/>
        </w:rPr>
      </w:pPr>
      <w:r>
        <w:rPr>
          <w:rFonts w:ascii="Arial" w:cs="Arial" w:eastAsia="Arial" w:hAnsi="Arial"/>
          <w:sz w:val="11"/>
          <w:szCs w:val="11"/>
          <w:color w:val="auto"/>
        </w:rPr>
        <w:t>Chair of the Board</w:t>
      </w:r>
    </w:p>
    <w:p>
      <w:pPr>
        <w:ind w:left="1480"/>
        <w:spacing w:after="0" w:line="228" w:lineRule="auto"/>
        <w:rPr>
          <w:sz w:val="20"/>
          <w:szCs w:val="20"/>
          <w:color w:val="auto"/>
        </w:rPr>
      </w:pPr>
      <w:r>
        <w:rPr>
          <w:rFonts w:ascii="Arial" w:cs="Arial" w:eastAsia="Arial" w:hAnsi="Arial"/>
          <w:sz w:val="11"/>
          <w:szCs w:val="11"/>
          <w:color w:val="auto"/>
        </w:rPr>
        <w:t>Age: 74</w:t>
      </w:r>
    </w:p>
    <w:p>
      <w:pPr>
        <w:ind w:left="1480"/>
        <w:spacing w:after="0"/>
        <w:rPr>
          <w:sz w:val="20"/>
          <w:szCs w:val="20"/>
          <w:color w:val="auto"/>
        </w:rPr>
      </w:pPr>
      <w:r>
        <w:rPr>
          <w:rFonts w:ascii="Arial" w:cs="Arial" w:eastAsia="Arial" w:hAnsi="Arial"/>
          <w:sz w:val="11"/>
          <w:szCs w:val="11"/>
          <w:color w:val="auto"/>
        </w:rPr>
        <w:t>Director Since: 2013</w:t>
      </w:r>
    </w:p>
    <w:p>
      <w:pPr>
        <w:spacing w:after="0" w:line="289" w:lineRule="exact"/>
        <w:rPr>
          <w:sz w:val="20"/>
          <w:szCs w:val="20"/>
          <w:color w:val="auto"/>
        </w:rPr>
      </w:pPr>
    </w:p>
    <w:p>
      <w:pPr>
        <w:ind w:left="1480"/>
        <w:spacing w:after="0"/>
        <w:rPr>
          <w:sz w:val="20"/>
          <w:szCs w:val="20"/>
          <w:color w:val="auto"/>
        </w:rPr>
      </w:pPr>
      <w:r>
        <w:rPr>
          <w:rFonts w:ascii="Arial" w:cs="Arial" w:eastAsia="Arial" w:hAnsi="Arial"/>
          <w:sz w:val="11"/>
          <w:szCs w:val="11"/>
          <w:b w:val="1"/>
          <w:bCs w:val="1"/>
          <w:color w:val="auto"/>
        </w:rPr>
        <w:t>Eric A. Spiegel</w:t>
      </w:r>
    </w:p>
    <w:p>
      <w:pPr>
        <w:ind w:left="1480"/>
        <w:spacing w:after="0"/>
        <w:rPr>
          <w:sz w:val="20"/>
          <w:szCs w:val="20"/>
          <w:color w:val="auto"/>
        </w:rPr>
      </w:pPr>
      <w:r>
        <w:rPr>
          <w:rFonts w:ascii="Arial" w:cs="Arial" w:eastAsia="Arial" w:hAnsi="Arial"/>
          <w:sz w:val="11"/>
          <w:szCs w:val="11"/>
          <w:color w:val="auto"/>
        </w:rPr>
        <w:t>Age: 64</w:t>
      </w:r>
    </w:p>
    <w:p>
      <w:pPr>
        <w:ind w:left="1480"/>
        <w:spacing w:after="0"/>
        <w:rPr>
          <w:sz w:val="20"/>
          <w:szCs w:val="20"/>
          <w:color w:val="auto"/>
        </w:rPr>
      </w:pPr>
      <w:r>
        <w:rPr>
          <w:rFonts w:ascii="Arial" w:cs="Arial" w:eastAsia="Arial" w:hAnsi="Arial"/>
          <w:sz w:val="11"/>
          <w:szCs w:val="11"/>
          <w:color w:val="auto"/>
        </w:rPr>
        <w:t>Director Since: 2017</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233" w:lineRule="auto"/>
        <w:rPr>
          <w:sz w:val="20"/>
          <w:szCs w:val="20"/>
          <w:color w:val="auto"/>
        </w:rPr>
      </w:pPr>
      <w:r>
        <w:rPr>
          <w:rFonts w:ascii="Arial" w:cs="Arial" w:eastAsia="Arial" w:hAnsi="Arial"/>
          <w:sz w:val="11"/>
          <w:szCs w:val="11"/>
          <w:color w:val="auto"/>
        </w:rPr>
        <w:t>CEO of the Corporate Leadership Center; Former Vice Chairman of Deloitte and Managing Partner of the Center for Board Effectiveness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Retired Managing Director at Goldman Sachs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color w:val="auto"/>
        </w:rPr>
        <w:t>Private Investor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1"/>
          <w:szCs w:val="11"/>
          <w:color w:val="auto"/>
        </w:rPr>
        <w:t>Retired CEO of Visteon Corporation</w:t>
      </w:r>
    </w:p>
    <w:p>
      <w:pPr>
        <w:spacing w:after="0" w:line="200" w:lineRule="exact"/>
        <w:rPr>
          <w:sz w:val="20"/>
          <w:szCs w:val="20"/>
          <w:color w:val="auto"/>
        </w:rPr>
      </w:pPr>
    </w:p>
    <w:p>
      <w:pPr>
        <w:spacing w:after="0" w:line="382" w:lineRule="exact"/>
        <w:rPr>
          <w:sz w:val="20"/>
          <w:szCs w:val="20"/>
          <w:color w:val="auto"/>
        </w:rPr>
      </w:pPr>
    </w:p>
    <w:p>
      <w:pPr>
        <w:ind w:right="60"/>
        <w:spacing w:after="0" w:line="236" w:lineRule="auto"/>
        <w:rPr>
          <w:sz w:val="20"/>
          <w:szCs w:val="20"/>
          <w:color w:val="auto"/>
        </w:rPr>
      </w:pPr>
      <w:r>
        <w:rPr>
          <w:rFonts w:ascii="Arial" w:cs="Arial" w:eastAsia="Arial" w:hAnsi="Arial"/>
          <w:sz w:val="11"/>
          <w:szCs w:val="11"/>
          <w:color w:val="auto"/>
        </w:rPr>
        <w:t>Former President and CEO of Siemens USA; Special Advisor at Brighton Park Capital</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302"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302"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316"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276"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580" w:hanging="1348"/>
        <w:spacing w:after="0"/>
        <w:tabs>
          <w:tab w:leader="none" w:pos="1580" w:val="left"/>
        </w:tabs>
        <w:numPr>
          <w:ilvl w:val="0"/>
          <w:numId w:val="13"/>
        </w:numPr>
        <w:rPr>
          <w:rFonts w:ascii="Arial" w:cs="Arial" w:eastAsia="Arial" w:hAnsi="Arial"/>
          <w:sz w:val="10"/>
          <w:szCs w:val="1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060" w:type="dxa"/>
            <w:vAlign w:val="bottom"/>
          </w:tcPr>
          <w:p>
            <w:pPr>
              <w:jc w:val="center"/>
              <w:ind w:right="487"/>
              <w:spacing w:after="0"/>
              <w:rPr>
                <w:sz w:val="20"/>
                <w:szCs w:val="20"/>
                <w:color w:val="auto"/>
              </w:rPr>
            </w:pPr>
            <w:r>
              <w:rPr>
                <w:rFonts w:ascii="Arial" w:cs="Arial" w:eastAsia="Arial" w:hAnsi="Arial"/>
                <w:sz w:val="11"/>
                <w:szCs w:val="11"/>
                <w:color w:val="auto"/>
                <w:w w:val="98"/>
              </w:rPr>
              <w:t>A, F</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802"/>
        </w:trPr>
        <w:tc>
          <w:tcPr>
            <w:tcW w:w="1060" w:type="dxa"/>
            <w:vAlign w:val="bottom"/>
          </w:tcPr>
          <w:p>
            <w:pPr>
              <w:jc w:val="center"/>
              <w:ind w:right="467"/>
              <w:spacing w:after="0"/>
              <w:rPr>
                <w:sz w:val="20"/>
                <w:szCs w:val="20"/>
                <w:color w:val="auto"/>
              </w:rPr>
            </w:pPr>
            <w:r>
              <w:rPr>
                <w:rFonts w:ascii="Arial" w:cs="Arial" w:eastAsia="Arial" w:hAnsi="Arial"/>
                <w:sz w:val="11"/>
                <w:szCs w:val="11"/>
                <w:color w:val="auto"/>
                <w:w w:val="97"/>
              </w:rPr>
              <w:t>C, G</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816"/>
        </w:trPr>
        <w:tc>
          <w:tcPr>
            <w:tcW w:w="1060" w:type="dxa"/>
            <w:vAlign w:val="bottom"/>
          </w:tcPr>
          <w:p>
            <w:pPr>
              <w:jc w:val="center"/>
              <w:ind w:right="467"/>
              <w:spacing w:after="0"/>
              <w:rPr>
                <w:sz w:val="20"/>
                <w:szCs w:val="20"/>
                <w:color w:val="auto"/>
              </w:rPr>
            </w:pPr>
            <w:r>
              <w:rPr>
                <w:rFonts w:ascii="Arial" w:cs="Arial" w:eastAsia="Arial" w:hAnsi="Arial"/>
                <w:sz w:val="11"/>
                <w:szCs w:val="11"/>
                <w:color w:val="auto"/>
                <w:w w:val="97"/>
              </w:rPr>
              <w:t>C, G</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776"/>
        </w:trPr>
        <w:tc>
          <w:tcPr>
            <w:tcW w:w="1060" w:type="dxa"/>
            <w:vAlign w:val="bottom"/>
          </w:tcPr>
          <w:p>
            <w:pPr>
              <w:jc w:val="center"/>
              <w:ind w:right="467"/>
              <w:spacing w:after="0"/>
              <w:rPr>
                <w:sz w:val="20"/>
                <w:szCs w:val="20"/>
                <w:color w:val="auto"/>
              </w:rPr>
            </w:pPr>
            <w:r>
              <w:rPr>
                <w:rFonts w:ascii="Arial" w:cs="Arial" w:eastAsia="Arial" w:hAnsi="Arial"/>
                <w:sz w:val="11"/>
                <w:szCs w:val="11"/>
                <w:color w:val="auto"/>
                <w:w w:val="94"/>
              </w:rPr>
              <w:t>A, F (Chair)</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r>
    </w:tbl>
    <w:p>
      <w:pPr>
        <w:spacing w:after="0" w:line="253" w:lineRule="exact"/>
        <w:rPr>
          <w:sz w:val="20"/>
          <w:szCs w:val="20"/>
          <w:color w:val="auto"/>
        </w:rPr>
      </w:pPr>
    </w:p>
    <w:p>
      <w:pPr>
        <w:sectPr>
          <w:pgSz w:w="11900" w:h="16838" w:orient="portrait"/>
          <w:cols w:equalWidth="0" w:num="4">
            <w:col w:w="3040" w:space="720"/>
            <w:col w:w="3080" w:space="500"/>
            <w:col w:w="660" w:space="720"/>
            <w:col w:w="2360"/>
          </w:cols>
          <w:pgMar w:left="320" w:top="456" w:right="499" w:bottom="1440" w:gutter="0" w:footer="0" w:header="0"/>
          <w:type w:val="continuous"/>
        </w:sectPr>
      </w:pPr>
    </w:p>
    <w:p>
      <w:pPr>
        <w:spacing w:after="0" w:line="4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760" w:type="dxa"/>
            <w:vAlign w:val="bottom"/>
            <w:shd w:val="clear" w:color="auto" w:fill="D8D8D8"/>
          </w:tcPr>
          <w:p>
            <w:pPr>
              <w:ind w:left="1140"/>
              <w:spacing w:after="0"/>
              <w:rPr>
                <w:sz w:val="20"/>
                <w:szCs w:val="20"/>
                <w:color w:val="auto"/>
              </w:rPr>
            </w:pPr>
            <w:r>
              <w:rPr>
                <w:rFonts w:ascii="Arial" w:cs="Arial" w:eastAsia="Arial" w:hAnsi="Arial"/>
                <w:sz w:val="11"/>
                <w:szCs w:val="11"/>
                <w:b w:val="1"/>
                <w:bCs w:val="1"/>
                <w:color w:val="auto"/>
              </w:rPr>
              <w:t>Richard J. Tobin</w:t>
            </w:r>
          </w:p>
        </w:tc>
        <w:tc>
          <w:tcPr>
            <w:tcW w:w="2960" w:type="dxa"/>
            <w:vAlign w:val="bottom"/>
            <w:shd w:val="clear" w:color="auto" w:fill="D8D8D8"/>
          </w:tcPr>
          <w:p>
            <w:pPr>
              <w:spacing w:after="0"/>
              <w:rPr>
                <w:sz w:val="20"/>
                <w:szCs w:val="20"/>
                <w:color w:val="auto"/>
              </w:rPr>
            </w:pPr>
          </w:p>
        </w:tc>
        <w:tc>
          <w:tcPr>
            <w:tcW w:w="240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760" w:type="dxa"/>
            <w:vAlign w:val="bottom"/>
            <w:shd w:val="clear" w:color="auto" w:fill="D8D8D8"/>
          </w:tcPr>
          <w:p>
            <w:pPr>
              <w:ind w:left="1140"/>
              <w:spacing w:after="0" w:line="121" w:lineRule="exact"/>
              <w:rPr>
                <w:sz w:val="20"/>
                <w:szCs w:val="20"/>
                <w:color w:val="auto"/>
              </w:rPr>
            </w:pPr>
            <w:r>
              <w:rPr>
                <w:rFonts w:ascii="Arial" w:cs="Arial" w:eastAsia="Arial" w:hAnsi="Arial"/>
                <w:sz w:val="11"/>
                <w:szCs w:val="11"/>
                <w:color w:val="auto"/>
              </w:rPr>
              <w:t>Age: 58</w:t>
            </w:r>
          </w:p>
        </w:tc>
        <w:tc>
          <w:tcPr>
            <w:tcW w:w="2960" w:type="dxa"/>
            <w:vAlign w:val="bottom"/>
            <w:vMerge w:val="restart"/>
            <w:shd w:val="clear" w:color="auto" w:fill="D8D8D8"/>
          </w:tcPr>
          <w:p>
            <w:pPr>
              <w:ind w:left="660"/>
              <w:spacing w:after="0"/>
              <w:rPr>
                <w:sz w:val="20"/>
                <w:szCs w:val="20"/>
                <w:color w:val="auto"/>
              </w:rPr>
            </w:pPr>
            <w:r>
              <w:rPr>
                <w:rFonts w:ascii="Arial" w:cs="Arial" w:eastAsia="Arial" w:hAnsi="Arial"/>
                <w:sz w:val="11"/>
                <w:szCs w:val="11"/>
                <w:color w:val="auto"/>
              </w:rPr>
              <w:t>President and CEO of Dover</w:t>
            </w:r>
          </w:p>
        </w:tc>
        <w:tc>
          <w:tcPr>
            <w:tcW w:w="2400" w:type="dxa"/>
            <w:vAlign w:val="bottom"/>
            <w:shd w:val="clear" w:color="auto" w:fill="D8D8D8"/>
          </w:tcPr>
          <w:p>
            <w:pPr>
              <w:jc w:val="center"/>
              <w:ind w:left="391"/>
              <w:spacing w:after="0" w:line="121" w:lineRule="exact"/>
              <w:rPr>
                <w:sz w:val="20"/>
                <w:szCs w:val="20"/>
                <w:color w:val="auto"/>
              </w:rPr>
            </w:pPr>
            <w:r>
              <w:rPr>
                <w:rFonts w:ascii="Arial" w:cs="Arial" w:eastAsia="Arial" w:hAnsi="Arial"/>
                <w:sz w:val="13"/>
                <w:szCs w:val="13"/>
                <w:color w:val="auto"/>
              </w:rPr>
              <w:t>No</w:t>
            </w:r>
          </w:p>
        </w:tc>
        <w:tc>
          <w:tcPr>
            <w:tcW w:w="1200" w:type="dxa"/>
            <w:vAlign w:val="bottom"/>
            <w:vMerge w:val="restart"/>
            <w:shd w:val="clear" w:color="auto" w:fill="D8D8D8"/>
          </w:tcPr>
          <w:p>
            <w:pPr>
              <w:ind w:left="480"/>
              <w:spacing w:after="0"/>
              <w:rPr>
                <w:sz w:val="20"/>
                <w:szCs w:val="20"/>
                <w:color w:val="auto"/>
              </w:rPr>
            </w:pPr>
            <w:r>
              <w:rPr>
                <w:rFonts w:ascii="Arial" w:cs="Arial" w:eastAsia="Arial" w:hAnsi="Arial"/>
                <w:sz w:val="11"/>
                <w:szCs w:val="11"/>
                <w:color w:val="auto"/>
              </w:rPr>
              <w:t>—</w:t>
            </w:r>
          </w:p>
        </w:tc>
        <w:tc>
          <w:tcPr>
            <w:tcW w:w="1240" w:type="dxa"/>
            <w:vAlign w:val="bottom"/>
            <w:vMerge w:val="restart"/>
            <w:shd w:val="clear" w:color="auto" w:fill="D8D8D8"/>
          </w:tcPr>
          <w:p>
            <w:pPr>
              <w:jc w:val="right"/>
              <w:ind w:right="4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9"/>
        </w:trPr>
        <w:tc>
          <w:tcPr>
            <w:tcW w:w="2760" w:type="dxa"/>
            <w:vAlign w:val="bottom"/>
            <w:shd w:val="clear" w:color="auto" w:fill="D8D8D8"/>
          </w:tcPr>
          <w:p>
            <w:pPr>
              <w:ind w:left="1140"/>
              <w:spacing w:after="0"/>
              <w:rPr>
                <w:sz w:val="20"/>
                <w:szCs w:val="20"/>
                <w:color w:val="auto"/>
              </w:rPr>
            </w:pPr>
            <w:r>
              <w:rPr>
                <w:rFonts w:ascii="Arial" w:cs="Arial" w:eastAsia="Arial" w:hAnsi="Arial"/>
                <w:sz w:val="11"/>
                <w:szCs w:val="11"/>
                <w:color w:val="auto"/>
              </w:rPr>
              <w:t>Director Since: 2016</w:t>
            </w:r>
          </w:p>
        </w:tc>
        <w:tc>
          <w:tcPr>
            <w:tcW w:w="2960" w:type="dxa"/>
            <w:vAlign w:val="bottom"/>
            <w:vMerge w:val="continue"/>
            <w:shd w:val="clear" w:color="auto" w:fill="D8D8D8"/>
          </w:tcPr>
          <w:p>
            <w:pPr>
              <w:spacing w:after="0"/>
              <w:rPr>
                <w:sz w:val="11"/>
                <w:szCs w:val="11"/>
                <w:color w:val="auto"/>
              </w:rPr>
            </w:pPr>
          </w:p>
        </w:tc>
        <w:tc>
          <w:tcPr>
            <w:tcW w:w="2400" w:type="dxa"/>
            <w:vAlign w:val="bottom"/>
            <w:vMerge w:val="restart"/>
            <w:shd w:val="clear" w:color="auto" w:fill="D8D8D8"/>
          </w:tcPr>
          <w:p>
            <w:pPr>
              <w:jc w:val="center"/>
              <w:ind w:left="391"/>
              <w:spacing w:after="0"/>
              <w:rPr>
                <w:sz w:val="20"/>
                <w:szCs w:val="20"/>
                <w:color w:val="auto"/>
              </w:rPr>
            </w:pPr>
            <w:r>
              <w:rPr>
                <w:rFonts w:ascii="Arial" w:cs="Arial" w:eastAsia="Arial" w:hAnsi="Arial"/>
                <w:sz w:val="14"/>
                <w:szCs w:val="14"/>
                <w:color w:val="auto"/>
              </w:rPr>
              <w:t>(CEO of Dover)</w:t>
            </w:r>
          </w:p>
        </w:tc>
        <w:tc>
          <w:tcPr>
            <w:tcW w:w="1200" w:type="dxa"/>
            <w:vAlign w:val="bottom"/>
            <w:vMerge w:val="continue"/>
            <w:shd w:val="clear" w:color="auto" w:fill="D8D8D8"/>
          </w:tcPr>
          <w:p>
            <w:pPr>
              <w:spacing w:after="0"/>
              <w:rPr>
                <w:sz w:val="11"/>
                <w:szCs w:val="11"/>
                <w:color w:val="auto"/>
              </w:rPr>
            </w:pPr>
          </w:p>
        </w:tc>
        <w:tc>
          <w:tcPr>
            <w:tcW w:w="124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760" w:type="dxa"/>
            <w:vAlign w:val="bottom"/>
            <w:shd w:val="clear" w:color="auto" w:fill="D8D8D8"/>
          </w:tcPr>
          <w:p>
            <w:pPr>
              <w:spacing w:after="0"/>
              <w:rPr>
                <w:sz w:val="9"/>
                <w:szCs w:val="9"/>
                <w:color w:val="auto"/>
              </w:rPr>
            </w:pPr>
          </w:p>
        </w:tc>
        <w:tc>
          <w:tcPr>
            <w:tcW w:w="2960" w:type="dxa"/>
            <w:vAlign w:val="bottom"/>
            <w:shd w:val="clear" w:color="auto" w:fill="D8D8D8"/>
          </w:tcPr>
          <w:p>
            <w:pPr>
              <w:spacing w:after="0"/>
              <w:rPr>
                <w:sz w:val="9"/>
                <w:szCs w:val="9"/>
                <w:color w:val="auto"/>
              </w:rPr>
            </w:pPr>
          </w:p>
        </w:tc>
        <w:tc>
          <w:tcPr>
            <w:tcW w:w="2400" w:type="dxa"/>
            <w:vAlign w:val="bottom"/>
            <w:vMerge w:val="continue"/>
            <w:shd w:val="clear" w:color="auto" w:fill="D8D8D8"/>
          </w:tcPr>
          <w:p>
            <w:pPr>
              <w:spacing w:after="0"/>
              <w:rPr>
                <w:sz w:val="9"/>
                <w:szCs w:val="9"/>
                <w:color w:val="auto"/>
              </w:rPr>
            </w:pPr>
          </w:p>
        </w:tc>
        <w:tc>
          <w:tcPr>
            <w:tcW w:w="1200" w:type="dxa"/>
            <w:vAlign w:val="bottom"/>
            <w:shd w:val="clear" w:color="auto" w:fill="D8D8D8"/>
          </w:tcPr>
          <w:p>
            <w:pPr>
              <w:spacing w:after="0"/>
              <w:rPr>
                <w:sz w:val="9"/>
                <w:szCs w:val="9"/>
                <w:color w:val="auto"/>
              </w:rPr>
            </w:pPr>
          </w:p>
        </w:tc>
        <w:tc>
          <w:tcPr>
            <w:tcW w:w="124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760" w:type="dxa"/>
            <w:vAlign w:val="bottom"/>
            <w:shd w:val="clear" w:color="auto" w:fill="D8D8D8"/>
          </w:tcPr>
          <w:p>
            <w:pPr>
              <w:spacing w:after="0"/>
              <w:rPr>
                <w:sz w:val="18"/>
                <w:szCs w:val="18"/>
                <w:color w:val="auto"/>
              </w:rPr>
            </w:pPr>
          </w:p>
        </w:tc>
        <w:tc>
          <w:tcPr>
            <w:tcW w:w="2960" w:type="dxa"/>
            <w:vAlign w:val="bottom"/>
            <w:shd w:val="clear" w:color="auto" w:fill="D8D8D8"/>
          </w:tcPr>
          <w:p>
            <w:pPr>
              <w:spacing w:after="0"/>
              <w:rPr>
                <w:sz w:val="18"/>
                <w:szCs w:val="18"/>
                <w:color w:val="auto"/>
              </w:rPr>
            </w:pPr>
          </w:p>
        </w:tc>
        <w:tc>
          <w:tcPr>
            <w:tcW w:w="2400" w:type="dxa"/>
            <w:vAlign w:val="bottom"/>
            <w:shd w:val="clear" w:color="auto" w:fill="D8D8D8"/>
          </w:tcPr>
          <w:p>
            <w:pPr>
              <w:spacing w:after="0"/>
              <w:rPr>
                <w:sz w:val="18"/>
                <w:szCs w:val="18"/>
                <w:color w:val="auto"/>
              </w:rPr>
            </w:pPr>
          </w:p>
        </w:tc>
        <w:tc>
          <w:tcPr>
            <w:tcW w:w="1200" w:type="dxa"/>
            <w:vAlign w:val="bottom"/>
            <w:shd w:val="clear" w:color="auto" w:fill="D8D8D8"/>
          </w:tcPr>
          <w:p>
            <w:pPr>
              <w:spacing w:after="0"/>
              <w:rPr>
                <w:sz w:val="18"/>
                <w:szCs w:val="18"/>
                <w:color w:val="auto"/>
              </w:rPr>
            </w:pPr>
          </w:p>
        </w:tc>
        <w:tc>
          <w:tcPr>
            <w:tcW w:w="124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sectPr>
          <w:pgSz w:w="11900" w:h="16838" w:orient="portrait"/>
          <w:cols w:equalWidth="0" w:num="1">
            <w:col w:w="11080"/>
          </w:cols>
          <w:pgMar w:left="320" w:top="456" w:right="499" w:bottom="1440" w:gutter="0" w:footer="0" w:header="0"/>
          <w:type w:val="continuous"/>
        </w:sectPr>
      </w:pPr>
    </w:p>
    <w:p>
      <w:pPr>
        <w:ind w:left="1480"/>
        <w:spacing w:after="0"/>
        <w:rPr>
          <w:sz w:val="20"/>
          <w:szCs w:val="20"/>
          <w:color w:val="auto"/>
        </w:rPr>
      </w:pPr>
      <w:r>
        <w:rPr>
          <w:rFonts w:ascii="Arial" w:cs="Arial" w:eastAsia="Arial" w:hAnsi="Arial"/>
          <w:sz w:val="11"/>
          <w:szCs w:val="11"/>
          <w:b w:val="1"/>
          <w:bCs w:val="1"/>
          <w:color w:val="auto"/>
        </w:rPr>
        <w:t>Stephen M. Todd</w:t>
      </w:r>
    </w:p>
    <w:p>
      <w:pPr>
        <w:ind w:left="1480"/>
        <w:spacing w:after="0"/>
        <w:rPr>
          <w:sz w:val="20"/>
          <w:szCs w:val="20"/>
          <w:color w:val="auto"/>
        </w:rPr>
      </w:pPr>
      <w:r>
        <w:rPr>
          <w:rFonts w:ascii="Arial" w:cs="Arial" w:eastAsia="Arial" w:hAnsi="Arial"/>
          <w:sz w:val="11"/>
          <w:szCs w:val="11"/>
          <w:color w:val="auto"/>
        </w:rPr>
        <w:t>Age: 73</w:t>
      </w:r>
    </w:p>
    <w:p>
      <w:pPr>
        <w:ind w:left="1480"/>
        <w:spacing w:after="0"/>
        <w:rPr>
          <w:sz w:val="20"/>
          <w:szCs w:val="20"/>
          <w:color w:val="auto"/>
        </w:rPr>
      </w:pPr>
      <w:r>
        <w:rPr>
          <w:rFonts w:ascii="Arial" w:cs="Arial" w:eastAsia="Arial" w:hAnsi="Arial"/>
          <w:sz w:val="10"/>
          <w:szCs w:val="10"/>
          <w:color w:val="auto"/>
        </w:rPr>
        <w:t>Director Since: 2010</w:t>
      </w:r>
    </w:p>
    <w:p>
      <w:pPr>
        <w:spacing w:after="0" w:line="200" w:lineRule="exact"/>
        <w:rPr>
          <w:sz w:val="20"/>
          <w:szCs w:val="20"/>
          <w:color w:val="auto"/>
        </w:rPr>
      </w:pPr>
    </w:p>
    <w:p>
      <w:pPr>
        <w:spacing w:after="0" w:line="288" w:lineRule="exact"/>
        <w:rPr>
          <w:sz w:val="20"/>
          <w:szCs w:val="20"/>
          <w:color w:val="auto"/>
        </w:rPr>
      </w:pPr>
    </w:p>
    <w:p>
      <w:pPr>
        <w:ind w:left="1480"/>
        <w:spacing w:after="0"/>
        <w:rPr>
          <w:sz w:val="20"/>
          <w:szCs w:val="20"/>
          <w:color w:val="auto"/>
        </w:rPr>
      </w:pPr>
      <w:r>
        <w:rPr>
          <w:rFonts w:ascii="Arial" w:cs="Arial" w:eastAsia="Arial" w:hAnsi="Arial"/>
          <w:sz w:val="10"/>
          <w:szCs w:val="10"/>
          <w:b w:val="1"/>
          <w:bCs w:val="1"/>
          <w:color w:val="auto"/>
        </w:rPr>
        <w:t>Stephen K. Wagner</w:t>
      </w:r>
    </w:p>
    <w:p>
      <w:pPr>
        <w:spacing w:after="0" w:line="11"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Age: 74</w:t>
      </w:r>
    </w:p>
    <w:p>
      <w:pPr>
        <w:ind w:left="1480"/>
        <w:spacing w:after="0"/>
        <w:rPr>
          <w:sz w:val="20"/>
          <w:szCs w:val="20"/>
          <w:color w:val="auto"/>
        </w:rPr>
      </w:pPr>
      <w:r>
        <w:rPr>
          <w:rFonts w:ascii="Arial" w:cs="Arial" w:eastAsia="Arial" w:hAnsi="Arial"/>
          <w:sz w:val="10"/>
          <w:szCs w:val="10"/>
          <w:color w:val="auto"/>
        </w:rPr>
        <w:t>Director Since: 2010</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236" w:lineRule="auto"/>
        <w:rPr>
          <w:sz w:val="20"/>
          <w:szCs w:val="20"/>
          <w:color w:val="auto"/>
        </w:rPr>
      </w:pPr>
      <w:r>
        <w:rPr>
          <w:rFonts w:ascii="Arial" w:cs="Arial" w:eastAsia="Arial" w:hAnsi="Arial"/>
          <w:sz w:val="11"/>
          <w:szCs w:val="11"/>
          <w:color w:val="auto"/>
        </w:rPr>
        <w:t>Former Global Vice Chairman of Assurance Professional Practice of Ernst &amp; Young Global Limited</w:t>
      </w:r>
    </w:p>
    <w:p>
      <w:pPr>
        <w:spacing w:after="0" w:line="200" w:lineRule="exact"/>
        <w:rPr>
          <w:sz w:val="20"/>
          <w:szCs w:val="20"/>
          <w:color w:val="auto"/>
        </w:rPr>
      </w:pPr>
    </w:p>
    <w:p>
      <w:pPr>
        <w:spacing w:after="0" w:line="354" w:lineRule="exact"/>
        <w:rPr>
          <w:sz w:val="20"/>
          <w:szCs w:val="20"/>
          <w:color w:val="auto"/>
        </w:rPr>
      </w:pPr>
    </w:p>
    <w:p>
      <w:pPr>
        <w:ind w:right="360"/>
        <w:spacing w:after="0" w:line="236" w:lineRule="auto"/>
        <w:rPr>
          <w:sz w:val="20"/>
          <w:szCs w:val="20"/>
          <w:color w:val="auto"/>
        </w:rPr>
      </w:pPr>
      <w:r>
        <w:rPr>
          <w:rFonts w:ascii="Arial" w:cs="Arial" w:eastAsia="Arial" w:hAnsi="Arial"/>
          <w:sz w:val="11"/>
          <w:szCs w:val="11"/>
          <w:color w:val="auto"/>
        </w:rPr>
        <w:t>Former Senior Adviser, Center for Corporate Governance, Deloitte &amp; Touche LLP</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302"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1080" w:type="dxa"/>
            <w:vAlign w:val="bottom"/>
          </w:tcPr>
          <w:p>
            <w:pPr>
              <w:jc w:val="center"/>
              <w:ind w:right="447"/>
              <w:spacing w:after="0"/>
              <w:rPr>
                <w:sz w:val="20"/>
                <w:szCs w:val="20"/>
                <w:color w:val="auto"/>
              </w:rPr>
            </w:pPr>
            <w:r>
              <w:rPr>
                <w:rFonts w:ascii="Arial" w:cs="Arial" w:eastAsia="Arial" w:hAnsi="Arial"/>
                <w:sz w:val="11"/>
                <w:szCs w:val="11"/>
                <w:color w:val="auto"/>
                <w:w w:val="95"/>
              </w:rPr>
              <w:t>A (Chair)</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802"/>
        </w:trPr>
        <w:tc>
          <w:tcPr>
            <w:tcW w:w="1080" w:type="dxa"/>
            <w:vAlign w:val="bottom"/>
          </w:tcPr>
          <w:p>
            <w:pPr>
              <w:jc w:val="center"/>
              <w:ind w:right="447"/>
              <w:spacing w:after="0"/>
              <w:rPr>
                <w:sz w:val="20"/>
                <w:szCs w:val="20"/>
                <w:color w:val="auto"/>
              </w:rPr>
            </w:pPr>
            <w:r>
              <w:rPr>
                <w:rFonts w:ascii="Arial" w:cs="Arial" w:eastAsia="Arial" w:hAnsi="Arial"/>
                <w:sz w:val="11"/>
                <w:szCs w:val="11"/>
                <w:color w:val="auto"/>
                <w:w w:val="98"/>
              </w:rPr>
              <w:t>A, G (Chair)</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r>
    </w:tbl>
    <w:p>
      <w:pPr>
        <w:spacing w:after="0" w:line="253" w:lineRule="exact"/>
        <w:rPr>
          <w:sz w:val="20"/>
          <w:szCs w:val="20"/>
          <w:color w:val="auto"/>
        </w:rPr>
      </w:pPr>
    </w:p>
    <w:p>
      <w:pPr>
        <w:sectPr>
          <w:pgSz w:w="11900" w:h="16838" w:orient="portrait"/>
          <w:cols w:equalWidth="0" w:num="4">
            <w:col w:w="3040" w:space="720"/>
            <w:col w:w="3100" w:space="480"/>
            <w:col w:w="640" w:space="720"/>
            <w:col w:w="2380"/>
          </w:cols>
          <w:pgMar w:left="320" w:top="456" w:right="499" w:bottom="1440" w:gutter="0" w:footer="0" w:header="0"/>
          <w:type w:val="continuous"/>
        </w:sectPr>
      </w:pPr>
    </w:p>
    <w:p>
      <w:pPr>
        <w:spacing w:after="0" w:line="24" w:lineRule="exact"/>
        <w:rPr>
          <w:sz w:val="20"/>
          <w:szCs w:val="20"/>
          <w:color w:val="auto"/>
        </w:rPr>
      </w:pPr>
    </w:p>
    <w:tbl>
      <w:tblPr>
        <w:tblLayout w:type="fixed"/>
        <w:tblInd w:w="340" w:type="dxa"/>
        <w:tblCellMar>
          <w:top w:w="0" w:type="dxa"/>
          <w:left w:w="0" w:type="dxa"/>
          <w:bottom w:w="0" w:type="dxa"/>
          <w:right w:w="0" w:type="dxa"/>
        </w:tblCellMar>
      </w:tblPr>
      <w:tr>
        <w:trPr>
          <w:trHeight w:val="263"/>
        </w:trPr>
        <w:tc>
          <w:tcPr>
            <w:tcW w:w="920" w:type="dxa"/>
            <w:vAlign w:val="bottom"/>
          </w:tcPr>
          <w:p>
            <w:pPr>
              <w:spacing w:after="0"/>
              <w:rPr>
                <w:sz w:val="22"/>
                <w:szCs w:val="22"/>
                <w:color w:val="auto"/>
              </w:rPr>
            </w:pPr>
          </w:p>
        </w:tc>
        <w:tc>
          <w:tcPr>
            <w:tcW w:w="1840" w:type="dxa"/>
            <w:vAlign w:val="bottom"/>
          </w:tcPr>
          <w:p>
            <w:pPr>
              <w:ind w:left="220"/>
              <w:spacing w:after="0"/>
              <w:rPr>
                <w:sz w:val="20"/>
                <w:szCs w:val="20"/>
                <w:color w:val="auto"/>
              </w:rPr>
            </w:pPr>
            <w:r>
              <w:rPr>
                <w:rFonts w:ascii="Arial" w:cs="Arial" w:eastAsia="Arial" w:hAnsi="Arial"/>
                <w:sz w:val="11"/>
                <w:szCs w:val="11"/>
                <w:b w:val="1"/>
                <w:bCs w:val="1"/>
                <w:color w:val="auto"/>
              </w:rPr>
              <w:t>Keith E. Wandell</w:t>
            </w:r>
          </w:p>
        </w:tc>
        <w:tc>
          <w:tcPr>
            <w:tcW w:w="3900" w:type="dxa"/>
            <w:vAlign w:val="bottom"/>
          </w:tcPr>
          <w:p>
            <w:pPr>
              <w:spacing w:after="0"/>
              <w:rPr>
                <w:sz w:val="22"/>
                <w:szCs w:val="22"/>
                <w:color w:val="auto"/>
              </w:rPr>
            </w:pPr>
          </w:p>
        </w:tc>
        <w:tc>
          <w:tcPr>
            <w:tcW w:w="1180" w:type="dxa"/>
            <w:vAlign w:val="bottom"/>
            <w:vMerge w:val="restart"/>
          </w:tcPr>
          <w:p>
            <w:pPr>
              <w:ind w:left="340"/>
              <w:spacing w:after="0" w:line="361" w:lineRule="exact"/>
              <w:rPr>
                <w:sz w:val="20"/>
                <w:szCs w:val="20"/>
                <w:color w:val="auto"/>
              </w:rPr>
            </w:pPr>
            <w:r>
              <w:rPr>
                <w:rFonts w:ascii="MS PGothic" w:cs="MS PGothic" w:eastAsia="MS PGothic" w:hAnsi="MS PGothic"/>
                <w:sz w:val="36"/>
                <w:szCs w:val="36"/>
                <w:color w:val="021496"/>
              </w:rPr>
              <w:t>✓</w:t>
            </w:r>
          </w:p>
        </w:tc>
        <w:tc>
          <w:tcPr>
            <w:tcW w:w="1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1840" w:type="dxa"/>
            <w:vAlign w:val="bottom"/>
            <w:vMerge w:val="restart"/>
          </w:tcPr>
          <w:p>
            <w:pPr>
              <w:ind w:left="220"/>
              <w:spacing w:after="0" w:line="121" w:lineRule="exact"/>
              <w:rPr>
                <w:sz w:val="20"/>
                <w:szCs w:val="20"/>
                <w:color w:val="auto"/>
              </w:rPr>
            </w:pPr>
            <w:r>
              <w:rPr>
                <w:rFonts w:ascii="Arial" w:cs="Arial" w:eastAsia="Arial" w:hAnsi="Arial"/>
                <w:sz w:val="11"/>
                <w:szCs w:val="11"/>
                <w:color w:val="auto"/>
              </w:rPr>
              <w:t>Age: 72</w:t>
            </w:r>
          </w:p>
        </w:tc>
        <w:tc>
          <w:tcPr>
            <w:tcW w:w="3900" w:type="dxa"/>
            <w:vAlign w:val="bottom"/>
            <w:vMerge w:val="restart"/>
          </w:tcPr>
          <w:p>
            <w:pPr>
              <w:ind w:left="660"/>
              <w:spacing w:after="0"/>
              <w:rPr>
                <w:sz w:val="20"/>
                <w:szCs w:val="20"/>
                <w:color w:val="auto"/>
              </w:rPr>
            </w:pPr>
            <w:r>
              <w:rPr>
                <w:rFonts w:ascii="Arial" w:cs="Arial" w:eastAsia="Arial" w:hAnsi="Arial"/>
                <w:sz w:val="11"/>
                <w:szCs w:val="11"/>
                <w:color w:val="auto"/>
              </w:rPr>
              <w:t>Former President and CEO of Harley-Davidson, Inc.</w:t>
            </w:r>
          </w:p>
        </w:tc>
        <w:tc>
          <w:tcPr>
            <w:tcW w:w="1180" w:type="dxa"/>
            <w:vAlign w:val="bottom"/>
            <w:vMerge w:val="continue"/>
          </w:tcPr>
          <w:p>
            <w:pPr>
              <w:spacing w:after="0"/>
              <w:rPr>
                <w:sz w:val="8"/>
                <w:szCs w:val="8"/>
                <w:color w:val="auto"/>
              </w:rPr>
            </w:pPr>
          </w:p>
        </w:tc>
        <w:tc>
          <w:tcPr>
            <w:tcW w:w="1600" w:type="dxa"/>
            <w:vAlign w:val="bottom"/>
            <w:vMerge w:val="restart"/>
          </w:tcPr>
          <w:p>
            <w:pPr>
              <w:jc w:val="center"/>
              <w:spacing w:after="0"/>
              <w:rPr>
                <w:sz w:val="20"/>
                <w:szCs w:val="20"/>
                <w:color w:val="auto"/>
              </w:rPr>
            </w:pPr>
            <w:r>
              <w:rPr>
                <w:rFonts w:ascii="Arial" w:cs="Arial" w:eastAsia="Arial" w:hAnsi="Arial"/>
                <w:sz w:val="11"/>
                <w:szCs w:val="11"/>
                <w:color w:val="auto"/>
                <w:w w:val="97"/>
              </w:rPr>
              <w:t>C (Chair), F</w:t>
            </w:r>
          </w:p>
        </w:tc>
        <w:tc>
          <w:tcPr>
            <w:tcW w:w="1120" w:type="dxa"/>
            <w:vAlign w:val="bottom"/>
            <w:vMerge w:val="restart"/>
          </w:tcPr>
          <w:p>
            <w:pPr>
              <w:jc w:val="right"/>
              <w:ind w:right="4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3900" w:type="dxa"/>
            <w:vAlign w:val="bottom"/>
            <w:vMerge w:val="continue"/>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920" w:type="dxa"/>
            <w:vAlign w:val="bottom"/>
          </w:tcPr>
          <w:p>
            <w:pPr>
              <w:spacing w:after="0"/>
              <w:rPr>
                <w:sz w:val="7"/>
                <w:szCs w:val="7"/>
                <w:color w:val="auto"/>
              </w:rPr>
            </w:pPr>
          </w:p>
        </w:tc>
        <w:tc>
          <w:tcPr>
            <w:tcW w:w="1840" w:type="dxa"/>
            <w:vAlign w:val="bottom"/>
            <w:vMerge w:val="restart"/>
          </w:tcPr>
          <w:p>
            <w:pPr>
              <w:ind w:left="220"/>
              <w:spacing w:after="0"/>
              <w:rPr>
                <w:sz w:val="20"/>
                <w:szCs w:val="20"/>
                <w:color w:val="auto"/>
              </w:rPr>
            </w:pPr>
            <w:r>
              <w:rPr>
                <w:rFonts w:ascii="Arial" w:cs="Arial" w:eastAsia="Arial" w:hAnsi="Arial"/>
                <w:sz w:val="11"/>
                <w:szCs w:val="11"/>
                <w:color w:val="auto"/>
              </w:rPr>
              <w:t>Director Since: 2015</w:t>
            </w:r>
          </w:p>
        </w:tc>
        <w:tc>
          <w:tcPr>
            <w:tcW w:w="39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9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39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920" w:type="dxa"/>
            <w:vAlign w:val="bottom"/>
            <w:shd w:val="clear" w:color="auto" w:fill="D8D8D8"/>
          </w:tcPr>
          <w:p>
            <w:pPr>
              <w:spacing w:after="0"/>
              <w:rPr>
                <w:sz w:val="24"/>
                <w:szCs w:val="24"/>
                <w:color w:val="auto"/>
              </w:rPr>
            </w:pPr>
          </w:p>
        </w:tc>
        <w:tc>
          <w:tcPr>
            <w:tcW w:w="1840" w:type="dxa"/>
            <w:vAlign w:val="bottom"/>
            <w:shd w:val="clear" w:color="auto" w:fill="D8D8D8"/>
          </w:tcPr>
          <w:p>
            <w:pPr>
              <w:ind w:left="220"/>
              <w:spacing w:after="0"/>
              <w:rPr>
                <w:sz w:val="20"/>
                <w:szCs w:val="20"/>
                <w:color w:val="auto"/>
              </w:rPr>
            </w:pPr>
            <w:r>
              <w:rPr>
                <w:rFonts w:ascii="Arial" w:cs="Arial" w:eastAsia="Arial" w:hAnsi="Arial"/>
                <w:sz w:val="11"/>
                <w:szCs w:val="11"/>
                <w:b w:val="1"/>
                <w:bCs w:val="1"/>
                <w:color w:val="auto"/>
              </w:rPr>
              <w:t>Mary A. Winston</w:t>
            </w:r>
          </w:p>
        </w:tc>
        <w:tc>
          <w:tcPr>
            <w:tcW w:w="3900" w:type="dxa"/>
            <w:vAlign w:val="bottom"/>
            <w:vMerge w:val="restart"/>
            <w:shd w:val="clear" w:color="auto" w:fill="D8D8D8"/>
          </w:tcPr>
          <w:p>
            <w:pPr>
              <w:ind w:left="660"/>
              <w:spacing w:after="0"/>
              <w:rPr>
                <w:sz w:val="20"/>
                <w:szCs w:val="20"/>
                <w:color w:val="auto"/>
              </w:rPr>
            </w:pPr>
            <w:r>
              <w:rPr>
                <w:rFonts w:ascii="Arial" w:cs="Arial" w:eastAsia="Arial" w:hAnsi="Arial"/>
                <w:sz w:val="11"/>
                <w:szCs w:val="11"/>
                <w:color w:val="auto"/>
              </w:rPr>
              <w:t>President of WinsCo Enterprises Inc.; Former Executive Vice</w:t>
            </w:r>
          </w:p>
        </w:tc>
        <w:tc>
          <w:tcPr>
            <w:tcW w:w="1180" w:type="dxa"/>
            <w:vAlign w:val="bottom"/>
            <w:vMerge w:val="restart"/>
            <w:shd w:val="clear" w:color="auto" w:fill="D8D8D8"/>
          </w:tcPr>
          <w:p>
            <w:pPr>
              <w:ind w:left="340"/>
              <w:spacing w:after="0" w:line="361" w:lineRule="exact"/>
              <w:rPr>
                <w:sz w:val="20"/>
                <w:szCs w:val="20"/>
                <w:color w:val="auto"/>
              </w:rPr>
            </w:pPr>
            <w:r>
              <w:rPr>
                <w:rFonts w:ascii="MS PGothic" w:cs="MS PGothic" w:eastAsia="MS PGothic" w:hAnsi="MS PGothic"/>
                <w:sz w:val="36"/>
                <w:szCs w:val="36"/>
                <w:color w:val="021496"/>
              </w:rPr>
              <w:t>✓</w:t>
            </w:r>
          </w:p>
        </w:tc>
        <w:tc>
          <w:tcPr>
            <w:tcW w:w="1600" w:type="dxa"/>
            <w:vAlign w:val="bottom"/>
            <w:shd w:val="clear" w:color="auto" w:fill="D8D8D8"/>
          </w:tcPr>
          <w:p>
            <w:pPr>
              <w:spacing w:after="0"/>
              <w:rPr>
                <w:sz w:val="24"/>
                <w:szCs w:val="24"/>
                <w:color w:val="auto"/>
              </w:rPr>
            </w:pPr>
          </w:p>
        </w:tc>
        <w:tc>
          <w:tcPr>
            <w:tcW w:w="112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920" w:type="dxa"/>
            <w:vAlign w:val="bottom"/>
            <w:shd w:val="clear" w:color="auto" w:fill="D8D8D8"/>
          </w:tcPr>
          <w:p>
            <w:pPr>
              <w:spacing w:after="0"/>
              <w:rPr>
                <w:sz w:val="3"/>
                <w:szCs w:val="3"/>
                <w:color w:val="auto"/>
              </w:rPr>
            </w:pPr>
          </w:p>
        </w:tc>
        <w:tc>
          <w:tcPr>
            <w:tcW w:w="1840" w:type="dxa"/>
            <w:vAlign w:val="bottom"/>
            <w:vMerge w:val="restart"/>
            <w:shd w:val="clear" w:color="auto" w:fill="D8D8D8"/>
          </w:tcPr>
          <w:p>
            <w:pPr>
              <w:ind w:left="220"/>
              <w:spacing w:after="0"/>
              <w:rPr>
                <w:sz w:val="20"/>
                <w:szCs w:val="20"/>
                <w:color w:val="auto"/>
              </w:rPr>
            </w:pPr>
            <w:r>
              <w:rPr>
                <w:rFonts w:ascii="Arial" w:cs="Arial" w:eastAsia="Arial" w:hAnsi="Arial"/>
                <w:sz w:val="11"/>
                <w:szCs w:val="11"/>
                <w:color w:val="auto"/>
              </w:rPr>
              <w:t>Age: 60</w:t>
            </w:r>
          </w:p>
        </w:tc>
        <w:tc>
          <w:tcPr>
            <w:tcW w:w="3900" w:type="dxa"/>
            <w:vAlign w:val="bottom"/>
            <w:vMerge w:val="continue"/>
            <w:shd w:val="clear" w:color="auto" w:fill="D8D8D8"/>
          </w:tcPr>
          <w:p>
            <w:pPr>
              <w:spacing w:after="0"/>
              <w:rPr>
                <w:sz w:val="3"/>
                <w:szCs w:val="3"/>
                <w:color w:val="auto"/>
              </w:rPr>
            </w:pPr>
          </w:p>
        </w:tc>
        <w:tc>
          <w:tcPr>
            <w:tcW w:w="1180" w:type="dxa"/>
            <w:vAlign w:val="bottom"/>
            <w:vMerge w:val="continue"/>
            <w:shd w:val="clear" w:color="auto" w:fill="D8D8D8"/>
          </w:tcPr>
          <w:p>
            <w:pPr>
              <w:spacing w:after="0"/>
              <w:rPr>
                <w:sz w:val="3"/>
                <w:szCs w:val="3"/>
                <w:color w:val="auto"/>
              </w:rPr>
            </w:pPr>
          </w:p>
        </w:tc>
        <w:tc>
          <w:tcPr>
            <w:tcW w:w="1600" w:type="dxa"/>
            <w:vAlign w:val="bottom"/>
            <w:vMerge w:val="restart"/>
            <w:shd w:val="clear" w:color="auto" w:fill="D8D8D8"/>
          </w:tcPr>
          <w:p>
            <w:pPr>
              <w:jc w:val="center"/>
              <w:spacing w:after="0"/>
              <w:rPr>
                <w:sz w:val="20"/>
                <w:szCs w:val="20"/>
                <w:color w:val="auto"/>
              </w:rPr>
            </w:pPr>
            <w:r>
              <w:rPr>
                <w:rFonts w:ascii="Arial" w:cs="Arial" w:eastAsia="Arial" w:hAnsi="Arial"/>
                <w:sz w:val="11"/>
                <w:szCs w:val="11"/>
                <w:color w:val="auto"/>
                <w:w w:val="96"/>
              </w:rPr>
              <w:t>C, F</w:t>
            </w:r>
          </w:p>
        </w:tc>
        <w:tc>
          <w:tcPr>
            <w:tcW w:w="1120" w:type="dxa"/>
            <w:vAlign w:val="bottom"/>
            <w:vMerge w:val="restart"/>
            <w:shd w:val="clear" w:color="auto" w:fill="D8D8D8"/>
          </w:tcPr>
          <w:p>
            <w:pPr>
              <w:jc w:val="right"/>
              <w:ind w:right="48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97"/>
        </w:trPr>
        <w:tc>
          <w:tcPr>
            <w:tcW w:w="920" w:type="dxa"/>
            <w:vAlign w:val="bottom"/>
            <w:shd w:val="clear" w:color="auto" w:fill="D8D8D8"/>
          </w:tcPr>
          <w:p>
            <w:pPr>
              <w:spacing w:after="0"/>
              <w:rPr>
                <w:sz w:val="8"/>
                <w:szCs w:val="8"/>
                <w:color w:val="auto"/>
              </w:rPr>
            </w:pPr>
          </w:p>
        </w:tc>
        <w:tc>
          <w:tcPr>
            <w:tcW w:w="1840" w:type="dxa"/>
            <w:vAlign w:val="bottom"/>
            <w:vMerge w:val="continue"/>
            <w:shd w:val="clear" w:color="auto" w:fill="D8D8D8"/>
          </w:tcPr>
          <w:p>
            <w:pPr>
              <w:spacing w:after="0"/>
              <w:rPr>
                <w:sz w:val="8"/>
                <w:szCs w:val="8"/>
                <w:color w:val="auto"/>
              </w:rPr>
            </w:pPr>
          </w:p>
        </w:tc>
        <w:tc>
          <w:tcPr>
            <w:tcW w:w="3900" w:type="dxa"/>
            <w:vAlign w:val="bottom"/>
            <w:shd w:val="clear" w:color="auto" w:fill="D8D8D8"/>
          </w:tcPr>
          <w:p>
            <w:pPr>
              <w:ind w:left="660"/>
              <w:spacing w:after="0" w:line="97" w:lineRule="exact"/>
              <w:rPr>
                <w:sz w:val="20"/>
                <w:szCs w:val="20"/>
                <w:color w:val="auto"/>
              </w:rPr>
            </w:pPr>
            <w:r>
              <w:rPr>
                <w:rFonts w:ascii="Arial" w:cs="Arial" w:eastAsia="Arial" w:hAnsi="Arial"/>
                <w:sz w:val="11"/>
                <w:szCs w:val="11"/>
                <w:color w:val="auto"/>
              </w:rPr>
              <w:t>President and Chief Financial Officer (“CFO”) of Family Dollar</w:t>
            </w:r>
          </w:p>
        </w:tc>
        <w:tc>
          <w:tcPr>
            <w:tcW w:w="1180" w:type="dxa"/>
            <w:vAlign w:val="bottom"/>
            <w:vMerge w:val="continue"/>
            <w:shd w:val="clear" w:color="auto" w:fill="D8D8D8"/>
          </w:tcPr>
          <w:p>
            <w:pPr>
              <w:spacing w:after="0"/>
              <w:rPr>
                <w:sz w:val="8"/>
                <w:szCs w:val="8"/>
                <w:color w:val="auto"/>
              </w:rPr>
            </w:pPr>
          </w:p>
        </w:tc>
        <w:tc>
          <w:tcPr>
            <w:tcW w:w="1600" w:type="dxa"/>
            <w:vAlign w:val="bottom"/>
            <w:vMerge w:val="continue"/>
            <w:shd w:val="clear" w:color="auto" w:fill="D8D8D8"/>
          </w:tcPr>
          <w:p>
            <w:pPr>
              <w:spacing w:after="0"/>
              <w:rPr>
                <w:sz w:val="8"/>
                <w:szCs w:val="8"/>
                <w:color w:val="auto"/>
              </w:rPr>
            </w:pPr>
          </w:p>
        </w:tc>
        <w:tc>
          <w:tcPr>
            <w:tcW w:w="112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920" w:type="dxa"/>
            <w:vAlign w:val="bottom"/>
            <w:shd w:val="clear" w:color="auto" w:fill="D8D8D8"/>
          </w:tcPr>
          <w:p>
            <w:pPr>
              <w:spacing w:after="0"/>
              <w:rPr>
                <w:sz w:val="18"/>
                <w:szCs w:val="18"/>
                <w:color w:val="auto"/>
              </w:rPr>
            </w:pPr>
          </w:p>
        </w:tc>
        <w:tc>
          <w:tcPr>
            <w:tcW w:w="1840" w:type="dxa"/>
            <w:vAlign w:val="bottom"/>
            <w:shd w:val="clear" w:color="auto" w:fill="D8D8D8"/>
          </w:tcPr>
          <w:p>
            <w:pPr>
              <w:ind w:left="220"/>
              <w:spacing w:after="0"/>
              <w:rPr>
                <w:sz w:val="20"/>
                <w:szCs w:val="20"/>
                <w:color w:val="auto"/>
              </w:rPr>
            </w:pPr>
            <w:r>
              <w:rPr>
                <w:rFonts w:ascii="Arial" w:cs="Arial" w:eastAsia="Arial" w:hAnsi="Arial"/>
                <w:sz w:val="11"/>
                <w:szCs w:val="11"/>
                <w:color w:val="auto"/>
              </w:rPr>
              <w:t>Director Since: 2005</w:t>
            </w:r>
          </w:p>
        </w:tc>
        <w:tc>
          <w:tcPr>
            <w:tcW w:w="3900" w:type="dxa"/>
            <w:vAlign w:val="bottom"/>
            <w:shd w:val="clear" w:color="auto" w:fill="D8D8D8"/>
          </w:tcPr>
          <w:p>
            <w:pPr>
              <w:ind w:left="660"/>
              <w:spacing w:after="0"/>
              <w:rPr>
                <w:sz w:val="20"/>
                <w:szCs w:val="20"/>
                <w:color w:val="auto"/>
              </w:rPr>
            </w:pPr>
            <w:r>
              <w:rPr>
                <w:rFonts w:ascii="Arial" w:cs="Arial" w:eastAsia="Arial" w:hAnsi="Arial"/>
                <w:sz w:val="11"/>
                <w:szCs w:val="11"/>
                <w:color w:val="auto"/>
              </w:rPr>
              <w:t>Stores, Inc.</w:t>
            </w:r>
          </w:p>
        </w:tc>
        <w:tc>
          <w:tcPr>
            <w:tcW w:w="1180" w:type="dxa"/>
            <w:vAlign w:val="bottom"/>
            <w:vMerge w:val="continue"/>
            <w:shd w:val="clear" w:color="auto" w:fill="D8D8D8"/>
          </w:tcPr>
          <w:p>
            <w:pPr>
              <w:spacing w:after="0"/>
              <w:rPr>
                <w:sz w:val="18"/>
                <w:szCs w:val="18"/>
                <w:color w:val="auto"/>
              </w:rPr>
            </w:pPr>
          </w:p>
        </w:tc>
        <w:tc>
          <w:tcPr>
            <w:tcW w:w="1600" w:type="dxa"/>
            <w:vAlign w:val="bottom"/>
            <w:shd w:val="clear" w:color="auto" w:fill="D8D8D8"/>
          </w:tcPr>
          <w:p>
            <w:pPr>
              <w:spacing w:after="0"/>
              <w:rPr>
                <w:sz w:val="18"/>
                <w:szCs w:val="18"/>
                <w:color w:val="auto"/>
              </w:rPr>
            </w:pPr>
          </w:p>
        </w:tc>
        <w:tc>
          <w:tcPr>
            <w:tcW w:w="1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920" w:type="dxa"/>
            <w:vAlign w:val="bottom"/>
            <w:tcBorders>
              <w:bottom w:val="single" w:sz="8" w:color="021496"/>
            </w:tcBorders>
            <w:shd w:val="clear" w:color="auto" w:fill="D8D8D8"/>
          </w:tcPr>
          <w:p>
            <w:pPr>
              <w:spacing w:after="0"/>
              <w:rPr>
                <w:sz w:val="12"/>
                <w:szCs w:val="12"/>
                <w:color w:val="auto"/>
              </w:rPr>
            </w:pPr>
          </w:p>
        </w:tc>
        <w:tc>
          <w:tcPr>
            <w:tcW w:w="1840" w:type="dxa"/>
            <w:vAlign w:val="bottom"/>
            <w:tcBorders>
              <w:bottom w:val="single" w:sz="8" w:color="021496"/>
            </w:tcBorders>
            <w:shd w:val="clear" w:color="auto" w:fill="D8D8D8"/>
          </w:tcPr>
          <w:p>
            <w:pPr>
              <w:spacing w:after="0"/>
              <w:rPr>
                <w:sz w:val="12"/>
                <w:szCs w:val="12"/>
                <w:color w:val="auto"/>
              </w:rPr>
            </w:pPr>
          </w:p>
        </w:tc>
        <w:tc>
          <w:tcPr>
            <w:tcW w:w="3900" w:type="dxa"/>
            <w:vAlign w:val="bottom"/>
            <w:tcBorders>
              <w:bottom w:val="single" w:sz="8" w:color="021496"/>
            </w:tcBorders>
            <w:shd w:val="clear" w:color="auto" w:fill="D8D8D8"/>
          </w:tcPr>
          <w:p>
            <w:pPr>
              <w:spacing w:after="0"/>
              <w:rPr>
                <w:sz w:val="12"/>
                <w:szCs w:val="12"/>
                <w:color w:val="auto"/>
              </w:rPr>
            </w:pPr>
          </w:p>
        </w:tc>
        <w:tc>
          <w:tcPr>
            <w:tcW w:w="1180" w:type="dxa"/>
            <w:vAlign w:val="bottom"/>
            <w:tcBorders>
              <w:bottom w:val="single" w:sz="8" w:color="021496"/>
            </w:tcBorders>
            <w:shd w:val="clear" w:color="auto" w:fill="D8D8D8"/>
          </w:tcPr>
          <w:p>
            <w:pPr>
              <w:spacing w:after="0"/>
              <w:rPr>
                <w:sz w:val="12"/>
                <w:szCs w:val="12"/>
                <w:color w:val="auto"/>
              </w:rPr>
            </w:pPr>
          </w:p>
        </w:tc>
        <w:tc>
          <w:tcPr>
            <w:tcW w:w="1600" w:type="dxa"/>
            <w:vAlign w:val="bottom"/>
            <w:tcBorders>
              <w:bottom w:val="single" w:sz="8" w:color="021496"/>
            </w:tcBorders>
            <w:shd w:val="clear" w:color="auto" w:fill="D8D8D8"/>
          </w:tcPr>
          <w:p>
            <w:pPr>
              <w:spacing w:after="0"/>
              <w:rPr>
                <w:sz w:val="12"/>
                <w:szCs w:val="12"/>
                <w:color w:val="auto"/>
              </w:rPr>
            </w:pPr>
          </w:p>
        </w:tc>
        <w:tc>
          <w:tcPr>
            <w:tcW w:w="1120" w:type="dxa"/>
            <w:vAlign w:val="bottom"/>
            <w:tcBorders>
              <w:bottom w:val="single" w:sz="8" w:color="021496"/>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*A = Audit Committee; C = Compensation Committee; G = Governance and Nominating Committee; F = Finance Committee</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w:t>
      </w:r>
    </w:p>
    <w:p>
      <w:pPr>
        <w:sectPr>
          <w:pgSz w:w="11900" w:h="16838" w:orient="portrait"/>
          <w:cols w:equalWidth="0" w:num="1">
            <w:col w:w="11080"/>
          </w:cols>
          <w:pgMar w:left="320" w:top="456" w:right="4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104775</wp:posOffset>
            </wp:positionV>
            <wp:extent cx="6934200" cy="6985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200" cy="6985000"/>
                    </a:xfrm>
                    <a:prstGeom prst="rect">
                      <a:avLst/>
                    </a:prstGeom>
                    <a:noFill/>
                  </pic:spPr>
                </pic:pic>
              </a:graphicData>
            </a:graphic>
          </wp:anchor>
        </w:drawing>
      </w:r>
    </w:p>
    <w:p>
      <w:pPr>
        <w:spacing w:after="0" w:line="307"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Board Composition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Board has the following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10</w:t>
      </w:r>
    </w:p>
    <w:p>
      <w:pPr>
        <w:sectPr>
          <w:pgSz w:w="11900" w:h="16838" w:orient="portrait"/>
          <w:cols w:equalWidth="0" w:num="1">
            <w:col w:w="11080"/>
          </w:cols>
          <w:pgMar w:left="320" w:top="456"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Proposal 1 — Election of Directors</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Criteria for Director Nominees</w:t>
      </w:r>
    </w:p>
    <w:p>
      <w:pPr>
        <w:spacing w:after="0" w:line="117"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The Board seeks to recommend qualified director nominees who, in the opinion of the Board, demonstrate the highest personal and professional integrity as well as exceptional ability and judgment, who can serve as a sounding board for our CEO on planning and policy, and who will be most effective, together with the other nominees to the Board, in collectively serving the long-term interests of all our shareholders.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Key areas of expertise for director nominees, which are reflected in our current director nominees,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1898015</wp:posOffset>
            </wp:positionH>
            <wp:positionV relativeFrom="paragraph">
              <wp:posOffset>166370</wp:posOffset>
            </wp:positionV>
            <wp:extent cx="4025265" cy="347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25265" cy="34798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900" w:hanging="291"/>
        <w:spacing w:after="0"/>
        <w:tabs>
          <w:tab w:leader="none" w:pos="900" w:val="left"/>
        </w:tabs>
        <w:numPr>
          <w:ilvl w:val="0"/>
          <w:numId w:val="14"/>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Strategic M&amp;A</w:t>
      </w:r>
    </w:p>
    <w:p>
      <w:pPr>
        <w:spacing w:after="0" w:line="200" w:lineRule="exact"/>
        <w:rPr>
          <w:rFonts w:ascii="MS PGothic" w:cs="MS PGothic" w:eastAsia="MS PGothic" w:hAnsi="MS PGothic"/>
          <w:sz w:val="16"/>
          <w:szCs w:val="16"/>
          <w:color w:val="auto"/>
        </w:rPr>
      </w:pPr>
    </w:p>
    <w:p>
      <w:pPr>
        <w:spacing w:after="0" w:line="284" w:lineRule="exact"/>
        <w:rPr>
          <w:rFonts w:ascii="MS PGothic" w:cs="MS PGothic" w:eastAsia="MS PGothic" w:hAnsi="MS PGothic"/>
          <w:sz w:val="16"/>
          <w:szCs w:val="16"/>
          <w:color w:val="auto"/>
        </w:rPr>
      </w:pPr>
    </w:p>
    <w:p>
      <w:pPr>
        <w:ind w:left="920" w:right="140" w:hanging="311"/>
        <w:spacing w:after="0" w:line="299" w:lineRule="auto"/>
        <w:tabs>
          <w:tab w:leader="none" w:pos="893" w:val="left"/>
        </w:tabs>
        <w:numPr>
          <w:ilvl w:val="0"/>
          <w:numId w:val="14"/>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Global Operations &amp; Management</w:t>
      </w:r>
    </w:p>
    <w:p>
      <w:pPr>
        <w:spacing w:after="0" w:line="303" w:lineRule="exact"/>
        <w:rPr>
          <w:rFonts w:ascii="MS PGothic" w:cs="MS PGothic" w:eastAsia="MS PGothic" w:hAnsi="MS PGothic"/>
          <w:sz w:val="16"/>
          <w:szCs w:val="16"/>
          <w:color w:val="auto"/>
        </w:rPr>
      </w:pPr>
    </w:p>
    <w:p>
      <w:pPr>
        <w:ind w:left="920" w:right="520" w:hanging="311"/>
        <w:spacing w:after="0" w:line="299" w:lineRule="auto"/>
        <w:tabs>
          <w:tab w:leader="none" w:pos="893" w:val="left"/>
        </w:tabs>
        <w:numPr>
          <w:ilvl w:val="0"/>
          <w:numId w:val="14"/>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Capital Markets Expertise</w:t>
      </w:r>
    </w:p>
    <w:p>
      <w:pPr>
        <w:spacing w:after="0" w:line="303" w:lineRule="exact"/>
        <w:rPr>
          <w:rFonts w:ascii="MS PGothic" w:cs="MS PGothic" w:eastAsia="MS PGothic" w:hAnsi="MS PGothic"/>
          <w:sz w:val="16"/>
          <w:szCs w:val="16"/>
          <w:color w:val="auto"/>
        </w:rPr>
      </w:pPr>
    </w:p>
    <w:p>
      <w:pPr>
        <w:ind w:left="920" w:hanging="311"/>
        <w:spacing w:after="0" w:line="299" w:lineRule="auto"/>
        <w:tabs>
          <w:tab w:leader="none" w:pos="893" w:val="left"/>
        </w:tabs>
        <w:numPr>
          <w:ilvl w:val="0"/>
          <w:numId w:val="14"/>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Strategy Development &amp; Execution</w:t>
      </w:r>
    </w:p>
    <w:p>
      <w:pPr>
        <w:spacing w:after="0" w:line="303" w:lineRule="exact"/>
        <w:rPr>
          <w:rFonts w:ascii="MS PGothic" w:cs="MS PGothic" w:eastAsia="MS PGothic" w:hAnsi="MS PGothic"/>
          <w:sz w:val="16"/>
          <w:szCs w:val="16"/>
          <w:color w:val="auto"/>
        </w:rPr>
      </w:pPr>
    </w:p>
    <w:p>
      <w:pPr>
        <w:ind w:left="920" w:right="340" w:hanging="311"/>
        <w:spacing w:after="0" w:line="299" w:lineRule="auto"/>
        <w:tabs>
          <w:tab w:leader="none" w:pos="893" w:val="left"/>
        </w:tabs>
        <w:numPr>
          <w:ilvl w:val="0"/>
          <w:numId w:val="14"/>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Risk Management Expertise</w:t>
      </w:r>
    </w:p>
    <w:p>
      <w:pPr>
        <w:spacing w:after="0" w:line="303" w:lineRule="exact"/>
        <w:rPr>
          <w:rFonts w:ascii="MS PGothic" w:cs="MS PGothic" w:eastAsia="MS PGothic" w:hAnsi="MS PGothic"/>
          <w:sz w:val="16"/>
          <w:szCs w:val="16"/>
          <w:color w:val="auto"/>
        </w:rPr>
      </w:pPr>
    </w:p>
    <w:p>
      <w:pPr>
        <w:ind w:left="920" w:right="120" w:hanging="311"/>
        <w:spacing w:after="0" w:line="299" w:lineRule="auto"/>
        <w:tabs>
          <w:tab w:leader="none" w:pos="887" w:val="left"/>
        </w:tabs>
        <w:numPr>
          <w:ilvl w:val="0"/>
          <w:numId w:val="14"/>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Audit &amp; Corporate Governance Matters</w:t>
      </w:r>
    </w:p>
    <w:p>
      <w:pPr>
        <w:spacing w:after="0" w:line="303" w:lineRule="exact"/>
        <w:rPr>
          <w:rFonts w:ascii="MS PGothic" w:cs="MS PGothic" w:eastAsia="MS PGothic" w:hAnsi="MS PGothic"/>
          <w:sz w:val="16"/>
          <w:szCs w:val="16"/>
          <w:color w:val="auto"/>
        </w:rPr>
      </w:pPr>
    </w:p>
    <w:p>
      <w:pPr>
        <w:ind w:left="920" w:right="580" w:hanging="311"/>
        <w:spacing w:after="0" w:line="299" w:lineRule="auto"/>
        <w:tabs>
          <w:tab w:leader="none" w:pos="893" w:val="left"/>
        </w:tabs>
        <w:numPr>
          <w:ilvl w:val="0"/>
          <w:numId w:val="14"/>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Human Capital Management</w:t>
      </w:r>
    </w:p>
    <w:p>
      <w:pPr>
        <w:spacing w:after="0" w:line="384" w:lineRule="exact"/>
        <w:rPr>
          <w:rFonts w:ascii="MS PGothic" w:cs="MS PGothic" w:eastAsia="MS PGothic" w:hAnsi="MS PGothic"/>
          <w:sz w:val="16"/>
          <w:szCs w:val="16"/>
          <w:color w:val="auto"/>
        </w:rPr>
      </w:pPr>
    </w:p>
    <w:p>
      <w:pPr>
        <w:ind w:left="900" w:hanging="291"/>
        <w:spacing w:after="0"/>
        <w:tabs>
          <w:tab w:leader="none" w:pos="900" w:val="left"/>
        </w:tabs>
        <w:numPr>
          <w:ilvl w:val="0"/>
          <w:numId w:val="14"/>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Sustainability</w:t>
      </w:r>
    </w:p>
    <w:p>
      <w:pPr>
        <w:spacing w:after="0" w:line="200" w:lineRule="exact"/>
        <w:rPr>
          <w:rFonts w:ascii="MS PGothic" w:cs="MS PGothic" w:eastAsia="MS PGothic" w:hAnsi="MS PGothic"/>
          <w:sz w:val="16"/>
          <w:szCs w:val="16"/>
          <w:color w:val="auto"/>
        </w:rPr>
      </w:pPr>
    </w:p>
    <w:p>
      <w:pPr>
        <w:spacing w:after="0" w:line="284" w:lineRule="exact"/>
        <w:rPr>
          <w:rFonts w:ascii="MS PGothic" w:cs="MS PGothic" w:eastAsia="MS PGothic" w:hAnsi="MS PGothic"/>
          <w:sz w:val="16"/>
          <w:szCs w:val="16"/>
          <w:color w:val="auto"/>
        </w:rPr>
      </w:pPr>
    </w:p>
    <w:p>
      <w:pPr>
        <w:ind w:left="920" w:right="40" w:hanging="311"/>
        <w:spacing w:after="0" w:line="299" w:lineRule="auto"/>
        <w:tabs>
          <w:tab w:leader="none" w:pos="893" w:val="left"/>
        </w:tabs>
        <w:numPr>
          <w:ilvl w:val="0"/>
          <w:numId w:val="14"/>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Executive Leadership Experience</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right="2320"/>
        <w:spacing w:after="0" w:line="256" w:lineRule="auto"/>
        <w:rPr>
          <w:sz w:val="20"/>
          <w:szCs w:val="20"/>
          <w:color w:val="auto"/>
        </w:rPr>
      </w:pPr>
      <w:r>
        <w:rPr>
          <w:rFonts w:ascii="Arial" w:cs="Arial" w:eastAsia="Arial" w:hAnsi="Arial"/>
          <w:sz w:val="16"/>
          <w:szCs w:val="16"/>
          <w:color w:val="auto"/>
        </w:rPr>
        <w:t>Experience with international acquisitions, post-merger integration, and portfolio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173990</wp:posOffset>
            </wp:positionV>
            <wp:extent cx="4025265" cy="356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25265" cy="356870"/>
                    </a:xfrm>
                    <a:prstGeom prst="rect">
                      <a:avLst/>
                    </a:prstGeom>
                    <a:noFill/>
                  </pic:spPr>
                </pic:pic>
              </a:graphicData>
            </a:graphic>
          </wp:anchor>
        </w:drawing>
      </w:r>
    </w:p>
    <w:p>
      <w:pPr>
        <w:spacing w:after="0" w:line="336" w:lineRule="exact"/>
        <w:rPr>
          <w:sz w:val="20"/>
          <w:szCs w:val="20"/>
          <w:color w:val="auto"/>
        </w:rPr>
      </w:pPr>
    </w:p>
    <w:p>
      <w:pPr>
        <w:ind w:right="2080"/>
        <w:spacing w:after="0" w:line="256" w:lineRule="auto"/>
        <w:rPr>
          <w:sz w:val="20"/>
          <w:szCs w:val="20"/>
          <w:color w:val="auto"/>
        </w:rPr>
      </w:pPr>
      <w:r>
        <w:rPr>
          <w:rFonts w:ascii="Arial" w:cs="Arial" w:eastAsia="Arial" w:hAnsi="Arial"/>
          <w:sz w:val="16"/>
          <w:szCs w:val="16"/>
          <w:color w:val="auto"/>
        </w:rPr>
        <w:t>Experience with cross-border transactions, global market entry and expansion, and implementation of operational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182880</wp:posOffset>
            </wp:positionV>
            <wp:extent cx="4025265" cy="356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25265" cy="35687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Experience with capital markets and complex financing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255905</wp:posOffset>
            </wp:positionV>
            <wp:extent cx="4025265" cy="356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25265" cy="3568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2000"/>
        <w:spacing w:after="0" w:line="256" w:lineRule="auto"/>
        <w:rPr>
          <w:sz w:val="20"/>
          <w:szCs w:val="20"/>
          <w:color w:val="auto"/>
        </w:rPr>
      </w:pPr>
      <w:r>
        <w:rPr>
          <w:rFonts w:ascii="Arial" w:cs="Arial" w:eastAsia="Arial" w:hAnsi="Arial"/>
          <w:sz w:val="16"/>
          <w:szCs w:val="16"/>
          <w:color w:val="auto"/>
        </w:rPr>
        <w:t>Experience with diversified manufacturing in many of the markets and product areas relevant to Dover’s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182880</wp:posOffset>
            </wp:positionV>
            <wp:extent cx="4025265" cy="356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25265" cy="35687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Experience evaluating risk management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255905</wp:posOffset>
            </wp:positionV>
            <wp:extent cx="4025265" cy="356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25265" cy="35687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Experience with assurance and audit, regulation, and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255905</wp:posOffset>
            </wp:positionV>
            <wp:extent cx="4025265" cy="356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25265" cy="35687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Experience attracting, developing and retaining talent and building strong cultures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255905</wp:posOffset>
            </wp:positionV>
            <wp:extent cx="4025265" cy="347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25265" cy="34798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2000"/>
        <w:spacing w:after="0" w:line="256" w:lineRule="auto"/>
        <w:rPr>
          <w:sz w:val="20"/>
          <w:szCs w:val="20"/>
          <w:color w:val="auto"/>
        </w:rPr>
      </w:pPr>
      <w:r>
        <w:rPr>
          <w:rFonts w:ascii="Arial" w:cs="Arial" w:eastAsia="Arial" w:hAnsi="Arial"/>
          <w:sz w:val="16"/>
          <w:szCs w:val="16"/>
          <w:color w:val="auto"/>
        </w:rPr>
        <w:t>Experience creating long-term value by embracing opportunities and managing risks deriving from ESG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173990</wp:posOffset>
            </wp:positionV>
            <wp:extent cx="4025265" cy="356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25265" cy="35687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Leadership experience as former CEOs and CFOs of global public companies</w:t>
      </w:r>
    </w:p>
    <w:p>
      <w:pPr>
        <w:spacing w:after="0" w:line="357" w:lineRule="exact"/>
        <w:rPr>
          <w:sz w:val="20"/>
          <w:szCs w:val="20"/>
          <w:color w:val="auto"/>
        </w:rPr>
      </w:pPr>
    </w:p>
    <w:p>
      <w:pPr>
        <w:sectPr>
          <w:pgSz w:w="11900" w:h="16838" w:orient="portrait"/>
          <w:cols w:equalWidth="0" w:num="2">
            <w:col w:w="2600" w:space="500"/>
            <w:col w:w="7980"/>
          </w:cols>
          <w:pgMar w:left="320" w:top="456" w:right="499" w:bottom="1440" w:gutter="0" w:footer="0" w:header="0"/>
          <w:type w:val="continuous"/>
        </w:sectPr>
      </w:pPr>
    </w:p>
    <w:p>
      <w:pPr>
        <w:ind w:left="160" w:right="300"/>
        <w:spacing w:after="0" w:line="251" w:lineRule="auto"/>
        <w:rPr>
          <w:sz w:val="20"/>
          <w:szCs w:val="20"/>
          <w:color w:val="auto"/>
        </w:rPr>
      </w:pPr>
      <w:r>
        <w:rPr>
          <w:rFonts w:ascii="Arial" w:cs="Arial" w:eastAsia="Arial" w:hAnsi="Arial"/>
          <w:sz w:val="16"/>
          <w:szCs w:val="16"/>
          <w:b w:val="1"/>
          <w:bCs w:val="1"/>
          <w:color w:val="021496"/>
        </w:rPr>
        <w:t>Diversity</w:t>
      </w:r>
      <w:r>
        <w:rPr>
          <w:rFonts w:ascii="Arial" w:cs="Arial" w:eastAsia="Arial" w:hAnsi="Arial"/>
          <w:sz w:val="16"/>
          <w:szCs w:val="16"/>
          <w:color w:val="000000"/>
        </w:rPr>
        <w:t>. In considering diversity in selecting director nominees, the Governance and Nominating Committee gives weight to the extent to which</w:t>
      </w:r>
      <w:r>
        <w:rPr>
          <w:rFonts w:ascii="Arial" w:cs="Arial" w:eastAsia="Arial" w:hAnsi="Arial"/>
          <w:sz w:val="16"/>
          <w:szCs w:val="16"/>
          <w:b w:val="1"/>
          <w:bCs w:val="1"/>
          <w:color w:val="021496"/>
        </w:rPr>
        <w:t xml:space="preserve"> </w:t>
      </w:r>
      <w:r>
        <w:rPr>
          <w:rFonts w:ascii="Arial" w:cs="Arial" w:eastAsia="Arial" w:hAnsi="Arial"/>
          <w:sz w:val="16"/>
          <w:szCs w:val="16"/>
          <w:color w:val="000000"/>
        </w:rPr>
        <w:t>candidates would increase the effectiveness of the Board by broadening the mix of experience, knowledge, backgrounds, skills, ages, and tenures represented among its members. In 2020, our Board adopted a policy reflected in our Corporate Governance Guidelines requiring that the initial list of potential director and external CEO candidates presented by third-party search firms include qualified candidates who reflect diverse backgrounds, including diversity of gender and race or ethnicity. Our Board believes that diverse perspectives enhance its decision-making and contribute to the success of Dover.</w:t>
      </w:r>
    </w:p>
    <w:p>
      <w:pPr>
        <w:spacing w:after="0" w:line="156"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b w:val="1"/>
          <w:bCs w:val="1"/>
          <w:color w:val="021496"/>
        </w:rPr>
        <w:t>Skills Aligned with Dover’s Strategy</w:t>
      </w:r>
      <w:r>
        <w:rPr>
          <w:rFonts w:ascii="Arial" w:cs="Arial" w:eastAsia="Arial" w:hAnsi="Arial"/>
          <w:sz w:val="16"/>
          <w:szCs w:val="16"/>
          <w:color w:val="000000"/>
        </w:rPr>
        <w:t>. The Governance and Nominating Committee also considers our current Board composition and the projected</w:t>
      </w:r>
      <w:r>
        <w:rPr>
          <w:rFonts w:ascii="Arial" w:cs="Arial" w:eastAsia="Arial" w:hAnsi="Arial"/>
          <w:sz w:val="16"/>
          <w:szCs w:val="16"/>
          <w:b w:val="1"/>
          <w:bCs w:val="1"/>
          <w:color w:val="021496"/>
        </w:rPr>
        <w:t xml:space="preserve"> </w:t>
      </w:r>
      <w:r>
        <w:rPr>
          <w:rFonts w:ascii="Arial" w:cs="Arial" w:eastAsia="Arial" w:hAnsi="Arial"/>
          <w:sz w:val="16"/>
          <w:szCs w:val="16"/>
          <w:color w:val="000000"/>
        </w:rPr>
        <w:t>retirement date of current directors, as well as such other factors it may deem to be in the best interests of Dover and its shareholders, including a director nominee’s leadership and operating experience (particularly as a CEO), financial and investment expertise, and strategic planning experience. We believe that our current director nominees possess the right mix of skills and backgrounds to enable us to achieve our strategic goals.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11</w:t>
      </w:r>
    </w:p>
    <w:p>
      <w:pPr>
        <w:sectPr>
          <w:pgSz w:w="11900" w:h="16838" w:orient="portrait"/>
          <w:cols w:equalWidth="0" w:num="1">
            <w:col w:w="11080"/>
          </w:cols>
          <w:pgMar w:left="320" w:top="456" w:right="4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50" w:lineRule="exact"/>
        <w:rPr>
          <w:sz w:val="20"/>
          <w:szCs w:val="20"/>
          <w:color w:val="auto"/>
        </w:rPr>
      </w:pPr>
    </w:p>
    <w:p>
      <w:pPr>
        <w:ind w:left="160" w:right="200"/>
        <w:spacing w:after="0" w:line="263" w:lineRule="auto"/>
        <w:rPr>
          <w:sz w:val="20"/>
          <w:szCs w:val="20"/>
          <w:color w:val="auto"/>
        </w:rPr>
      </w:pPr>
      <w:r>
        <w:rPr>
          <w:rFonts w:ascii="Arial" w:cs="Arial" w:eastAsia="Arial" w:hAnsi="Arial"/>
          <w:sz w:val="16"/>
          <w:szCs w:val="16"/>
          <w:b w:val="1"/>
          <w:bCs w:val="1"/>
          <w:color w:val="021496"/>
        </w:rPr>
        <w:t>Independence &amp; Depth of Experience</w:t>
      </w:r>
      <w:r>
        <w:rPr>
          <w:rFonts w:ascii="Arial" w:cs="Arial" w:eastAsia="Arial" w:hAnsi="Arial"/>
          <w:sz w:val="16"/>
          <w:szCs w:val="16"/>
          <w:color w:val="000000"/>
        </w:rPr>
        <w:t>. The Board prefers nominees to be independent but believes it is desirable to have our CEO on the Board as a</w:t>
      </w:r>
      <w:r>
        <w:rPr>
          <w:rFonts w:ascii="Arial" w:cs="Arial" w:eastAsia="Arial" w:hAnsi="Arial"/>
          <w:sz w:val="16"/>
          <w:szCs w:val="16"/>
          <w:b w:val="1"/>
          <w:bCs w:val="1"/>
          <w:color w:val="021496"/>
        </w:rPr>
        <w:t xml:space="preserve"> </w:t>
      </w:r>
      <w:r>
        <w:rPr>
          <w:rFonts w:ascii="Arial" w:cs="Arial" w:eastAsia="Arial" w:hAnsi="Arial"/>
          <w:sz w:val="16"/>
          <w:szCs w:val="16"/>
          <w:color w:val="000000"/>
        </w:rPr>
        <w:t>representative of current management. Given the global reach and broad array of the types of businesses operated by Dover, the Governance and Nominating Committee highly values director nominees with multi-industry and multi-geographic experience.</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Director Nomination Process</w:t>
      </w:r>
    </w:p>
    <w:p>
      <w:pPr>
        <w:spacing w:after="0" w:line="117"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Whenever the Governance and Nominating Committee concludes that a new nominee to our Board is required or advisable, it will consider recommendations from directors, management, shareholders and, if it deems appropriate, consultants retained for that purpose. In such circumstances, it will evaluate individuals recommended by shareholders in the same manner as nominees recommended from other sources.</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Shareholder Nominations for Director</w:t>
      </w:r>
    </w:p>
    <w:p>
      <w:pPr>
        <w:spacing w:after="0" w:line="86"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Shareholders who wish to recommend an individual for nomination should send that person’s name and supporting information to the Governance and Nominating Committee, in care of the Corporate Secretary at our principal executive offices, 3005 Highland Parkway, Downers Grove, Illinois, 60515, or through our communications coordinator. Shareholders who wish to directly nominate an individual for election as a director, without going through the Governance and Nominating Committee, must comply with the procedures in our by-laws. Please see “</w:t>
      </w:r>
      <w:r>
        <w:rPr>
          <w:rFonts w:ascii="Arial" w:cs="Arial" w:eastAsia="Arial" w:hAnsi="Arial"/>
          <w:sz w:val="16"/>
          <w:szCs w:val="16"/>
          <w:i w:val="1"/>
          <w:iCs w:val="1"/>
          <w:color w:val="auto"/>
        </w:rPr>
        <w:t>General Information About the Annual Meeting”</w:t>
      </w:r>
      <w:r>
        <w:rPr>
          <w:rFonts w:ascii="Arial" w:cs="Arial" w:eastAsia="Arial" w:hAnsi="Arial"/>
          <w:sz w:val="16"/>
          <w:szCs w:val="16"/>
          <w:color w:val="auto"/>
        </w:rPr>
        <w:t xml:space="preserve"> for nomination deadlines.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Proxy Access Shareholder Right</w:t>
      </w:r>
    </w:p>
    <w:p>
      <w:pPr>
        <w:spacing w:after="0" w:line="86" w:lineRule="exact"/>
        <w:rPr>
          <w:sz w:val="20"/>
          <w:szCs w:val="20"/>
          <w:color w:val="auto"/>
        </w:rPr>
      </w:pPr>
    </w:p>
    <w:p>
      <w:pPr>
        <w:jc w:val="both"/>
        <w:ind w:left="160" w:right="20"/>
        <w:spacing w:after="0" w:line="250" w:lineRule="auto"/>
        <w:rPr>
          <w:sz w:val="20"/>
          <w:szCs w:val="20"/>
          <w:color w:val="auto"/>
        </w:rPr>
      </w:pPr>
      <w:r>
        <w:rPr>
          <w:rFonts w:ascii="Arial" w:cs="Arial" w:eastAsia="Arial" w:hAnsi="Arial"/>
          <w:sz w:val="16"/>
          <w:szCs w:val="16"/>
          <w:color w:val="auto"/>
        </w:rPr>
        <w:t>Following extensive engagement with our shareholders, our Board determined to adopt proxy access in February 2016, permitting a shareholder or group of up to 20 shareholders holding 3% of our outstanding shares of common stock for at least three years to nominate a number of directors constituting the greater of two directors or 20% of the number of directors on our Board, as set forth in detail in our by-laws.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12</w:t>
      </w:r>
    </w:p>
    <w:p>
      <w:pPr>
        <w:sectPr>
          <w:pgSz w:w="11900" w:h="16838" w:orient="portrait"/>
          <w:cols w:equalWidth="0" w:num="1">
            <w:col w:w="11080"/>
          </w:cols>
          <w:pgMar w:left="320" w:top="456"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2022 Director Nominees</w:t>
      </w:r>
    </w:p>
    <w:p>
      <w:pPr>
        <w:spacing w:after="0" w:line="144"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There are ten nominees for election to our Board at this Annual Meeting, each to serve until the next annual meeting of shareholders or his or her earlier removal, resignation or retirement. All of the nominees currently serve on our Board and are being proposed for re-election by our Board.</w:t>
      </w:r>
    </w:p>
    <w:p>
      <w:pPr>
        <w:spacing w:after="0" w:line="169" w:lineRule="exact"/>
        <w:rPr>
          <w:sz w:val="20"/>
          <w:szCs w:val="20"/>
          <w:color w:val="auto"/>
        </w:rPr>
      </w:pPr>
    </w:p>
    <w:p>
      <w:pPr>
        <w:jc w:val="both"/>
        <w:ind w:left="160" w:right="220"/>
        <w:spacing w:after="0" w:line="250" w:lineRule="auto"/>
        <w:rPr>
          <w:sz w:val="20"/>
          <w:szCs w:val="20"/>
          <w:color w:val="auto"/>
        </w:rPr>
      </w:pPr>
      <w:r>
        <w:rPr>
          <w:rFonts w:ascii="Arial" w:cs="Arial" w:eastAsia="Arial" w:hAnsi="Arial"/>
          <w:sz w:val="16"/>
          <w:szCs w:val="16"/>
          <w:color w:val="auto"/>
        </w:rPr>
        <w:t>If any nominee for election becomes unavailable or unwilling to serve as a director before the Annual Meeting, an event which we do not anticipate, the persons named as proxies will vote for a substitute nominee or nominees as may be designated by our Board, or the Board may reduce the number of directors. Directors will be elected by a majority of the votes cast in connection with their election.</w:t>
      </w:r>
    </w:p>
    <w:p>
      <w:pPr>
        <w:spacing w:after="0" w:line="176" w:lineRule="exact"/>
        <w:rPr>
          <w:sz w:val="20"/>
          <w:szCs w:val="20"/>
          <w:color w:val="auto"/>
        </w:rPr>
      </w:pPr>
    </w:p>
    <w:p>
      <w:pPr>
        <w:ind w:left="1820"/>
        <w:spacing w:after="0"/>
        <w:rPr>
          <w:sz w:val="20"/>
          <w:szCs w:val="20"/>
          <w:color w:val="auto"/>
        </w:rPr>
      </w:pPr>
      <w:r>
        <w:rPr>
          <w:rFonts w:ascii="Arial" w:cs="Arial" w:eastAsia="Arial" w:hAnsi="Arial"/>
          <w:sz w:val="18"/>
          <w:szCs w:val="18"/>
          <w:b w:val="1"/>
          <w:bCs w:val="1"/>
          <w:i w:val="1"/>
          <w:iCs w:val="1"/>
          <w:color w:val="021496"/>
        </w:rPr>
        <w:t>Deborah L. DeHaas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384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9755" cy="1384300"/>
                    </a:xfrm>
                    <a:prstGeom prst="rect">
                      <a:avLst/>
                    </a:prstGeom>
                    <a:noFill/>
                  </pic:spPr>
                </pic:pic>
              </a:graphicData>
            </a:graphic>
          </wp:anchor>
        </w:drawing>
      </w:r>
    </w:p>
    <w:p>
      <w:pPr>
        <w:spacing w:after="0" w:line="299"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Independent Director Nominee</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Director since: 2021</w:t>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Age: 62</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Committees: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600" w:right="40" w:hanging="433"/>
        <w:spacing w:after="0" w:line="256"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Significant leadership, financial and corporate governance expertise garnered from her nearly 40 years of experience at major audit, assurance and consulting firms</w:t>
      </w:r>
    </w:p>
    <w:p>
      <w:pPr>
        <w:spacing w:after="0" w:line="62" w:lineRule="exact"/>
        <w:rPr>
          <w:rFonts w:ascii="Arial" w:cs="Arial" w:eastAsia="Arial" w:hAnsi="Arial"/>
          <w:sz w:val="16"/>
          <w:szCs w:val="16"/>
          <w:color w:val="auto"/>
        </w:rPr>
      </w:pPr>
    </w:p>
    <w:p>
      <w:pPr>
        <w:ind w:left="600" w:hanging="433"/>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Certified public accountant (“CPA”) and has extensive experience with financial, accounting, internal controls, and enterprise risk management</w:t>
      </w:r>
    </w:p>
    <w:p>
      <w:pPr>
        <w:spacing w:after="0" w:line="83" w:lineRule="exact"/>
        <w:rPr>
          <w:rFonts w:ascii="Arial" w:cs="Arial" w:eastAsia="Arial" w:hAnsi="Arial"/>
          <w:sz w:val="16"/>
          <w:szCs w:val="16"/>
          <w:color w:val="auto"/>
        </w:rPr>
      </w:pPr>
    </w:p>
    <w:p>
      <w:pPr>
        <w:ind w:left="600" w:hanging="433"/>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Has deep expertise on governance, both as a topic and discipline, developed during her career at Deloitte</w:t>
      </w:r>
    </w:p>
    <w:p>
      <w:pPr>
        <w:spacing w:after="0" w:line="83" w:lineRule="exact"/>
        <w:rPr>
          <w:rFonts w:ascii="Arial" w:cs="Arial" w:eastAsia="Arial" w:hAnsi="Arial"/>
          <w:sz w:val="16"/>
          <w:szCs w:val="16"/>
          <w:color w:val="auto"/>
        </w:rPr>
      </w:pPr>
    </w:p>
    <w:p>
      <w:pPr>
        <w:ind w:left="600" w:right="20" w:hanging="433"/>
        <w:spacing w:after="0" w:line="256"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a member of the Value Reporting Foundation Board (formerly the SASB Foundation Board), contributes valuable and well-informed insights on a variety of ESG matters</w:t>
      </w:r>
    </w:p>
    <w:p>
      <w:pPr>
        <w:spacing w:after="0" w:line="62" w:lineRule="exact"/>
        <w:rPr>
          <w:rFonts w:ascii="Arial" w:cs="Arial" w:eastAsia="Arial" w:hAnsi="Arial"/>
          <w:sz w:val="16"/>
          <w:szCs w:val="16"/>
          <w:color w:val="auto"/>
        </w:rPr>
      </w:pPr>
    </w:p>
    <w:p>
      <w:pPr>
        <w:ind w:left="600" w:hanging="433"/>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Brings relevant public company board service, serving on the board of CF Industries Holdings, Inc.</w:t>
      </w:r>
    </w:p>
    <w:p>
      <w:pPr>
        <w:spacing w:after="0" w:line="83" w:lineRule="exact"/>
        <w:rPr>
          <w:rFonts w:ascii="Arial" w:cs="Arial" w:eastAsia="Arial" w:hAnsi="Arial"/>
          <w:sz w:val="16"/>
          <w:szCs w:val="16"/>
          <w:color w:val="auto"/>
        </w:rPr>
      </w:pPr>
    </w:p>
    <w:p>
      <w:pPr>
        <w:ind w:left="600" w:hanging="433"/>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Brings experience and perspective on matters regarding human capital and culture, including diversity and inclusion</w:t>
      </w:r>
    </w:p>
    <w:p>
      <w:pPr>
        <w:spacing w:after="0" w:line="83" w:lineRule="exact"/>
        <w:rPr>
          <w:rFonts w:ascii="Arial" w:cs="Arial" w:eastAsia="Arial" w:hAnsi="Arial"/>
          <w:sz w:val="16"/>
          <w:szCs w:val="16"/>
          <w:color w:val="auto"/>
        </w:rPr>
      </w:pPr>
    </w:p>
    <w:p>
      <w:pPr>
        <w:ind w:left="600" w:hanging="433"/>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Holds a bachelor’s degree in management science and accounting from Duke University</w:t>
      </w:r>
    </w:p>
    <w:p>
      <w:pPr>
        <w:spacing w:after="0" w:line="83" w:lineRule="exact"/>
        <w:rPr>
          <w:rFonts w:ascii="Arial" w:cs="Arial" w:eastAsia="Arial" w:hAnsi="Arial"/>
          <w:sz w:val="16"/>
          <w:szCs w:val="16"/>
          <w:color w:val="auto"/>
        </w:rPr>
      </w:pPr>
    </w:p>
    <w:p>
      <w:pPr>
        <w:ind w:left="600" w:right="120" w:hanging="433"/>
        <w:spacing w:after="0" w:line="256"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Included in the National Association of Corporate Directors (“NACD”) Directorship 100 from 2015-2020, recognizing influential leaders in corporate governance and is also an NACD Board Leadership Fellow</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600" w:hanging="433"/>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CEO of the Corporate Leadership Center, a non-profit leadership development forum</w:t>
      </w:r>
    </w:p>
    <w:p>
      <w:pPr>
        <w:spacing w:after="0" w:line="83" w:lineRule="exact"/>
        <w:rPr>
          <w:rFonts w:ascii="Arial" w:cs="Arial" w:eastAsia="Arial" w:hAnsi="Arial"/>
          <w:sz w:val="16"/>
          <w:szCs w:val="16"/>
          <w:color w:val="auto"/>
        </w:rPr>
      </w:pPr>
    </w:p>
    <w:p>
      <w:pPr>
        <w:ind w:left="600" w:hanging="433"/>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Former Vice Chairman and National Managing Partner of the Center for Board Effectiveness at Deloitte</w:t>
      </w:r>
    </w:p>
    <w:p>
      <w:pPr>
        <w:spacing w:after="0" w:line="83" w:lineRule="exact"/>
        <w:rPr>
          <w:rFonts w:ascii="Arial" w:cs="Arial" w:eastAsia="Arial" w:hAnsi="Arial"/>
          <w:sz w:val="16"/>
          <w:szCs w:val="16"/>
          <w:color w:val="auto"/>
        </w:rPr>
      </w:pPr>
    </w:p>
    <w:p>
      <w:pPr>
        <w:ind w:left="1460" w:hanging="423"/>
        <w:spacing w:after="0"/>
        <w:tabs>
          <w:tab w:leader="none" w:pos="1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Former member of the U.S. Executive Committee</w:t>
      </w:r>
    </w:p>
    <w:p>
      <w:pPr>
        <w:spacing w:after="0" w:line="83" w:lineRule="exact"/>
        <w:rPr>
          <w:rFonts w:ascii="Arial" w:cs="Arial" w:eastAsia="Arial" w:hAnsi="Arial"/>
          <w:sz w:val="16"/>
          <w:szCs w:val="16"/>
          <w:color w:val="auto"/>
        </w:rPr>
      </w:pPr>
    </w:p>
    <w:p>
      <w:pPr>
        <w:ind w:left="1460" w:hanging="423"/>
        <w:spacing w:after="0"/>
        <w:tabs>
          <w:tab w:leader="none" w:pos="1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Former Vice Chairman and Chief Inclusion Officer</w:t>
      </w:r>
    </w:p>
    <w:p>
      <w:pPr>
        <w:spacing w:after="0" w:line="83" w:lineRule="exact"/>
        <w:rPr>
          <w:rFonts w:ascii="Arial" w:cs="Arial" w:eastAsia="Arial" w:hAnsi="Arial"/>
          <w:sz w:val="16"/>
          <w:szCs w:val="16"/>
          <w:color w:val="auto"/>
        </w:rPr>
      </w:pPr>
    </w:p>
    <w:p>
      <w:pPr>
        <w:ind w:left="1460" w:hanging="423"/>
        <w:spacing w:after="0"/>
        <w:tabs>
          <w:tab w:leader="none" w:pos="1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Former member of the U.S. Board of Directors</w:t>
      </w:r>
    </w:p>
    <w:p>
      <w:pPr>
        <w:spacing w:after="0" w:line="83" w:lineRule="exact"/>
        <w:rPr>
          <w:rFonts w:ascii="Arial" w:cs="Arial" w:eastAsia="Arial" w:hAnsi="Arial"/>
          <w:sz w:val="16"/>
          <w:szCs w:val="16"/>
          <w:color w:val="auto"/>
        </w:rPr>
      </w:pPr>
    </w:p>
    <w:p>
      <w:pPr>
        <w:ind w:left="1460" w:hanging="423"/>
        <w:spacing w:after="0"/>
        <w:tabs>
          <w:tab w:leader="none" w:pos="1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Former Vice Chairman and Central Region Managing Partner</w:t>
      </w:r>
    </w:p>
    <w:p>
      <w:pPr>
        <w:spacing w:after="0" w:line="83" w:lineRule="exact"/>
        <w:rPr>
          <w:rFonts w:ascii="Arial" w:cs="Arial" w:eastAsia="Arial" w:hAnsi="Arial"/>
          <w:sz w:val="16"/>
          <w:szCs w:val="16"/>
          <w:color w:val="auto"/>
        </w:rPr>
      </w:pPr>
    </w:p>
    <w:p>
      <w:pPr>
        <w:ind w:left="1460" w:hanging="423"/>
        <w:spacing w:after="0"/>
        <w:tabs>
          <w:tab w:leader="none" w:pos="1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Former Vice Chairman and Midwest Regional Managing Partner</w:t>
      </w:r>
    </w:p>
    <w:p>
      <w:pPr>
        <w:spacing w:after="0" w:line="83" w:lineRule="exact"/>
        <w:rPr>
          <w:rFonts w:ascii="Arial" w:cs="Arial" w:eastAsia="Arial" w:hAnsi="Arial"/>
          <w:sz w:val="16"/>
          <w:szCs w:val="16"/>
          <w:color w:val="auto"/>
        </w:rPr>
      </w:pPr>
    </w:p>
    <w:p>
      <w:pPr>
        <w:ind w:left="1460" w:hanging="423"/>
        <w:spacing w:after="0"/>
        <w:tabs>
          <w:tab w:leader="none" w:pos="1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Former Regional Managing Partner, Strategic Clients</w:t>
      </w:r>
    </w:p>
    <w:p>
      <w:pPr>
        <w:spacing w:after="0" w:line="83" w:lineRule="exact"/>
        <w:rPr>
          <w:rFonts w:ascii="Arial" w:cs="Arial" w:eastAsia="Arial" w:hAnsi="Arial"/>
          <w:sz w:val="16"/>
          <w:szCs w:val="16"/>
          <w:color w:val="auto"/>
        </w:rPr>
      </w:pPr>
    </w:p>
    <w:p>
      <w:pPr>
        <w:ind w:left="600" w:right="300" w:hanging="433"/>
        <w:spacing w:after="0" w:line="256"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Former positions of increasing responsibility at Arthur Andersen, an audit, financial advisory, tax and consulting firm, most recently as Managing Partner &amp; Business Advisory Assurance, Central Region</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600" w:hanging="433"/>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CF Industries Holdings, Inc.</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13</w:t>
      </w:r>
    </w:p>
    <w:p>
      <w:pPr>
        <w:sectPr>
          <w:pgSz w:w="11900" w:h="16838" w:orient="portrait"/>
          <w:cols w:equalWidth="0" w:num="1">
            <w:col w:w="11080"/>
          </w:cols>
          <w:pgMar w:left="320" w:top="456"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6" w:lineRule="exact"/>
        <w:rPr>
          <w:sz w:val="20"/>
          <w:szCs w:val="20"/>
          <w:color w:val="auto"/>
        </w:rPr>
      </w:pPr>
    </w:p>
    <w:p>
      <w:pPr>
        <w:ind w:left="1820"/>
        <w:spacing w:after="0"/>
        <w:rPr>
          <w:sz w:val="20"/>
          <w:szCs w:val="20"/>
          <w:color w:val="auto"/>
        </w:rPr>
      </w:pPr>
      <w:r>
        <w:rPr>
          <w:rFonts w:ascii="Arial" w:cs="Arial" w:eastAsia="Arial" w:hAnsi="Arial"/>
          <w:sz w:val="18"/>
          <w:szCs w:val="18"/>
          <w:b w:val="1"/>
          <w:bCs w:val="1"/>
          <w:i w:val="1"/>
          <w:iCs w:val="1"/>
          <w:color w:val="021496"/>
        </w:rPr>
        <w:t>H. John Gilbertson,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3843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1384300"/>
                    </a:xfrm>
                    <a:prstGeom prst="rect">
                      <a:avLst/>
                    </a:prstGeom>
                    <a:noFill/>
                  </pic:spPr>
                </pic:pic>
              </a:graphicData>
            </a:graphic>
          </wp:anchor>
        </w:drawing>
      </w:r>
    </w:p>
    <w:p>
      <w:pPr>
        <w:spacing w:after="0" w:line="299"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Independent Director Nominee</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Director since: 2018</w:t>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Age: 65</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Committees:  Audit,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hanging="313"/>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Extensive experience in corporate finance, capital markets, and mergers and acquisitions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Served as a strategic and financial advisor to his clients, forming deep relationships with companies in a range of industries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Has nearly four decades of experience in the professional and financial services industry</w:t>
      </w:r>
    </w:p>
    <w:p>
      <w:pPr>
        <w:spacing w:after="0" w:line="83" w:lineRule="exact"/>
        <w:rPr>
          <w:rFonts w:ascii="Arial" w:cs="Arial" w:eastAsia="Arial" w:hAnsi="Arial"/>
          <w:sz w:val="16"/>
          <w:szCs w:val="16"/>
          <w:color w:val="auto"/>
        </w:rPr>
      </w:pPr>
    </w:p>
    <w:p>
      <w:pPr>
        <w:ind w:left="480" w:right="280" w:hanging="313"/>
        <w:spacing w:after="0" w:line="256"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Deep expertise in financial management, coupled with his analytical and collaborative mindset, allows him to make invaluable contributions to our Board</w:t>
      </w:r>
    </w:p>
    <w:p>
      <w:pPr>
        <w:spacing w:after="0" w:line="62" w:lineRule="exact"/>
        <w:rPr>
          <w:rFonts w:ascii="Arial" w:cs="Arial" w:eastAsia="Arial" w:hAnsi="Arial"/>
          <w:sz w:val="16"/>
          <w:szCs w:val="16"/>
          <w:color w:val="auto"/>
        </w:rPr>
      </w:pPr>
    </w:p>
    <w:p>
      <w:pPr>
        <w:ind w:left="480" w:hanging="313"/>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Strong background in senior leadership development, succession planning, and organizational culture development</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Brings to the Board considerable expertise in financial risk oversight and capital allocation</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Bachelor’s degree in political economy from Dartmouth College and an MBA from Harvard University</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hanging="313"/>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Retired Managing Director at Goldman Sachs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Served as Advisory Director and Partner-in-Charge, Midwest Region Investment Banking Services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Served as Managing Director at Travelers Group Inc.</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Former Associate, Mergers and Acquisitions at Morgan Stanley</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Former Consultant, Corporate Strategy at Bain &amp; Company</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Former Assistant Treasurer, Corporate Banking at Chase Manhattan Bank</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Former News Reporter at The Providence Journal Company</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hanging="313"/>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Director and Chair of Audit Committee of Meijer, Inc. (“Meijer”)</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Director of AAR Corp.</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14</w:t>
      </w:r>
    </w:p>
    <w:p>
      <w:pPr>
        <w:sectPr>
          <w:pgSz w:w="11900" w:h="16838" w:orient="portrait"/>
          <w:cols w:equalWidth="0" w:num="1">
            <w:col w:w="11080"/>
          </w:cols>
          <w:pgMar w:left="320" w:top="45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6" w:lineRule="exact"/>
        <w:rPr>
          <w:sz w:val="20"/>
          <w:szCs w:val="20"/>
          <w:color w:val="auto"/>
        </w:rPr>
      </w:pPr>
    </w:p>
    <w:p>
      <w:pPr>
        <w:ind w:left="1720"/>
        <w:spacing w:after="0"/>
        <w:rPr>
          <w:sz w:val="20"/>
          <w:szCs w:val="20"/>
          <w:color w:val="auto"/>
        </w:rPr>
      </w:pPr>
      <w:r>
        <w:rPr>
          <w:rFonts w:ascii="Arial" w:cs="Arial" w:eastAsia="Arial" w:hAnsi="Arial"/>
          <w:sz w:val="18"/>
          <w:szCs w:val="18"/>
          <w:b w:val="1"/>
          <w:bCs w:val="1"/>
          <w:i w:val="1"/>
          <w:iCs w:val="1"/>
          <w:color w:val="021496"/>
        </w:rPr>
        <w:t>Kristiane C.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29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9755" cy="1290955"/>
                    </a:xfrm>
                    <a:prstGeom prst="rect">
                      <a:avLst/>
                    </a:prstGeom>
                    <a:noFill/>
                  </pic:spPr>
                </pic:pic>
              </a:graphicData>
            </a:graphic>
          </wp:anchor>
        </w:drawing>
      </w:r>
    </w:p>
    <w:p>
      <w:pPr>
        <w:spacing w:after="0" w:line="326"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Independent Director Nominee</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Director since: 1999</w:t>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Age: 64</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Committees:  Compensation, Governance and Nominating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right="340" w:hanging="313"/>
        <w:spacing w:after="0" w:line="256"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Experience as a private investor with substantial holdings of Dover stock and her shared interests in Dover, including interests through charitable organizations of which she is a director, makes her a good surrogate for our individual and retail investors</w:t>
      </w:r>
    </w:p>
    <w:p>
      <w:pPr>
        <w:spacing w:after="0" w:line="62" w:lineRule="exact"/>
        <w:rPr>
          <w:rFonts w:ascii="Arial" w:cs="Arial" w:eastAsia="Arial" w:hAnsi="Arial"/>
          <w:sz w:val="16"/>
          <w:szCs w:val="16"/>
          <w:color w:val="auto"/>
        </w:rPr>
      </w:pPr>
    </w:p>
    <w:p>
      <w:pPr>
        <w:ind w:left="480" w:right="80" w:hanging="313"/>
        <w:spacing w:after="0" w:line="256"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Experience with a commercial bank, primarily as a loan officer; founded and operated an advisory company and a publication regarding international thoroughbred racing and now co-manages her family’s investments</w:t>
      </w:r>
    </w:p>
    <w:p>
      <w:pPr>
        <w:spacing w:after="0" w:line="62" w:lineRule="exact"/>
        <w:rPr>
          <w:rFonts w:ascii="Arial" w:cs="Arial" w:eastAsia="Arial" w:hAnsi="Arial"/>
          <w:sz w:val="16"/>
          <w:szCs w:val="16"/>
          <w:color w:val="auto"/>
        </w:rPr>
      </w:pPr>
    </w:p>
    <w:p>
      <w:pPr>
        <w:ind w:left="480" w:right="600" w:hanging="313"/>
        <w:spacing w:after="0" w:line="256"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Actively works with and has served on the boards of various organizations to support the objectives of local communities, affordable housing, education, and health</w:t>
      </w:r>
    </w:p>
    <w:p>
      <w:pPr>
        <w:spacing w:after="0" w:line="62" w:lineRule="exact"/>
        <w:rPr>
          <w:rFonts w:ascii="Arial" w:cs="Arial" w:eastAsia="Arial" w:hAnsi="Arial"/>
          <w:sz w:val="16"/>
          <w:szCs w:val="16"/>
          <w:color w:val="auto"/>
        </w:rPr>
      </w:pPr>
    </w:p>
    <w:p>
      <w:pPr>
        <w:ind w:left="480" w:hanging="313"/>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Currently serves on the Board of Directors for the Walter N. Ridley Scholarship Fund at the University of Virginia</w:t>
      </w:r>
    </w:p>
    <w:p>
      <w:pPr>
        <w:spacing w:after="0" w:line="83" w:lineRule="exact"/>
        <w:rPr>
          <w:rFonts w:ascii="Arial" w:cs="Arial" w:eastAsia="Arial" w:hAnsi="Arial"/>
          <w:sz w:val="16"/>
          <w:szCs w:val="16"/>
          <w:color w:val="auto"/>
        </w:rPr>
      </w:pPr>
    </w:p>
    <w:p>
      <w:pPr>
        <w:ind w:left="480" w:right="600" w:hanging="313"/>
        <w:spacing w:after="0" w:line="256"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Serves as an Emeritus Trustee of the College Foundation of the University of Virginia and has previously served on the Advisory Board of the University of Virginia School of Nursing</w:t>
      </w:r>
    </w:p>
    <w:p>
      <w:pPr>
        <w:spacing w:after="0" w:line="62" w:lineRule="exact"/>
        <w:rPr>
          <w:rFonts w:ascii="Arial" w:cs="Arial" w:eastAsia="Arial" w:hAnsi="Arial"/>
          <w:sz w:val="16"/>
          <w:szCs w:val="16"/>
          <w:color w:val="auto"/>
        </w:rPr>
      </w:pPr>
    </w:p>
    <w:p>
      <w:pPr>
        <w:ind w:left="480" w:right="360" w:hanging="313"/>
        <w:spacing w:after="0" w:line="256"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Brings valuable insights on the development of our policies and strategies relating to talent, leadership, and culture, with a focus on diversity and inclusion</w:t>
      </w:r>
    </w:p>
    <w:p>
      <w:pPr>
        <w:spacing w:after="0" w:line="62" w:lineRule="exact"/>
        <w:rPr>
          <w:rFonts w:ascii="Arial" w:cs="Arial" w:eastAsia="Arial" w:hAnsi="Arial"/>
          <w:sz w:val="16"/>
          <w:szCs w:val="16"/>
          <w:color w:val="auto"/>
        </w:rPr>
      </w:pPr>
    </w:p>
    <w:p>
      <w:pPr>
        <w:ind w:left="480" w:right="300" w:hanging="313"/>
        <w:spacing w:after="0" w:line="256"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Devoted substantial time to monitoring the development of Dover operating company leaders, enabling her to provide the Board valuable insights regarding management succession</w:t>
      </w:r>
    </w:p>
    <w:p>
      <w:pPr>
        <w:spacing w:after="0" w:line="62" w:lineRule="exact"/>
        <w:rPr>
          <w:rFonts w:ascii="Arial" w:cs="Arial" w:eastAsia="Arial" w:hAnsi="Arial"/>
          <w:sz w:val="16"/>
          <w:szCs w:val="16"/>
          <w:color w:val="auto"/>
        </w:rPr>
      </w:pPr>
    </w:p>
    <w:p>
      <w:pPr>
        <w:ind w:left="480" w:hanging="313"/>
        <w:spacing w:after="0" w:line="256"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a member of one of the founding families of Dover, Ms. Graham also brings to the Board a sense of Dover’s historical values, culture and strategic vision which the Board believes is beneficial as it considers various strategic planning alternatives for shaping Dover’s future</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hanging="313"/>
        <w:spacing w:after="0"/>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Private Investor</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15</w:t>
      </w:r>
    </w:p>
    <w:p>
      <w:pPr>
        <w:sectPr>
          <w:pgSz w:w="11900" w:h="16838" w:orient="portrait"/>
          <w:cols w:equalWidth="0" w:num="1">
            <w:col w:w="11080"/>
          </w:cols>
          <w:pgMar w:left="320" w:top="456"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6" w:lineRule="exact"/>
        <w:rPr>
          <w:sz w:val="20"/>
          <w:szCs w:val="20"/>
          <w:color w:val="auto"/>
        </w:rPr>
      </w:pPr>
    </w:p>
    <w:p>
      <w:pPr>
        <w:ind w:left="1720"/>
        <w:spacing w:after="0"/>
        <w:rPr>
          <w:sz w:val="20"/>
          <w:szCs w:val="20"/>
          <w:color w:val="auto"/>
        </w:rPr>
      </w:pPr>
      <w:r>
        <w:rPr>
          <w:rFonts w:ascii="Arial" w:cs="Arial" w:eastAsia="Arial" w:hAnsi="Arial"/>
          <w:sz w:val="18"/>
          <w:szCs w:val="18"/>
          <w:b w:val="1"/>
          <w:bCs w:val="1"/>
          <w:i w:val="1"/>
          <w:iCs w:val="1"/>
          <w:color w:val="021496"/>
        </w:rPr>
        <w:t>Michael F.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29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1290955"/>
                    </a:xfrm>
                    <a:prstGeom prst="rect">
                      <a:avLst/>
                    </a:prstGeom>
                    <a:noFill/>
                  </pic:spPr>
                </pic:pic>
              </a:graphicData>
            </a:graphic>
          </wp:anchor>
        </w:drawing>
      </w:r>
    </w:p>
    <w:p>
      <w:pPr>
        <w:spacing w:after="0" w:line="286"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Independent Board Chair; Independent Director Nominee</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Director since: 2013</w:t>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Age: 74</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Committees:  Compensation, Governance and Nominating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hanging="31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Brings industry insight, financial expertise and leadership experience garnered from his 17 years on the boards of global companies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Served as CEO of an $18 billion global manufacturer</w:t>
      </w:r>
    </w:p>
    <w:p>
      <w:pPr>
        <w:spacing w:after="0" w:line="83" w:lineRule="exact"/>
        <w:rPr>
          <w:rFonts w:ascii="Arial" w:cs="Arial" w:eastAsia="Arial" w:hAnsi="Arial"/>
          <w:sz w:val="16"/>
          <w:szCs w:val="16"/>
          <w:color w:val="auto"/>
        </w:rPr>
      </w:pPr>
    </w:p>
    <w:p>
      <w:pPr>
        <w:ind w:left="480" w:right="320" w:hanging="313"/>
        <w:spacing w:after="0" w:line="256" w:lineRule="auto"/>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Johnston also brings valuable corporate governance perspectives from his prior board service, including as a lead Director and Chair of other major public companies</w:t>
      </w:r>
    </w:p>
    <w:p>
      <w:pPr>
        <w:spacing w:after="0" w:line="62" w:lineRule="exact"/>
        <w:rPr>
          <w:rFonts w:ascii="Arial" w:cs="Arial" w:eastAsia="Arial" w:hAnsi="Arial"/>
          <w:sz w:val="16"/>
          <w:szCs w:val="16"/>
          <w:color w:val="auto"/>
        </w:rPr>
      </w:pPr>
    </w:p>
    <w:p>
      <w:pPr>
        <w:ind w:left="480" w:right="320" w:hanging="313"/>
        <w:spacing w:after="0" w:line="256" w:lineRule="auto"/>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Brings deep operations experience has helped him gain knowledge and a deep understanding in manufacturing, design, innovation, engineering, accounting and finance and capital structure</w:t>
      </w:r>
    </w:p>
    <w:p>
      <w:pPr>
        <w:spacing w:after="0" w:line="62" w:lineRule="exact"/>
        <w:rPr>
          <w:rFonts w:ascii="Arial" w:cs="Arial" w:eastAsia="Arial" w:hAnsi="Arial"/>
          <w:sz w:val="16"/>
          <w:szCs w:val="16"/>
          <w:color w:val="auto"/>
        </w:rPr>
      </w:pPr>
    </w:p>
    <w:p>
      <w:pPr>
        <w:ind w:left="480" w:hanging="31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Brings nearly two decades of experience in building businesses in emerging economies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Bachelor’s degree in industrial management from the University of Massachusetts and an MBA from Michigan State University</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hanging="31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Former CEO and President of Visteon Corporation (“Visteon”)</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Former Chief Operating Officer of Visteon</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Former President of North America/Asia Pacific, Automotive Systems Group, of Johnson Controls, Inc. (“Johnson Controls”)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Former President of Americas Automotive Group of Johnson Controls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hanging="31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Director of Armstrong Flooring, Inc.</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Former Chairman and Director of Visteon</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Former Director of Armstrong World Industries, Flowserve Corporation, and Whirlpool Corporation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16</w:t>
      </w:r>
    </w:p>
    <w:p>
      <w:pPr>
        <w:sectPr>
          <w:pgSz w:w="11900" w:h="16838" w:orient="portrait"/>
          <w:cols w:equalWidth="0" w:num="1">
            <w:col w:w="11080"/>
          </w:cols>
          <w:pgMar w:left="320" w:top="45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021496"/>
        </w:rPr>
        <w:t>Eric A.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1887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29755" cy="1188720"/>
                    </a:xfrm>
                    <a:prstGeom prst="rect">
                      <a:avLst/>
                    </a:prstGeom>
                    <a:noFill/>
                  </pic:spPr>
                </pic:pic>
              </a:graphicData>
            </a:graphic>
          </wp:anchor>
        </w:drawing>
      </w:r>
    </w:p>
    <w:p>
      <w:pPr>
        <w:spacing w:after="0" w:line="326"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Independent Director Nominee</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Director since: 2017</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Age: 64</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 xml:space="preserve">Committees:  Audit, Finance </w:t>
      </w:r>
      <w:r>
        <w:rPr>
          <w:rFonts w:ascii="Arial" w:cs="Arial" w:eastAsia="Arial" w:hAnsi="Arial"/>
          <w:sz w:val="16"/>
          <w:szCs w:val="16"/>
          <w:b w:val="1"/>
          <w:bCs w:val="1"/>
          <w:i w:val="1"/>
          <w:iCs w:val="1"/>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right="700" w:hanging="313"/>
        <w:spacing w:after="0" w:line="256" w:lineRule="auto"/>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Experienced business leader with diversified, global experience who brings deep and valuable expertise in strategy development, corporate restructuring, portfolio management and M&amp;A to our Board</w:t>
      </w:r>
    </w:p>
    <w:p>
      <w:pPr>
        <w:spacing w:after="0" w:line="62" w:lineRule="exact"/>
        <w:rPr>
          <w:rFonts w:ascii="Arial" w:cs="Arial" w:eastAsia="Arial" w:hAnsi="Arial"/>
          <w:sz w:val="16"/>
          <w:szCs w:val="16"/>
          <w:color w:val="auto"/>
        </w:rPr>
      </w:pPr>
    </w:p>
    <w:p>
      <w:pPr>
        <w:ind w:left="480" w:hanging="313"/>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40+ years of experience working with large, global companies in the energy and industrial markets, mostly recently as President &amp; CEO of Siemens</w:t>
      </w:r>
    </w:p>
    <w:p>
      <w:pPr>
        <w:spacing w:after="0" w:line="3"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USA</w:t>
      </w:r>
    </w:p>
    <w:p>
      <w:pPr>
        <w:spacing w:after="0" w:line="83" w:lineRule="exact"/>
        <w:rPr>
          <w:rFonts w:ascii="Arial" w:cs="Arial" w:eastAsia="Arial" w:hAnsi="Arial"/>
          <w:sz w:val="16"/>
          <w:szCs w:val="16"/>
          <w:color w:val="auto"/>
        </w:rPr>
      </w:pPr>
    </w:p>
    <w:p>
      <w:pPr>
        <w:ind w:left="480" w:right="260" w:hanging="313"/>
        <w:spacing w:after="0" w:line="256" w:lineRule="auto"/>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 Siemens, he led strategic reviews across a portfolio of ~45 businesses in the company’s largest market with over $22 billion in revenue, 50,000 employees and over 60 manufacturing facilities</w:t>
      </w:r>
    </w:p>
    <w:p>
      <w:pPr>
        <w:spacing w:after="0" w:line="62" w:lineRule="exact"/>
        <w:rPr>
          <w:rFonts w:ascii="Arial" w:cs="Arial" w:eastAsia="Arial" w:hAnsi="Arial"/>
          <w:sz w:val="16"/>
          <w:szCs w:val="16"/>
          <w:color w:val="auto"/>
        </w:rPr>
      </w:pPr>
    </w:p>
    <w:p>
      <w:pPr>
        <w:ind w:left="480" w:hanging="313"/>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Led the acquisition, divestiture, joint venture and carve-out of over 30 business units and segments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Executed Siemens’ “Vision 2020” initiative to optimize growth and margins in the U.S., across all sectors</w:t>
      </w:r>
    </w:p>
    <w:p>
      <w:pPr>
        <w:spacing w:after="0" w:line="83" w:lineRule="exact"/>
        <w:rPr>
          <w:rFonts w:ascii="Arial" w:cs="Arial" w:eastAsia="Arial" w:hAnsi="Arial"/>
          <w:sz w:val="16"/>
          <w:szCs w:val="16"/>
          <w:color w:val="auto"/>
        </w:rPr>
      </w:pPr>
    </w:p>
    <w:p>
      <w:pPr>
        <w:ind w:left="480" w:right="420" w:hanging="313"/>
        <w:spacing w:after="0" w:line="256" w:lineRule="auto"/>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Prior to Siemens, Mr. Spiegel was a global consultant at Booz Allen Hamilton focused on complex organizations in the energy, power, chemical, water, industrial and automotive fields</w:t>
      </w:r>
    </w:p>
    <w:p>
      <w:pPr>
        <w:spacing w:after="0" w:line="62" w:lineRule="exact"/>
        <w:rPr>
          <w:rFonts w:ascii="Arial" w:cs="Arial" w:eastAsia="Arial" w:hAnsi="Arial"/>
          <w:sz w:val="16"/>
          <w:szCs w:val="16"/>
          <w:color w:val="auto"/>
        </w:rPr>
      </w:pPr>
    </w:p>
    <w:p>
      <w:pPr>
        <w:ind w:left="480" w:right="160" w:hanging="313"/>
        <w:spacing w:after="0" w:line="256" w:lineRule="auto"/>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 Booz, he worked with major energy clients globally on projects around corporate strategy, M&amp;A, major capital projects, cost restructuring, margin enhancement and supply chain re-design and was also closely involved with the government sector</w:t>
      </w:r>
    </w:p>
    <w:p>
      <w:pPr>
        <w:spacing w:after="0" w:line="62" w:lineRule="exact"/>
        <w:rPr>
          <w:rFonts w:ascii="Arial" w:cs="Arial" w:eastAsia="Arial" w:hAnsi="Arial"/>
          <w:sz w:val="16"/>
          <w:szCs w:val="16"/>
          <w:color w:val="auto"/>
        </w:rPr>
      </w:pPr>
    </w:p>
    <w:p>
      <w:pPr>
        <w:ind w:left="480" w:hanging="313"/>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expert on the global energy industry, Mr. Spiegel co-authored the book Energy Shift: Game-changing Options for Fueling the Future</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Holds a bachelor’s degree in economics from Harvard University and an MBA from the Tuck School of Business at Dartmouth College</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right="400" w:hanging="313"/>
        <w:spacing w:after="0" w:line="256" w:lineRule="auto"/>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Special Advisor at Brighton Park Capital, a private equity firm, where he supports the firm’s sector investment teams and portfolio companies by providing strategic counsel on industry trends and growth strategies</w:t>
      </w:r>
    </w:p>
    <w:p>
      <w:pPr>
        <w:spacing w:after="0" w:line="62" w:lineRule="exact"/>
        <w:rPr>
          <w:rFonts w:ascii="Arial" w:cs="Arial" w:eastAsia="Arial" w:hAnsi="Arial"/>
          <w:sz w:val="16"/>
          <w:szCs w:val="16"/>
          <w:color w:val="auto"/>
        </w:rPr>
      </w:pPr>
    </w:p>
    <w:p>
      <w:pPr>
        <w:ind w:left="480" w:hanging="313"/>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Former President and CEO of Siemens USA</w:t>
      </w:r>
    </w:p>
    <w:p>
      <w:pPr>
        <w:spacing w:after="0" w:line="83" w:lineRule="exact"/>
        <w:rPr>
          <w:rFonts w:ascii="Arial" w:cs="Arial" w:eastAsia="Arial" w:hAnsi="Arial"/>
          <w:sz w:val="16"/>
          <w:szCs w:val="16"/>
          <w:color w:val="auto"/>
        </w:rPr>
      </w:pPr>
    </w:p>
    <w:p>
      <w:pPr>
        <w:ind w:left="480" w:right="640" w:hanging="313"/>
        <w:spacing w:after="0" w:line="256" w:lineRule="auto"/>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Former Managing Partner, Global Energy, Chemicals, and Power, and Managing Partner, Washington, D.C. office, and other roles at Booz &amp; Company, Inc. (now known as Strategy&amp;) and Booz Allen Hamilton, Inc., global consulting firms</w:t>
      </w:r>
    </w:p>
    <w:p>
      <w:pPr>
        <w:spacing w:after="0" w:line="62" w:lineRule="exact"/>
        <w:rPr>
          <w:rFonts w:ascii="Arial" w:cs="Arial" w:eastAsia="Arial" w:hAnsi="Arial"/>
          <w:sz w:val="16"/>
          <w:szCs w:val="16"/>
          <w:color w:val="auto"/>
        </w:rPr>
      </w:pPr>
    </w:p>
    <w:p>
      <w:pPr>
        <w:ind w:left="480" w:hanging="313"/>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Former Associate, Energy and Industrials Practice, at Temple, Barker &amp; Sloane, Inc. (now known as Oliver Wyman)</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Former Marketing and Strategy Manager at Brown Boveri &amp; Cie (now known as ABB), a Swiss group of electrical engineering companies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connection with his position at Brighton Park Capital, Mr. Spiegel serves as Chair of Relatient, Inc.</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hanging="313"/>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Director and Audit Committee Chair of Liberty Mutual Holding Company, Inc.</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Director and Audit Committee Chair of Project Energy Reimagined Acquisition Corp.</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17</w:t>
      </w:r>
    </w:p>
    <w:p>
      <w:pPr>
        <w:sectPr>
          <w:pgSz w:w="11900" w:h="16838" w:orient="portrait"/>
          <w:cols w:equalWidth="0" w:num="1">
            <w:col w:w="11080"/>
          </w:cols>
          <w:pgMar w:left="320" w:top="45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6" w:lineRule="exact"/>
        <w:rPr>
          <w:sz w:val="20"/>
          <w:szCs w:val="20"/>
          <w:color w:val="auto"/>
        </w:rPr>
      </w:pPr>
    </w:p>
    <w:p>
      <w:pPr>
        <w:ind w:left="1880"/>
        <w:spacing w:after="0"/>
        <w:rPr>
          <w:sz w:val="20"/>
          <w:szCs w:val="20"/>
          <w:color w:val="auto"/>
        </w:rPr>
      </w:pPr>
      <w:r>
        <w:rPr>
          <w:rFonts w:ascii="Arial" w:cs="Arial" w:eastAsia="Arial" w:hAnsi="Arial"/>
          <w:sz w:val="18"/>
          <w:szCs w:val="18"/>
          <w:b w:val="1"/>
          <w:bCs w:val="1"/>
          <w:i w:val="1"/>
          <w:iCs w:val="1"/>
          <w:color w:val="021496"/>
        </w:rPr>
        <w:t>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417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29755" cy="1417955"/>
                    </a:xfrm>
                    <a:prstGeom prst="rect">
                      <a:avLst/>
                    </a:prstGeom>
                    <a:noFill/>
                  </pic:spPr>
                </pic:pic>
              </a:graphicData>
            </a:graphic>
          </wp:anchor>
        </w:drawing>
      </w:r>
    </w:p>
    <w:p>
      <w:pPr>
        <w:spacing w:after="0" w:line="313"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Chief Executive Officer</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Director since: 2016</w:t>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Age: 58</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Committees: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right="440" w:hanging="313"/>
        <w:spacing w:after="0" w:line="256" w:lineRule="auto"/>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Tobin is Dover’s current CEO. The Board believes it is desirable to have one active management representative on the Board to facilitate its access to timely and relevant information and its oversight of management’s long-term strategy, planning, and performance</w:t>
      </w:r>
    </w:p>
    <w:p>
      <w:pPr>
        <w:spacing w:after="0" w:line="62" w:lineRule="exact"/>
        <w:rPr>
          <w:rFonts w:ascii="Arial" w:cs="Arial" w:eastAsia="Arial" w:hAnsi="Arial"/>
          <w:sz w:val="16"/>
          <w:szCs w:val="16"/>
          <w:color w:val="auto"/>
        </w:rPr>
      </w:pPr>
    </w:p>
    <w:p>
      <w:pPr>
        <w:ind w:left="480" w:hanging="313"/>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Has a broad range of industry and functional experiences acquired through regional and global leadership positions</w:t>
      </w:r>
    </w:p>
    <w:p>
      <w:pPr>
        <w:spacing w:after="0" w:line="83" w:lineRule="exact"/>
        <w:rPr>
          <w:rFonts w:ascii="Arial" w:cs="Arial" w:eastAsia="Arial" w:hAnsi="Arial"/>
          <w:sz w:val="16"/>
          <w:szCs w:val="16"/>
          <w:color w:val="auto"/>
        </w:rPr>
      </w:pPr>
    </w:p>
    <w:p>
      <w:pPr>
        <w:ind w:left="480" w:right="520" w:hanging="313"/>
        <w:spacing w:after="0" w:line="256" w:lineRule="auto"/>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Former CEO of CNH Industrial, a complex international industrial company, where he led efforts to increase efficiencies, innovate through new technologies, expand geographically, and maximize the company’s portfolio of businesses</w:t>
      </w:r>
    </w:p>
    <w:p>
      <w:pPr>
        <w:spacing w:after="0" w:line="62" w:lineRule="exact"/>
        <w:rPr>
          <w:rFonts w:ascii="Arial" w:cs="Arial" w:eastAsia="Arial" w:hAnsi="Arial"/>
          <w:sz w:val="16"/>
          <w:szCs w:val="16"/>
          <w:color w:val="auto"/>
        </w:rPr>
      </w:pPr>
    </w:p>
    <w:p>
      <w:pPr>
        <w:ind w:left="480" w:hanging="313"/>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Gained extensive experience in international finance, operations, management, and information technology in his prior roles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Developed deep expertise with global capital markets through his international finance leadership roles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Prior to beginning his business career, Mr. Tobin was an officer in the United States Army</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Member of the Board of Trustees of the John G. Shedd Aquarium in Chicago</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Formerly served on the U.S. Chamber of Commerce Board of Directors, and is a former member of the Business Roundtable</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Holds a bachelor of arts from Norwich University and an MBA from Drexel University</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hanging="313"/>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President and CEO of Dover</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Former CEO of CNH Industrial NV (“CNH Industrial”)</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Former Group Chief Operating Officer of Fiat Industrial S.p.A</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Former President and CEO of CNH Global NV</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Former CFO of CNH Global NV</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Former Chief Finance Officer &amp; Head of Information Technology of SGS Group</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Former Chief Operating Officer for North America of SGS Group</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hanging="313"/>
        <w:spacing w:after="0"/>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Director of KeyCorp.</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Former director of CNH Industrial</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18</w:t>
      </w:r>
    </w:p>
    <w:p>
      <w:pPr>
        <w:sectPr>
          <w:pgSz w:w="11900" w:h="16838" w:orient="portrait"/>
          <w:cols w:equalWidth="0" w:num="1">
            <w:col w:w="11080"/>
          </w:cols>
          <w:pgMar w:left="320" w:top="456"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6" w:lineRule="exact"/>
        <w:rPr>
          <w:sz w:val="20"/>
          <w:szCs w:val="20"/>
          <w:color w:val="auto"/>
        </w:rPr>
      </w:pPr>
    </w:p>
    <w:p>
      <w:pPr>
        <w:ind w:left="1680"/>
        <w:spacing w:after="0"/>
        <w:rPr>
          <w:sz w:val="20"/>
          <w:szCs w:val="20"/>
          <w:color w:val="auto"/>
        </w:rPr>
      </w:pPr>
      <w:r>
        <w:rPr>
          <w:rFonts w:ascii="Arial" w:cs="Arial" w:eastAsia="Arial" w:hAnsi="Arial"/>
          <w:sz w:val="18"/>
          <w:szCs w:val="18"/>
          <w:b w:val="1"/>
          <w:bCs w:val="1"/>
          <w:i w:val="1"/>
          <w:iCs w:val="1"/>
          <w:color w:val="021496"/>
        </w:rPr>
        <w:t>Stephen M.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3417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9755" cy="1341755"/>
                    </a:xfrm>
                    <a:prstGeom prst="rect">
                      <a:avLst/>
                    </a:prstGeom>
                    <a:noFill/>
                  </pic:spPr>
                </pic:pic>
              </a:graphicData>
            </a:graphic>
          </wp:anchor>
        </w:drawing>
      </w:r>
    </w:p>
    <w:p>
      <w:pPr>
        <w:spacing w:after="0" w:line="313"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Independent Director Nominee</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Director since: 2010</w:t>
      </w:r>
    </w:p>
    <w:p>
      <w:pPr>
        <w:spacing w:after="0" w:line="3"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Age: 73</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 xml:space="preserve">Committees:  Audit </w:t>
      </w:r>
      <w:r>
        <w:rPr>
          <w:rFonts w:ascii="Arial" w:cs="Arial" w:eastAsia="Arial" w:hAnsi="Arial"/>
          <w:sz w:val="16"/>
          <w:szCs w:val="16"/>
          <w:b w:val="1"/>
          <w:bCs w:val="1"/>
          <w:i w:val="1"/>
          <w:iCs w:val="1"/>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right="140" w:hanging="313"/>
        <w:spacing w:after="0" w:line="256" w:lineRule="auto"/>
        <w:tabs>
          <w:tab w:leader="none" w:pos="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Extensive accounting and financial experience in both domestic and international business developed during a four decade career at Ernst &amp; Young where he specialized in assurance and audit</w:t>
      </w:r>
    </w:p>
    <w:p>
      <w:pPr>
        <w:spacing w:after="0" w:line="62" w:lineRule="exact"/>
        <w:rPr>
          <w:rFonts w:ascii="Arial" w:cs="Arial" w:eastAsia="Arial" w:hAnsi="Arial"/>
          <w:sz w:val="16"/>
          <w:szCs w:val="16"/>
          <w:color w:val="auto"/>
        </w:rPr>
      </w:pPr>
    </w:p>
    <w:p>
      <w:pPr>
        <w:ind w:left="480" w:hanging="313"/>
        <w:spacing w:after="0"/>
        <w:tabs>
          <w:tab w:leader="none" w:pos="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Brings unique insights into accounting and financial issues relevant to multinational companies like Dover</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Brings the perspective of an outside auditor to the Audit Committee</w:t>
      </w:r>
    </w:p>
    <w:p>
      <w:pPr>
        <w:spacing w:after="0" w:line="83" w:lineRule="exact"/>
        <w:rPr>
          <w:rFonts w:ascii="Arial" w:cs="Arial" w:eastAsia="Arial" w:hAnsi="Arial"/>
          <w:sz w:val="16"/>
          <w:szCs w:val="16"/>
          <w:color w:val="auto"/>
        </w:rPr>
      </w:pPr>
    </w:p>
    <w:p>
      <w:pPr>
        <w:jc w:val="both"/>
        <w:ind w:left="480" w:right="280" w:hanging="313"/>
        <w:spacing w:after="0" w:line="250" w:lineRule="auto"/>
        <w:tabs>
          <w:tab w:leader="none" w:pos="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Brings leadership and financial strategy experience as developer and director of Ernst &amp; Young’s Global Capital Markets Centers, which provides accounting, regulatory, internal control and financial reporting services to multinational companies in connection with cross-border debt and equity securities transactions and acquisitions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right="540" w:hanging="313"/>
        <w:spacing w:after="0" w:line="256" w:lineRule="auto"/>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Former Global Vice of Assurance Professional Practice of Ernst &amp; Young Global Limited, London, UK; and prior thereto, various positions with Ernst &amp; Young</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hanging="313"/>
        <w:spacing w:after="0"/>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Director and Audit Committee member of ChampionX Corporation (formerly known as Apergy Corporation)</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Former member of the Board of Trustees of PNC Funds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19</w:t>
      </w:r>
    </w:p>
    <w:p>
      <w:pPr>
        <w:sectPr>
          <w:pgSz w:w="11900" w:h="16838" w:orient="portrait"/>
          <w:cols w:equalWidth="0" w:num="1">
            <w:col w:w="11080"/>
          </w:cols>
          <w:pgMar w:left="320" w:top="45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6" w:lineRule="exact"/>
        <w:rPr>
          <w:sz w:val="20"/>
          <w:szCs w:val="20"/>
          <w:color w:val="auto"/>
        </w:rPr>
      </w:pPr>
    </w:p>
    <w:p>
      <w:pPr>
        <w:ind w:left="1680"/>
        <w:spacing w:after="0"/>
        <w:rPr>
          <w:sz w:val="20"/>
          <w:szCs w:val="20"/>
          <w:color w:val="auto"/>
        </w:rPr>
      </w:pPr>
      <w:r>
        <w:rPr>
          <w:rFonts w:ascii="Arial" w:cs="Arial" w:eastAsia="Arial" w:hAnsi="Arial"/>
          <w:sz w:val="18"/>
          <w:szCs w:val="18"/>
          <w:b w:val="1"/>
          <w:bCs w:val="1"/>
          <w:i w:val="1"/>
          <w:iCs w:val="1"/>
          <w:color w:val="021496"/>
        </w:rPr>
        <w:t>Stephen K.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2738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29755" cy="1273810"/>
                    </a:xfrm>
                    <a:prstGeom prst="rect">
                      <a:avLst/>
                    </a:prstGeom>
                    <a:noFill/>
                  </pic:spPr>
                </pic:pic>
              </a:graphicData>
            </a:graphic>
          </wp:anchor>
        </w:drawing>
      </w:r>
    </w:p>
    <w:p>
      <w:pPr>
        <w:spacing w:after="0" w:line="313"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Independent Director Nominee</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Director since: 2010</w:t>
      </w:r>
    </w:p>
    <w:p>
      <w:pPr>
        <w:spacing w:after="0" w:line="3"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Age: 74</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 xml:space="preserve">Committees:  Audit, Governance and Nominating </w:t>
      </w:r>
      <w:r>
        <w:rPr>
          <w:rFonts w:ascii="Arial" w:cs="Arial" w:eastAsia="Arial" w:hAnsi="Arial"/>
          <w:sz w:val="16"/>
          <w:szCs w:val="16"/>
          <w:b w:val="1"/>
          <w:bCs w:val="1"/>
          <w:i w:val="1"/>
          <w:iCs w:val="1"/>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380" w:hanging="213"/>
        <w:spacing w:after="0"/>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Wagner’s over 30 years of experience in accounting make him a valuable resource for the Board and the Audit Committee</w:t>
      </w:r>
    </w:p>
    <w:p>
      <w:pPr>
        <w:spacing w:after="0" w:line="83" w:lineRule="exact"/>
        <w:rPr>
          <w:rFonts w:ascii="Arial" w:cs="Arial" w:eastAsia="Arial" w:hAnsi="Arial"/>
          <w:sz w:val="16"/>
          <w:szCs w:val="16"/>
          <w:color w:val="auto"/>
        </w:rPr>
      </w:pPr>
    </w:p>
    <w:p>
      <w:pPr>
        <w:jc w:val="both"/>
        <w:ind w:left="380" w:right="100" w:hanging="213"/>
        <w:spacing w:after="0" w:line="250"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His work with Sarbanes-Oxley and other corporate governance regulations, including his years as Managing Partner at Deloitte &amp; Touche’s Center for Corporate Governance, makes him well suited to advise the Board on financial, auditing and finance-related corporate governance matters as well as risk management</w:t>
      </w:r>
    </w:p>
    <w:p>
      <w:pPr>
        <w:spacing w:after="0" w:line="66" w:lineRule="exact"/>
        <w:rPr>
          <w:rFonts w:ascii="Arial" w:cs="Arial" w:eastAsia="Arial" w:hAnsi="Arial"/>
          <w:sz w:val="16"/>
          <w:szCs w:val="16"/>
          <w:color w:val="auto"/>
        </w:rPr>
      </w:pPr>
    </w:p>
    <w:p>
      <w:pPr>
        <w:ind w:left="380" w:right="560" w:hanging="213"/>
        <w:spacing w:after="0" w:line="256"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Expert in risk oversight and co-authored a book on risk management entitled Surviving and Thriving in Uncertainty: Creating the Risk Intelligent Enterprise</w:t>
      </w:r>
    </w:p>
    <w:p>
      <w:pPr>
        <w:spacing w:after="0" w:line="62" w:lineRule="exact"/>
        <w:rPr>
          <w:rFonts w:ascii="Arial" w:cs="Arial" w:eastAsia="Arial" w:hAnsi="Arial"/>
          <w:sz w:val="16"/>
          <w:szCs w:val="16"/>
          <w:color w:val="auto"/>
        </w:rPr>
      </w:pPr>
    </w:p>
    <w:p>
      <w:pPr>
        <w:ind w:left="380" w:right="300" w:hanging="213"/>
        <w:spacing w:after="0" w:line="256"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Brings to the Board an outside auditor’s perspective on matters involving audit committee procedures, internal control and accounting and financial reporting matters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380" w:hanging="213"/>
        <w:spacing w:after="0"/>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Former Senior Advisor, Center for Corporate Governance, of Deloitte &amp; Touche LLP (“Deloitte”)</w:t>
      </w:r>
    </w:p>
    <w:p>
      <w:pPr>
        <w:spacing w:after="0" w:line="83" w:lineRule="exact"/>
        <w:rPr>
          <w:rFonts w:ascii="Arial" w:cs="Arial" w:eastAsia="Arial" w:hAnsi="Arial"/>
          <w:sz w:val="16"/>
          <w:szCs w:val="16"/>
          <w:color w:val="auto"/>
        </w:rPr>
      </w:pPr>
    </w:p>
    <w:p>
      <w:pPr>
        <w:ind w:left="380" w:hanging="213"/>
        <w:spacing w:after="0"/>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Former Managing Partner, Center for Corporate Governance of Deloitte</w:t>
      </w:r>
    </w:p>
    <w:p>
      <w:pPr>
        <w:spacing w:after="0" w:line="83" w:lineRule="exact"/>
        <w:rPr>
          <w:rFonts w:ascii="Arial" w:cs="Arial" w:eastAsia="Arial" w:hAnsi="Arial"/>
          <w:sz w:val="16"/>
          <w:szCs w:val="16"/>
          <w:color w:val="auto"/>
        </w:rPr>
      </w:pPr>
    </w:p>
    <w:p>
      <w:pPr>
        <w:ind w:left="380" w:hanging="213"/>
        <w:spacing w:after="0"/>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Former Deputy Managing Partner, Innovation, Audit and Enterprise Risk, United States of Deloitte</w:t>
      </w:r>
    </w:p>
    <w:p>
      <w:pPr>
        <w:spacing w:after="0" w:line="83" w:lineRule="exact"/>
        <w:rPr>
          <w:rFonts w:ascii="Arial" w:cs="Arial" w:eastAsia="Arial" w:hAnsi="Arial"/>
          <w:sz w:val="16"/>
          <w:szCs w:val="16"/>
          <w:color w:val="auto"/>
        </w:rPr>
      </w:pPr>
    </w:p>
    <w:p>
      <w:pPr>
        <w:ind w:left="380" w:hanging="213"/>
        <w:spacing w:after="0"/>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Former Co-Leader, Sarbanes-Oxley Services, of Deloitte</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160"/>
        <w:spacing w:after="0"/>
        <w:tabs>
          <w:tab w:leader="none" w:pos="360" w:val="left"/>
        </w:tabs>
        <w:rPr>
          <w:sz w:val="20"/>
          <w:szCs w:val="20"/>
          <w:color w:val="auto"/>
        </w:rPr>
      </w:pPr>
      <w:r>
        <w:rPr>
          <w:rFonts w:ascii="Arial" w:cs="Arial" w:eastAsia="Arial" w:hAnsi="Arial"/>
          <w:sz w:val="16"/>
          <w:szCs w:val="16"/>
          <w:color w:val="auto"/>
        </w:rPr>
        <w:t>•</w:t>
        <w:tab/>
        <w:t>Director and Audit Committee member of ChampionX Corporation (formerly known as Apergy Corporation)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20</w:t>
      </w:r>
    </w:p>
    <w:p>
      <w:pPr>
        <w:sectPr>
          <w:pgSz w:w="11900" w:h="16838" w:orient="portrait"/>
          <w:cols w:equalWidth="0" w:num="1">
            <w:col w:w="11080"/>
          </w:cols>
          <w:pgMar w:left="320" w:top="456"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6" w:lineRule="exact"/>
        <w:rPr>
          <w:sz w:val="20"/>
          <w:szCs w:val="20"/>
          <w:color w:val="auto"/>
        </w:rPr>
      </w:pPr>
    </w:p>
    <w:p>
      <w:pPr>
        <w:ind w:left="1780"/>
        <w:spacing w:after="0"/>
        <w:rPr>
          <w:sz w:val="20"/>
          <w:szCs w:val="20"/>
          <w:color w:val="auto"/>
        </w:rPr>
      </w:pPr>
      <w:r>
        <w:rPr>
          <w:rFonts w:ascii="Arial" w:cs="Arial" w:eastAsia="Arial" w:hAnsi="Arial"/>
          <w:sz w:val="18"/>
          <w:szCs w:val="18"/>
          <w:b w:val="1"/>
          <w:bCs w:val="1"/>
          <w:i w:val="1"/>
          <w:iCs w:val="1"/>
          <w:color w:val="021496"/>
        </w:rPr>
        <w:t>Keith E. Wandell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3589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1358900"/>
                    </a:xfrm>
                    <a:prstGeom prst="rect">
                      <a:avLst/>
                    </a:prstGeom>
                    <a:noFill/>
                  </pic:spPr>
                </pic:pic>
              </a:graphicData>
            </a:graphic>
          </wp:anchor>
        </w:drawing>
      </w:r>
    </w:p>
    <w:p>
      <w:pPr>
        <w:spacing w:after="0" w:line="286"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Independent Director Nominee</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Director since: 2015</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Age: 72</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 xml:space="preserve">Committees:  Compensation </w:t>
      </w:r>
      <w:r>
        <w:rPr>
          <w:rFonts w:ascii="Arial" w:cs="Arial" w:eastAsia="Arial" w:hAnsi="Arial"/>
          <w:sz w:val="16"/>
          <w:szCs w:val="16"/>
          <w:b w:val="1"/>
          <w:bCs w:val="1"/>
          <w:i w:val="1"/>
          <w:iCs w:val="1"/>
          <w:color w:val="auto"/>
        </w:rPr>
        <w:t>(Chair)</w:t>
      </w:r>
      <w:r>
        <w:rPr>
          <w:rFonts w:ascii="Arial" w:cs="Arial" w:eastAsia="Arial" w:hAnsi="Arial"/>
          <w:sz w:val="16"/>
          <w:szCs w:val="16"/>
          <w:b w:val="1"/>
          <w:bCs w:val="1"/>
          <w:color w:val="auto"/>
        </w:rPr>
        <w:t>,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137" w:lineRule="exact"/>
        <w:rPr>
          <w:sz w:val="20"/>
          <w:szCs w:val="20"/>
          <w:color w:val="auto"/>
        </w:rPr>
      </w:pPr>
    </w:p>
    <w:p>
      <w:pPr>
        <w:ind w:left="380" w:right="560" w:hanging="213"/>
        <w:spacing w:after="0" w:line="256" w:lineRule="auto"/>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Wandell brings to the Board the valuable perspective of a strategic, experienced leader with a strong record focused on growth, profitability, international expansion and innovation.</w:t>
      </w:r>
    </w:p>
    <w:p>
      <w:pPr>
        <w:spacing w:after="0" w:line="102" w:lineRule="exact"/>
        <w:rPr>
          <w:rFonts w:ascii="Arial" w:cs="Arial" w:eastAsia="Arial" w:hAnsi="Arial"/>
          <w:sz w:val="16"/>
          <w:szCs w:val="16"/>
          <w:color w:val="auto"/>
        </w:rPr>
      </w:pPr>
    </w:p>
    <w:p>
      <w:pPr>
        <w:jc w:val="both"/>
        <w:ind w:left="380" w:right="260" w:hanging="213"/>
        <w:spacing w:after="0" w:line="250" w:lineRule="auto"/>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Has over 30 years of experience in diversified manufacturing businesses, most recently as the former Chairman and CEO of Harley-Davidson, Inc. (“Harley-Davidson”) where he led transformation efforts across the company’s product development, manufacturing and retail functions, focused on international expansion and implemented a restructuring plan</w:t>
      </w:r>
    </w:p>
    <w:p>
      <w:pPr>
        <w:spacing w:after="0" w:line="107" w:lineRule="exact"/>
        <w:rPr>
          <w:rFonts w:ascii="Arial" w:cs="Arial" w:eastAsia="Arial" w:hAnsi="Arial"/>
          <w:sz w:val="16"/>
          <w:szCs w:val="16"/>
          <w:color w:val="auto"/>
        </w:rPr>
      </w:pPr>
    </w:p>
    <w:p>
      <w:pPr>
        <w:ind w:left="380" w:right="420" w:hanging="213"/>
        <w:spacing w:after="0" w:line="250" w:lineRule="auto"/>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Prior to joining Harley-Davidson, Mr. Wandell served as President and Chief Operating Officer of Johnson Controls, Inc. (“Johnson Controls”) and helped manage the company’s entry into the Chinese car-battery market as well as its subsequent joint venture with China’s largest battery manufacturer</w:t>
      </w:r>
    </w:p>
    <w:p>
      <w:pPr>
        <w:spacing w:after="0" w:line="107" w:lineRule="exact"/>
        <w:rPr>
          <w:rFonts w:ascii="Arial" w:cs="Arial" w:eastAsia="Arial" w:hAnsi="Arial"/>
          <w:sz w:val="16"/>
          <w:szCs w:val="16"/>
          <w:color w:val="auto"/>
        </w:rPr>
      </w:pPr>
    </w:p>
    <w:p>
      <w:pPr>
        <w:ind w:left="380" w:right="100" w:hanging="213"/>
        <w:spacing w:after="0" w:line="256" w:lineRule="auto"/>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Gained valuable insights into the effective development of executive leadership capabilities and strong corporate cultures through his experience as a senior leader at various companies</w:t>
      </w:r>
    </w:p>
    <w:p>
      <w:pPr>
        <w:spacing w:after="0" w:line="102" w:lineRule="exact"/>
        <w:rPr>
          <w:rFonts w:ascii="Arial" w:cs="Arial" w:eastAsia="Arial" w:hAnsi="Arial"/>
          <w:sz w:val="16"/>
          <w:szCs w:val="16"/>
          <w:color w:val="auto"/>
        </w:rPr>
      </w:pPr>
    </w:p>
    <w:p>
      <w:pPr>
        <w:ind w:left="380" w:hanging="213"/>
        <w:spacing w:after="0"/>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Served on the boards of four other public companies, including the two on which he currently serves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Holds a bachelor’s degree in business administration from Ohio University and an MBA from the University of Dayton</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137" w:lineRule="exact"/>
        <w:rPr>
          <w:sz w:val="20"/>
          <w:szCs w:val="20"/>
          <w:color w:val="auto"/>
        </w:rPr>
      </w:pPr>
    </w:p>
    <w:p>
      <w:pPr>
        <w:ind w:left="380" w:hanging="213"/>
        <w:spacing w:after="0"/>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Former President and CEO of Harley-Davidson</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Former President and Chief Operating Officer of Johnson Controls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Former Executive Vice President of Johnson Controls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Former Corporate Vice President of Johnson Controls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Former President of the Automotive Experience business of Johnson Controls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Former President of the Power Solutions business of Johnson Controls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137" w:lineRule="exact"/>
        <w:rPr>
          <w:sz w:val="20"/>
          <w:szCs w:val="20"/>
          <w:color w:val="auto"/>
        </w:rPr>
      </w:pPr>
    </w:p>
    <w:p>
      <w:pPr>
        <w:ind w:left="380" w:hanging="213"/>
        <w:spacing w:after="0"/>
        <w:tabs>
          <w:tab w:leader="none" w:pos="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Director of Dana Incorporated. Former Chairman of Harley-Davidson</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Former Director of Constellation Brands, Inc. and Clarcor, Inc.</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21</w:t>
      </w:r>
    </w:p>
    <w:p>
      <w:pPr>
        <w:sectPr>
          <w:pgSz w:w="11900" w:h="16838" w:orient="portrait"/>
          <w:cols w:equalWidth="0" w:num="1">
            <w:col w:w="11080"/>
          </w:cols>
          <w:pgMar w:left="320" w:top="456"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6" w:lineRule="exact"/>
        <w:rPr>
          <w:sz w:val="20"/>
          <w:szCs w:val="20"/>
          <w:color w:val="auto"/>
        </w:rPr>
      </w:pPr>
    </w:p>
    <w:p>
      <w:pPr>
        <w:ind w:left="1820"/>
        <w:spacing w:after="0"/>
        <w:rPr>
          <w:sz w:val="20"/>
          <w:szCs w:val="20"/>
          <w:color w:val="auto"/>
        </w:rPr>
      </w:pPr>
      <w:r>
        <w:rPr>
          <w:rFonts w:ascii="Arial" w:cs="Arial" w:eastAsia="Arial" w:hAnsi="Arial"/>
          <w:sz w:val="18"/>
          <w:szCs w:val="18"/>
          <w:b w:val="1"/>
          <w:bCs w:val="1"/>
          <w:i w:val="1"/>
          <w:iCs w:val="1"/>
          <w:color w:val="021496"/>
        </w:rPr>
        <w:t>Mary A. Winston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-116205</wp:posOffset>
            </wp:positionV>
            <wp:extent cx="5885180" cy="280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85180" cy="280035"/>
                    </a:xfrm>
                    <a:prstGeom prst="rect">
                      <a:avLst/>
                    </a:prstGeom>
                    <a:noFill/>
                  </pic:spPr>
                </pic:pic>
              </a:graphicData>
            </a:graphic>
          </wp:anchor>
        </w:drawing>
      </w:r>
    </w:p>
    <w:p>
      <w:pPr>
        <w:spacing w:after="0" w:line="299"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Independent Director Nominee</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Director since: 2005</w:t>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Age: 60</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Committees: Compensation,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187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118745"/>
                    </a:xfrm>
                    <a:prstGeom prst="rect">
                      <a:avLst/>
                    </a:prstGeom>
                    <a:noFill/>
                  </pic:spPr>
                </pic:pic>
              </a:graphicData>
            </a:graphic>
          </wp:anchor>
        </w:drawing>
      </w:r>
    </w:p>
    <w:p>
      <w:pPr>
        <w:spacing w:after="0" w:line="83" w:lineRule="exact"/>
        <w:rPr>
          <w:sz w:val="20"/>
          <w:szCs w:val="20"/>
          <w:color w:val="auto"/>
        </w:rPr>
      </w:pPr>
    </w:p>
    <w:p>
      <w:pPr>
        <w:ind w:left="480" w:right="680" w:hanging="313"/>
        <w:spacing w:after="0" w:line="256" w:lineRule="auto"/>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Ms. Winston brings to the Board valuable experience and expertise based on her years of broad financial management and broad executive leadership experience.</w:t>
      </w:r>
    </w:p>
    <w:p>
      <w:pPr>
        <w:spacing w:after="0" w:line="62" w:lineRule="exact"/>
        <w:rPr>
          <w:rFonts w:ascii="Arial" w:cs="Arial" w:eastAsia="Arial" w:hAnsi="Arial"/>
          <w:sz w:val="16"/>
          <w:szCs w:val="16"/>
          <w:color w:val="auto"/>
        </w:rPr>
      </w:pPr>
    </w:p>
    <w:p>
      <w:pPr>
        <w:ind w:left="480" w:right="380" w:hanging="313"/>
        <w:spacing w:after="0" w:line="256" w:lineRule="auto"/>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Started her career as a CPA with Arthur Andersen &amp; Co, and has extensive experience with financial, accounting and internal control matters for large public companies.</w:t>
      </w:r>
    </w:p>
    <w:p>
      <w:pPr>
        <w:spacing w:after="0" w:line="62" w:lineRule="exact"/>
        <w:rPr>
          <w:rFonts w:ascii="Arial" w:cs="Arial" w:eastAsia="Arial" w:hAnsi="Arial"/>
          <w:sz w:val="16"/>
          <w:szCs w:val="16"/>
          <w:color w:val="auto"/>
        </w:rPr>
      </w:pPr>
    </w:p>
    <w:p>
      <w:pPr>
        <w:ind w:left="480" w:right="100" w:hanging="313"/>
        <w:spacing w:after="0" w:line="256" w:lineRule="auto"/>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Served as CFO of three large companies: Family Dollar Stores, Inc., Giant Eagle, Inc. and Scholastic, Inc., as well as prior global finance leadership roles (prior to 2004) at Visteon Corporation and Pfizer, Inc.</w:t>
      </w:r>
    </w:p>
    <w:p>
      <w:pPr>
        <w:spacing w:after="0" w:line="62" w:lineRule="exact"/>
        <w:rPr>
          <w:rFonts w:ascii="Arial" w:cs="Arial" w:eastAsia="Arial" w:hAnsi="Arial"/>
          <w:sz w:val="16"/>
          <w:szCs w:val="16"/>
          <w:color w:val="auto"/>
        </w:rPr>
      </w:pPr>
    </w:p>
    <w:p>
      <w:pPr>
        <w:ind w:left="1020" w:right="600" w:hanging="425"/>
        <w:spacing w:after="0" w:line="256" w:lineRule="auto"/>
        <w:tabs>
          <w:tab w:leader="none" w:pos="10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Developed deep expertise in capital markets, M&amp;A, capital structure matters, capital allocation, financial risk management, real estate financing transactions, dividend and stock repurchase programs, and investor relations</w:t>
      </w:r>
    </w:p>
    <w:p>
      <w:pPr>
        <w:spacing w:after="0" w:line="62" w:lineRule="exact"/>
        <w:rPr>
          <w:rFonts w:ascii="Arial" w:cs="Arial" w:eastAsia="Arial" w:hAnsi="Arial"/>
          <w:sz w:val="16"/>
          <w:szCs w:val="16"/>
          <w:color w:val="auto"/>
        </w:rPr>
      </w:pPr>
    </w:p>
    <w:p>
      <w:pPr>
        <w:ind w:left="480" w:right="100" w:hanging="313"/>
        <w:spacing w:after="0" w:line="256" w:lineRule="auto"/>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Ms. Winston’s background and experience make her a valuable contributor to the Board on matters involving risk oversight and capital allocation, as well as executive compensation and general corporate governance matters</w:t>
      </w:r>
    </w:p>
    <w:p>
      <w:pPr>
        <w:spacing w:after="0" w:line="62" w:lineRule="exact"/>
        <w:rPr>
          <w:rFonts w:ascii="Arial" w:cs="Arial" w:eastAsia="Arial" w:hAnsi="Arial"/>
          <w:sz w:val="16"/>
          <w:szCs w:val="16"/>
          <w:color w:val="auto"/>
        </w:rPr>
      </w:pPr>
    </w:p>
    <w:p>
      <w:pPr>
        <w:ind w:left="480" w:right="940" w:hanging="313"/>
        <w:spacing w:after="0" w:line="256" w:lineRule="auto"/>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Holds a bachelor’s degree in accounting from the University of Wisconsin and an MBA from Northwestern University’s Kellogg School of Management</w:t>
      </w:r>
    </w:p>
    <w:p>
      <w:pPr>
        <w:spacing w:after="0" w:line="62" w:lineRule="exact"/>
        <w:rPr>
          <w:rFonts w:ascii="Arial" w:cs="Arial" w:eastAsia="Arial" w:hAnsi="Arial"/>
          <w:sz w:val="16"/>
          <w:szCs w:val="16"/>
          <w:color w:val="auto"/>
        </w:rPr>
      </w:pPr>
    </w:p>
    <w:p>
      <w:pPr>
        <w:ind w:left="480" w:hanging="313"/>
        <w:spacing w:after="0"/>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Designated as a Board Leadership Fellow by the NACD and serves on the national board of the NACD</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hanging="313"/>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President of WinsCo Enterprises Inc</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Former Interim CEO, Bed Bath &amp; Beyond Inc.</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Former Executive Vice President and CFO of Family Dollar Stores, Inc.</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Former Senior Vice President and CFO of Giant Eagle, Inc.</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Former President of WinsCo Financial LLC</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Former Executive Vice President and CFO of Scholastic Corporation</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97" w:lineRule="exact"/>
        <w:rPr>
          <w:sz w:val="20"/>
          <w:szCs w:val="20"/>
          <w:color w:val="auto"/>
        </w:rPr>
      </w:pPr>
    </w:p>
    <w:p>
      <w:pPr>
        <w:ind w:left="480" w:hanging="313"/>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Director of Bed Bath &amp; Beyond, Inc., Chipotle Mexican Grill, and Acuity Brands, Inc.</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Former Director of Domtar Corporation, SUPERVALU INC., and Plexus Corporation</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THE BOARD RECOMMENDS A VOTE “FOR” THE ELECTION OF EACH</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OF THE NOMINEES NAMED ABOVE.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22</w:t>
      </w:r>
    </w:p>
    <w:p>
      <w:pPr>
        <w:sectPr>
          <w:pgSz w:w="11900" w:h="16838" w:orient="portrait"/>
          <w:cols w:equalWidth="0" w:num="1">
            <w:col w:w="11080"/>
          </w:cols>
          <w:pgMar w:left="320" w:top="456"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Board Oversight and Governance Practices</w:t>
      </w:r>
    </w:p>
    <w:p>
      <w:pPr>
        <w:spacing w:after="0" w:line="144" w:lineRule="exact"/>
        <w:rPr>
          <w:sz w:val="20"/>
          <w:szCs w:val="20"/>
          <w:color w:val="auto"/>
        </w:rPr>
      </w:pPr>
    </w:p>
    <w:p>
      <w:pPr>
        <w:ind w:left="160" w:right="100"/>
        <w:spacing w:after="0" w:line="248" w:lineRule="auto"/>
        <w:rPr>
          <w:sz w:val="20"/>
          <w:szCs w:val="20"/>
          <w:color w:val="auto"/>
        </w:rPr>
      </w:pPr>
      <w:r>
        <w:rPr>
          <w:rFonts w:ascii="Arial" w:cs="Arial" w:eastAsia="Arial" w:hAnsi="Arial"/>
          <w:sz w:val="16"/>
          <w:szCs w:val="16"/>
          <w:color w:val="auto"/>
        </w:rPr>
        <w:t>Our Board is responsible for, and committed to, overseeing our long-term strategic development as well as managing the principal and most significant risks that we face. In carrying out this duty, our Board advises senior management to help drive long-term value creation for our shareholders. The Board delegates specific areas of responsibility to relevant Board committees, as detailed below under the heading “Overview of Committee Responsibilities”, who report on their deliberations to the Board. The following summarizes our Board’s key areas of oversight responsibility.</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160020</wp:posOffset>
            </wp:positionV>
            <wp:extent cx="6938010" cy="41700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38010" cy="4170045"/>
                    </a:xfrm>
                    <a:prstGeom prst="rect">
                      <a:avLst/>
                    </a:prstGeom>
                    <a:noFill/>
                  </pic:spPr>
                </pic:pic>
              </a:graphicData>
            </a:graphic>
          </wp:anchor>
        </w:drawing>
      </w: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FFFFFF"/>
        </w:rPr>
        <w:t>KEY AREAS OF BOARD OVERSIGHT</w:t>
      </w:r>
    </w:p>
    <w:p>
      <w:pPr>
        <w:spacing w:after="0" w:line="4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2760" w:type="dxa"/>
            <w:vAlign w:val="bottom"/>
            <w:tcBorders>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8"/>
              </w:rPr>
              <w:t>Long-Term</w:t>
            </w:r>
          </w:p>
        </w:tc>
        <w:tc>
          <w:tcPr>
            <w:tcW w:w="8180" w:type="dxa"/>
            <w:vAlign w:val="bottom"/>
          </w:tcPr>
          <w:p>
            <w:pPr>
              <w:ind w:left="100"/>
              <w:spacing w:after="0"/>
              <w:rPr>
                <w:sz w:val="20"/>
                <w:szCs w:val="20"/>
                <w:color w:val="auto"/>
              </w:rPr>
            </w:pPr>
            <w:r>
              <w:rPr>
                <w:rFonts w:ascii="Arial" w:cs="Arial" w:eastAsia="Arial" w:hAnsi="Arial"/>
                <w:sz w:val="16"/>
                <w:szCs w:val="16"/>
                <w:color w:val="auto"/>
              </w:rPr>
              <w:t xml:space="preserve">•   One of the primary responsibilities of our Board is the </w:t>
            </w:r>
            <w:r>
              <w:rPr>
                <w:rFonts w:ascii="Arial" w:cs="Arial" w:eastAsia="Arial" w:hAnsi="Arial"/>
                <w:sz w:val="16"/>
                <w:szCs w:val="16"/>
                <w:b w:val="1"/>
                <w:bCs w:val="1"/>
                <w:color w:val="021496"/>
              </w:rPr>
              <w:t>oversight of management’s long-term strategy and</w:t>
            </w:r>
          </w:p>
        </w:tc>
        <w:tc>
          <w:tcPr>
            <w:tcW w:w="0" w:type="dxa"/>
            <w:vAlign w:val="bottom"/>
          </w:tcPr>
          <w:p>
            <w:pPr>
              <w:spacing w:after="0"/>
              <w:rPr>
                <w:sz w:val="1"/>
                <w:szCs w:val="1"/>
                <w:color w:val="auto"/>
              </w:rPr>
            </w:pPr>
          </w:p>
        </w:tc>
      </w:tr>
      <w:tr>
        <w:trPr>
          <w:trHeight w:val="94"/>
        </w:trPr>
        <w:tc>
          <w:tcPr>
            <w:tcW w:w="2760" w:type="dxa"/>
            <w:vAlign w:val="bottom"/>
            <w:tcBorders>
              <w:right w:val="single" w:sz="8" w:color="021496"/>
            </w:tcBorders>
            <w:vMerge w:val="continue"/>
            <w:shd w:val="clear" w:color="auto" w:fill="EAEFED"/>
          </w:tcPr>
          <w:p>
            <w:pPr>
              <w:spacing w:after="0"/>
              <w:rPr>
                <w:sz w:val="8"/>
                <w:szCs w:val="8"/>
                <w:color w:val="auto"/>
              </w:rPr>
            </w:pPr>
          </w:p>
        </w:tc>
        <w:tc>
          <w:tcPr>
            <w:tcW w:w="8180" w:type="dxa"/>
            <w:vAlign w:val="bottom"/>
            <w:vMerge w:val="restart"/>
          </w:tcPr>
          <w:p>
            <w:pPr>
              <w:ind w:left="420"/>
              <w:spacing w:after="0"/>
              <w:rPr>
                <w:sz w:val="20"/>
                <w:szCs w:val="20"/>
                <w:color w:val="auto"/>
              </w:rPr>
            </w:pPr>
            <w:r>
              <w:rPr>
                <w:rFonts w:ascii="Arial" w:cs="Arial" w:eastAsia="Arial" w:hAnsi="Arial"/>
                <w:sz w:val="16"/>
                <w:szCs w:val="16"/>
                <w:b w:val="1"/>
                <w:bCs w:val="1"/>
                <w:color w:val="021496"/>
              </w:rPr>
              <w:t>planning</w:t>
            </w:r>
            <w:r>
              <w:rPr>
                <w:rFonts w:ascii="Arial" w:cs="Arial" w:eastAsia="Arial" w:hAnsi="Arial"/>
                <w:sz w:val="16"/>
                <w:szCs w:val="16"/>
                <w:color w:val="000000"/>
              </w:rPr>
              <w:t>. Accordingly, our Board maintains a deep level of engagement with management in setting and</w:t>
            </w:r>
          </w:p>
        </w:tc>
        <w:tc>
          <w:tcPr>
            <w:tcW w:w="0" w:type="dxa"/>
            <w:vAlign w:val="bottom"/>
          </w:tcPr>
          <w:p>
            <w:pPr>
              <w:spacing w:after="0"/>
              <w:rPr>
                <w:sz w:val="1"/>
                <w:szCs w:val="1"/>
                <w:color w:val="auto"/>
              </w:rPr>
            </w:pPr>
          </w:p>
        </w:tc>
      </w:tr>
      <w:tr>
        <w:trPr>
          <w:trHeight w:val="114"/>
        </w:trPr>
        <w:tc>
          <w:tcPr>
            <w:tcW w:w="2760" w:type="dxa"/>
            <w:vAlign w:val="bottom"/>
            <w:tcBorders>
              <w:right w:val="single" w:sz="8" w:color="021496"/>
            </w:tcBorders>
            <w:vMerge w:val="restart"/>
            <w:shd w:val="clear" w:color="auto" w:fill="EAEFED"/>
          </w:tcPr>
          <w:p>
            <w:pPr>
              <w:jc w:val="center"/>
              <w:spacing w:after="0"/>
              <w:rPr>
                <w:sz w:val="20"/>
                <w:szCs w:val="20"/>
                <w:color w:val="auto"/>
              </w:rPr>
            </w:pPr>
            <w:r>
              <w:rPr>
                <w:rFonts w:ascii="Arial" w:cs="Arial" w:eastAsia="Arial" w:hAnsi="Arial"/>
                <w:sz w:val="16"/>
                <w:szCs w:val="16"/>
                <w:b w:val="1"/>
                <w:bCs w:val="1"/>
                <w:color w:val="auto"/>
              </w:rPr>
              <w:t>Business Strategy</w:t>
            </w:r>
          </w:p>
        </w:tc>
        <w:tc>
          <w:tcPr>
            <w:tcW w:w="8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760" w:type="dxa"/>
            <w:vAlign w:val="bottom"/>
            <w:tcBorders>
              <w:right w:val="single" w:sz="8" w:color="021496"/>
            </w:tcBorders>
            <w:vMerge w:val="continue"/>
            <w:shd w:val="clear" w:color="auto" w:fill="EAEFED"/>
          </w:tcPr>
          <w:p>
            <w:pPr>
              <w:spacing w:after="0"/>
              <w:rPr>
                <w:sz w:val="8"/>
                <w:szCs w:val="8"/>
                <w:color w:val="auto"/>
              </w:rPr>
            </w:pPr>
          </w:p>
        </w:tc>
        <w:tc>
          <w:tcPr>
            <w:tcW w:w="8180" w:type="dxa"/>
            <w:vAlign w:val="bottom"/>
            <w:vMerge w:val="restart"/>
          </w:tcPr>
          <w:p>
            <w:pPr>
              <w:ind w:left="420"/>
              <w:spacing w:after="0"/>
              <w:rPr>
                <w:sz w:val="20"/>
                <w:szCs w:val="20"/>
                <w:color w:val="auto"/>
              </w:rPr>
            </w:pPr>
            <w:r>
              <w:rPr>
                <w:rFonts w:ascii="Arial" w:cs="Arial" w:eastAsia="Arial" w:hAnsi="Arial"/>
                <w:sz w:val="16"/>
                <w:szCs w:val="16"/>
                <w:color w:val="auto"/>
              </w:rPr>
              <w:t>overseeing Dover’s long-term business strategy.</w:t>
            </w:r>
          </w:p>
        </w:tc>
        <w:tc>
          <w:tcPr>
            <w:tcW w:w="0" w:type="dxa"/>
            <w:vAlign w:val="bottom"/>
          </w:tcPr>
          <w:p>
            <w:pPr>
              <w:spacing w:after="0"/>
              <w:rPr>
                <w:sz w:val="1"/>
                <w:szCs w:val="1"/>
                <w:color w:val="auto"/>
              </w:rPr>
            </w:pPr>
          </w:p>
        </w:tc>
      </w:tr>
      <w:tr>
        <w:trPr>
          <w:trHeight w:val="94"/>
        </w:trPr>
        <w:tc>
          <w:tcPr>
            <w:tcW w:w="2760" w:type="dxa"/>
            <w:vAlign w:val="bottom"/>
            <w:tcBorders>
              <w:right w:val="single" w:sz="8" w:color="021496"/>
            </w:tcBorders>
            <w:shd w:val="clear" w:color="auto" w:fill="EAEFED"/>
          </w:tcPr>
          <w:p>
            <w:pPr>
              <w:spacing w:after="0"/>
              <w:rPr>
                <w:sz w:val="8"/>
                <w:szCs w:val="8"/>
                <w:color w:val="auto"/>
              </w:rPr>
            </w:pPr>
          </w:p>
        </w:tc>
        <w:tc>
          <w:tcPr>
            <w:tcW w:w="8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760" w:type="dxa"/>
            <w:vAlign w:val="bottom"/>
            <w:tcBorders>
              <w:bottom w:val="single" w:sz="8" w:color="021496"/>
              <w:right w:val="single" w:sz="8" w:color="021496"/>
            </w:tcBorders>
            <w:shd w:val="clear" w:color="auto" w:fill="EAEFED"/>
          </w:tcPr>
          <w:p>
            <w:pPr>
              <w:spacing w:after="0"/>
              <w:rPr>
                <w:sz w:val="7"/>
                <w:szCs w:val="7"/>
                <w:color w:val="auto"/>
              </w:rPr>
            </w:pPr>
          </w:p>
        </w:tc>
        <w:tc>
          <w:tcPr>
            <w:tcW w:w="8180" w:type="dxa"/>
            <w:vAlign w:val="bottom"/>
            <w:tcBorders>
              <w:bottom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760" w:type="dxa"/>
            <w:vAlign w:val="bottom"/>
            <w:tcBorders>
              <w:right w:val="single" w:sz="8" w:color="021496"/>
            </w:tcBorders>
            <w:shd w:val="clear" w:color="auto" w:fill="EAEFED"/>
          </w:tcPr>
          <w:p>
            <w:pPr>
              <w:spacing w:after="0"/>
              <w:rPr>
                <w:sz w:val="19"/>
                <w:szCs w:val="19"/>
                <w:color w:val="auto"/>
              </w:rPr>
            </w:pPr>
          </w:p>
        </w:tc>
        <w:tc>
          <w:tcPr>
            <w:tcW w:w="8180" w:type="dxa"/>
            <w:vAlign w:val="bottom"/>
          </w:tcPr>
          <w:p>
            <w:pPr>
              <w:ind w:left="100"/>
              <w:spacing w:after="0"/>
              <w:rPr>
                <w:sz w:val="20"/>
                <w:szCs w:val="20"/>
                <w:color w:val="auto"/>
              </w:rPr>
            </w:pPr>
            <w:r>
              <w:rPr>
                <w:rFonts w:ascii="Arial" w:cs="Arial" w:eastAsia="Arial" w:hAnsi="Arial"/>
                <w:sz w:val="16"/>
                <w:szCs w:val="16"/>
                <w:color w:val="auto"/>
              </w:rPr>
              <w:t xml:space="preserve">•   Our Board is focused on the </w:t>
            </w:r>
            <w:r>
              <w:rPr>
                <w:rFonts w:ascii="Arial" w:cs="Arial" w:eastAsia="Arial" w:hAnsi="Arial"/>
                <w:sz w:val="16"/>
                <w:szCs w:val="16"/>
                <w:b w:val="1"/>
                <w:bCs w:val="1"/>
                <w:color w:val="021496"/>
              </w:rPr>
              <w:t>efficient allocation of capital to drive growth and provide returns to our</w:t>
            </w:r>
          </w:p>
        </w:tc>
        <w:tc>
          <w:tcPr>
            <w:tcW w:w="0" w:type="dxa"/>
            <w:vAlign w:val="bottom"/>
          </w:tcPr>
          <w:p>
            <w:pPr>
              <w:spacing w:after="0"/>
              <w:rPr>
                <w:sz w:val="1"/>
                <w:szCs w:val="1"/>
                <w:color w:val="auto"/>
              </w:rPr>
            </w:pPr>
          </w:p>
        </w:tc>
      </w:tr>
      <w:tr>
        <w:trPr>
          <w:trHeight w:val="207"/>
        </w:trPr>
        <w:tc>
          <w:tcPr>
            <w:tcW w:w="2760" w:type="dxa"/>
            <w:vAlign w:val="bottom"/>
            <w:tcBorders>
              <w:right w:val="single" w:sz="8" w:color="021496"/>
            </w:tcBorders>
            <w:shd w:val="clear" w:color="auto" w:fill="EAEFED"/>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6"/>
                <w:szCs w:val="16"/>
                <w:b w:val="1"/>
                <w:bCs w:val="1"/>
                <w:color w:val="021496"/>
              </w:rPr>
              <w:t>shareholders</w:t>
            </w:r>
            <w:r>
              <w:rPr>
                <w:rFonts w:ascii="Arial" w:cs="Arial" w:eastAsia="Arial" w:hAnsi="Arial"/>
                <w:sz w:val="16"/>
                <w:szCs w:val="16"/>
                <w:b w:val="1"/>
                <w:bCs w:val="1"/>
                <w:color w:val="000000"/>
              </w:rPr>
              <w:t>.</w:t>
            </w:r>
            <w:r>
              <w:rPr>
                <w:rFonts w:ascii="Arial" w:cs="Arial" w:eastAsia="Arial" w:hAnsi="Arial"/>
                <w:sz w:val="16"/>
                <w:szCs w:val="16"/>
                <w:b w:val="1"/>
                <w:bCs w:val="1"/>
                <w:color w:val="021496"/>
              </w:rPr>
              <w:t xml:space="preserve"> </w:t>
            </w:r>
            <w:r>
              <w:rPr>
                <w:rFonts w:ascii="Arial" w:cs="Arial" w:eastAsia="Arial" w:hAnsi="Arial"/>
                <w:sz w:val="16"/>
                <w:szCs w:val="16"/>
                <w:color w:val="000000"/>
              </w:rPr>
              <w:t>Our capital allocation priorities are organic investments, strategic acquisitions, and the return</w:t>
            </w:r>
          </w:p>
        </w:tc>
        <w:tc>
          <w:tcPr>
            <w:tcW w:w="0" w:type="dxa"/>
            <w:vAlign w:val="bottom"/>
          </w:tcPr>
          <w:p>
            <w:pPr>
              <w:spacing w:after="0"/>
              <w:rPr>
                <w:sz w:val="1"/>
                <w:szCs w:val="1"/>
                <w:color w:val="auto"/>
              </w:rPr>
            </w:pPr>
          </w:p>
        </w:tc>
      </w:tr>
      <w:tr>
        <w:trPr>
          <w:trHeight w:val="193"/>
        </w:trPr>
        <w:tc>
          <w:tcPr>
            <w:tcW w:w="2760" w:type="dxa"/>
            <w:vAlign w:val="bottom"/>
            <w:tcBorders>
              <w:right w:val="single" w:sz="8" w:color="021496"/>
            </w:tcBorders>
            <w:shd w:val="clear" w:color="auto" w:fill="EAEFED"/>
          </w:tcPr>
          <w:p>
            <w:pPr>
              <w:spacing w:after="0"/>
              <w:rPr>
                <w:sz w:val="16"/>
                <w:szCs w:val="16"/>
                <w:color w:val="auto"/>
              </w:rPr>
            </w:pPr>
          </w:p>
        </w:tc>
        <w:tc>
          <w:tcPr>
            <w:tcW w:w="8180" w:type="dxa"/>
            <w:vAlign w:val="bottom"/>
          </w:tcPr>
          <w:p>
            <w:pPr>
              <w:ind w:left="420"/>
              <w:spacing w:after="0"/>
              <w:rPr>
                <w:sz w:val="20"/>
                <w:szCs w:val="20"/>
                <w:color w:val="auto"/>
              </w:rPr>
            </w:pPr>
            <w:r>
              <w:rPr>
                <w:rFonts w:ascii="Arial" w:cs="Arial" w:eastAsia="Arial" w:hAnsi="Arial"/>
                <w:sz w:val="16"/>
                <w:szCs w:val="16"/>
                <w:color w:val="auto"/>
              </w:rPr>
              <w:t>of capital to our shareholders.</w:t>
            </w:r>
          </w:p>
        </w:tc>
        <w:tc>
          <w:tcPr>
            <w:tcW w:w="0" w:type="dxa"/>
            <w:vAlign w:val="bottom"/>
          </w:tcPr>
          <w:p>
            <w:pPr>
              <w:spacing w:after="0"/>
              <w:rPr>
                <w:sz w:val="1"/>
                <w:szCs w:val="1"/>
                <w:color w:val="auto"/>
              </w:rPr>
            </w:pPr>
          </w:p>
        </w:tc>
      </w:tr>
      <w:tr>
        <w:trPr>
          <w:trHeight w:val="241"/>
        </w:trPr>
        <w:tc>
          <w:tcPr>
            <w:tcW w:w="2760" w:type="dxa"/>
            <w:vAlign w:val="bottom"/>
            <w:tcBorders>
              <w:right w:val="single" w:sz="8" w:color="021496"/>
            </w:tcBorders>
            <w:shd w:val="clear" w:color="auto" w:fill="EAEFED"/>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6"/>
                <w:szCs w:val="16"/>
                <w:color w:val="auto"/>
              </w:rPr>
              <w:t xml:space="preserve">•   We consistently </w:t>
            </w:r>
            <w:r>
              <w:rPr>
                <w:rFonts w:ascii="Arial" w:cs="Arial" w:eastAsia="Arial" w:hAnsi="Arial"/>
                <w:sz w:val="16"/>
                <w:szCs w:val="16"/>
                <w:b w:val="1"/>
                <w:bCs w:val="1"/>
                <w:color w:val="021496"/>
              </w:rPr>
              <w:t>return cash to shareholders</w:t>
            </w:r>
            <w:r>
              <w:rPr>
                <w:rFonts w:ascii="Arial" w:cs="Arial" w:eastAsia="Arial" w:hAnsi="Arial"/>
                <w:sz w:val="16"/>
                <w:szCs w:val="16"/>
                <w:color w:val="auto"/>
              </w:rPr>
              <w:t xml:space="preserve"> by paying </w:t>
            </w:r>
            <w:r>
              <w:rPr>
                <w:rFonts w:ascii="Arial" w:cs="Arial" w:eastAsia="Arial" w:hAnsi="Arial"/>
                <w:sz w:val="16"/>
                <w:szCs w:val="16"/>
                <w:b w:val="1"/>
                <w:bCs w:val="1"/>
                <w:color w:val="021496"/>
              </w:rPr>
              <w:t>dividends</w:t>
            </w:r>
            <w:r>
              <w:rPr>
                <w:rFonts w:ascii="Arial" w:cs="Arial" w:eastAsia="Arial" w:hAnsi="Arial"/>
                <w:sz w:val="16"/>
                <w:szCs w:val="16"/>
                <w:color w:val="auto"/>
              </w:rPr>
              <w:t xml:space="preserve">, which </w:t>
            </w:r>
            <w:r>
              <w:rPr>
                <w:rFonts w:ascii="Arial" w:cs="Arial" w:eastAsia="Arial" w:hAnsi="Arial"/>
                <w:sz w:val="16"/>
                <w:szCs w:val="16"/>
                <w:b w:val="1"/>
                <w:bCs w:val="1"/>
                <w:color w:val="021496"/>
              </w:rPr>
              <w:t>have increased annually over</w:t>
            </w:r>
          </w:p>
        </w:tc>
        <w:tc>
          <w:tcPr>
            <w:tcW w:w="0" w:type="dxa"/>
            <w:vAlign w:val="bottom"/>
          </w:tcPr>
          <w:p>
            <w:pPr>
              <w:spacing w:after="0"/>
              <w:rPr>
                <w:sz w:val="1"/>
                <w:szCs w:val="1"/>
                <w:color w:val="auto"/>
              </w:rPr>
            </w:pPr>
          </w:p>
        </w:tc>
      </w:tr>
      <w:tr>
        <w:trPr>
          <w:trHeight w:val="213"/>
        </w:trPr>
        <w:tc>
          <w:tcPr>
            <w:tcW w:w="2760" w:type="dxa"/>
            <w:vAlign w:val="bottom"/>
            <w:tcBorders>
              <w:right w:val="single" w:sz="8" w:color="021496"/>
            </w:tcBorders>
            <w:shd w:val="clear" w:color="auto" w:fill="EAEFED"/>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6"/>
                <w:szCs w:val="16"/>
                <w:b w:val="1"/>
                <w:bCs w:val="1"/>
                <w:color w:val="021496"/>
              </w:rPr>
              <w:t>each of the last 66 years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41"/>
        </w:trPr>
        <w:tc>
          <w:tcPr>
            <w:tcW w:w="2760" w:type="dxa"/>
            <w:vAlign w:val="bottom"/>
            <w:tcBorders>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9"/>
              </w:rPr>
              <w:t>Capital Allocation</w:t>
            </w:r>
          </w:p>
        </w:tc>
        <w:tc>
          <w:tcPr>
            <w:tcW w:w="8180" w:type="dxa"/>
            <w:vAlign w:val="bottom"/>
          </w:tcPr>
          <w:p>
            <w:pPr>
              <w:ind w:left="100"/>
              <w:spacing w:after="0"/>
              <w:rPr>
                <w:sz w:val="20"/>
                <w:szCs w:val="20"/>
                <w:color w:val="auto"/>
              </w:rPr>
            </w:pPr>
            <w:r>
              <w:rPr>
                <w:rFonts w:ascii="Arial" w:cs="Arial" w:eastAsia="Arial" w:hAnsi="Arial"/>
                <w:sz w:val="16"/>
                <w:szCs w:val="16"/>
                <w:color w:val="auto"/>
              </w:rPr>
              <w:t xml:space="preserve">•   We also undertake opportunistic </w:t>
            </w:r>
            <w:r>
              <w:rPr>
                <w:rFonts w:ascii="Arial" w:cs="Arial" w:eastAsia="Arial" w:hAnsi="Arial"/>
                <w:sz w:val="16"/>
                <w:szCs w:val="16"/>
                <w:b w:val="1"/>
                <w:bCs w:val="1"/>
                <w:color w:val="021496"/>
              </w:rPr>
              <w:t>share repurchases</w:t>
            </w:r>
            <w:r>
              <w:rPr>
                <w:rFonts w:ascii="Arial" w:cs="Arial" w:eastAsia="Arial" w:hAnsi="Arial"/>
                <w:sz w:val="16"/>
                <w:szCs w:val="16"/>
                <w:color w:val="auto"/>
              </w:rPr>
              <w:t xml:space="preserve"> as part of our capital allocation strategy, completing</w:t>
            </w:r>
          </w:p>
        </w:tc>
        <w:tc>
          <w:tcPr>
            <w:tcW w:w="0" w:type="dxa"/>
            <w:vAlign w:val="bottom"/>
          </w:tcPr>
          <w:p>
            <w:pPr>
              <w:spacing w:after="0"/>
              <w:rPr>
                <w:sz w:val="1"/>
                <w:szCs w:val="1"/>
                <w:color w:val="auto"/>
              </w:rPr>
            </w:pPr>
          </w:p>
        </w:tc>
      </w:tr>
      <w:tr>
        <w:trPr>
          <w:trHeight w:val="133"/>
        </w:trPr>
        <w:tc>
          <w:tcPr>
            <w:tcW w:w="2760" w:type="dxa"/>
            <w:vAlign w:val="bottom"/>
            <w:tcBorders>
              <w:right w:val="single" w:sz="8" w:color="021496"/>
            </w:tcBorders>
            <w:vMerge w:val="continue"/>
            <w:shd w:val="clear" w:color="auto" w:fill="EAEFED"/>
          </w:tcPr>
          <w:p>
            <w:pPr>
              <w:spacing w:after="0"/>
              <w:rPr>
                <w:sz w:val="11"/>
                <w:szCs w:val="11"/>
                <w:color w:val="auto"/>
              </w:rPr>
            </w:pPr>
          </w:p>
        </w:tc>
        <w:tc>
          <w:tcPr>
            <w:tcW w:w="8180" w:type="dxa"/>
            <w:vAlign w:val="bottom"/>
            <w:vMerge w:val="restart"/>
          </w:tcPr>
          <w:p>
            <w:pPr>
              <w:ind w:left="420"/>
              <w:spacing w:after="0"/>
              <w:rPr>
                <w:sz w:val="20"/>
                <w:szCs w:val="20"/>
                <w:color w:val="auto"/>
              </w:rPr>
            </w:pPr>
            <w:r>
              <w:rPr>
                <w:rFonts w:ascii="Arial" w:cs="Arial" w:eastAsia="Arial" w:hAnsi="Arial"/>
                <w:sz w:val="16"/>
                <w:szCs w:val="16"/>
                <w:b w:val="1"/>
                <w:bCs w:val="1"/>
                <w:color w:val="021496"/>
              </w:rPr>
              <w:t>$21.6 million of share repurchases in 2021 and $106.3 million in 2020</w:t>
            </w:r>
            <w:r>
              <w:rPr>
                <w:rFonts w:ascii="Arial" w:cs="Arial" w:eastAsia="Arial" w:hAnsi="Arial"/>
                <w:sz w:val="16"/>
                <w:szCs w:val="16"/>
                <w:b w:val="1"/>
                <w:bCs w:val="1"/>
                <w:color w:val="000000"/>
              </w:rPr>
              <w:t>.</w:t>
            </w:r>
          </w:p>
        </w:tc>
        <w:tc>
          <w:tcPr>
            <w:tcW w:w="0" w:type="dxa"/>
            <w:vAlign w:val="bottom"/>
          </w:tcPr>
          <w:p>
            <w:pPr>
              <w:spacing w:after="0"/>
              <w:rPr>
                <w:sz w:val="1"/>
                <w:szCs w:val="1"/>
                <w:color w:val="auto"/>
              </w:rPr>
            </w:pPr>
          </w:p>
        </w:tc>
      </w:tr>
      <w:tr>
        <w:trPr>
          <w:trHeight w:val="80"/>
        </w:trPr>
        <w:tc>
          <w:tcPr>
            <w:tcW w:w="2760" w:type="dxa"/>
            <w:vAlign w:val="bottom"/>
            <w:tcBorders>
              <w:right w:val="single" w:sz="8" w:color="021496"/>
            </w:tcBorders>
            <w:shd w:val="clear" w:color="auto" w:fill="EAEFED"/>
          </w:tcPr>
          <w:p>
            <w:pPr>
              <w:spacing w:after="0"/>
              <w:rPr>
                <w:sz w:val="6"/>
                <w:szCs w:val="6"/>
                <w:color w:val="auto"/>
              </w:rPr>
            </w:pPr>
          </w:p>
        </w:tc>
        <w:tc>
          <w:tcPr>
            <w:tcW w:w="8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760" w:type="dxa"/>
            <w:vAlign w:val="bottom"/>
            <w:tcBorders>
              <w:right w:val="single" w:sz="8" w:color="021496"/>
            </w:tcBorders>
            <w:shd w:val="clear" w:color="auto" w:fill="EAEFED"/>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6"/>
                <w:szCs w:val="16"/>
                <w:color w:val="auto"/>
              </w:rPr>
              <w:t>•   We made $171.5 million in capital expenditures in 2021, representing 2.2% of revenue, and $165.7 million in</w:t>
            </w:r>
          </w:p>
        </w:tc>
        <w:tc>
          <w:tcPr>
            <w:tcW w:w="0" w:type="dxa"/>
            <w:vAlign w:val="bottom"/>
          </w:tcPr>
          <w:p>
            <w:pPr>
              <w:spacing w:after="0"/>
              <w:rPr>
                <w:sz w:val="1"/>
                <w:szCs w:val="1"/>
                <w:color w:val="auto"/>
              </w:rPr>
            </w:pPr>
          </w:p>
        </w:tc>
      </w:tr>
      <w:tr>
        <w:trPr>
          <w:trHeight w:val="187"/>
        </w:trPr>
        <w:tc>
          <w:tcPr>
            <w:tcW w:w="2760" w:type="dxa"/>
            <w:vAlign w:val="bottom"/>
            <w:tcBorders>
              <w:right w:val="single" w:sz="8" w:color="021496"/>
            </w:tcBorders>
            <w:shd w:val="clear" w:color="auto" w:fill="EAEFED"/>
          </w:tcPr>
          <w:p>
            <w:pPr>
              <w:spacing w:after="0"/>
              <w:rPr>
                <w:sz w:val="16"/>
                <w:szCs w:val="16"/>
                <w:color w:val="auto"/>
              </w:rPr>
            </w:pPr>
          </w:p>
        </w:tc>
        <w:tc>
          <w:tcPr>
            <w:tcW w:w="8180" w:type="dxa"/>
            <w:vAlign w:val="bottom"/>
          </w:tcPr>
          <w:p>
            <w:pPr>
              <w:ind w:left="420"/>
              <w:spacing w:after="0"/>
              <w:rPr>
                <w:sz w:val="20"/>
                <w:szCs w:val="20"/>
                <w:color w:val="auto"/>
              </w:rPr>
            </w:pPr>
            <w:r>
              <w:rPr>
                <w:rFonts w:ascii="Arial" w:cs="Arial" w:eastAsia="Arial" w:hAnsi="Arial"/>
                <w:sz w:val="16"/>
                <w:szCs w:val="16"/>
                <w:color w:val="auto"/>
              </w:rPr>
              <w:t xml:space="preserve">capital expenditures in 2020, representing 2.5% of revenue, in line with our priority of </w:t>
            </w:r>
            <w:r>
              <w:rPr>
                <w:rFonts w:ascii="Arial" w:cs="Arial" w:eastAsia="Arial" w:hAnsi="Arial"/>
                <w:sz w:val="16"/>
                <w:szCs w:val="16"/>
                <w:b w:val="1"/>
                <w:bCs w:val="1"/>
                <w:color w:val="021496"/>
              </w:rPr>
              <w:t>organic reinvestment</w:t>
            </w:r>
          </w:p>
        </w:tc>
        <w:tc>
          <w:tcPr>
            <w:tcW w:w="0" w:type="dxa"/>
            <w:vAlign w:val="bottom"/>
          </w:tcPr>
          <w:p>
            <w:pPr>
              <w:spacing w:after="0"/>
              <w:rPr>
                <w:sz w:val="1"/>
                <w:szCs w:val="1"/>
                <w:color w:val="auto"/>
              </w:rPr>
            </w:pPr>
          </w:p>
        </w:tc>
      </w:tr>
      <w:tr>
        <w:trPr>
          <w:trHeight w:val="213"/>
        </w:trPr>
        <w:tc>
          <w:tcPr>
            <w:tcW w:w="2760" w:type="dxa"/>
            <w:vAlign w:val="bottom"/>
            <w:tcBorders>
              <w:right w:val="single" w:sz="8" w:color="021496"/>
            </w:tcBorders>
            <w:shd w:val="clear" w:color="auto" w:fill="EAEFED"/>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6"/>
                <w:szCs w:val="16"/>
                <w:b w:val="1"/>
                <w:bCs w:val="1"/>
                <w:color w:val="021496"/>
              </w:rPr>
              <w:t>to grow and strengthen our existing businesses</w:t>
            </w:r>
            <w:r>
              <w:rPr>
                <w:rFonts w:ascii="Arial" w:cs="Arial" w:eastAsia="Arial" w:hAnsi="Arial"/>
                <w:sz w:val="16"/>
                <w:szCs w:val="16"/>
                <w:b w:val="1"/>
                <w:bCs w:val="1"/>
                <w:color w:val="000000"/>
              </w:rPr>
              <w:t>.</w:t>
            </w:r>
          </w:p>
        </w:tc>
        <w:tc>
          <w:tcPr>
            <w:tcW w:w="0" w:type="dxa"/>
            <w:vAlign w:val="bottom"/>
          </w:tcPr>
          <w:p>
            <w:pPr>
              <w:spacing w:after="0"/>
              <w:rPr>
                <w:sz w:val="1"/>
                <w:szCs w:val="1"/>
                <w:color w:val="auto"/>
              </w:rPr>
            </w:pPr>
          </w:p>
        </w:tc>
      </w:tr>
      <w:tr>
        <w:trPr>
          <w:trHeight w:val="241"/>
        </w:trPr>
        <w:tc>
          <w:tcPr>
            <w:tcW w:w="2760" w:type="dxa"/>
            <w:vAlign w:val="bottom"/>
            <w:tcBorders>
              <w:right w:val="single" w:sz="8" w:color="021496"/>
            </w:tcBorders>
            <w:shd w:val="clear" w:color="auto" w:fill="EAEFED"/>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6"/>
                <w:szCs w:val="16"/>
                <w:color w:val="auto"/>
              </w:rPr>
              <w:t xml:space="preserve">•   We employ a </w:t>
            </w:r>
            <w:r>
              <w:rPr>
                <w:rFonts w:ascii="Arial" w:cs="Arial" w:eastAsia="Arial" w:hAnsi="Arial"/>
                <w:sz w:val="16"/>
                <w:szCs w:val="16"/>
                <w:b w:val="1"/>
                <w:bCs w:val="1"/>
                <w:color w:val="021496"/>
              </w:rPr>
              <w:t>prudent financial policy</w:t>
            </w:r>
            <w:r>
              <w:rPr>
                <w:rFonts w:ascii="Arial" w:cs="Arial" w:eastAsia="Arial" w:hAnsi="Arial"/>
                <w:sz w:val="16"/>
                <w:szCs w:val="16"/>
                <w:color w:val="auto"/>
              </w:rPr>
              <w:t xml:space="preserve"> to support our capital allocation strategy, which includes maintaining</w:t>
            </w:r>
          </w:p>
        </w:tc>
        <w:tc>
          <w:tcPr>
            <w:tcW w:w="0" w:type="dxa"/>
            <w:vAlign w:val="bottom"/>
          </w:tcPr>
          <w:p>
            <w:pPr>
              <w:spacing w:after="0"/>
              <w:rPr>
                <w:sz w:val="1"/>
                <w:szCs w:val="1"/>
                <w:color w:val="auto"/>
              </w:rPr>
            </w:pPr>
          </w:p>
        </w:tc>
      </w:tr>
      <w:tr>
        <w:trPr>
          <w:trHeight w:val="213"/>
        </w:trPr>
        <w:tc>
          <w:tcPr>
            <w:tcW w:w="2760" w:type="dxa"/>
            <w:vAlign w:val="bottom"/>
            <w:tcBorders>
              <w:right w:val="single" w:sz="8" w:color="021496"/>
            </w:tcBorders>
            <w:shd w:val="clear" w:color="auto" w:fill="EAEFED"/>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auto"/>
              </w:rPr>
              <w:t>i</w:t>
            </w:r>
            <w:r>
              <w:rPr>
                <w:rFonts w:ascii="Arial" w:cs="Arial" w:eastAsia="Arial" w:hAnsi="Arial"/>
                <w:sz w:val="16"/>
                <w:szCs w:val="16"/>
                <w:b w:val="1"/>
                <w:bCs w:val="1"/>
                <w:color w:val="021496"/>
              </w:rPr>
              <w:t>nvestment grade credit rating</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6"/>
        </w:trPr>
        <w:tc>
          <w:tcPr>
            <w:tcW w:w="2760" w:type="dxa"/>
            <w:vAlign w:val="bottom"/>
            <w:tcBorders>
              <w:bottom w:val="single" w:sz="8" w:color="021496"/>
              <w:right w:val="single" w:sz="8" w:color="021496"/>
            </w:tcBorders>
            <w:shd w:val="clear" w:color="auto" w:fill="EAEFED"/>
          </w:tcPr>
          <w:p>
            <w:pPr>
              <w:spacing w:after="0"/>
              <w:rPr>
                <w:sz w:val="7"/>
                <w:szCs w:val="7"/>
                <w:color w:val="auto"/>
              </w:rPr>
            </w:pPr>
          </w:p>
        </w:tc>
        <w:tc>
          <w:tcPr>
            <w:tcW w:w="8180" w:type="dxa"/>
            <w:vAlign w:val="bottom"/>
            <w:tcBorders>
              <w:bottom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760" w:type="dxa"/>
            <w:vAlign w:val="bottom"/>
            <w:tcBorders>
              <w:right w:val="single" w:sz="8" w:color="021496"/>
            </w:tcBorders>
            <w:shd w:val="clear" w:color="auto" w:fill="EAEFED"/>
          </w:tcPr>
          <w:p>
            <w:pPr>
              <w:spacing w:after="0"/>
              <w:rPr>
                <w:sz w:val="22"/>
                <w:szCs w:val="22"/>
                <w:color w:val="auto"/>
              </w:rPr>
            </w:pPr>
          </w:p>
        </w:tc>
        <w:tc>
          <w:tcPr>
            <w:tcW w:w="8180" w:type="dxa"/>
            <w:vAlign w:val="bottom"/>
          </w:tcPr>
          <w:p>
            <w:pPr>
              <w:ind w:left="100"/>
              <w:spacing w:after="0"/>
              <w:rPr>
                <w:sz w:val="20"/>
                <w:szCs w:val="20"/>
                <w:color w:val="auto"/>
              </w:rPr>
            </w:pPr>
            <w:r>
              <w:rPr>
                <w:rFonts w:ascii="Arial" w:cs="Arial" w:eastAsia="Arial" w:hAnsi="Arial"/>
                <w:sz w:val="16"/>
                <w:szCs w:val="16"/>
                <w:color w:val="auto"/>
              </w:rPr>
              <w:t xml:space="preserve">•   Businesses in our portfolio are continually evaluated for </w:t>
            </w:r>
            <w:r>
              <w:rPr>
                <w:rFonts w:ascii="Arial" w:cs="Arial" w:eastAsia="Arial" w:hAnsi="Arial"/>
                <w:sz w:val="16"/>
                <w:szCs w:val="16"/>
                <w:b w:val="1"/>
                <w:bCs w:val="1"/>
                <w:color w:val="021496"/>
              </w:rPr>
              <w:t>strategic fit</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1"/>
        </w:trPr>
        <w:tc>
          <w:tcPr>
            <w:tcW w:w="2760" w:type="dxa"/>
            <w:vAlign w:val="bottom"/>
            <w:tcBorders>
              <w:right w:val="single" w:sz="8" w:color="021496"/>
            </w:tcBorders>
            <w:shd w:val="clear" w:color="auto" w:fill="EAEFED"/>
          </w:tcPr>
          <w:p>
            <w:pPr>
              <w:spacing w:after="0"/>
              <w:rPr>
                <w:sz w:val="20"/>
                <w:szCs w:val="20"/>
                <w:color w:val="auto"/>
              </w:rPr>
            </w:pPr>
          </w:p>
        </w:tc>
        <w:tc>
          <w:tcPr>
            <w:tcW w:w="8180" w:type="dxa"/>
            <w:vAlign w:val="bottom"/>
          </w:tcPr>
          <w:p>
            <w:pPr>
              <w:ind w:left="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021496"/>
              </w:rPr>
              <w:t>We seek to deploy capital in acquisitions in attractive growth areas across our five segments</w:t>
            </w:r>
            <w:r>
              <w:rPr>
                <w:rFonts w:ascii="Arial" w:cs="Arial" w:eastAsia="Arial" w:hAnsi="Arial"/>
                <w:sz w:val="16"/>
                <w:szCs w:val="16"/>
                <w:color w:val="auto"/>
              </w:rPr>
              <w:t>. We</w:t>
            </w:r>
          </w:p>
        </w:tc>
        <w:tc>
          <w:tcPr>
            <w:tcW w:w="0" w:type="dxa"/>
            <w:vAlign w:val="bottom"/>
          </w:tcPr>
          <w:p>
            <w:pPr>
              <w:spacing w:after="0"/>
              <w:rPr>
                <w:sz w:val="1"/>
                <w:szCs w:val="1"/>
                <w:color w:val="auto"/>
              </w:rPr>
            </w:pPr>
          </w:p>
        </w:tc>
      </w:tr>
      <w:tr>
        <w:trPr>
          <w:trHeight w:val="187"/>
        </w:trPr>
        <w:tc>
          <w:tcPr>
            <w:tcW w:w="2760" w:type="dxa"/>
            <w:vAlign w:val="bottom"/>
            <w:tcBorders>
              <w:right w:val="single" w:sz="8" w:color="021496"/>
            </w:tcBorders>
            <w:shd w:val="clear" w:color="auto" w:fill="EAEFED"/>
          </w:tcPr>
          <w:p>
            <w:pPr>
              <w:spacing w:after="0"/>
              <w:rPr>
                <w:sz w:val="16"/>
                <w:szCs w:val="16"/>
                <w:color w:val="auto"/>
              </w:rPr>
            </w:pPr>
          </w:p>
        </w:tc>
        <w:tc>
          <w:tcPr>
            <w:tcW w:w="8180" w:type="dxa"/>
            <w:vAlign w:val="bottom"/>
          </w:tcPr>
          <w:p>
            <w:pPr>
              <w:ind w:left="420"/>
              <w:spacing w:after="0"/>
              <w:rPr>
                <w:sz w:val="20"/>
                <w:szCs w:val="20"/>
                <w:color w:val="auto"/>
              </w:rPr>
            </w:pPr>
            <w:r>
              <w:rPr>
                <w:rFonts w:ascii="Arial" w:cs="Arial" w:eastAsia="Arial" w:hAnsi="Arial"/>
                <w:sz w:val="16"/>
                <w:szCs w:val="16"/>
                <w:color w:val="auto"/>
              </w:rPr>
              <w:t xml:space="preserve">focus primarily on bolt-on acquisitions, </w:t>
            </w:r>
            <w:r>
              <w:rPr>
                <w:rFonts w:ascii="Arial" w:cs="Arial" w:eastAsia="Arial" w:hAnsi="Arial"/>
                <w:sz w:val="16"/>
                <w:szCs w:val="16"/>
                <w:b w:val="1"/>
                <w:bCs w:val="1"/>
                <w:color w:val="021496"/>
              </w:rPr>
              <w:t>applying strict selection criteria of market attractiveness</w:t>
            </w:r>
          </w:p>
        </w:tc>
        <w:tc>
          <w:tcPr>
            <w:tcW w:w="0" w:type="dxa"/>
            <w:vAlign w:val="bottom"/>
          </w:tcPr>
          <w:p>
            <w:pPr>
              <w:spacing w:after="0"/>
              <w:rPr>
                <w:sz w:val="1"/>
                <w:szCs w:val="1"/>
                <w:color w:val="auto"/>
              </w:rPr>
            </w:pPr>
          </w:p>
        </w:tc>
      </w:tr>
      <w:tr>
        <w:trPr>
          <w:trHeight w:val="207"/>
        </w:trPr>
        <w:tc>
          <w:tcPr>
            <w:tcW w:w="2760" w:type="dxa"/>
            <w:vAlign w:val="bottom"/>
            <w:tcBorders>
              <w:right w:val="single" w:sz="8" w:color="021496"/>
            </w:tcBorders>
            <w:shd w:val="clear" w:color="auto" w:fill="EAEFED"/>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6"/>
                <w:szCs w:val="16"/>
                <w:color w:val="auto"/>
              </w:rPr>
              <w:t xml:space="preserve">(including growth, market landscape, and performance-based competition), </w:t>
            </w:r>
            <w:r>
              <w:rPr>
                <w:rFonts w:ascii="Arial" w:cs="Arial" w:eastAsia="Arial" w:hAnsi="Arial"/>
                <w:sz w:val="16"/>
                <w:szCs w:val="16"/>
                <w:b w:val="1"/>
                <w:bCs w:val="1"/>
                <w:color w:val="021496"/>
              </w:rPr>
              <w:t>business fit</w:t>
            </w:r>
            <w:r>
              <w:rPr>
                <w:rFonts w:ascii="Arial" w:cs="Arial" w:eastAsia="Arial" w:hAnsi="Arial"/>
                <w:sz w:val="16"/>
                <w:szCs w:val="16"/>
                <w:color w:val="auto"/>
              </w:rPr>
              <w:t xml:space="preserve"> (including</w:t>
            </w:r>
          </w:p>
        </w:tc>
        <w:tc>
          <w:tcPr>
            <w:tcW w:w="0" w:type="dxa"/>
            <w:vAlign w:val="bottom"/>
          </w:tcPr>
          <w:p>
            <w:pPr>
              <w:spacing w:after="0"/>
              <w:rPr>
                <w:sz w:val="1"/>
                <w:szCs w:val="1"/>
                <w:color w:val="auto"/>
              </w:rPr>
            </w:pPr>
          </w:p>
        </w:tc>
      </w:tr>
      <w:tr>
        <w:trPr>
          <w:trHeight w:val="167"/>
        </w:trPr>
        <w:tc>
          <w:tcPr>
            <w:tcW w:w="2760" w:type="dxa"/>
            <w:vAlign w:val="bottom"/>
            <w:tcBorders>
              <w:right w:val="single" w:sz="8" w:color="021496"/>
            </w:tcBorders>
            <w:shd w:val="clear" w:color="auto" w:fill="EAEFED"/>
          </w:tcPr>
          <w:p>
            <w:pPr>
              <w:spacing w:after="0"/>
              <w:rPr>
                <w:sz w:val="14"/>
                <w:szCs w:val="14"/>
                <w:color w:val="auto"/>
              </w:rPr>
            </w:pPr>
          </w:p>
        </w:tc>
        <w:tc>
          <w:tcPr>
            <w:tcW w:w="8180" w:type="dxa"/>
            <w:vAlign w:val="bottom"/>
          </w:tcPr>
          <w:p>
            <w:pPr>
              <w:ind w:left="420"/>
              <w:spacing w:after="0" w:line="168" w:lineRule="exact"/>
              <w:rPr>
                <w:sz w:val="20"/>
                <w:szCs w:val="20"/>
                <w:color w:val="auto"/>
              </w:rPr>
            </w:pPr>
            <w:r>
              <w:rPr>
                <w:rFonts w:ascii="Arial" w:cs="Arial" w:eastAsia="Arial" w:hAnsi="Arial"/>
                <w:sz w:val="16"/>
                <w:szCs w:val="16"/>
                <w:color w:val="auto"/>
              </w:rPr>
              <w:t>sustained leading position, revenue visibility, and favorable customer value-add versus switching cost or</w:t>
            </w:r>
          </w:p>
        </w:tc>
        <w:tc>
          <w:tcPr>
            <w:tcW w:w="0" w:type="dxa"/>
            <w:vAlign w:val="bottom"/>
          </w:tcPr>
          <w:p>
            <w:pPr>
              <w:spacing w:after="0"/>
              <w:rPr>
                <w:sz w:val="1"/>
                <w:szCs w:val="1"/>
                <w:color w:val="auto"/>
              </w:rPr>
            </w:pPr>
          </w:p>
        </w:tc>
      </w:tr>
      <w:tr>
        <w:trPr>
          <w:trHeight w:val="213"/>
        </w:trPr>
        <w:tc>
          <w:tcPr>
            <w:tcW w:w="2760" w:type="dxa"/>
            <w:vAlign w:val="bottom"/>
            <w:tcBorders>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Portfolio</w:t>
            </w:r>
          </w:p>
        </w:tc>
        <w:tc>
          <w:tcPr>
            <w:tcW w:w="8180" w:type="dxa"/>
            <w:vAlign w:val="bottom"/>
          </w:tcPr>
          <w:p>
            <w:pPr>
              <w:ind w:left="420"/>
              <w:spacing w:after="0"/>
              <w:rPr>
                <w:sz w:val="20"/>
                <w:szCs w:val="20"/>
                <w:color w:val="auto"/>
              </w:rPr>
            </w:pPr>
            <w:r>
              <w:rPr>
                <w:rFonts w:ascii="Arial" w:cs="Arial" w:eastAsia="Arial" w:hAnsi="Arial"/>
                <w:sz w:val="16"/>
                <w:szCs w:val="16"/>
                <w:color w:val="auto"/>
              </w:rPr>
              <w:t xml:space="preserve">risk) and </w:t>
            </w:r>
            <w:r>
              <w:rPr>
                <w:rFonts w:ascii="Arial" w:cs="Arial" w:eastAsia="Arial" w:hAnsi="Arial"/>
                <w:sz w:val="16"/>
                <w:szCs w:val="16"/>
                <w:b w:val="1"/>
                <w:bCs w:val="1"/>
                <w:color w:val="021496"/>
              </w:rPr>
              <w:t>financial return profile</w:t>
            </w:r>
            <w:r>
              <w:rPr>
                <w:rFonts w:ascii="Arial" w:cs="Arial" w:eastAsia="Arial" w:hAnsi="Arial"/>
                <w:sz w:val="16"/>
                <w:szCs w:val="16"/>
                <w:color w:val="auto"/>
              </w:rPr>
              <w:t xml:space="preserve"> (accretive growth and margins and double-digit return on invested capital).</w:t>
            </w:r>
          </w:p>
        </w:tc>
        <w:tc>
          <w:tcPr>
            <w:tcW w:w="0" w:type="dxa"/>
            <w:vAlign w:val="bottom"/>
          </w:tcPr>
          <w:p>
            <w:pPr>
              <w:spacing w:after="0"/>
              <w:rPr>
                <w:sz w:val="1"/>
                <w:szCs w:val="1"/>
                <w:color w:val="auto"/>
              </w:rPr>
            </w:pPr>
          </w:p>
        </w:tc>
      </w:tr>
      <w:tr>
        <w:trPr>
          <w:trHeight w:val="108"/>
        </w:trPr>
        <w:tc>
          <w:tcPr>
            <w:tcW w:w="2760" w:type="dxa"/>
            <w:vAlign w:val="bottom"/>
            <w:tcBorders>
              <w:right w:val="single" w:sz="8" w:color="021496"/>
            </w:tcBorders>
            <w:vMerge w:val="continue"/>
            <w:shd w:val="clear" w:color="auto" w:fill="EAEFED"/>
          </w:tcPr>
          <w:p>
            <w:pPr>
              <w:spacing w:after="0"/>
              <w:rPr>
                <w:sz w:val="9"/>
                <w:szCs w:val="9"/>
                <w:color w:val="auto"/>
              </w:rPr>
            </w:pPr>
          </w:p>
        </w:tc>
        <w:tc>
          <w:tcPr>
            <w:tcW w:w="818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We have </w:t>
            </w:r>
            <w:r>
              <w:rPr>
                <w:rFonts w:ascii="Arial" w:cs="Arial" w:eastAsia="Arial" w:hAnsi="Arial"/>
                <w:sz w:val="16"/>
                <w:szCs w:val="16"/>
                <w:b w:val="1"/>
                <w:bCs w:val="1"/>
                <w:color w:val="021496"/>
              </w:rPr>
              <w:t>sold or divested some of our businesses</w:t>
            </w:r>
            <w:r>
              <w:rPr>
                <w:rFonts w:ascii="Arial" w:cs="Arial" w:eastAsia="Arial" w:hAnsi="Arial"/>
                <w:sz w:val="16"/>
                <w:szCs w:val="16"/>
                <w:color w:val="auto"/>
              </w:rPr>
              <w:t xml:space="preserve"> based on changes in specific market outlook,</w:t>
            </w:r>
          </w:p>
        </w:tc>
        <w:tc>
          <w:tcPr>
            <w:tcW w:w="0" w:type="dxa"/>
            <w:vAlign w:val="bottom"/>
          </w:tcPr>
          <w:p>
            <w:pPr>
              <w:spacing w:after="0"/>
              <w:rPr>
                <w:sz w:val="1"/>
                <w:szCs w:val="1"/>
                <w:color w:val="auto"/>
              </w:rPr>
            </w:pPr>
          </w:p>
        </w:tc>
      </w:tr>
      <w:tr>
        <w:trPr>
          <w:trHeight w:val="154"/>
        </w:trPr>
        <w:tc>
          <w:tcPr>
            <w:tcW w:w="2760" w:type="dxa"/>
            <w:vAlign w:val="bottom"/>
            <w:tcBorders>
              <w:right w:val="single" w:sz="8" w:color="021496"/>
            </w:tcBorders>
            <w:vMerge w:val="restart"/>
            <w:shd w:val="clear" w:color="auto" w:fill="EAEFED"/>
          </w:tcPr>
          <w:p>
            <w:pPr>
              <w:jc w:val="center"/>
              <w:ind w:left="20"/>
              <w:spacing w:after="0"/>
              <w:rPr>
                <w:sz w:val="20"/>
                <w:szCs w:val="20"/>
                <w:color w:val="auto"/>
              </w:rPr>
            </w:pPr>
            <w:r>
              <w:rPr>
                <w:rFonts w:ascii="Arial" w:cs="Arial" w:eastAsia="Arial" w:hAnsi="Arial"/>
                <w:sz w:val="16"/>
                <w:szCs w:val="16"/>
                <w:b w:val="1"/>
                <w:bCs w:val="1"/>
                <w:color w:val="auto"/>
              </w:rPr>
              <w:t>Management</w:t>
            </w:r>
          </w:p>
        </w:tc>
        <w:tc>
          <w:tcPr>
            <w:tcW w:w="8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2760" w:type="dxa"/>
            <w:vAlign w:val="bottom"/>
            <w:tcBorders>
              <w:right w:val="single" w:sz="8" w:color="021496"/>
            </w:tcBorders>
            <w:vMerge w:val="continue"/>
            <w:shd w:val="clear" w:color="auto" w:fill="EAEFED"/>
          </w:tcPr>
          <w:p>
            <w:pPr>
              <w:spacing w:after="0"/>
              <w:rPr>
                <w:sz w:val="5"/>
                <w:szCs w:val="5"/>
                <w:color w:val="auto"/>
              </w:rPr>
            </w:pPr>
          </w:p>
        </w:tc>
        <w:tc>
          <w:tcPr>
            <w:tcW w:w="8180" w:type="dxa"/>
            <w:vAlign w:val="bottom"/>
            <w:vMerge w:val="restart"/>
          </w:tcPr>
          <w:p>
            <w:pPr>
              <w:ind w:left="420"/>
              <w:spacing w:after="0"/>
              <w:rPr>
                <w:sz w:val="20"/>
                <w:szCs w:val="20"/>
                <w:color w:val="auto"/>
              </w:rPr>
            </w:pPr>
            <w:r>
              <w:rPr>
                <w:rFonts w:ascii="Arial" w:cs="Arial" w:eastAsia="Arial" w:hAnsi="Arial"/>
                <w:sz w:val="16"/>
                <w:szCs w:val="16"/>
                <w:color w:val="auto"/>
              </w:rPr>
              <w:t>structural changes in financial performance, value-creation potential, or for other strategic considerations,</w:t>
            </w:r>
          </w:p>
        </w:tc>
        <w:tc>
          <w:tcPr>
            <w:tcW w:w="0" w:type="dxa"/>
            <w:vAlign w:val="bottom"/>
          </w:tcPr>
          <w:p>
            <w:pPr>
              <w:spacing w:after="0"/>
              <w:rPr>
                <w:sz w:val="1"/>
                <w:szCs w:val="1"/>
                <w:color w:val="auto"/>
              </w:rPr>
            </w:pPr>
          </w:p>
        </w:tc>
      </w:tr>
      <w:tr>
        <w:trPr>
          <w:trHeight w:val="128"/>
        </w:trPr>
        <w:tc>
          <w:tcPr>
            <w:tcW w:w="2760" w:type="dxa"/>
            <w:vAlign w:val="bottom"/>
            <w:tcBorders>
              <w:right w:val="single" w:sz="8" w:color="021496"/>
            </w:tcBorders>
            <w:shd w:val="clear" w:color="auto" w:fill="EAEFED"/>
          </w:tcPr>
          <w:p>
            <w:pPr>
              <w:spacing w:after="0"/>
              <w:rPr>
                <w:sz w:val="11"/>
                <w:szCs w:val="11"/>
                <w:color w:val="auto"/>
              </w:rPr>
            </w:pPr>
          </w:p>
        </w:tc>
        <w:tc>
          <w:tcPr>
            <w:tcW w:w="8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760" w:type="dxa"/>
            <w:vAlign w:val="bottom"/>
            <w:tcBorders>
              <w:right w:val="single" w:sz="8" w:color="021496"/>
            </w:tcBorders>
            <w:shd w:val="clear" w:color="auto" w:fill="EAEFED"/>
          </w:tcPr>
          <w:p>
            <w:pPr>
              <w:spacing w:after="0"/>
              <w:rPr>
                <w:sz w:val="16"/>
                <w:szCs w:val="16"/>
                <w:color w:val="auto"/>
              </w:rPr>
            </w:pPr>
          </w:p>
        </w:tc>
        <w:tc>
          <w:tcPr>
            <w:tcW w:w="8180" w:type="dxa"/>
            <w:vAlign w:val="bottom"/>
          </w:tcPr>
          <w:p>
            <w:pPr>
              <w:ind w:left="420"/>
              <w:spacing w:after="0"/>
              <w:rPr>
                <w:sz w:val="20"/>
                <w:szCs w:val="20"/>
                <w:color w:val="auto"/>
              </w:rPr>
            </w:pPr>
            <w:r>
              <w:rPr>
                <w:rFonts w:ascii="Arial" w:cs="Arial" w:eastAsia="Arial" w:hAnsi="Arial"/>
                <w:sz w:val="16"/>
                <w:szCs w:val="16"/>
                <w:color w:val="auto"/>
              </w:rPr>
              <w:t>which included an effort to reduce our exposure to cyclical markets or focus on our higher margin growth</w:t>
            </w:r>
          </w:p>
        </w:tc>
        <w:tc>
          <w:tcPr>
            <w:tcW w:w="0" w:type="dxa"/>
            <w:vAlign w:val="bottom"/>
          </w:tcPr>
          <w:p>
            <w:pPr>
              <w:spacing w:after="0"/>
              <w:rPr>
                <w:sz w:val="1"/>
                <w:szCs w:val="1"/>
                <w:color w:val="auto"/>
              </w:rPr>
            </w:pPr>
          </w:p>
        </w:tc>
      </w:tr>
      <w:tr>
        <w:trPr>
          <w:trHeight w:val="193"/>
        </w:trPr>
        <w:tc>
          <w:tcPr>
            <w:tcW w:w="2760" w:type="dxa"/>
            <w:vAlign w:val="bottom"/>
            <w:tcBorders>
              <w:right w:val="single" w:sz="8" w:color="021496"/>
            </w:tcBorders>
            <w:shd w:val="clear" w:color="auto" w:fill="EAEFED"/>
          </w:tcPr>
          <w:p>
            <w:pPr>
              <w:spacing w:after="0"/>
              <w:rPr>
                <w:sz w:val="16"/>
                <w:szCs w:val="16"/>
                <w:color w:val="auto"/>
              </w:rPr>
            </w:pPr>
          </w:p>
        </w:tc>
        <w:tc>
          <w:tcPr>
            <w:tcW w:w="8180" w:type="dxa"/>
            <w:vAlign w:val="bottom"/>
          </w:tcPr>
          <w:p>
            <w:pPr>
              <w:ind w:left="420"/>
              <w:spacing w:after="0"/>
              <w:rPr>
                <w:sz w:val="20"/>
                <w:szCs w:val="20"/>
                <w:color w:val="auto"/>
              </w:rPr>
            </w:pPr>
            <w:r>
              <w:rPr>
                <w:rFonts w:ascii="Arial" w:cs="Arial" w:eastAsia="Arial" w:hAnsi="Arial"/>
                <w:sz w:val="16"/>
                <w:szCs w:val="16"/>
                <w:color w:val="auto"/>
              </w:rPr>
              <w:t>spaces.</w:t>
            </w:r>
          </w:p>
        </w:tc>
        <w:tc>
          <w:tcPr>
            <w:tcW w:w="0" w:type="dxa"/>
            <w:vAlign w:val="bottom"/>
          </w:tcPr>
          <w:p>
            <w:pPr>
              <w:spacing w:after="0"/>
              <w:rPr>
                <w:sz w:val="1"/>
                <w:szCs w:val="1"/>
                <w:color w:val="auto"/>
              </w:rPr>
            </w:pPr>
          </w:p>
        </w:tc>
      </w:tr>
      <w:tr>
        <w:trPr>
          <w:trHeight w:val="261"/>
        </w:trPr>
        <w:tc>
          <w:tcPr>
            <w:tcW w:w="2760" w:type="dxa"/>
            <w:vAlign w:val="bottom"/>
            <w:tcBorders>
              <w:right w:val="single" w:sz="8" w:color="021496"/>
            </w:tcBorders>
            <w:shd w:val="clear" w:color="auto" w:fill="EAEFED"/>
          </w:tcPr>
          <w:p>
            <w:pPr>
              <w:spacing w:after="0"/>
              <w:rPr>
                <w:sz w:val="22"/>
                <w:szCs w:val="22"/>
                <w:color w:val="auto"/>
              </w:rPr>
            </w:pPr>
          </w:p>
        </w:tc>
        <w:tc>
          <w:tcPr>
            <w:tcW w:w="8180" w:type="dxa"/>
            <w:vAlign w:val="bottom"/>
          </w:tcPr>
          <w:p>
            <w:pPr>
              <w:ind w:left="100"/>
              <w:spacing w:after="0"/>
              <w:rPr>
                <w:sz w:val="20"/>
                <w:szCs w:val="20"/>
                <w:color w:val="auto"/>
              </w:rPr>
            </w:pPr>
            <w:r>
              <w:rPr>
                <w:rFonts w:ascii="Arial" w:cs="Arial" w:eastAsia="Arial" w:hAnsi="Arial"/>
                <w:sz w:val="16"/>
                <w:szCs w:val="16"/>
                <w:color w:val="auto"/>
              </w:rPr>
              <w:t>•   In recognition of recent portfolio changes, we recently changed the name of the Fueling Solutions segment</w:t>
            </w:r>
          </w:p>
        </w:tc>
        <w:tc>
          <w:tcPr>
            <w:tcW w:w="0" w:type="dxa"/>
            <w:vAlign w:val="bottom"/>
          </w:tcPr>
          <w:p>
            <w:pPr>
              <w:spacing w:after="0"/>
              <w:rPr>
                <w:sz w:val="1"/>
                <w:szCs w:val="1"/>
                <w:color w:val="auto"/>
              </w:rPr>
            </w:pPr>
          </w:p>
        </w:tc>
      </w:tr>
      <w:tr>
        <w:trPr>
          <w:trHeight w:val="187"/>
        </w:trPr>
        <w:tc>
          <w:tcPr>
            <w:tcW w:w="2760" w:type="dxa"/>
            <w:vAlign w:val="bottom"/>
            <w:tcBorders>
              <w:right w:val="single" w:sz="8" w:color="021496"/>
            </w:tcBorders>
            <w:shd w:val="clear" w:color="auto" w:fill="EAEFED"/>
          </w:tcPr>
          <w:p>
            <w:pPr>
              <w:spacing w:after="0"/>
              <w:rPr>
                <w:sz w:val="16"/>
                <w:szCs w:val="16"/>
                <w:color w:val="auto"/>
              </w:rPr>
            </w:pPr>
          </w:p>
        </w:tc>
        <w:tc>
          <w:tcPr>
            <w:tcW w:w="8180" w:type="dxa"/>
            <w:vAlign w:val="bottom"/>
          </w:tcPr>
          <w:p>
            <w:pPr>
              <w:ind w:left="420"/>
              <w:spacing w:after="0"/>
              <w:rPr>
                <w:sz w:val="20"/>
                <w:szCs w:val="20"/>
                <w:color w:val="auto"/>
              </w:rPr>
            </w:pPr>
            <w:r>
              <w:rPr>
                <w:rFonts w:ascii="Arial" w:cs="Arial" w:eastAsia="Arial" w:hAnsi="Arial"/>
                <w:sz w:val="16"/>
                <w:szCs w:val="16"/>
                <w:color w:val="auto"/>
              </w:rPr>
              <w:t>to “Clean Energy &amp; Fueling,” and the Refrigeration &amp; Food Equipment segment to “Climate &amp; Sustainability</w:t>
            </w:r>
          </w:p>
        </w:tc>
        <w:tc>
          <w:tcPr>
            <w:tcW w:w="0" w:type="dxa"/>
            <w:vAlign w:val="bottom"/>
          </w:tcPr>
          <w:p>
            <w:pPr>
              <w:spacing w:after="0"/>
              <w:rPr>
                <w:sz w:val="1"/>
                <w:szCs w:val="1"/>
                <w:color w:val="auto"/>
              </w:rPr>
            </w:pPr>
          </w:p>
        </w:tc>
      </w:tr>
      <w:tr>
        <w:trPr>
          <w:trHeight w:val="193"/>
        </w:trPr>
        <w:tc>
          <w:tcPr>
            <w:tcW w:w="2760" w:type="dxa"/>
            <w:vAlign w:val="bottom"/>
            <w:tcBorders>
              <w:right w:val="single" w:sz="8" w:color="021496"/>
            </w:tcBorders>
            <w:shd w:val="clear" w:color="auto" w:fill="EAEFED"/>
          </w:tcPr>
          <w:p>
            <w:pPr>
              <w:spacing w:after="0"/>
              <w:rPr>
                <w:sz w:val="16"/>
                <w:szCs w:val="16"/>
                <w:color w:val="auto"/>
              </w:rPr>
            </w:pPr>
          </w:p>
        </w:tc>
        <w:tc>
          <w:tcPr>
            <w:tcW w:w="8180" w:type="dxa"/>
            <w:vAlign w:val="bottom"/>
          </w:tcPr>
          <w:p>
            <w:pPr>
              <w:ind w:left="420"/>
              <w:spacing w:after="0"/>
              <w:rPr>
                <w:sz w:val="20"/>
                <w:szCs w:val="20"/>
                <w:color w:val="auto"/>
              </w:rPr>
            </w:pPr>
            <w:r>
              <w:rPr>
                <w:rFonts w:ascii="Arial" w:cs="Arial" w:eastAsia="Arial" w:hAnsi="Arial"/>
                <w:sz w:val="16"/>
                <w:szCs w:val="16"/>
                <w:color w:val="auto"/>
              </w:rPr>
              <w:t>Technologies” to better reflect the markets and customers served by the businesses within these segments.</w:t>
            </w:r>
          </w:p>
        </w:tc>
        <w:tc>
          <w:tcPr>
            <w:tcW w:w="0" w:type="dxa"/>
            <w:vAlign w:val="bottom"/>
          </w:tcPr>
          <w:p>
            <w:pPr>
              <w:spacing w:after="0"/>
              <w:rPr>
                <w:sz w:val="1"/>
                <w:szCs w:val="1"/>
                <w:color w:val="auto"/>
              </w:rPr>
            </w:pPr>
          </w:p>
        </w:tc>
      </w:tr>
      <w:tr>
        <w:trPr>
          <w:trHeight w:val="86"/>
        </w:trPr>
        <w:tc>
          <w:tcPr>
            <w:tcW w:w="2760" w:type="dxa"/>
            <w:vAlign w:val="bottom"/>
            <w:tcBorders>
              <w:bottom w:val="single" w:sz="8" w:color="021496"/>
              <w:right w:val="single" w:sz="8" w:color="021496"/>
            </w:tcBorders>
            <w:shd w:val="clear" w:color="auto" w:fill="EAEFED"/>
          </w:tcPr>
          <w:p>
            <w:pPr>
              <w:spacing w:after="0"/>
              <w:rPr>
                <w:sz w:val="7"/>
                <w:szCs w:val="7"/>
                <w:color w:val="auto"/>
              </w:rPr>
            </w:pPr>
          </w:p>
        </w:tc>
        <w:tc>
          <w:tcPr>
            <w:tcW w:w="8180" w:type="dxa"/>
            <w:vAlign w:val="bottom"/>
            <w:tcBorders>
              <w:bottom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2760" w:type="dxa"/>
            <w:vAlign w:val="bottom"/>
          </w:tcPr>
          <w:p>
            <w:pPr>
              <w:spacing w:after="0"/>
              <w:rPr>
                <w:sz w:val="24"/>
                <w:szCs w:val="24"/>
                <w:color w:val="auto"/>
              </w:rPr>
            </w:pPr>
          </w:p>
        </w:tc>
        <w:tc>
          <w:tcPr>
            <w:tcW w:w="8180" w:type="dxa"/>
            <w:vAlign w:val="bottom"/>
          </w:tcPr>
          <w:p>
            <w:pPr>
              <w:ind w:left="436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23</w:t>
            </w:r>
          </w:p>
        </w:tc>
        <w:tc>
          <w:tcPr>
            <w:tcW w:w="0" w:type="dxa"/>
            <w:vAlign w:val="bottom"/>
          </w:tcPr>
          <w:p>
            <w:pPr>
              <w:spacing w:after="0"/>
              <w:rPr>
                <w:sz w:val="1"/>
                <w:szCs w:val="1"/>
                <w:color w:val="auto"/>
              </w:rPr>
            </w:pPr>
          </w:p>
        </w:tc>
      </w:tr>
    </w:tbl>
    <w:p>
      <w:pPr>
        <w:sectPr>
          <w:pgSz w:w="11900" w:h="16838" w:orient="portrait"/>
          <w:cols w:equalWidth="0" w:num="1">
            <w:col w:w="11100"/>
          </w:cols>
          <w:pgMar w:left="320" w:top="456"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68" w:lineRule="exact"/>
        <w:rPr>
          <w:sz w:val="20"/>
          <w:szCs w:val="20"/>
          <w:color w:val="auto"/>
        </w:rPr>
      </w:pPr>
    </w:p>
    <w:tbl>
      <w:tblPr>
        <w:tblLayout w:type="fixed"/>
        <w:tblInd w:w="170" w:type="dxa"/>
        <w:tblCellMar>
          <w:top w:w="0" w:type="dxa"/>
          <w:left w:w="0" w:type="dxa"/>
          <w:bottom w:w="0" w:type="dxa"/>
          <w:right w:w="0" w:type="dxa"/>
        </w:tblCellMar>
      </w:tblPr>
      <w:tr>
        <w:trPr>
          <w:trHeight w:val="241"/>
        </w:trPr>
        <w:tc>
          <w:tcPr>
            <w:tcW w:w="2760" w:type="dxa"/>
            <w:vAlign w:val="bottom"/>
            <w:tcBorders>
              <w:left w:val="single" w:sz="8" w:color="021496"/>
              <w:right w:val="single" w:sz="8" w:color="021496"/>
            </w:tcBorders>
            <w:shd w:val="clear" w:color="auto" w:fill="021496"/>
          </w:tcPr>
          <w:p>
            <w:pPr>
              <w:spacing w:after="0"/>
              <w:rPr>
                <w:sz w:val="20"/>
                <w:szCs w:val="20"/>
                <w:color w:val="auto"/>
              </w:rPr>
            </w:pPr>
          </w:p>
        </w:tc>
        <w:tc>
          <w:tcPr>
            <w:tcW w:w="8180" w:type="dxa"/>
            <w:vAlign w:val="bottom"/>
            <w:tcBorders>
              <w:right w:val="single" w:sz="8" w:color="021496"/>
            </w:tcBorders>
            <w:shd w:val="clear" w:color="auto" w:fill="021496"/>
          </w:tcPr>
          <w:p>
            <w:pPr>
              <w:ind w:left="1360"/>
              <w:spacing w:after="0"/>
              <w:rPr>
                <w:sz w:val="20"/>
                <w:szCs w:val="20"/>
                <w:color w:val="auto"/>
              </w:rPr>
            </w:pPr>
            <w:r>
              <w:rPr>
                <w:rFonts w:ascii="Arial" w:cs="Arial" w:eastAsia="Arial" w:hAnsi="Arial"/>
                <w:sz w:val="16"/>
                <w:szCs w:val="16"/>
                <w:b w:val="1"/>
                <w:bCs w:val="1"/>
                <w:color w:val="FFFFFF"/>
              </w:rPr>
              <w:t>KEY AREAS OF BOARD OVERSIGHT</w:t>
            </w:r>
          </w:p>
        </w:tc>
        <w:tc>
          <w:tcPr>
            <w:tcW w:w="0" w:type="dxa"/>
            <w:vAlign w:val="bottom"/>
          </w:tcPr>
          <w:p>
            <w:pPr>
              <w:spacing w:after="0"/>
              <w:rPr>
                <w:sz w:val="1"/>
                <w:szCs w:val="1"/>
                <w:color w:val="auto"/>
              </w:rPr>
            </w:pPr>
          </w:p>
        </w:tc>
      </w:tr>
      <w:tr>
        <w:trPr>
          <w:trHeight w:val="236"/>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Our Board has established a </w:t>
            </w:r>
            <w:r>
              <w:rPr>
                <w:rFonts w:ascii="Arial" w:cs="Arial" w:eastAsia="Arial" w:hAnsi="Arial"/>
                <w:sz w:val="16"/>
                <w:szCs w:val="16"/>
                <w:b w:val="1"/>
                <w:bCs w:val="1"/>
                <w:color w:val="021496"/>
              </w:rPr>
              <w:t>comprehensive enterprise risk management process to identify and</w:t>
            </w:r>
          </w:p>
        </w:tc>
        <w:tc>
          <w:tcPr>
            <w:tcW w:w="0" w:type="dxa"/>
            <w:vAlign w:val="bottom"/>
          </w:tcPr>
          <w:p>
            <w:pPr>
              <w:spacing w:after="0"/>
              <w:rPr>
                <w:sz w:val="1"/>
                <w:szCs w:val="1"/>
                <w:color w:val="auto"/>
              </w:rPr>
            </w:pPr>
          </w:p>
        </w:tc>
      </w:tr>
      <w:tr>
        <w:trPr>
          <w:trHeight w:val="207"/>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manage risks</w:t>
            </w:r>
            <w:r>
              <w:rPr>
                <w:rFonts w:ascii="Arial" w:cs="Arial" w:eastAsia="Arial" w:hAnsi="Arial"/>
                <w:sz w:val="16"/>
                <w:szCs w:val="16"/>
                <w:color w:val="000000"/>
              </w:rPr>
              <w:t>, and periodically reviews the processes established by management to identify and manage</w:t>
            </w:r>
          </w:p>
        </w:tc>
        <w:tc>
          <w:tcPr>
            <w:tcW w:w="0" w:type="dxa"/>
            <w:vAlign w:val="bottom"/>
          </w:tcPr>
          <w:p>
            <w:pPr>
              <w:spacing w:after="0"/>
              <w:rPr>
                <w:sz w:val="1"/>
                <w:szCs w:val="1"/>
                <w:color w:val="auto"/>
              </w:rPr>
            </w:pPr>
          </w:p>
        </w:tc>
      </w:tr>
      <w:tr>
        <w:trPr>
          <w:trHeight w:val="193"/>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risks and communicates with management about these processes.</w:t>
            </w:r>
          </w:p>
        </w:tc>
        <w:tc>
          <w:tcPr>
            <w:tcW w:w="0" w:type="dxa"/>
            <w:vAlign w:val="bottom"/>
          </w:tcPr>
          <w:p>
            <w:pPr>
              <w:spacing w:after="0"/>
              <w:rPr>
                <w:sz w:val="1"/>
                <w:szCs w:val="1"/>
                <w:color w:val="auto"/>
              </w:rPr>
            </w:pPr>
          </w:p>
        </w:tc>
      </w:tr>
      <w:tr>
        <w:trPr>
          <w:trHeight w:val="219"/>
        </w:trPr>
        <w:tc>
          <w:tcPr>
            <w:tcW w:w="2760" w:type="dxa"/>
            <w:vAlign w:val="bottom"/>
            <w:tcBorders>
              <w:left w:val="single" w:sz="8" w:color="021496"/>
              <w:right w:val="single" w:sz="8" w:color="021496"/>
            </w:tcBorders>
            <w:shd w:val="clear" w:color="auto" w:fill="EAEFED"/>
          </w:tcPr>
          <w:p>
            <w:pPr>
              <w:jc w:val="center"/>
              <w:ind w:left="20"/>
              <w:spacing w:after="0"/>
              <w:rPr>
                <w:sz w:val="20"/>
                <w:szCs w:val="20"/>
                <w:color w:val="auto"/>
              </w:rPr>
            </w:pPr>
            <w:r>
              <w:rPr>
                <w:rFonts w:ascii="Arial" w:cs="Arial" w:eastAsia="Arial" w:hAnsi="Arial"/>
                <w:sz w:val="16"/>
                <w:szCs w:val="16"/>
                <w:b w:val="1"/>
                <w:bCs w:val="1"/>
                <w:color w:val="auto"/>
              </w:rPr>
              <w:t>Risk</w:t>
            </w: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We have </w:t>
            </w:r>
            <w:r>
              <w:rPr>
                <w:rFonts w:ascii="Arial" w:cs="Arial" w:eastAsia="Arial" w:hAnsi="Arial"/>
                <w:sz w:val="16"/>
                <w:szCs w:val="16"/>
                <w:b w:val="1"/>
                <w:bCs w:val="1"/>
                <w:color w:val="021496"/>
              </w:rPr>
              <w:t>established a risk assessment team</w:t>
            </w:r>
            <w:r>
              <w:rPr>
                <w:rFonts w:ascii="Arial" w:cs="Arial" w:eastAsia="Arial" w:hAnsi="Arial"/>
                <w:sz w:val="16"/>
                <w:szCs w:val="16"/>
                <w:color w:val="auto"/>
              </w:rPr>
              <w:t xml:space="preserve"> consisting of senior executives, which annually, with the</w:t>
            </w:r>
          </w:p>
        </w:tc>
        <w:tc>
          <w:tcPr>
            <w:tcW w:w="0" w:type="dxa"/>
            <w:vAlign w:val="bottom"/>
          </w:tcPr>
          <w:p>
            <w:pPr>
              <w:spacing w:after="0"/>
              <w:rPr>
                <w:sz w:val="1"/>
                <w:szCs w:val="1"/>
                <w:color w:val="auto"/>
              </w:rPr>
            </w:pPr>
          </w:p>
        </w:tc>
      </w:tr>
      <w:tr>
        <w:trPr>
          <w:trHeight w:val="229"/>
        </w:trPr>
        <w:tc>
          <w:tcPr>
            <w:tcW w:w="2760" w:type="dxa"/>
            <w:vAlign w:val="bottom"/>
            <w:tcBorders>
              <w:left w:val="single" w:sz="8" w:color="021496"/>
              <w:right w:val="single" w:sz="8" w:color="021496"/>
            </w:tcBorders>
            <w:shd w:val="clear" w:color="auto" w:fill="EAEFED"/>
          </w:tcPr>
          <w:p>
            <w:pPr>
              <w:jc w:val="center"/>
              <w:ind w:left="20"/>
              <w:spacing w:after="0"/>
              <w:rPr>
                <w:sz w:val="20"/>
                <w:szCs w:val="20"/>
                <w:color w:val="auto"/>
              </w:rPr>
            </w:pPr>
            <w:r>
              <w:rPr>
                <w:rFonts w:ascii="Arial" w:cs="Arial" w:eastAsia="Arial" w:hAnsi="Arial"/>
                <w:sz w:val="16"/>
                <w:szCs w:val="16"/>
                <w:b w:val="1"/>
                <w:bCs w:val="1"/>
                <w:color w:val="auto"/>
              </w:rPr>
              <w:t>Management</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assistance of a consultant, oversees a risk assessment made at the corporate center, segment and</w:t>
            </w:r>
          </w:p>
        </w:tc>
        <w:tc>
          <w:tcPr>
            <w:tcW w:w="0" w:type="dxa"/>
            <w:vAlign w:val="bottom"/>
          </w:tcPr>
          <w:p>
            <w:pPr>
              <w:spacing w:after="0"/>
              <w:rPr>
                <w:sz w:val="1"/>
                <w:szCs w:val="1"/>
                <w:color w:val="auto"/>
              </w:rPr>
            </w:pPr>
          </w:p>
        </w:tc>
      </w:tr>
      <w:tr>
        <w:trPr>
          <w:trHeight w:val="167"/>
        </w:trPr>
        <w:tc>
          <w:tcPr>
            <w:tcW w:w="2760" w:type="dxa"/>
            <w:vAlign w:val="bottom"/>
            <w:tcBorders>
              <w:left w:val="single" w:sz="8" w:color="021496"/>
              <w:right w:val="single" w:sz="8" w:color="021496"/>
            </w:tcBorders>
            <w:shd w:val="clear" w:color="auto" w:fill="EAEFED"/>
          </w:tcPr>
          <w:p>
            <w:pPr>
              <w:spacing w:after="0"/>
              <w:rPr>
                <w:sz w:val="14"/>
                <w:szCs w:val="14"/>
                <w:color w:val="auto"/>
              </w:rPr>
            </w:pPr>
          </w:p>
        </w:tc>
        <w:tc>
          <w:tcPr>
            <w:tcW w:w="8180" w:type="dxa"/>
            <w:vAlign w:val="bottom"/>
            <w:tcBorders>
              <w:right w:val="single" w:sz="8" w:color="021496"/>
            </w:tcBorders>
          </w:tcPr>
          <w:p>
            <w:pPr>
              <w:ind w:left="420"/>
              <w:spacing w:after="0" w:line="168" w:lineRule="exact"/>
              <w:rPr>
                <w:sz w:val="20"/>
                <w:szCs w:val="20"/>
                <w:color w:val="auto"/>
              </w:rPr>
            </w:pPr>
            <w:r>
              <w:rPr>
                <w:rFonts w:ascii="Arial" w:cs="Arial" w:eastAsia="Arial" w:hAnsi="Arial"/>
                <w:sz w:val="16"/>
                <w:szCs w:val="16"/>
                <w:color w:val="auto"/>
              </w:rPr>
              <w:t>operating company levels and, with that information in mind, performs an assessment of the overall risks our</w:t>
            </w:r>
          </w:p>
        </w:tc>
        <w:tc>
          <w:tcPr>
            <w:tcW w:w="0" w:type="dxa"/>
            <w:vAlign w:val="bottom"/>
          </w:tcPr>
          <w:p>
            <w:pPr>
              <w:spacing w:after="0"/>
              <w:rPr>
                <w:sz w:val="1"/>
                <w:szCs w:val="1"/>
                <w:color w:val="auto"/>
              </w:rPr>
            </w:pPr>
          </w:p>
        </w:tc>
      </w:tr>
      <w:tr>
        <w:trPr>
          <w:trHeight w:val="207"/>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 xml:space="preserve">company may face and </w:t>
            </w:r>
            <w:r>
              <w:rPr>
                <w:rFonts w:ascii="Arial" w:cs="Arial" w:eastAsia="Arial" w:hAnsi="Arial"/>
                <w:sz w:val="16"/>
                <w:szCs w:val="16"/>
                <w:b w:val="1"/>
                <w:bCs w:val="1"/>
                <w:color w:val="021496"/>
              </w:rPr>
              <w:t>reports to the Board</w:t>
            </w:r>
            <w:r>
              <w:rPr>
                <w:rFonts w:ascii="Arial" w:cs="Arial" w:eastAsia="Arial" w:hAnsi="Arial"/>
                <w:sz w:val="16"/>
                <w:szCs w:val="16"/>
                <w:color w:val="auto"/>
              </w:rPr>
              <w:t xml:space="preserve"> on that assessment. Each quarter, this team reassesses the</w:t>
            </w:r>
          </w:p>
        </w:tc>
        <w:tc>
          <w:tcPr>
            <w:tcW w:w="0" w:type="dxa"/>
            <w:vAlign w:val="bottom"/>
          </w:tcPr>
          <w:p>
            <w:pPr>
              <w:spacing w:after="0"/>
              <w:rPr>
                <w:sz w:val="1"/>
                <w:szCs w:val="1"/>
                <w:color w:val="auto"/>
              </w:rPr>
            </w:pPr>
          </w:p>
        </w:tc>
      </w:tr>
      <w:tr>
        <w:trPr>
          <w:trHeight w:val="193"/>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risks, the severity of these risks, and the status of efforts to mitigate them.</w:t>
            </w:r>
          </w:p>
        </w:tc>
        <w:tc>
          <w:tcPr>
            <w:tcW w:w="0" w:type="dxa"/>
            <w:vAlign w:val="bottom"/>
          </w:tcPr>
          <w:p>
            <w:pPr>
              <w:spacing w:after="0"/>
              <w:rPr>
                <w:sz w:val="1"/>
                <w:szCs w:val="1"/>
                <w:color w:val="auto"/>
              </w:rPr>
            </w:pPr>
          </w:p>
        </w:tc>
      </w:tr>
      <w:tr>
        <w:trPr>
          <w:trHeight w:val="86"/>
        </w:trPr>
        <w:tc>
          <w:tcPr>
            <w:tcW w:w="2760" w:type="dxa"/>
            <w:vAlign w:val="bottom"/>
            <w:tcBorders>
              <w:left w:val="single" w:sz="8" w:color="021496"/>
              <w:bottom w:val="single" w:sz="8" w:color="auto"/>
              <w:right w:val="single" w:sz="8" w:color="021496"/>
            </w:tcBorders>
            <w:shd w:val="clear" w:color="auto" w:fill="EAEFED"/>
          </w:tcPr>
          <w:p>
            <w:pPr>
              <w:spacing w:after="0"/>
              <w:rPr>
                <w:sz w:val="7"/>
                <w:szCs w:val="7"/>
                <w:color w:val="auto"/>
              </w:rPr>
            </w:pPr>
          </w:p>
        </w:tc>
        <w:tc>
          <w:tcPr>
            <w:tcW w:w="8180" w:type="dxa"/>
            <w:vAlign w:val="bottom"/>
            <w:tcBorders>
              <w:bottom w:val="single" w:sz="8" w:color="auto"/>
              <w:right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760" w:type="dxa"/>
            <w:vAlign w:val="bottom"/>
            <w:tcBorders>
              <w:left w:val="single" w:sz="8" w:color="021496"/>
              <w:right w:val="single" w:sz="8" w:color="021496"/>
            </w:tcBorders>
            <w:shd w:val="clear" w:color="auto" w:fill="EAEFED"/>
          </w:tcPr>
          <w:p>
            <w:pPr>
              <w:spacing w:after="0"/>
              <w:rPr>
                <w:sz w:val="21"/>
                <w:szCs w:val="21"/>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The </w:t>
            </w:r>
            <w:r>
              <w:rPr>
                <w:rFonts w:ascii="Arial" w:cs="Arial" w:eastAsia="Arial" w:hAnsi="Arial"/>
                <w:sz w:val="16"/>
                <w:szCs w:val="16"/>
                <w:b w:val="1"/>
                <w:bCs w:val="1"/>
                <w:color w:val="021496"/>
              </w:rPr>
              <w:t>full Board has oversight of ESG matters</w:t>
            </w:r>
            <w:r>
              <w:rPr>
                <w:rFonts w:ascii="Arial" w:cs="Arial" w:eastAsia="Arial" w:hAnsi="Arial"/>
                <w:sz w:val="16"/>
                <w:szCs w:val="16"/>
                <w:color w:val="auto"/>
              </w:rPr>
              <w:t xml:space="preserve"> and is regularly briefed on strategic planning, risks, and</w:t>
            </w:r>
          </w:p>
        </w:tc>
        <w:tc>
          <w:tcPr>
            <w:tcW w:w="0" w:type="dxa"/>
            <w:vAlign w:val="bottom"/>
          </w:tcPr>
          <w:p>
            <w:pPr>
              <w:spacing w:after="0"/>
              <w:rPr>
                <w:sz w:val="1"/>
                <w:szCs w:val="1"/>
                <w:color w:val="auto"/>
              </w:rPr>
            </w:pPr>
          </w:p>
        </w:tc>
      </w:tr>
      <w:tr>
        <w:trPr>
          <w:trHeight w:val="193"/>
        </w:trPr>
        <w:tc>
          <w:tcPr>
            <w:tcW w:w="2760" w:type="dxa"/>
            <w:vAlign w:val="bottom"/>
            <w:tcBorders>
              <w:left w:val="single" w:sz="8" w:color="021496"/>
              <w:right w:val="single" w:sz="8" w:color="021496"/>
            </w:tcBorders>
            <w:vMerge w:val="restart"/>
            <w:shd w:val="clear" w:color="auto" w:fill="EAEFED"/>
          </w:tcPr>
          <w:p>
            <w:pPr>
              <w:ind w:left="1320"/>
              <w:spacing w:after="0"/>
              <w:rPr>
                <w:sz w:val="20"/>
                <w:szCs w:val="20"/>
                <w:color w:val="auto"/>
              </w:rPr>
            </w:pPr>
            <w:r>
              <w:rPr>
                <w:rFonts w:ascii="Arial" w:cs="Arial" w:eastAsia="Arial" w:hAnsi="Arial"/>
                <w:sz w:val="16"/>
                <w:szCs w:val="16"/>
                <w:b w:val="1"/>
                <w:bCs w:val="1"/>
                <w:color w:val="auto"/>
              </w:rPr>
              <w:t>ESG</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opportunities related to ESG by senior management, including our CEO.</w:t>
            </w:r>
          </w:p>
        </w:tc>
        <w:tc>
          <w:tcPr>
            <w:tcW w:w="0" w:type="dxa"/>
            <w:vAlign w:val="bottom"/>
          </w:tcPr>
          <w:p>
            <w:pPr>
              <w:spacing w:after="0"/>
              <w:rPr>
                <w:sz w:val="1"/>
                <w:szCs w:val="1"/>
                <w:color w:val="auto"/>
              </w:rPr>
            </w:pPr>
          </w:p>
        </w:tc>
      </w:tr>
      <w:tr>
        <w:trPr>
          <w:trHeight w:val="147"/>
        </w:trPr>
        <w:tc>
          <w:tcPr>
            <w:tcW w:w="2760" w:type="dxa"/>
            <w:vAlign w:val="bottom"/>
            <w:tcBorders>
              <w:left w:val="single" w:sz="8" w:color="021496"/>
              <w:right w:val="single" w:sz="8" w:color="021496"/>
            </w:tcBorders>
            <w:vMerge w:val="continue"/>
            <w:shd w:val="clear" w:color="auto" w:fill="EAEFED"/>
          </w:tcPr>
          <w:p>
            <w:pPr>
              <w:spacing w:after="0"/>
              <w:rPr>
                <w:sz w:val="12"/>
                <w:szCs w:val="12"/>
                <w:color w:val="auto"/>
              </w:rPr>
            </w:pPr>
          </w:p>
        </w:tc>
        <w:tc>
          <w:tcPr>
            <w:tcW w:w="818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6"/>
                <w:szCs w:val="16"/>
                <w:color w:val="auto"/>
              </w:rPr>
              <w:t xml:space="preserve">•   Our Compensation Committee has </w:t>
            </w:r>
            <w:r>
              <w:rPr>
                <w:rFonts w:ascii="Arial" w:cs="Arial" w:eastAsia="Arial" w:hAnsi="Arial"/>
                <w:sz w:val="16"/>
                <w:szCs w:val="16"/>
                <w:b w:val="1"/>
                <w:bCs w:val="1"/>
                <w:color w:val="021496"/>
              </w:rPr>
              <w:t>integrated ESG oversight responsibility into our CEO’s individual</w:t>
            </w:r>
          </w:p>
        </w:tc>
        <w:tc>
          <w:tcPr>
            <w:tcW w:w="0" w:type="dxa"/>
            <w:vAlign w:val="bottom"/>
          </w:tcPr>
          <w:p>
            <w:pPr>
              <w:spacing w:after="0"/>
              <w:rPr>
                <w:sz w:val="1"/>
                <w:szCs w:val="1"/>
                <w:color w:val="auto"/>
              </w:rPr>
            </w:pPr>
          </w:p>
        </w:tc>
      </w:tr>
      <w:tr>
        <w:trPr>
          <w:trHeight w:val="94"/>
        </w:trPr>
        <w:tc>
          <w:tcPr>
            <w:tcW w:w="2760" w:type="dxa"/>
            <w:vAlign w:val="bottom"/>
            <w:tcBorders>
              <w:left w:val="single" w:sz="8" w:color="021496"/>
              <w:right w:val="single" w:sz="8" w:color="021496"/>
            </w:tcBorders>
            <w:shd w:val="clear" w:color="auto" w:fill="EAEFED"/>
          </w:tcPr>
          <w:p>
            <w:pPr>
              <w:spacing w:after="0"/>
              <w:rPr>
                <w:sz w:val="8"/>
                <w:szCs w:val="8"/>
                <w:color w:val="auto"/>
              </w:rPr>
            </w:pPr>
          </w:p>
        </w:tc>
        <w:tc>
          <w:tcPr>
            <w:tcW w:w="8180" w:type="dxa"/>
            <w:vAlign w:val="bottom"/>
            <w:tcBorders>
              <w:right w:val="single" w:sz="8" w:color="02149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 xml:space="preserve">strategic objectives </w:t>
            </w:r>
            <w:r>
              <w:rPr>
                <w:rFonts w:ascii="Arial" w:cs="Arial" w:eastAsia="Arial" w:hAnsi="Arial"/>
                <w:sz w:val="16"/>
                <w:szCs w:val="16"/>
                <w:color w:val="000000"/>
              </w:rPr>
              <w:t>within the AIP.</w:t>
            </w:r>
          </w:p>
        </w:tc>
        <w:tc>
          <w:tcPr>
            <w:tcW w:w="0" w:type="dxa"/>
            <w:vAlign w:val="bottom"/>
          </w:tcPr>
          <w:p>
            <w:pPr>
              <w:spacing w:after="0"/>
              <w:rPr>
                <w:sz w:val="1"/>
                <w:szCs w:val="1"/>
                <w:color w:val="auto"/>
              </w:rPr>
            </w:pPr>
          </w:p>
        </w:tc>
      </w:tr>
      <w:tr>
        <w:trPr>
          <w:trHeight w:val="86"/>
        </w:trPr>
        <w:tc>
          <w:tcPr>
            <w:tcW w:w="2760" w:type="dxa"/>
            <w:vAlign w:val="bottom"/>
            <w:tcBorders>
              <w:left w:val="single" w:sz="8" w:color="021496"/>
              <w:bottom w:val="single" w:sz="8" w:color="021496"/>
              <w:right w:val="single" w:sz="8" w:color="021496"/>
            </w:tcBorders>
            <w:shd w:val="clear" w:color="auto" w:fill="EAEFED"/>
          </w:tcPr>
          <w:p>
            <w:pPr>
              <w:spacing w:after="0"/>
              <w:rPr>
                <w:sz w:val="7"/>
                <w:szCs w:val="7"/>
                <w:color w:val="auto"/>
              </w:rPr>
            </w:pPr>
          </w:p>
        </w:tc>
        <w:tc>
          <w:tcPr>
            <w:tcW w:w="8180" w:type="dxa"/>
            <w:vAlign w:val="bottom"/>
            <w:tcBorders>
              <w:bottom w:val="single" w:sz="8" w:color="021496"/>
              <w:right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Our entrepreneurial culture depends upon an </w:t>
            </w:r>
            <w:r>
              <w:rPr>
                <w:rFonts w:ascii="Arial" w:cs="Arial" w:eastAsia="Arial" w:hAnsi="Arial"/>
                <w:sz w:val="16"/>
                <w:szCs w:val="16"/>
                <w:b w:val="1"/>
                <w:bCs w:val="1"/>
                <w:color w:val="021496"/>
              </w:rPr>
              <w:t>inclusive approach that values employees’ diversity and</w:t>
            </w:r>
          </w:p>
        </w:tc>
        <w:tc>
          <w:tcPr>
            <w:tcW w:w="0" w:type="dxa"/>
            <w:vAlign w:val="bottom"/>
          </w:tcPr>
          <w:p>
            <w:pPr>
              <w:spacing w:after="0"/>
              <w:rPr>
                <w:sz w:val="1"/>
                <w:szCs w:val="1"/>
                <w:color w:val="auto"/>
              </w:rPr>
            </w:pPr>
          </w:p>
        </w:tc>
      </w:tr>
      <w:tr>
        <w:trPr>
          <w:trHeight w:val="213"/>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contributions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61"/>
        </w:trPr>
        <w:tc>
          <w:tcPr>
            <w:tcW w:w="2760" w:type="dxa"/>
            <w:vAlign w:val="bottom"/>
            <w:tcBorders>
              <w:left w:val="single" w:sz="8" w:color="021496"/>
              <w:right w:val="single" w:sz="8" w:color="021496"/>
            </w:tcBorders>
            <w:shd w:val="clear" w:color="auto" w:fill="EAEFED"/>
          </w:tcPr>
          <w:p>
            <w:pPr>
              <w:spacing w:after="0"/>
              <w:rPr>
                <w:sz w:val="22"/>
                <w:szCs w:val="22"/>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We foster </w:t>
            </w:r>
            <w:r>
              <w:rPr>
                <w:rFonts w:ascii="Arial" w:cs="Arial" w:eastAsia="Arial" w:hAnsi="Arial"/>
                <w:sz w:val="16"/>
                <w:szCs w:val="16"/>
                <w:b w:val="1"/>
                <w:bCs w:val="1"/>
                <w:color w:val="021496"/>
              </w:rPr>
              <w:t>an operating culture with high ethical standards</w:t>
            </w:r>
            <w:r>
              <w:rPr>
                <w:rFonts w:ascii="Arial" w:cs="Arial" w:eastAsia="Arial" w:hAnsi="Arial"/>
                <w:sz w:val="16"/>
                <w:szCs w:val="16"/>
                <w:color w:val="auto"/>
              </w:rPr>
              <w:t xml:space="preserve"> that values accountability, rigor, trust,</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inclusion, respect, and open communication and is designed to encourage individual growth and operational</w:t>
            </w:r>
          </w:p>
        </w:tc>
        <w:tc>
          <w:tcPr>
            <w:tcW w:w="0" w:type="dxa"/>
            <w:vAlign w:val="bottom"/>
          </w:tcPr>
          <w:p>
            <w:pPr>
              <w:spacing w:after="0"/>
              <w:rPr>
                <w:sz w:val="1"/>
                <w:szCs w:val="1"/>
                <w:color w:val="auto"/>
              </w:rPr>
            </w:pPr>
          </w:p>
        </w:tc>
      </w:tr>
      <w:tr>
        <w:trPr>
          <w:trHeight w:val="167"/>
        </w:trPr>
        <w:tc>
          <w:tcPr>
            <w:tcW w:w="27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9"/>
              </w:rPr>
              <w:t>Culture &amp; Human</w:t>
            </w:r>
          </w:p>
        </w:tc>
        <w:tc>
          <w:tcPr>
            <w:tcW w:w="8180" w:type="dxa"/>
            <w:vAlign w:val="bottom"/>
            <w:tcBorders>
              <w:right w:val="single" w:sz="8" w:color="021496"/>
            </w:tcBorders>
          </w:tcPr>
          <w:p>
            <w:pPr>
              <w:ind w:left="420"/>
              <w:spacing w:after="0" w:line="168" w:lineRule="exact"/>
              <w:rPr>
                <w:sz w:val="20"/>
                <w:szCs w:val="20"/>
                <w:color w:val="auto"/>
              </w:rPr>
            </w:pPr>
            <w:r>
              <w:rPr>
                <w:rFonts w:ascii="Arial" w:cs="Arial" w:eastAsia="Arial" w:hAnsi="Arial"/>
                <w:sz w:val="16"/>
                <w:szCs w:val="16"/>
                <w:color w:val="auto"/>
              </w:rPr>
              <w:t>effectiveness. We continue to make significant investments in talent development, including in the areas of</w:t>
            </w:r>
          </w:p>
        </w:tc>
        <w:tc>
          <w:tcPr>
            <w:tcW w:w="0" w:type="dxa"/>
            <w:vAlign w:val="bottom"/>
          </w:tcPr>
          <w:p>
            <w:pPr>
              <w:spacing w:after="0"/>
              <w:rPr>
                <w:sz w:val="1"/>
                <w:szCs w:val="1"/>
                <w:color w:val="auto"/>
              </w:rPr>
            </w:pPr>
          </w:p>
        </w:tc>
      </w:tr>
      <w:tr>
        <w:trPr>
          <w:trHeight w:val="107"/>
        </w:trPr>
        <w:tc>
          <w:tcPr>
            <w:tcW w:w="2760" w:type="dxa"/>
            <w:vAlign w:val="bottom"/>
            <w:tcBorders>
              <w:left w:val="single" w:sz="8" w:color="021496"/>
              <w:right w:val="single" w:sz="8" w:color="021496"/>
            </w:tcBorders>
            <w:vMerge w:val="continue"/>
            <w:shd w:val="clear" w:color="auto" w:fill="EAEFED"/>
          </w:tcPr>
          <w:p>
            <w:pPr>
              <w:spacing w:after="0"/>
              <w:rPr>
                <w:sz w:val="9"/>
                <w:szCs w:val="9"/>
                <w:color w:val="auto"/>
              </w:rPr>
            </w:pPr>
          </w:p>
        </w:tc>
        <w:tc>
          <w:tcPr>
            <w:tcW w:w="8180" w:type="dxa"/>
            <w:vAlign w:val="bottom"/>
            <w:tcBorders>
              <w:right w:val="single" w:sz="8" w:color="021496"/>
            </w:tcBorders>
            <w:vMerge w:val="restart"/>
          </w:tcPr>
          <w:p>
            <w:pPr>
              <w:ind w:left="420"/>
              <w:spacing w:after="0"/>
              <w:rPr>
                <w:sz w:val="20"/>
                <w:szCs w:val="20"/>
                <w:color w:val="auto"/>
              </w:rPr>
            </w:pPr>
            <w:r>
              <w:rPr>
                <w:rFonts w:ascii="Arial" w:cs="Arial" w:eastAsia="Arial" w:hAnsi="Arial"/>
                <w:sz w:val="16"/>
                <w:szCs w:val="16"/>
                <w:color w:val="auto"/>
              </w:rPr>
              <w:t xml:space="preserve">digital applications and operational management, and </w:t>
            </w:r>
            <w:r>
              <w:rPr>
                <w:rFonts w:ascii="Arial" w:cs="Arial" w:eastAsia="Arial" w:hAnsi="Arial"/>
                <w:sz w:val="16"/>
                <w:szCs w:val="16"/>
                <w:b w:val="1"/>
                <w:bCs w:val="1"/>
                <w:color w:val="021496"/>
              </w:rPr>
              <w:t>recognize that the growth and development of our</w:t>
            </w:r>
          </w:p>
        </w:tc>
        <w:tc>
          <w:tcPr>
            <w:tcW w:w="0" w:type="dxa"/>
            <w:vAlign w:val="bottom"/>
          </w:tcPr>
          <w:p>
            <w:pPr>
              <w:spacing w:after="0"/>
              <w:rPr>
                <w:sz w:val="1"/>
                <w:szCs w:val="1"/>
                <w:color w:val="auto"/>
              </w:rPr>
            </w:pPr>
          </w:p>
        </w:tc>
      </w:tr>
      <w:tr>
        <w:trPr>
          <w:trHeight w:val="80"/>
        </w:trPr>
        <w:tc>
          <w:tcPr>
            <w:tcW w:w="27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Capital</w:t>
            </w:r>
          </w:p>
        </w:tc>
        <w:tc>
          <w:tcPr>
            <w:tcW w:w="8180" w:type="dxa"/>
            <w:vAlign w:val="bottom"/>
            <w:tcBorders>
              <w:right w:val="single" w:sz="8" w:color="02149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760" w:type="dxa"/>
            <w:vAlign w:val="bottom"/>
            <w:tcBorders>
              <w:left w:val="single" w:sz="8" w:color="021496"/>
              <w:right w:val="single" w:sz="8" w:color="021496"/>
            </w:tcBorders>
            <w:vMerge w:val="continue"/>
            <w:shd w:val="clear" w:color="auto" w:fill="EAEFED"/>
          </w:tcPr>
          <w:p>
            <w:pPr>
              <w:spacing w:after="0"/>
              <w:rPr>
                <w:sz w:val="9"/>
                <w:szCs w:val="9"/>
                <w:color w:val="auto"/>
              </w:rPr>
            </w:pPr>
          </w:p>
        </w:tc>
        <w:tc>
          <w:tcPr>
            <w:tcW w:w="8180" w:type="dxa"/>
            <w:vAlign w:val="bottom"/>
            <w:tcBorders>
              <w:right w:val="single" w:sz="8" w:color="021496"/>
            </w:tcBorders>
            <w:vMerge w:val="restart"/>
          </w:tcPr>
          <w:p>
            <w:pPr>
              <w:ind w:left="420"/>
              <w:spacing w:after="0"/>
              <w:rPr>
                <w:sz w:val="20"/>
                <w:szCs w:val="20"/>
                <w:color w:val="auto"/>
              </w:rPr>
            </w:pPr>
            <w:r>
              <w:rPr>
                <w:rFonts w:ascii="Arial" w:cs="Arial" w:eastAsia="Arial" w:hAnsi="Arial"/>
                <w:sz w:val="16"/>
                <w:szCs w:val="16"/>
                <w:b w:val="1"/>
                <w:bCs w:val="1"/>
                <w:color w:val="021496"/>
              </w:rPr>
              <w:t>employees is essential for our continued success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06"/>
        </w:trPr>
        <w:tc>
          <w:tcPr>
            <w:tcW w:w="27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Management</w:t>
            </w:r>
          </w:p>
        </w:tc>
        <w:tc>
          <w:tcPr>
            <w:tcW w:w="8180" w:type="dxa"/>
            <w:vAlign w:val="bottom"/>
            <w:tcBorders>
              <w:right w:val="single" w:sz="8" w:color="02149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760" w:type="dxa"/>
            <w:vAlign w:val="bottom"/>
            <w:tcBorders>
              <w:left w:val="single" w:sz="8" w:color="021496"/>
              <w:right w:val="single" w:sz="8" w:color="021496"/>
            </w:tcBorders>
            <w:vMerge w:val="continue"/>
            <w:shd w:val="clear" w:color="auto" w:fill="EAEFED"/>
          </w:tcPr>
          <w:p>
            <w:pPr>
              <w:spacing w:after="0"/>
              <w:rPr>
                <w:sz w:val="9"/>
                <w:szCs w:val="9"/>
                <w:color w:val="auto"/>
              </w:rPr>
            </w:pPr>
          </w:p>
        </w:tc>
        <w:tc>
          <w:tcPr>
            <w:tcW w:w="818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6"/>
                <w:szCs w:val="16"/>
                <w:color w:val="auto"/>
              </w:rPr>
              <w:t xml:space="preserve">•   As part of our commitment to strong corporate governance practices, </w:t>
            </w:r>
            <w:r>
              <w:rPr>
                <w:rFonts w:ascii="Arial" w:cs="Arial" w:eastAsia="Arial" w:hAnsi="Arial"/>
                <w:sz w:val="16"/>
                <w:szCs w:val="16"/>
                <w:b w:val="1"/>
                <w:bCs w:val="1"/>
                <w:color w:val="021496"/>
              </w:rPr>
              <w:t>we maintain an active and robust</w:t>
            </w:r>
          </w:p>
        </w:tc>
        <w:tc>
          <w:tcPr>
            <w:tcW w:w="0" w:type="dxa"/>
            <w:vAlign w:val="bottom"/>
          </w:tcPr>
          <w:p>
            <w:pPr>
              <w:spacing w:after="0"/>
              <w:rPr>
                <w:sz w:val="1"/>
                <w:szCs w:val="1"/>
                <w:color w:val="auto"/>
              </w:rPr>
            </w:pPr>
          </w:p>
        </w:tc>
      </w:tr>
      <w:tr>
        <w:trPr>
          <w:trHeight w:val="134"/>
        </w:trPr>
        <w:tc>
          <w:tcPr>
            <w:tcW w:w="2760" w:type="dxa"/>
            <w:vAlign w:val="bottom"/>
            <w:tcBorders>
              <w:left w:val="single" w:sz="8" w:color="021496"/>
              <w:right w:val="single" w:sz="8" w:color="021496"/>
            </w:tcBorders>
            <w:shd w:val="clear" w:color="auto" w:fill="EAEFED"/>
          </w:tcPr>
          <w:p>
            <w:pPr>
              <w:spacing w:after="0"/>
              <w:rPr>
                <w:sz w:val="11"/>
                <w:szCs w:val="11"/>
                <w:color w:val="auto"/>
              </w:rPr>
            </w:pPr>
          </w:p>
        </w:tc>
        <w:tc>
          <w:tcPr>
            <w:tcW w:w="8180" w:type="dxa"/>
            <w:vAlign w:val="bottom"/>
            <w:tcBorders>
              <w:right w:val="single" w:sz="8" w:color="021496"/>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ethics program</w:t>
            </w:r>
            <w:r>
              <w:rPr>
                <w:rFonts w:ascii="Arial" w:cs="Arial" w:eastAsia="Arial" w:hAnsi="Arial"/>
                <w:sz w:val="16"/>
                <w:szCs w:val="16"/>
                <w:color w:val="000000"/>
              </w:rPr>
              <w:t>. Our Code of Business Conduct &amp; Ethics (“Code of Conduct”) applies to all employees and</w:t>
            </w:r>
          </w:p>
        </w:tc>
        <w:tc>
          <w:tcPr>
            <w:tcW w:w="0" w:type="dxa"/>
            <w:vAlign w:val="bottom"/>
          </w:tcPr>
          <w:p>
            <w:pPr>
              <w:spacing w:after="0"/>
              <w:rPr>
                <w:sz w:val="1"/>
                <w:szCs w:val="1"/>
                <w:color w:val="auto"/>
              </w:rPr>
            </w:pPr>
          </w:p>
        </w:tc>
      </w:tr>
      <w:tr>
        <w:trPr>
          <w:trHeight w:val="167"/>
        </w:trPr>
        <w:tc>
          <w:tcPr>
            <w:tcW w:w="2760" w:type="dxa"/>
            <w:vAlign w:val="bottom"/>
            <w:tcBorders>
              <w:left w:val="single" w:sz="8" w:color="021496"/>
              <w:right w:val="single" w:sz="8" w:color="021496"/>
            </w:tcBorders>
            <w:shd w:val="clear" w:color="auto" w:fill="EAEFED"/>
          </w:tcPr>
          <w:p>
            <w:pPr>
              <w:spacing w:after="0"/>
              <w:rPr>
                <w:sz w:val="14"/>
                <w:szCs w:val="14"/>
                <w:color w:val="auto"/>
              </w:rPr>
            </w:pPr>
          </w:p>
        </w:tc>
        <w:tc>
          <w:tcPr>
            <w:tcW w:w="8180" w:type="dxa"/>
            <w:vAlign w:val="bottom"/>
            <w:tcBorders>
              <w:right w:val="single" w:sz="8" w:color="021496"/>
            </w:tcBorders>
          </w:tcPr>
          <w:p>
            <w:pPr>
              <w:ind w:left="420"/>
              <w:spacing w:after="0" w:line="168" w:lineRule="exact"/>
              <w:rPr>
                <w:sz w:val="20"/>
                <w:szCs w:val="20"/>
                <w:color w:val="auto"/>
              </w:rPr>
            </w:pPr>
            <w:r>
              <w:rPr>
                <w:rFonts w:ascii="Arial" w:cs="Arial" w:eastAsia="Arial" w:hAnsi="Arial"/>
                <w:sz w:val="16"/>
                <w:szCs w:val="16"/>
                <w:color w:val="auto"/>
              </w:rPr>
              <w:t>directors of Dover and its subsidiaries. We enforce our Code of Conduct fairly and consistently, regardless of</w:t>
            </w:r>
          </w:p>
        </w:tc>
        <w:tc>
          <w:tcPr>
            <w:tcW w:w="0" w:type="dxa"/>
            <w:vAlign w:val="bottom"/>
          </w:tcPr>
          <w:p>
            <w:pPr>
              <w:spacing w:after="0"/>
              <w:rPr>
                <w:sz w:val="1"/>
                <w:szCs w:val="1"/>
                <w:color w:val="auto"/>
              </w:rPr>
            </w:pPr>
          </w:p>
        </w:tc>
      </w:tr>
      <w:tr>
        <w:trPr>
          <w:trHeight w:val="207"/>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 xml:space="preserve">one’s position in Dover, and </w:t>
            </w:r>
            <w:r>
              <w:rPr>
                <w:rFonts w:ascii="Arial" w:cs="Arial" w:eastAsia="Arial" w:hAnsi="Arial"/>
                <w:sz w:val="16"/>
                <w:szCs w:val="16"/>
                <w:b w:val="1"/>
                <w:bCs w:val="1"/>
                <w:color w:val="021496"/>
              </w:rPr>
              <w:t>will not tolerate retaliation</w:t>
            </w:r>
            <w:r>
              <w:rPr>
                <w:rFonts w:ascii="Arial" w:cs="Arial" w:eastAsia="Arial" w:hAnsi="Arial"/>
                <w:sz w:val="16"/>
                <w:szCs w:val="16"/>
                <w:color w:val="auto"/>
              </w:rPr>
              <w:t xml:space="preserve"> against those who report suspected misconduct in</w:t>
            </w:r>
          </w:p>
        </w:tc>
        <w:tc>
          <w:tcPr>
            <w:tcW w:w="0" w:type="dxa"/>
            <w:vAlign w:val="bottom"/>
          </w:tcPr>
          <w:p>
            <w:pPr>
              <w:spacing w:after="0"/>
              <w:rPr>
                <w:sz w:val="1"/>
                <w:szCs w:val="1"/>
                <w:color w:val="auto"/>
              </w:rPr>
            </w:pPr>
          </w:p>
        </w:tc>
      </w:tr>
      <w:tr>
        <w:trPr>
          <w:trHeight w:val="193"/>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good faith.</w:t>
            </w:r>
          </w:p>
        </w:tc>
        <w:tc>
          <w:tcPr>
            <w:tcW w:w="0" w:type="dxa"/>
            <w:vAlign w:val="bottom"/>
          </w:tcPr>
          <w:p>
            <w:pPr>
              <w:spacing w:after="0"/>
              <w:rPr>
                <w:sz w:val="1"/>
                <w:szCs w:val="1"/>
                <w:color w:val="auto"/>
              </w:rPr>
            </w:pPr>
          </w:p>
        </w:tc>
      </w:tr>
      <w:tr>
        <w:trPr>
          <w:trHeight w:val="86"/>
        </w:trPr>
        <w:tc>
          <w:tcPr>
            <w:tcW w:w="2760" w:type="dxa"/>
            <w:vAlign w:val="bottom"/>
            <w:tcBorders>
              <w:left w:val="single" w:sz="8" w:color="021496"/>
              <w:bottom w:val="single" w:sz="8" w:color="021496"/>
              <w:right w:val="single" w:sz="8" w:color="021496"/>
            </w:tcBorders>
            <w:shd w:val="clear" w:color="auto" w:fill="EAEFED"/>
          </w:tcPr>
          <w:p>
            <w:pPr>
              <w:spacing w:after="0"/>
              <w:rPr>
                <w:sz w:val="7"/>
                <w:szCs w:val="7"/>
                <w:color w:val="auto"/>
              </w:rPr>
            </w:pPr>
          </w:p>
        </w:tc>
        <w:tc>
          <w:tcPr>
            <w:tcW w:w="8180" w:type="dxa"/>
            <w:vAlign w:val="bottom"/>
            <w:tcBorders>
              <w:bottom w:val="single" w:sz="8" w:color="021496"/>
              <w:right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Another of the Board’s primary responsibilities is </w:t>
            </w:r>
            <w:r>
              <w:rPr>
                <w:rFonts w:ascii="Arial" w:cs="Arial" w:eastAsia="Arial" w:hAnsi="Arial"/>
                <w:sz w:val="16"/>
                <w:szCs w:val="16"/>
                <w:b w:val="1"/>
                <w:bCs w:val="1"/>
                <w:color w:val="021496"/>
              </w:rPr>
              <w:t>overseeing a sound Board and management</w:t>
            </w:r>
          </w:p>
        </w:tc>
        <w:tc>
          <w:tcPr>
            <w:tcW w:w="0" w:type="dxa"/>
            <w:vAlign w:val="bottom"/>
          </w:tcPr>
          <w:p>
            <w:pPr>
              <w:spacing w:after="0"/>
              <w:rPr>
                <w:sz w:val="1"/>
                <w:szCs w:val="1"/>
                <w:color w:val="auto"/>
              </w:rPr>
            </w:pPr>
          </w:p>
        </w:tc>
      </w:tr>
      <w:tr>
        <w:trPr>
          <w:trHeight w:val="207"/>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succession process</w:t>
            </w:r>
            <w:r>
              <w:rPr>
                <w:rFonts w:ascii="Arial" w:cs="Arial" w:eastAsia="Arial" w:hAnsi="Arial"/>
                <w:sz w:val="16"/>
                <w:szCs w:val="16"/>
                <w:color w:val="000000"/>
              </w:rPr>
              <w:t>. The Board has developed a</w:t>
            </w:r>
            <w:r>
              <w:rPr>
                <w:rFonts w:ascii="Arial" w:cs="Arial" w:eastAsia="Arial" w:hAnsi="Arial"/>
                <w:sz w:val="16"/>
                <w:szCs w:val="16"/>
                <w:b w:val="1"/>
                <w:bCs w:val="1"/>
                <w:color w:val="021496"/>
              </w:rPr>
              <w:t xml:space="preserve"> comprehensive plan </w:t>
            </w:r>
            <w:r>
              <w:rPr>
                <w:rFonts w:ascii="Arial" w:cs="Arial" w:eastAsia="Arial" w:hAnsi="Arial"/>
                <w:sz w:val="16"/>
                <w:szCs w:val="16"/>
                <w:color w:val="000000"/>
              </w:rPr>
              <w:t>to address management</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succession — both over the long term and for emergency purposes. The framework for the long-term plan</w:t>
            </w:r>
          </w:p>
        </w:tc>
        <w:tc>
          <w:tcPr>
            <w:tcW w:w="0" w:type="dxa"/>
            <w:vAlign w:val="bottom"/>
          </w:tcPr>
          <w:p>
            <w:pPr>
              <w:spacing w:after="0"/>
              <w:rPr>
                <w:sz w:val="1"/>
                <w:szCs w:val="1"/>
                <w:color w:val="auto"/>
              </w:rPr>
            </w:pPr>
          </w:p>
        </w:tc>
      </w:tr>
      <w:tr>
        <w:trPr>
          <w:trHeight w:val="199"/>
        </w:trPr>
        <w:tc>
          <w:tcPr>
            <w:tcW w:w="27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Succession</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includes thoughtful, deliberate monitoring of management beyond our top executives to ensure Dover</w:t>
            </w:r>
          </w:p>
        </w:tc>
        <w:tc>
          <w:tcPr>
            <w:tcW w:w="0" w:type="dxa"/>
            <w:vAlign w:val="bottom"/>
          </w:tcPr>
          <w:p>
            <w:pPr>
              <w:spacing w:after="0"/>
              <w:rPr>
                <w:sz w:val="1"/>
                <w:szCs w:val="1"/>
                <w:color w:val="auto"/>
              </w:rPr>
            </w:pPr>
          </w:p>
        </w:tc>
      </w:tr>
      <w:tr>
        <w:trPr>
          <w:trHeight w:val="235"/>
        </w:trPr>
        <w:tc>
          <w:tcPr>
            <w:tcW w:w="27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7"/>
              </w:rPr>
              <w:t>Planning</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continues to build a deep internal bench of talent.</w:t>
            </w:r>
          </w:p>
        </w:tc>
        <w:tc>
          <w:tcPr>
            <w:tcW w:w="0" w:type="dxa"/>
            <w:vAlign w:val="bottom"/>
          </w:tcPr>
          <w:p>
            <w:pPr>
              <w:spacing w:after="0"/>
              <w:rPr>
                <w:sz w:val="1"/>
                <w:szCs w:val="1"/>
                <w:color w:val="auto"/>
              </w:rPr>
            </w:pPr>
          </w:p>
        </w:tc>
      </w:tr>
      <w:tr>
        <w:trPr>
          <w:trHeight w:val="188"/>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Our Board is also focused on its </w:t>
            </w:r>
            <w:r>
              <w:rPr>
                <w:rFonts w:ascii="Arial" w:cs="Arial" w:eastAsia="Arial" w:hAnsi="Arial"/>
                <w:sz w:val="16"/>
                <w:szCs w:val="16"/>
                <w:b w:val="1"/>
                <w:bCs w:val="1"/>
                <w:color w:val="021496"/>
              </w:rPr>
              <w:t>own succession plan</w:t>
            </w:r>
            <w:r>
              <w:rPr>
                <w:rFonts w:ascii="Arial" w:cs="Arial" w:eastAsia="Arial" w:hAnsi="Arial"/>
                <w:sz w:val="16"/>
                <w:szCs w:val="16"/>
                <w:color w:val="auto"/>
              </w:rPr>
              <w:t>, which drives not only our director selection efforts,</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 xml:space="preserve">but also how we approach Board and committee leadership structure and membership, with a </w:t>
            </w:r>
            <w:r>
              <w:rPr>
                <w:rFonts w:ascii="Arial" w:cs="Arial" w:eastAsia="Arial" w:hAnsi="Arial"/>
                <w:sz w:val="16"/>
                <w:szCs w:val="16"/>
                <w:b w:val="1"/>
                <w:bCs w:val="1"/>
                <w:color w:val="021496"/>
              </w:rPr>
              <w:t>focus on</w:t>
            </w:r>
          </w:p>
        </w:tc>
        <w:tc>
          <w:tcPr>
            <w:tcW w:w="0" w:type="dxa"/>
            <w:vAlign w:val="bottom"/>
          </w:tcPr>
          <w:p>
            <w:pPr>
              <w:spacing w:after="0"/>
              <w:rPr>
                <w:sz w:val="1"/>
                <w:szCs w:val="1"/>
                <w:color w:val="auto"/>
              </w:rPr>
            </w:pPr>
          </w:p>
        </w:tc>
      </w:tr>
      <w:tr>
        <w:trPr>
          <w:trHeight w:val="213"/>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critical board skills, diversity, and independence</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86"/>
        </w:trPr>
        <w:tc>
          <w:tcPr>
            <w:tcW w:w="2760" w:type="dxa"/>
            <w:vAlign w:val="bottom"/>
            <w:tcBorders>
              <w:left w:val="single" w:sz="8" w:color="021496"/>
              <w:bottom w:val="single" w:sz="8" w:color="021496"/>
              <w:right w:val="single" w:sz="8" w:color="021496"/>
            </w:tcBorders>
            <w:shd w:val="clear" w:color="auto" w:fill="EAEFED"/>
          </w:tcPr>
          <w:p>
            <w:pPr>
              <w:spacing w:after="0"/>
              <w:rPr>
                <w:sz w:val="7"/>
                <w:szCs w:val="7"/>
                <w:color w:val="auto"/>
              </w:rPr>
            </w:pPr>
          </w:p>
        </w:tc>
        <w:tc>
          <w:tcPr>
            <w:tcW w:w="8180" w:type="dxa"/>
            <w:vAlign w:val="bottom"/>
            <w:tcBorders>
              <w:bottom w:val="single" w:sz="8" w:color="021496"/>
              <w:right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760" w:type="dxa"/>
            <w:vAlign w:val="bottom"/>
            <w:tcBorders>
              <w:left w:val="single" w:sz="8" w:color="021496"/>
              <w:right w:val="single" w:sz="8" w:color="021496"/>
            </w:tcBorders>
            <w:shd w:val="clear" w:color="auto" w:fill="EAEFED"/>
          </w:tcPr>
          <w:p>
            <w:pPr>
              <w:spacing w:after="0"/>
              <w:rPr>
                <w:sz w:val="21"/>
                <w:szCs w:val="21"/>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The full Board is briefed on enterprise-wide </w:t>
            </w:r>
            <w:r>
              <w:rPr>
                <w:rFonts w:ascii="Arial" w:cs="Arial" w:eastAsia="Arial" w:hAnsi="Arial"/>
                <w:sz w:val="16"/>
                <w:szCs w:val="16"/>
                <w:b w:val="1"/>
                <w:bCs w:val="1"/>
                <w:color w:val="021496"/>
              </w:rPr>
              <w:t>cybersecurity risk management</w:t>
            </w:r>
            <w:r>
              <w:rPr>
                <w:rFonts w:ascii="Arial" w:cs="Arial" w:eastAsia="Arial" w:hAnsi="Arial"/>
                <w:sz w:val="16"/>
                <w:szCs w:val="16"/>
                <w:color w:val="auto"/>
              </w:rPr>
              <w:t xml:space="preserve"> and the overall cybersecurity</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risk environment, and oversees major tasks related to cybersecurity risk management, periodically reviews</w:t>
            </w:r>
          </w:p>
        </w:tc>
        <w:tc>
          <w:tcPr>
            <w:tcW w:w="0" w:type="dxa"/>
            <w:vAlign w:val="bottom"/>
          </w:tcPr>
          <w:p>
            <w:pPr>
              <w:spacing w:after="0"/>
              <w:rPr>
                <w:sz w:val="1"/>
                <w:szCs w:val="1"/>
                <w:color w:val="auto"/>
              </w:rPr>
            </w:pPr>
          </w:p>
        </w:tc>
      </w:tr>
      <w:tr>
        <w:trPr>
          <w:trHeight w:val="193"/>
        </w:trPr>
        <w:tc>
          <w:tcPr>
            <w:tcW w:w="27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9"/>
              </w:rPr>
              <w:t>Cybersecurity</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our response capabilities, and meets with the Chief Information Security Officer on at least an annual basis.</w:t>
            </w:r>
          </w:p>
        </w:tc>
        <w:tc>
          <w:tcPr>
            <w:tcW w:w="0" w:type="dxa"/>
            <w:vAlign w:val="bottom"/>
          </w:tcPr>
          <w:p>
            <w:pPr>
              <w:spacing w:after="0"/>
              <w:rPr>
                <w:sz w:val="1"/>
                <w:szCs w:val="1"/>
                <w:color w:val="auto"/>
              </w:rPr>
            </w:pPr>
          </w:p>
        </w:tc>
      </w:tr>
      <w:tr>
        <w:trPr>
          <w:trHeight w:val="147"/>
        </w:trPr>
        <w:tc>
          <w:tcPr>
            <w:tcW w:w="2760" w:type="dxa"/>
            <w:vAlign w:val="bottom"/>
            <w:tcBorders>
              <w:left w:val="single" w:sz="8" w:color="021496"/>
              <w:right w:val="single" w:sz="8" w:color="021496"/>
            </w:tcBorders>
            <w:vMerge w:val="continue"/>
            <w:shd w:val="clear" w:color="auto" w:fill="EAEFED"/>
          </w:tcPr>
          <w:p>
            <w:pPr>
              <w:spacing w:after="0"/>
              <w:rPr>
                <w:sz w:val="12"/>
                <w:szCs w:val="12"/>
                <w:color w:val="auto"/>
              </w:rPr>
            </w:pPr>
          </w:p>
        </w:tc>
        <w:tc>
          <w:tcPr>
            <w:tcW w:w="818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6"/>
                <w:szCs w:val="16"/>
                <w:color w:val="auto"/>
              </w:rPr>
              <w:t>•   Dover employs the National Institute of Standards &amp; Technology Framework for Improving Critical</w:t>
            </w:r>
          </w:p>
        </w:tc>
        <w:tc>
          <w:tcPr>
            <w:tcW w:w="0" w:type="dxa"/>
            <w:vAlign w:val="bottom"/>
          </w:tcPr>
          <w:p>
            <w:pPr>
              <w:spacing w:after="0"/>
              <w:rPr>
                <w:sz w:val="1"/>
                <w:szCs w:val="1"/>
                <w:color w:val="auto"/>
              </w:rPr>
            </w:pPr>
          </w:p>
        </w:tc>
      </w:tr>
      <w:tr>
        <w:trPr>
          <w:trHeight w:val="94"/>
        </w:trPr>
        <w:tc>
          <w:tcPr>
            <w:tcW w:w="2760" w:type="dxa"/>
            <w:vAlign w:val="bottom"/>
            <w:tcBorders>
              <w:left w:val="single" w:sz="8" w:color="021496"/>
              <w:right w:val="single" w:sz="8" w:color="021496"/>
            </w:tcBorders>
            <w:shd w:val="clear" w:color="auto" w:fill="EAEFED"/>
          </w:tcPr>
          <w:p>
            <w:pPr>
              <w:spacing w:after="0"/>
              <w:rPr>
                <w:sz w:val="8"/>
                <w:szCs w:val="8"/>
                <w:color w:val="auto"/>
              </w:rPr>
            </w:pPr>
          </w:p>
        </w:tc>
        <w:tc>
          <w:tcPr>
            <w:tcW w:w="8180" w:type="dxa"/>
            <w:vAlign w:val="bottom"/>
            <w:tcBorders>
              <w:right w:val="single" w:sz="8" w:color="02149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Infrastructure Cybersecurity (</w:t>
            </w:r>
            <w:r>
              <w:rPr>
                <w:rFonts w:ascii="Arial" w:cs="Arial" w:eastAsia="Arial" w:hAnsi="Arial"/>
                <w:sz w:val="16"/>
                <w:szCs w:val="16"/>
                <w:b w:val="1"/>
                <w:bCs w:val="1"/>
                <w:color w:val="021496"/>
              </w:rPr>
              <w:t>The NIST Framework</w:t>
            </w:r>
            <w:r>
              <w:rPr>
                <w:rFonts w:ascii="Arial" w:cs="Arial" w:eastAsia="Arial" w:hAnsi="Arial"/>
                <w:sz w:val="16"/>
                <w:szCs w:val="16"/>
                <w:color w:val="auto"/>
              </w:rPr>
              <w:t>). This voluntary guidance developed with much private</w:t>
            </w:r>
          </w:p>
        </w:tc>
        <w:tc>
          <w:tcPr>
            <w:tcW w:w="0" w:type="dxa"/>
            <w:vAlign w:val="bottom"/>
          </w:tcPr>
          <w:p>
            <w:pPr>
              <w:spacing w:after="0"/>
              <w:rPr>
                <w:sz w:val="1"/>
                <w:szCs w:val="1"/>
                <w:color w:val="auto"/>
              </w:rPr>
            </w:pPr>
          </w:p>
        </w:tc>
      </w:tr>
      <w:tr>
        <w:trPr>
          <w:trHeight w:val="193"/>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sector input provides a framework and a toolkit for organizations to manage cybersecurity risk.</w:t>
            </w:r>
          </w:p>
        </w:tc>
        <w:tc>
          <w:tcPr>
            <w:tcW w:w="0" w:type="dxa"/>
            <w:vAlign w:val="bottom"/>
          </w:tcPr>
          <w:p>
            <w:pPr>
              <w:spacing w:after="0"/>
              <w:rPr>
                <w:sz w:val="1"/>
                <w:szCs w:val="1"/>
                <w:color w:val="auto"/>
              </w:rPr>
            </w:pPr>
          </w:p>
        </w:tc>
      </w:tr>
      <w:tr>
        <w:trPr>
          <w:trHeight w:val="86"/>
        </w:trPr>
        <w:tc>
          <w:tcPr>
            <w:tcW w:w="2760" w:type="dxa"/>
            <w:vAlign w:val="bottom"/>
            <w:tcBorders>
              <w:left w:val="single" w:sz="8" w:color="021496"/>
              <w:bottom w:val="single" w:sz="8" w:color="021496"/>
              <w:right w:val="single" w:sz="8" w:color="021496"/>
            </w:tcBorders>
            <w:shd w:val="clear" w:color="auto" w:fill="EAEFED"/>
          </w:tcPr>
          <w:p>
            <w:pPr>
              <w:spacing w:after="0"/>
              <w:rPr>
                <w:sz w:val="7"/>
                <w:szCs w:val="7"/>
                <w:color w:val="auto"/>
              </w:rPr>
            </w:pPr>
          </w:p>
        </w:tc>
        <w:tc>
          <w:tcPr>
            <w:tcW w:w="8180" w:type="dxa"/>
            <w:vAlign w:val="bottom"/>
            <w:tcBorders>
              <w:bottom w:val="single" w:sz="8" w:color="021496"/>
              <w:right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2760" w:type="dxa"/>
            <w:vAlign w:val="bottom"/>
          </w:tcPr>
          <w:p>
            <w:pPr>
              <w:spacing w:after="0"/>
              <w:rPr>
                <w:sz w:val="24"/>
                <w:szCs w:val="24"/>
                <w:color w:val="auto"/>
              </w:rPr>
            </w:pPr>
          </w:p>
        </w:tc>
        <w:tc>
          <w:tcPr>
            <w:tcW w:w="8180" w:type="dxa"/>
            <w:vAlign w:val="bottom"/>
          </w:tcPr>
          <w:p>
            <w:pPr>
              <w:ind w:left="436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2022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24</w:t>
            </w:r>
          </w:p>
        </w:tc>
        <w:tc>
          <w:tcPr>
            <w:tcW w:w="0" w:type="dxa"/>
            <w:vAlign w:val="bottom"/>
          </w:tcPr>
          <w:p>
            <w:pPr>
              <w:spacing w:after="0"/>
              <w:rPr>
                <w:sz w:val="1"/>
                <w:szCs w:val="1"/>
                <w:color w:val="auto"/>
              </w:rPr>
            </w:pPr>
          </w:p>
        </w:tc>
      </w:tr>
    </w:tbl>
    <w:p>
      <w:pPr>
        <w:sectPr>
          <w:pgSz w:w="11900" w:h="16838" w:orient="portrait"/>
          <w:cols w:equalWidth="0" w:num="1">
            <w:col w:w="11100"/>
          </w:cols>
          <w:pgMar w:left="320" w:top="456"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Board Committees</w:t>
      </w:r>
    </w:p>
    <w:p>
      <w:pPr>
        <w:spacing w:after="0" w:line="94" w:lineRule="exact"/>
        <w:rPr>
          <w:sz w:val="20"/>
          <w:szCs w:val="20"/>
          <w:color w:val="auto"/>
        </w:rPr>
      </w:pPr>
    </w:p>
    <w:p>
      <w:pPr>
        <w:ind w:left="160" w:right="280"/>
        <w:spacing w:after="0" w:line="256" w:lineRule="auto"/>
        <w:rPr>
          <w:sz w:val="20"/>
          <w:szCs w:val="20"/>
          <w:color w:val="auto"/>
        </w:rPr>
      </w:pPr>
      <w:r>
        <w:rPr>
          <w:rFonts w:ascii="Arial" w:cs="Arial" w:eastAsia="Arial" w:hAnsi="Arial"/>
          <w:sz w:val="16"/>
          <w:szCs w:val="16"/>
          <w:color w:val="auto"/>
        </w:rPr>
        <w:t>Our Board has four standing committees — the Audit Committee, the Compensation Committee, the Governance and Nominating Committee, and the Finance Committee. The table below sets forth a summary of our committee structure and membership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140335</wp:posOffset>
            </wp:positionV>
            <wp:extent cx="6929755" cy="21062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9755" cy="210629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DIRECTOR</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DEBORAH L. DEHAAS</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H. JOHN GILBERTSON, JR.</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KRISTIANE C. GRAHAM</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MICHAEL F. JOHNSTON</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ERIC A. SPIEGEL</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RICHARD J. TOBIN</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STEPHEN M. TODD</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STEPHEN K. WAGNER</w:t>
      </w:r>
    </w:p>
    <w:p>
      <w:pPr>
        <w:spacing w:after="0" w:line="43" w:lineRule="exact"/>
        <w:rPr>
          <w:sz w:val="20"/>
          <w:szCs w:val="20"/>
          <w:color w:val="auto"/>
        </w:rPr>
      </w:pPr>
    </w:p>
    <w:p>
      <w:pPr>
        <w:jc w:val="center"/>
        <w:ind w:right="2520"/>
        <w:spacing w:after="0"/>
        <w:rPr>
          <w:sz w:val="20"/>
          <w:szCs w:val="20"/>
          <w:color w:val="auto"/>
        </w:rPr>
      </w:pPr>
      <w:r>
        <w:rPr>
          <w:rFonts w:ascii="Arial" w:cs="Arial" w:eastAsia="Arial" w:hAnsi="Arial"/>
          <w:sz w:val="16"/>
          <w:szCs w:val="16"/>
          <w:b w:val="1"/>
          <w:bCs w:val="1"/>
          <w:color w:val="auto"/>
        </w:rPr>
        <w:t>KEITH E. WANDELL</w:t>
      </w:r>
    </w:p>
    <w:p>
      <w:pPr>
        <w:spacing w:after="0" w:line="43" w:lineRule="exact"/>
        <w:rPr>
          <w:sz w:val="20"/>
          <w:szCs w:val="20"/>
          <w:color w:val="auto"/>
        </w:rPr>
      </w:pPr>
    </w:p>
    <w:p>
      <w:pPr>
        <w:jc w:val="center"/>
        <w:ind w:right="2560"/>
        <w:spacing w:after="0"/>
        <w:rPr>
          <w:sz w:val="20"/>
          <w:szCs w:val="20"/>
          <w:color w:val="auto"/>
        </w:rPr>
      </w:pPr>
      <w:r>
        <w:rPr>
          <w:rFonts w:ascii="Arial" w:cs="Arial" w:eastAsia="Arial" w:hAnsi="Arial"/>
          <w:sz w:val="16"/>
          <w:szCs w:val="16"/>
          <w:b w:val="1"/>
          <w:bCs w:val="1"/>
          <w:color w:val="auto"/>
        </w:rPr>
        <w:t>MARY A. WINSTON</w:t>
      </w:r>
    </w:p>
    <w:p>
      <w:pPr>
        <w:spacing w:after="0" w:line="43" w:lineRule="exact"/>
        <w:rPr>
          <w:sz w:val="20"/>
          <w:szCs w:val="20"/>
          <w:color w:val="auto"/>
        </w:rPr>
      </w:pPr>
    </w:p>
    <w:p>
      <w:pPr>
        <w:jc w:val="center"/>
        <w:ind w:right="2600"/>
        <w:spacing w:after="0"/>
        <w:rPr>
          <w:sz w:val="20"/>
          <w:szCs w:val="20"/>
          <w:color w:val="auto"/>
        </w:rPr>
      </w:pPr>
      <w:r>
        <w:rPr>
          <w:rFonts w:ascii="Arial" w:cs="Arial" w:eastAsia="Arial" w:hAnsi="Arial"/>
          <w:sz w:val="16"/>
          <w:szCs w:val="16"/>
          <w:b w:val="1"/>
          <w:bCs w:val="1"/>
          <w:color w:val="auto"/>
        </w:rPr>
        <w:t>MEETINGS HELD IN 2021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Governance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8"/>
              </w:rPr>
              <w:t>and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20" w:type="dxa"/>
            <w:vAlign w:val="bottom"/>
          </w:tcPr>
          <w:p>
            <w:pPr>
              <w:jc w:val="center"/>
              <w:ind w:left="120"/>
              <w:spacing w:after="0"/>
              <w:rPr>
                <w:sz w:val="20"/>
                <w:szCs w:val="20"/>
                <w:color w:val="auto"/>
              </w:rPr>
            </w:pPr>
            <w:r>
              <w:rPr>
                <w:rFonts w:ascii="Arial" w:cs="Arial" w:eastAsia="Arial" w:hAnsi="Arial"/>
                <w:sz w:val="16"/>
                <w:szCs w:val="16"/>
                <w:b w:val="1"/>
                <w:bCs w:val="1"/>
                <w:color w:val="auto"/>
              </w:rPr>
              <w:t>Audit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Nominating</w:t>
            </w:r>
          </w:p>
        </w:tc>
        <w:tc>
          <w:tcPr>
            <w:tcW w:w="1040" w:type="dxa"/>
            <w:vAlign w:val="bottom"/>
          </w:tcPr>
          <w:p>
            <w:pPr>
              <w:jc w:val="center"/>
              <w:ind w:left="120"/>
              <w:spacing w:after="0"/>
              <w:rPr>
                <w:sz w:val="20"/>
                <w:szCs w:val="20"/>
                <w:color w:val="auto"/>
              </w:rPr>
            </w:pPr>
            <w:r>
              <w:rPr>
                <w:rFonts w:ascii="Arial" w:cs="Arial" w:eastAsia="Arial" w:hAnsi="Arial"/>
                <w:sz w:val="16"/>
                <w:szCs w:val="16"/>
                <w:b w:val="1"/>
                <w:bCs w:val="1"/>
                <w:color w:val="auto"/>
                <w:w w:val="99"/>
              </w:rPr>
              <w:t>Finance</w:t>
            </w:r>
          </w:p>
        </w:tc>
        <w:tc>
          <w:tcPr>
            <w:tcW w:w="0" w:type="dxa"/>
            <w:vAlign w:val="bottom"/>
          </w:tcPr>
          <w:p>
            <w:pPr>
              <w:spacing w:after="0"/>
              <w:rPr>
                <w:sz w:val="1"/>
                <w:szCs w:val="1"/>
                <w:color w:val="auto"/>
              </w:rPr>
            </w:pPr>
          </w:p>
        </w:tc>
      </w:tr>
      <w:tr>
        <w:trPr>
          <w:trHeight w:val="219"/>
        </w:trPr>
        <w:tc>
          <w:tcPr>
            <w:tcW w:w="1420" w:type="dxa"/>
            <w:vAlign w:val="bottom"/>
            <w:tcBorders>
              <w:bottom w:val="single" w:sz="8" w:color="021496"/>
            </w:tcBorders>
          </w:tcPr>
          <w:p>
            <w:pPr>
              <w:jc w:val="center"/>
              <w:ind w:left="120"/>
              <w:spacing w:after="0"/>
              <w:rPr>
                <w:sz w:val="20"/>
                <w:szCs w:val="20"/>
                <w:color w:val="auto"/>
              </w:rPr>
            </w:pPr>
            <w:r>
              <w:rPr>
                <w:rFonts w:ascii="Arial" w:cs="Arial" w:eastAsia="Arial" w:hAnsi="Arial"/>
                <w:sz w:val="16"/>
                <w:szCs w:val="16"/>
                <w:b w:val="1"/>
                <w:bCs w:val="1"/>
                <w:color w:val="auto"/>
                <w:w w:val="99"/>
              </w:rPr>
              <w:t>Committee</w:t>
            </w:r>
          </w:p>
        </w:tc>
        <w:tc>
          <w:tcPr>
            <w:tcW w:w="1520" w:type="dxa"/>
            <w:vAlign w:val="bottom"/>
            <w:tcBorders>
              <w:bottom w:val="single" w:sz="8" w:color="021496"/>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1320" w:type="dxa"/>
            <w:vAlign w:val="bottom"/>
            <w:tcBorders>
              <w:bottom w:val="single" w:sz="8" w:color="021496"/>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1040" w:type="dxa"/>
            <w:vAlign w:val="bottom"/>
            <w:tcBorders>
              <w:bottom w:val="single" w:sz="8" w:color="021496"/>
            </w:tcBorders>
          </w:tcPr>
          <w:p>
            <w:pPr>
              <w:jc w:val="center"/>
              <w:ind w:left="120"/>
              <w:spacing w:after="0"/>
              <w:rPr>
                <w:sz w:val="20"/>
                <w:szCs w:val="20"/>
                <w:color w:val="auto"/>
              </w:rPr>
            </w:pPr>
            <w:r>
              <w:rPr>
                <w:rFonts w:ascii="Arial" w:cs="Arial" w:eastAsia="Arial" w:hAnsi="Arial"/>
                <w:sz w:val="16"/>
                <w:szCs w:val="16"/>
                <w:b w:val="1"/>
                <w:bCs w:val="1"/>
                <w:color w:val="auto"/>
              </w:rPr>
              <w:t>Committee</w:t>
            </w:r>
          </w:p>
        </w:tc>
        <w:tc>
          <w:tcPr>
            <w:tcW w:w="0" w:type="dxa"/>
            <w:vAlign w:val="bottom"/>
          </w:tcPr>
          <w:p>
            <w:pPr>
              <w:spacing w:after="0"/>
              <w:rPr>
                <w:sz w:val="1"/>
                <w:szCs w:val="1"/>
                <w:color w:val="auto"/>
              </w:rPr>
            </w:pPr>
          </w:p>
        </w:tc>
      </w:tr>
      <w:tr>
        <w:trPr>
          <w:trHeight w:val="194"/>
        </w:trPr>
        <w:tc>
          <w:tcPr>
            <w:tcW w:w="142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42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04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420" w:type="dxa"/>
            <w:vAlign w:val="bottom"/>
            <w:vMerge w:val="restart"/>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040" w:type="dxa"/>
            <w:vAlign w:val="bottom"/>
            <w:vMerge w:val="restart"/>
          </w:tcPr>
          <w:p>
            <w:pPr>
              <w:jc w:val="center"/>
              <w:ind w:left="120"/>
              <w:spacing w:after="0" w:line="184" w:lineRule="exact"/>
              <w:rPr>
                <w:sz w:val="20"/>
                <w:szCs w:val="20"/>
                <w:color w:val="auto"/>
              </w:rPr>
            </w:pPr>
            <w:r>
              <w:rPr>
                <w:rFonts w:ascii="MS PGothic" w:cs="MS PGothic" w:eastAsia="MS PGothic" w:hAnsi="MS PGothic"/>
                <w:sz w:val="16"/>
                <w:szCs w:val="16"/>
                <w:color w:val="auto"/>
                <w:w w:val="98"/>
              </w:rPr>
              <w:t>✓</w:t>
            </w:r>
            <w:r>
              <w:rPr>
                <w:rFonts w:ascii="Arial" w:cs="Arial" w:eastAsia="Arial" w:hAnsi="Arial"/>
                <w:sz w:val="16"/>
                <w:szCs w:val="16"/>
                <w:color w:val="auto"/>
                <w:w w:val="98"/>
              </w:rPr>
              <w:t xml:space="preserve"> (Chair)</w:t>
            </w:r>
          </w:p>
        </w:tc>
        <w:tc>
          <w:tcPr>
            <w:tcW w:w="0" w:type="dxa"/>
            <w:vAlign w:val="bottom"/>
          </w:tcPr>
          <w:p>
            <w:pPr>
              <w:spacing w:after="0"/>
              <w:rPr>
                <w:sz w:val="1"/>
                <w:szCs w:val="1"/>
                <w:color w:val="auto"/>
              </w:rPr>
            </w:pPr>
          </w:p>
        </w:tc>
      </w:tr>
      <w:tr>
        <w:trPr>
          <w:trHeight w:val="227"/>
        </w:trPr>
        <w:tc>
          <w:tcPr>
            <w:tcW w:w="142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660" w:hanging="181"/>
        <w:spacing w:after="0"/>
        <w:tabs>
          <w:tab w:leader="none" w:pos="660" w:val="left"/>
        </w:tabs>
        <w:numPr>
          <w:ilvl w:val="0"/>
          <w:numId w:val="43"/>
        </w:numPr>
        <w:rPr>
          <w:rFonts w:ascii="MS PGothic" w:cs="MS PGothic" w:eastAsia="MS PGothic" w:hAnsi="MS PGothic"/>
          <w:sz w:val="16"/>
          <w:szCs w:val="16"/>
          <w:color w:val="auto"/>
        </w:rPr>
      </w:pPr>
      <w:r>
        <w:rPr>
          <w:rFonts w:ascii="Arial" w:cs="Arial" w:eastAsia="Arial" w:hAnsi="Arial"/>
          <w:sz w:val="16"/>
          <w:szCs w:val="16"/>
          <w:color w:val="auto"/>
        </w:rPr>
        <w:t>(Chair)</w:t>
      </w:r>
    </w:p>
    <w:p>
      <w:pPr>
        <w:spacing w:after="0" w:line="27"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620" w:type="dxa"/>
            <w:vAlign w:val="bottom"/>
          </w:tcPr>
          <w:p>
            <w:pPr>
              <w:jc w:val="center"/>
              <w:ind w:right="400"/>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vMerge w:val="restart"/>
          </w:tcPr>
          <w:p>
            <w:pPr>
              <w:ind w:left="5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(Chair)</w:t>
            </w:r>
          </w:p>
        </w:tc>
        <w:tc>
          <w:tcPr>
            <w:tcW w:w="148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Arial" w:cs="Arial" w:eastAsia="Arial" w:hAnsi="Arial"/>
                <w:sz w:val="16"/>
                <w:szCs w:val="16"/>
                <w:color w:val="auto"/>
                <w:w w:val="98"/>
              </w:rPr>
              <w:t xml:space="preserve"> (Chair)</w:t>
            </w:r>
          </w:p>
        </w:tc>
        <w:tc>
          <w:tcPr>
            <w:tcW w:w="560" w:type="dxa"/>
            <w:vAlign w:val="bottom"/>
            <w:vMerge w:val="restart"/>
          </w:tcPr>
          <w:p>
            <w:pPr>
              <w:jc w:val="center"/>
              <w:ind w:left="3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20" w:type="dxa"/>
            <w:vAlign w:val="bottom"/>
          </w:tcPr>
          <w:p>
            <w:pPr>
              <w:spacing w:after="0"/>
              <w:rPr>
                <w:sz w:val="21"/>
                <w:szCs w:val="21"/>
                <w:color w:val="auto"/>
              </w:rPr>
            </w:pPr>
          </w:p>
        </w:tc>
        <w:tc>
          <w:tcPr>
            <w:tcW w:w="1540" w:type="dxa"/>
            <w:vAlign w:val="bottom"/>
          </w:tcPr>
          <w:p>
            <w:pPr>
              <w:jc w:val="center"/>
              <w:ind w:left="40"/>
              <w:spacing w:after="0" w:line="161" w:lineRule="exact"/>
              <w:rPr>
                <w:sz w:val="20"/>
                <w:szCs w:val="20"/>
                <w:color w:val="auto"/>
              </w:rPr>
            </w:pPr>
            <w:r>
              <w:rPr>
                <w:rFonts w:ascii="MS PGothic" w:cs="MS PGothic" w:eastAsia="MS PGothic" w:hAnsi="MS PGothic"/>
                <w:sz w:val="16"/>
                <w:szCs w:val="16"/>
                <w:color w:val="auto"/>
                <w:w w:val="87"/>
              </w:rPr>
              <w:t>✓</w:t>
            </w:r>
          </w:p>
        </w:tc>
        <w:tc>
          <w:tcPr>
            <w:tcW w:w="1480" w:type="dxa"/>
            <w:vAlign w:val="bottom"/>
          </w:tcPr>
          <w:p>
            <w:pPr>
              <w:spacing w:after="0"/>
              <w:rPr>
                <w:sz w:val="21"/>
                <w:szCs w:val="21"/>
                <w:color w:val="auto"/>
              </w:rPr>
            </w:pPr>
          </w:p>
        </w:tc>
        <w:tc>
          <w:tcPr>
            <w:tcW w:w="560" w:type="dxa"/>
            <w:vAlign w:val="bottom"/>
          </w:tcPr>
          <w:p>
            <w:pPr>
              <w:jc w:val="center"/>
              <w:ind w:left="3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620" w:type="dxa"/>
            <w:vAlign w:val="bottom"/>
          </w:tcPr>
          <w:p>
            <w:pPr>
              <w:jc w:val="right"/>
              <w:ind w:right="420"/>
              <w:spacing w:after="0"/>
              <w:rPr>
                <w:sz w:val="20"/>
                <w:szCs w:val="20"/>
                <w:color w:val="auto"/>
              </w:rPr>
            </w:pPr>
            <w:r>
              <w:rPr>
                <w:rFonts w:ascii="Arial" w:cs="Arial" w:eastAsia="Arial" w:hAnsi="Arial"/>
                <w:sz w:val="16"/>
                <w:szCs w:val="16"/>
                <w:color w:val="auto"/>
              </w:rPr>
              <w:t>8</w:t>
            </w:r>
          </w:p>
        </w:tc>
        <w:tc>
          <w:tcPr>
            <w:tcW w:w="1540" w:type="dxa"/>
            <w:vAlign w:val="bottom"/>
          </w:tcPr>
          <w:p>
            <w:pPr>
              <w:jc w:val="right"/>
              <w:ind w:right="600"/>
              <w:spacing w:after="0"/>
              <w:rPr>
                <w:sz w:val="20"/>
                <w:szCs w:val="20"/>
                <w:color w:val="auto"/>
              </w:rPr>
            </w:pPr>
            <w:r>
              <w:rPr>
                <w:rFonts w:ascii="Arial" w:cs="Arial" w:eastAsia="Arial" w:hAnsi="Arial"/>
                <w:sz w:val="16"/>
                <w:szCs w:val="16"/>
                <w:color w:val="auto"/>
              </w:rPr>
              <w:t>5</w:t>
            </w:r>
          </w:p>
        </w:tc>
        <w:tc>
          <w:tcPr>
            <w:tcW w:w="1480" w:type="dxa"/>
            <w:vAlign w:val="bottom"/>
          </w:tcPr>
          <w:p>
            <w:pPr>
              <w:jc w:val="right"/>
              <w:ind w:right="660"/>
              <w:spacing w:after="0"/>
              <w:rPr>
                <w:sz w:val="20"/>
                <w:szCs w:val="20"/>
                <w:color w:val="auto"/>
              </w:rPr>
            </w:pPr>
            <w:r>
              <w:rPr>
                <w:rFonts w:ascii="Arial" w:cs="Arial" w:eastAsia="Arial" w:hAnsi="Arial"/>
                <w:sz w:val="16"/>
                <w:szCs w:val="16"/>
                <w:color w:val="auto"/>
              </w:rPr>
              <w:t>4</w:t>
            </w:r>
          </w:p>
        </w:tc>
        <w:tc>
          <w:tcPr>
            <w:tcW w:w="560" w:type="dxa"/>
            <w:vAlign w:val="bottom"/>
          </w:tcPr>
          <w:p>
            <w:pPr>
              <w:jc w:val="center"/>
              <w:ind w:left="360"/>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2">
            <w:col w:w="5060" w:space="720"/>
            <w:col w:w="5300"/>
          </w:cols>
          <w:pgMar w:left="320" w:top="456" w:right="499" w:bottom="1440" w:gutter="0" w:footer="0" w:header="0"/>
          <w:type w:val="continuous"/>
        </w:sect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25</w:t>
      </w:r>
    </w:p>
    <w:p>
      <w:pPr>
        <w:sectPr>
          <w:pgSz w:w="11900" w:h="16838" w:orient="portrait"/>
          <w:cols w:equalWidth="0" w:num="1">
            <w:col w:w="11080"/>
          </w:cols>
          <w:pgMar w:left="320" w:top="456" w:right="4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Overview of Committee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6938010" cy="29978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38010" cy="2997835"/>
                    </a:xfrm>
                    <a:prstGeom prst="rect">
                      <a:avLst/>
                    </a:prstGeom>
                    <a:noFill/>
                  </pic:spPr>
                </pic:pic>
              </a:graphicData>
            </a:graphic>
          </wp:anchor>
        </w:drawing>
      </w:r>
    </w:p>
    <w:p>
      <w:pPr>
        <w:spacing w:after="0" w:line="241"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FFFFFF"/>
        </w:rPr>
        <w:t>Audit Committee</w:t>
      </w:r>
    </w:p>
    <w:p>
      <w:pPr>
        <w:sectPr>
          <w:pgSz w:w="11900" w:h="16838" w:orient="portrait"/>
          <w:cols w:equalWidth="0" w:num="1">
            <w:col w:w="11080"/>
          </w:cols>
          <w:pgMar w:left="320" w:top="456" w:right="499" w:bottom="1440" w:gutter="0" w:footer="0" w:header="0"/>
        </w:sectPr>
      </w:pP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Stephen M. Todd (Chair)</w:t>
      </w:r>
    </w:p>
    <w:p>
      <w:pPr>
        <w:spacing w:after="0" w:line="103" w:lineRule="exact"/>
        <w:rPr>
          <w:sz w:val="20"/>
          <w:szCs w:val="20"/>
          <w:color w:val="auto"/>
        </w:rPr>
      </w:pPr>
    </w:p>
    <w:p>
      <w:pPr>
        <w:ind w:left="500" w:right="280"/>
        <w:spacing w:after="0" w:line="248" w:lineRule="auto"/>
        <w:rPr>
          <w:sz w:val="20"/>
          <w:szCs w:val="20"/>
          <w:color w:val="auto"/>
        </w:rPr>
      </w:pPr>
      <w:r>
        <w:rPr>
          <w:rFonts w:ascii="Arial" w:cs="Arial" w:eastAsia="Arial" w:hAnsi="Arial"/>
          <w:sz w:val="16"/>
          <w:szCs w:val="16"/>
          <w:color w:val="auto"/>
        </w:rPr>
        <w:t>Deborah L. DeHaas H. John Gilbertson, Jr. Eric A. Spiegel Stephen K. Wagner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Key Responsibilities</w:t>
      </w:r>
    </w:p>
    <w:p>
      <w:pPr>
        <w:spacing w:after="0" w:line="103" w:lineRule="exact"/>
        <w:rPr>
          <w:sz w:val="20"/>
          <w:szCs w:val="20"/>
          <w:color w:val="auto"/>
        </w:rPr>
      </w:pPr>
    </w:p>
    <w:p>
      <w:pPr>
        <w:ind w:left="240" w:hanging="232"/>
        <w:spacing w:after="0"/>
        <w:tabs>
          <w:tab w:leader="none" w:pos="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Selecting and engaging our independent registered public accounting firm (“independent auditors”)</w:t>
      </w:r>
    </w:p>
    <w:p>
      <w:pPr>
        <w:spacing w:after="0" w:line="83" w:lineRule="exact"/>
        <w:rPr>
          <w:rFonts w:ascii="Arial" w:cs="Arial" w:eastAsia="Arial" w:hAnsi="Arial"/>
          <w:sz w:val="16"/>
          <w:szCs w:val="16"/>
          <w:color w:val="auto"/>
        </w:rPr>
      </w:pPr>
    </w:p>
    <w:p>
      <w:pPr>
        <w:ind w:left="240" w:hanging="232"/>
        <w:spacing w:after="0"/>
        <w:tabs>
          <w:tab w:leader="none" w:pos="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Overseeing the work of our independent auditors and our internal audit function</w:t>
      </w:r>
    </w:p>
    <w:p>
      <w:pPr>
        <w:spacing w:after="0" w:line="83" w:lineRule="exact"/>
        <w:rPr>
          <w:rFonts w:ascii="Arial" w:cs="Arial" w:eastAsia="Arial" w:hAnsi="Arial"/>
          <w:sz w:val="16"/>
          <w:szCs w:val="16"/>
          <w:color w:val="auto"/>
        </w:rPr>
      </w:pPr>
    </w:p>
    <w:p>
      <w:pPr>
        <w:ind w:left="240" w:right="500" w:hanging="232"/>
        <w:spacing w:after="0" w:line="256" w:lineRule="auto"/>
        <w:tabs>
          <w:tab w:leader="none" w:pos="217" w:val="left"/>
        </w:tabs>
        <w:numPr>
          <w:ilvl w:val="0"/>
          <w:numId w:val="44"/>
        </w:numPr>
        <w:rPr>
          <w:rFonts w:ascii="Arial" w:cs="Arial" w:eastAsia="Arial" w:hAnsi="Arial"/>
          <w:sz w:val="16"/>
          <w:szCs w:val="16"/>
          <w:color w:val="auto"/>
        </w:rPr>
      </w:pPr>
      <w:r>
        <w:rPr>
          <w:rFonts w:ascii="Arial" w:cs="Arial" w:eastAsia="Arial" w:hAnsi="Arial"/>
          <w:sz w:val="16"/>
          <w:szCs w:val="16"/>
          <w:color w:val="auto"/>
        </w:rPr>
        <w:t>Approving in advance all services to be provided by, and all fees to be paid to, our independent auditors, who report directly to the committee</w:t>
      </w:r>
    </w:p>
    <w:p>
      <w:pPr>
        <w:spacing w:after="0" w:line="62" w:lineRule="exact"/>
        <w:rPr>
          <w:rFonts w:ascii="Arial" w:cs="Arial" w:eastAsia="Arial" w:hAnsi="Arial"/>
          <w:sz w:val="16"/>
          <w:szCs w:val="16"/>
          <w:color w:val="auto"/>
        </w:rPr>
      </w:pPr>
    </w:p>
    <w:p>
      <w:pPr>
        <w:ind w:left="240" w:hanging="232"/>
        <w:spacing w:after="0"/>
        <w:tabs>
          <w:tab w:leader="none" w:pos="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Reviewing with management and the independent auditors the audit plan and results of the auditing engagement</w:t>
      </w:r>
    </w:p>
    <w:p>
      <w:pPr>
        <w:spacing w:after="0" w:line="83" w:lineRule="exact"/>
        <w:rPr>
          <w:rFonts w:ascii="Arial" w:cs="Arial" w:eastAsia="Arial" w:hAnsi="Arial"/>
          <w:sz w:val="16"/>
          <w:szCs w:val="16"/>
          <w:color w:val="auto"/>
        </w:rPr>
      </w:pPr>
    </w:p>
    <w:p>
      <w:pPr>
        <w:ind w:left="240" w:right="300" w:hanging="232"/>
        <w:spacing w:after="0" w:line="256" w:lineRule="auto"/>
        <w:tabs>
          <w:tab w:leader="none" w:pos="226"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Reviewing with management and our independent auditors the quality and adequacy of our internal control over financial reporting</w:t>
      </w:r>
    </w:p>
    <w:p>
      <w:pPr>
        <w:spacing w:after="0" w:line="183"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The Audit Committee holds regular quarterly meetings at which it meets separately with each of our independent registered public accounting firm, PwC, our internal audit function, financial management and our general counsel to assess certain matters including the status of the independent audit process, management’s assessment of the effectiveness of internal control over financial reporting and the operation and effectiveness of our compliance program. In addition, the Audit Committee, as a whole, reviews and meets to discuss the contents of each Form 10-Q and Form 10-K (including the financial statements) prior to its filing with the SEC.</w:t>
      </w:r>
    </w:p>
    <w:p>
      <w:pPr>
        <w:spacing w:after="0" w:line="192"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Our Board has determined that all members of the Audit Committee qualify as “audit committee financial experts” as defined in the SEC rules.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Committee’s responsibilities and authority are described in greater detail in its written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247015</wp:posOffset>
            </wp:positionV>
            <wp:extent cx="6938010" cy="20808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38010" cy="20808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260"/>
            <w:col w:w="8460"/>
          </w:cols>
          <w:pgMar w:left="320" w:top="456" w:right="499" w:bottom="1440" w:gutter="0" w:footer="0" w:header="0"/>
          <w:type w:val="continuous"/>
        </w:sectPr>
      </w:pP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5"/>
          <w:szCs w:val="15"/>
          <w:b w:val="1"/>
          <w:bCs w:val="1"/>
          <w:color w:val="FFFFFF"/>
        </w:rPr>
        <w:t>Compensation Committee</w:t>
      </w:r>
    </w:p>
    <w:p>
      <w:pPr>
        <w:sectPr>
          <w:pgSz w:w="11900" w:h="16838" w:orient="portrait"/>
          <w:cols w:equalWidth="0" w:num="1">
            <w:col w:w="11080"/>
          </w:cols>
          <w:pgMar w:left="320" w:top="456" w:right="499" w:bottom="1440" w:gutter="0" w:footer="0" w:header="0"/>
          <w:type w:val="continuous"/>
        </w:sectPr>
      </w:pP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Keith E. Wandell (Chair)</w:t>
      </w:r>
    </w:p>
    <w:p>
      <w:pPr>
        <w:spacing w:after="0" w:line="103" w:lineRule="exact"/>
        <w:rPr>
          <w:sz w:val="20"/>
          <w:szCs w:val="20"/>
          <w:color w:val="auto"/>
        </w:rPr>
      </w:pPr>
    </w:p>
    <w:p>
      <w:pPr>
        <w:jc w:val="both"/>
        <w:ind w:left="500" w:right="360"/>
        <w:spacing w:after="0" w:line="250" w:lineRule="auto"/>
        <w:rPr>
          <w:sz w:val="20"/>
          <w:szCs w:val="20"/>
          <w:color w:val="auto"/>
        </w:rPr>
      </w:pPr>
      <w:r>
        <w:rPr>
          <w:rFonts w:ascii="Arial" w:cs="Arial" w:eastAsia="Arial" w:hAnsi="Arial"/>
          <w:sz w:val="16"/>
          <w:szCs w:val="16"/>
          <w:color w:val="auto"/>
        </w:rPr>
        <w:t>Kristiane C. Graham Michael F. Johnston Mary A. Winston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Key Responsibilities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together with our independent directors, approves compensation for the CEO of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Dover. The functions of the Compensation Committee also include:</w:t>
      </w:r>
    </w:p>
    <w:p>
      <w:pPr>
        <w:spacing w:after="0" w:line="83" w:lineRule="exact"/>
        <w:rPr>
          <w:sz w:val="20"/>
          <w:szCs w:val="20"/>
          <w:color w:val="auto"/>
        </w:rPr>
      </w:pPr>
    </w:p>
    <w:p>
      <w:pPr>
        <w:ind w:left="240" w:right="480" w:hanging="238"/>
        <w:spacing w:after="0" w:line="256" w:lineRule="auto"/>
        <w:tabs>
          <w:tab w:leader="none" w:pos="217" w:val="left"/>
        </w:tabs>
        <w:numPr>
          <w:ilvl w:val="0"/>
          <w:numId w:val="45"/>
        </w:numPr>
        <w:rPr>
          <w:rFonts w:ascii="Arial" w:cs="Arial" w:eastAsia="Arial" w:hAnsi="Arial"/>
          <w:sz w:val="16"/>
          <w:szCs w:val="16"/>
          <w:color w:val="auto"/>
        </w:rPr>
      </w:pPr>
      <w:r>
        <w:rPr>
          <w:rFonts w:ascii="Arial" w:cs="Arial" w:eastAsia="Arial" w:hAnsi="Arial"/>
          <w:sz w:val="16"/>
          <w:szCs w:val="16"/>
          <w:color w:val="auto"/>
        </w:rPr>
        <w:t>Approving compensation for executive officers who report directly to the CEO (together with the CEO, “senior executive officers”)</w:t>
      </w:r>
    </w:p>
    <w:p>
      <w:pPr>
        <w:spacing w:after="0" w:line="62" w:lineRule="exact"/>
        <w:rPr>
          <w:rFonts w:ascii="Arial" w:cs="Arial" w:eastAsia="Arial" w:hAnsi="Arial"/>
          <w:sz w:val="16"/>
          <w:szCs w:val="16"/>
          <w:color w:val="auto"/>
        </w:rPr>
      </w:pPr>
    </w:p>
    <w:p>
      <w:pPr>
        <w:ind w:left="240" w:right="380" w:hanging="238"/>
        <w:spacing w:after="0" w:line="256" w:lineRule="auto"/>
        <w:tabs>
          <w:tab w:leader="none" w:pos="226" w:val="left"/>
        </w:tabs>
        <w:numPr>
          <w:ilvl w:val="0"/>
          <w:numId w:val="45"/>
        </w:numPr>
        <w:rPr>
          <w:rFonts w:ascii="Arial" w:cs="Arial" w:eastAsia="Arial" w:hAnsi="Arial"/>
          <w:sz w:val="16"/>
          <w:szCs w:val="16"/>
          <w:color w:val="auto"/>
        </w:rPr>
      </w:pPr>
      <w:r>
        <w:rPr>
          <w:rFonts w:ascii="Arial" w:cs="Arial" w:eastAsia="Arial" w:hAnsi="Arial"/>
          <w:sz w:val="16"/>
          <w:szCs w:val="16"/>
          <w:color w:val="auto"/>
        </w:rPr>
        <w:t>Granting awards and approving payouts under our 2012 Equity and Cash Incentive Plan (the “2012 LTIP”), our 2021 Omnibus Incentive Plan (the “2021 LTIP”). and our AIP</w:t>
      </w:r>
    </w:p>
    <w:p>
      <w:pPr>
        <w:spacing w:after="0" w:line="62" w:lineRule="exact"/>
        <w:rPr>
          <w:rFonts w:ascii="Arial" w:cs="Arial" w:eastAsia="Arial" w:hAnsi="Arial"/>
          <w:sz w:val="16"/>
          <w:szCs w:val="16"/>
          <w:color w:val="auto"/>
        </w:rPr>
      </w:pPr>
    </w:p>
    <w:p>
      <w:pPr>
        <w:ind w:left="220" w:hanging="218"/>
        <w:spacing w:after="0"/>
        <w:tabs>
          <w:tab w:leader="none" w:pos="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Approving changes to our executive compensation plans</w:t>
      </w:r>
    </w:p>
    <w:p>
      <w:pPr>
        <w:spacing w:after="0" w:line="83" w:lineRule="exact"/>
        <w:rPr>
          <w:rFonts w:ascii="Arial" w:cs="Arial" w:eastAsia="Arial" w:hAnsi="Arial"/>
          <w:sz w:val="16"/>
          <w:szCs w:val="16"/>
          <w:color w:val="auto"/>
        </w:rPr>
      </w:pPr>
    </w:p>
    <w:p>
      <w:pPr>
        <w:ind w:left="220" w:hanging="218"/>
        <w:spacing w:after="0"/>
        <w:tabs>
          <w:tab w:leader="none" w:pos="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Reviewing and recommending compensation for the Board</w:t>
      </w:r>
    </w:p>
    <w:p>
      <w:pPr>
        <w:spacing w:after="0" w:line="83" w:lineRule="exact"/>
        <w:rPr>
          <w:rFonts w:ascii="Arial" w:cs="Arial" w:eastAsia="Arial" w:hAnsi="Arial"/>
          <w:sz w:val="16"/>
          <w:szCs w:val="16"/>
          <w:color w:val="auto"/>
        </w:rPr>
      </w:pPr>
    </w:p>
    <w:p>
      <w:pPr>
        <w:ind w:left="220" w:hanging="218"/>
        <w:spacing w:after="0"/>
        <w:tabs>
          <w:tab w:leader="none" w:pos="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Overseeing succession planning and management development programs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Committee’s responsibilities and authority are described in greater detail in its written charter.</w:t>
      </w:r>
    </w:p>
    <w:p>
      <w:pPr>
        <w:spacing w:after="0" w:line="200" w:lineRule="exact"/>
        <w:rPr>
          <w:sz w:val="20"/>
          <w:szCs w:val="20"/>
          <w:color w:val="auto"/>
        </w:rPr>
      </w:pPr>
    </w:p>
    <w:p>
      <w:pPr>
        <w:sectPr>
          <w:pgSz w:w="11900" w:h="16838" w:orient="portrait"/>
          <w:cols w:equalWidth="0" w:num="2">
            <w:col w:w="2320" w:space="320"/>
            <w:col w:w="8440"/>
          </w:cols>
          <w:pgMar w:left="320" w:top="456" w:right="499" w:bottom="1440" w:gutter="0" w:footer="0" w:header="0"/>
          <w:type w:val="continuous"/>
        </w:sectPr>
      </w:pPr>
    </w:p>
    <w:p>
      <w:pPr>
        <w:spacing w:after="0" w:line="77"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26</w:t>
      </w:r>
    </w:p>
    <w:p>
      <w:pPr>
        <w:sectPr>
          <w:pgSz w:w="11900" w:h="16838" w:orient="portrait"/>
          <w:cols w:equalWidth="0" w:num="1">
            <w:col w:w="11080"/>
          </w:cols>
          <w:pgMar w:left="320" w:top="456" w:right="49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tbl>
      <w:tblPr>
        <w:tblLayout w:type="fixed"/>
        <w:tblInd w:w="170" w:type="dxa"/>
        <w:tblCellMar>
          <w:top w:w="0" w:type="dxa"/>
          <w:left w:w="0" w:type="dxa"/>
          <w:bottom w:w="0" w:type="dxa"/>
          <w:right w:w="0" w:type="dxa"/>
        </w:tblCellMar>
      </w:tblPr>
      <w:tr>
        <w:trPr>
          <w:trHeight w:val="288"/>
        </w:trPr>
        <w:tc>
          <w:tcPr>
            <w:tcW w:w="2660" w:type="dxa"/>
            <w:vAlign w:val="bottom"/>
            <w:tcBorders>
              <w:top w:val="single" w:sz="8" w:color="auto"/>
              <w:left w:val="single" w:sz="8" w:color="auto"/>
              <w:bottom w:val="single" w:sz="8" w:color="021496"/>
              <w:right w:val="single" w:sz="8" w:color="021496"/>
            </w:tcBorders>
            <w:shd w:val="clear" w:color="auto" w:fill="021496"/>
          </w:tcPr>
          <w:p>
            <w:pPr>
              <w:spacing w:after="0"/>
              <w:rPr>
                <w:sz w:val="24"/>
                <w:szCs w:val="24"/>
                <w:color w:val="auto"/>
              </w:rPr>
            </w:pPr>
          </w:p>
        </w:tc>
        <w:tc>
          <w:tcPr>
            <w:tcW w:w="200" w:type="dxa"/>
            <w:vAlign w:val="bottom"/>
            <w:tcBorders>
              <w:top w:val="single" w:sz="8" w:color="auto"/>
              <w:bottom w:val="single" w:sz="8" w:color="021496"/>
            </w:tcBorders>
            <w:shd w:val="clear" w:color="auto" w:fill="021496"/>
          </w:tcPr>
          <w:p>
            <w:pPr>
              <w:spacing w:after="0"/>
              <w:rPr>
                <w:sz w:val="24"/>
                <w:szCs w:val="24"/>
                <w:color w:val="auto"/>
              </w:rPr>
            </w:pPr>
          </w:p>
        </w:tc>
        <w:tc>
          <w:tcPr>
            <w:tcW w:w="8080" w:type="dxa"/>
            <w:vAlign w:val="bottom"/>
            <w:tcBorders>
              <w:top w:val="single" w:sz="8" w:color="auto"/>
              <w:bottom w:val="single" w:sz="8" w:color="021496"/>
              <w:right w:val="single" w:sz="8" w:color="auto"/>
            </w:tcBorders>
            <w:gridSpan w:val="2"/>
            <w:shd w:val="clear" w:color="auto" w:fill="021496"/>
          </w:tcPr>
          <w:p>
            <w:pPr>
              <w:ind w:left="1180"/>
              <w:spacing w:after="0"/>
              <w:rPr>
                <w:sz w:val="20"/>
                <w:szCs w:val="20"/>
                <w:color w:val="auto"/>
              </w:rPr>
            </w:pPr>
            <w:r>
              <w:rPr>
                <w:rFonts w:ascii="Arial" w:cs="Arial" w:eastAsia="Arial" w:hAnsi="Arial"/>
                <w:sz w:val="16"/>
                <w:szCs w:val="16"/>
                <w:b w:val="1"/>
                <w:bCs w:val="1"/>
                <w:color w:val="FFFFFF"/>
              </w:rPr>
              <w:t>Governance and Nominating Committee</w:t>
            </w:r>
          </w:p>
        </w:tc>
        <w:tc>
          <w:tcPr>
            <w:tcW w:w="0" w:type="dxa"/>
            <w:vAlign w:val="bottom"/>
          </w:tcPr>
          <w:p>
            <w:pPr>
              <w:spacing w:after="0"/>
              <w:rPr>
                <w:sz w:val="1"/>
                <w:szCs w:val="1"/>
                <w:color w:val="auto"/>
              </w:rPr>
            </w:pPr>
          </w:p>
        </w:tc>
      </w:tr>
      <w:tr>
        <w:trPr>
          <w:trHeight w:val="241"/>
        </w:trPr>
        <w:tc>
          <w:tcPr>
            <w:tcW w:w="2660" w:type="dxa"/>
            <w:vAlign w:val="bottom"/>
            <w:tcBorders>
              <w:left w:val="single" w:sz="8" w:color="auto"/>
              <w:right w:val="single" w:sz="8" w:color="021496"/>
            </w:tcBorders>
            <w:shd w:val="clear" w:color="auto" w:fill="D8D8D8"/>
          </w:tcPr>
          <w:p>
            <w:pPr>
              <w:ind w:left="340"/>
              <w:spacing w:after="0"/>
              <w:rPr>
                <w:sz w:val="20"/>
                <w:szCs w:val="20"/>
                <w:color w:val="auto"/>
              </w:rPr>
            </w:pPr>
            <w:r>
              <w:rPr>
                <w:rFonts w:ascii="Arial" w:cs="Arial" w:eastAsia="Arial" w:hAnsi="Arial"/>
                <w:sz w:val="16"/>
                <w:szCs w:val="16"/>
                <w:b w:val="1"/>
                <w:bCs w:val="1"/>
                <w:i w:val="1"/>
                <w:iCs w:val="1"/>
                <w:color w:val="auto"/>
              </w:rPr>
              <w:t>Stephen K. Wagner (Chair)</w:t>
            </w:r>
          </w:p>
        </w:tc>
        <w:tc>
          <w:tcPr>
            <w:tcW w:w="200" w:type="dxa"/>
            <w:vAlign w:val="bottom"/>
          </w:tcPr>
          <w:p>
            <w:pPr>
              <w:spacing w:after="0"/>
              <w:rPr>
                <w:sz w:val="20"/>
                <w:szCs w:val="20"/>
                <w:color w:val="auto"/>
              </w:rPr>
            </w:pPr>
          </w:p>
        </w:tc>
        <w:tc>
          <w:tcPr>
            <w:tcW w:w="808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Key Responsibilities</w:t>
            </w:r>
          </w:p>
        </w:tc>
        <w:tc>
          <w:tcPr>
            <w:tcW w:w="0" w:type="dxa"/>
            <w:vAlign w:val="bottom"/>
          </w:tcPr>
          <w:p>
            <w:pPr>
              <w:spacing w:after="0"/>
              <w:rPr>
                <w:sz w:val="1"/>
                <w:szCs w:val="1"/>
                <w:color w:val="auto"/>
              </w:rPr>
            </w:pPr>
          </w:p>
        </w:tc>
      </w:tr>
      <w:tr>
        <w:trPr>
          <w:trHeight w:val="20"/>
        </w:trPr>
        <w:tc>
          <w:tcPr>
            <w:tcW w:w="2660" w:type="dxa"/>
            <w:vAlign w:val="bottom"/>
            <w:tcBorders>
              <w:left w:val="single" w:sz="8" w:color="auto"/>
              <w:right w:val="single" w:sz="8" w:color="021496"/>
            </w:tcBorders>
            <w:shd w:val="clear" w:color="auto" w:fill="D8D8D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5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660" w:type="dxa"/>
            <w:vAlign w:val="bottom"/>
            <w:tcBorders>
              <w:left w:val="single" w:sz="8" w:color="auto"/>
              <w:right w:val="single" w:sz="8" w:color="021496"/>
            </w:tcBorders>
            <w:shd w:val="clear" w:color="auto" w:fill="D8D8D8"/>
          </w:tcPr>
          <w:p>
            <w:pPr>
              <w:ind w:left="340"/>
              <w:spacing w:after="0"/>
              <w:rPr>
                <w:sz w:val="20"/>
                <w:szCs w:val="20"/>
                <w:color w:val="auto"/>
              </w:rPr>
            </w:pPr>
            <w:r>
              <w:rPr>
                <w:rFonts w:ascii="Arial" w:cs="Arial" w:eastAsia="Arial" w:hAnsi="Arial"/>
                <w:sz w:val="16"/>
                <w:szCs w:val="16"/>
                <w:color w:val="auto"/>
              </w:rPr>
              <w:t>Kristiane C. Graham</w:t>
            </w:r>
          </w:p>
        </w:tc>
        <w:tc>
          <w:tcPr>
            <w:tcW w:w="200" w:type="dxa"/>
            <w:vAlign w:val="bottom"/>
          </w:tcPr>
          <w:p>
            <w:pPr>
              <w:spacing w:after="0"/>
              <w:rPr>
                <w:sz w:val="24"/>
                <w:szCs w:val="24"/>
                <w:color w:val="auto"/>
              </w:rPr>
            </w:pPr>
          </w:p>
        </w:tc>
        <w:tc>
          <w:tcPr>
            <w:tcW w:w="80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  Developing and recommending corporate governance principles to our Board</w:t>
            </w: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right w:val="single" w:sz="8" w:color="021496"/>
            </w:tcBorders>
            <w:shd w:val="clear" w:color="auto" w:fill="D8D8D8"/>
          </w:tcPr>
          <w:p>
            <w:pPr>
              <w:ind w:left="340"/>
              <w:spacing w:after="0"/>
              <w:rPr>
                <w:sz w:val="20"/>
                <w:szCs w:val="20"/>
                <w:color w:val="auto"/>
              </w:rPr>
            </w:pPr>
            <w:r>
              <w:rPr>
                <w:rFonts w:ascii="Arial" w:cs="Arial" w:eastAsia="Arial" w:hAnsi="Arial"/>
                <w:sz w:val="16"/>
                <w:szCs w:val="16"/>
                <w:color w:val="auto"/>
              </w:rPr>
              <w:t>Michael F. Johnston</w:t>
            </w:r>
          </w:p>
        </w:tc>
        <w:tc>
          <w:tcPr>
            <w:tcW w:w="200" w:type="dxa"/>
            <w:vAlign w:val="bottom"/>
          </w:tcPr>
          <w:p>
            <w:pPr>
              <w:spacing w:after="0"/>
              <w:rPr>
                <w:sz w:val="16"/>
                <w:szCs w:val="16"/>
                <w:color w:val="auto"/>
              </w:rPr>
            </w:pPr>
          </w:p>
        </w:tc>
        <w:tc>
          <w:tcPr>
            <w:tcW w:w="80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  Annually reviewing the requisite skills and characteristics of board members as well as the size,</w:t>
            </w:r>
          </w:p>
        </w:tc>
        <w:tc>
          <w:tcPr>
            <w:tcW w:w="0" w:type="dxa"/>
            <w:vAlign w:val="bottom"/>
          </w:tcPr>
          <w:p>
            <w:pPr>
              <w:spacing w:after="0"/>
              <w:rPr>
                <w:sz w:val="1"/>
                <w:szCs w:val="1"/>
                <w:color w:val="auto"/>
              </w:rPr>
            </w:pPr>
          </w:p>
        </w:tc>
      </w:tr>
      <w:tr>
        <w:trPr>
          <w:trHeight w:val="74"/>
        </w:trPr>
        <w:tc>
          <w:tcPr>
            <w:tcW w:w="2660" w:type="dxa"/>
            <w:vAlign w:val="bottom"/>
            <w:tcBorders>
              <w:left w:val="single" w:sz="8" w:color="auto"/>
              <w:right w:val="single" w:sz="8" w:color="021496"/>
            </w:tcBorders>
            <w:shd w:val="clear" w:color="auto" w:fill="D8D8D8"/>
          </w:tcPr>
          <w:p>
            <w:pPr>
              <w:spacing w:after="0"/>
              <w:rPr>
                <w:sz w:val="6"/>
                <w:szCs w:val="6"/>
                <w:color w:val="auto"/>
              </w:rPr>
            </w:pPr>
          </w:p>
        </w:tc>
        <w:tc>
          <w:tcPr>
            <w:tcW w:w="200" w:type="dxa"/>
            <w:vAlign w:val="bottom"/>
          </w:tcPr>
          <w:p>
            <w:pPr>
              <w:spacing w:after="0"/>
              <w:rPr>
                <w:sz w:val="6"/>
                <w:szCs w:val="6"/>
                <w:color w:val="auto"/>
              </w:rPr>
            </w:pPr>
          </w:p>
        </w:tc>
        <w:tc>
          <w:tcPr>
            <w:tcW w:w="80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right w:val="single" w:sz="8" w:color="021496"/>
            </w:tcBorders>
            <w:shd w:val="clear" w:color="auto" w:fill="D8D8D8"/>
          </w:tcPr>
          <w:p>
            <w:pPr>
              <w:spacing w:after="0"/>
              <w:rPr>
                <w:sz w:val="16"/>
                <w:szCs w:val="16"/>
                <w:color w:val="auto"/>
              </w:rPr>
            </w:pPr>
          </w:p>
        </w:tc>
        <w:tc>
          <w:tcPr>
            <w:tcW w:w="200" w:type="dxa"/>
            <w:vAlign w:val="bottom"/>
          </w:tcPr>
          <w:p>
            <w:pPr>
              <w:spacing w:after="0"/>
              <w:rPr>
                <w:sz w:val="16"/>
                <w:szCs w:val="16"/>
                <w:color w:val="auto"/>
              </w:rPr>
            </w:pPr>
          </w:p>
        </w:tc>
        <w:tc>
          <w:tcPr>
            <w:tcW w:w="808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composition, functioning and needs of our Board as a whole</w:t>
            </w: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right w:val="single" w:sz="8" w:color="021496"/>
            </w:tcBorders>
            <w:shd w:val="clear" w:color="auto" w:fill="D8D8D8"/>
          </w:tcPr>
          <w:p>
            <w:pPr>
              <w:spacing w:after="0"/>
              <w:rPr>
                <w:sz w:val="22"/>
                <w:szCs w:val="22"/>
                <w:color w:val="auto"/>
              </w:rPr>
            </w:pPr>
          </w:p>
        </w:tc>
        <w:tc>
          <w:tcPr>
            <w:tcW w:w="200" w:type="dxa"/>
            <w:vAlign w:val="bottom"/>
          </w:tcPr>
          <w:p>
            <w:pPr>
              <w:spacing w:after="0"/>
              <w:rPr>
                <w:sz w:val="22"/>
                <w:szCs w:val="22"/>
                <w:color w:val="auto"/>
              </w:rPr>
            </w:pPr>
          </w:p>
        </w:tc>
        <w:tc>
          <w:tcPr>
            <w:tcW w:w="80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  Considering and recommending to the Board nominees for election to, or for filling any vacancy on, our</w:t>
            </w: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right w:val="single" w:sz="8" w:color="021496"/>
            </w:tcBorders>
            <w:shd w:val="clear" w:color="auto" w:fill="D8D8D8"/>
          </w:tcPr>
          <w:p>
            <w:pPr>
              <w:spacing w:after="0"/>
              <w:rPr>
                <w:sz w:val="16"/>
                <w:szCs w:val="16"/>
                <w:color w:val="auto"/>
              </w:rPr>
            </w:pPr>
          </w:p>
        </w:tc>
        <w:tc>
          <w:tcPr>
            <w:tcW w:w="200" w:type="dxa"/>
            <w:vAlign w:val="bottom"/>
          </w:tcPr>
          <w:p>
            <w:pPr>
              <w:spacing w:after="0"/>
              <w:rPr>
                <w:sz w:val="16"/>
                <w:szCs w:val="16"/>
                <w:color w:val="auto"/>
              </w:rPr>
            </w:pPr>
          </w:p>
        </w:tc>
        <w:tc>
          <w:tcPr>
            <w:tcW w:w="808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Board in accordance with our by-laws, our governance guidelines, and the committee’s charter</w:t>
            </w: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right w:val="single" w:sz="8" w:color="021496"/>
            </w:tcBorders>
            <w:shd w:val="clear" w:color="auto" w:fill="D8D8D8"/>
          </w:tcPr>
          <w:p>
            <w:pPr>
              <w:spacing w:after="0"/>
              <w:rPr>
                <w:sz w:val="22"/>
                <w:szCs w:val="22"/>
                <w:color w:val="auto"/>
              </w:rPr>
            </w:pPr>
          </w:p>
        </w:tc>
        <w:tc>
          <w:tcPr>
            <w:tcW w:w="200" w:type="dxa"/>
            <w:vAlign w:val="bottom"/>
          </w:tcPr>
          <w:p>
            <w:pPr>
              <w:spacing w:after="0"/>
              <w:rPr>
                <w:sz w:val="22"/>
                <w:szCs w:val="22"/>
                <w:color w:val="auto"/>
              </w:rPr>
            </w:pPr>
          </w:p>
        </w:tc>
        <w:tc>
          <w:tcPr>
            <w:tcW w:w="80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  Identifying and recommending to our Board any changes it believes desirable in the size and composition of</w:t>
            </w: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right w:val="single" w:sz="8" w:color="021496"/>
            </w:tcBorders>
            <w:shd w:val="clear" w:color="auto" w:fill="D8D8D8"/>
          </w:tcPr>
          <w:p>
            <w:pPr>
              <w:spacing w:after="0"/>
              <w:rPr>
                <w:sz w:val="16"/>
                <w:szCs w:val="16"/>
                <w:color w:val="auto"/>
              </w:rPr>
            </w:pPr>
          </w:p>
        </w:tc>
        <w:tc>
          <w:tcPr>
            <w:tcW w:w="200" w:type="dxa"/>
            <w:vAlign w:val="bottom"/>
          </w:tcPr>
          <w:p>
            <w:pPr>
              <w:spacing w:after="0"/>
              <w:rPr>
                <w:sz w:val="16"/>
                <w:szCs w:val="16"/>
                <w:color w:val="auto"/>
              </w:rPr>
            </w:pPr>
          </w:p>
        </w:tc>
        <w:tc>
          <w:tcPr>
            <w:tcW w:w="808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our Board</w:t>
            </w: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right w:val="single" w:sz="8" w:color="021496"/>
            </w:tcBorders>
            <w:shd w:val="clear" w:color="auto" w:fill="D8D8D8"/>
          </w:tcPr>
          <w:p>
            <w:pPr>
              <w:spacing w:after="0"/>
              <w:rPr>
                <w:sz w:val="22"/>
                <w:szCs w:val="22"/>
                <w:color w:val="auto"/>
              </w:rPr>
            </w:pPr>
          </w:p>
        </w:tc>
        <w:tc>
          <w:tcPr>
            <w:tcW w:w="200" w:type="dxa"/>
            <w:vAlign w:val="bottom"/>
          </w:tcPr>
          <w:p>
            <w:pPr>
              <w:spacing w:after="0"/>
              <w:rPr>
                <w:sz w:val="22"/>
                <w:szCs w:val="22"/>
                <w:color w:val="auto"/>
              </w:rPr>
            </w:pPr>
          </w:p>
        </w:tc>
        <w:tc>
          <w:tcPr>
            <w:tcW w:w="80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  Recommending to our Board any changes it believes desirable in structure and membership of our Board’s</w:t>
            </w: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right w:val="single" w:sz="8" w:color="021496"/>
            </w:tcBorders>
            <w:shd w:val="clear" w:color="auto" w:fill="D8D8D8"/>
          </w:tcPr>
          <w:p>
            <w:pPr>
              <w:spacing w:after="0"/>
              <w:rPr>
                <w:sz w:val="16"/>
                <w:szCs w:val="16"/>
                <w:color w:val="auto"/>
              </w:rPr>
            </w:pPr>
          </w:p>
        </w:tc>
        <w:tc>
          <w:tcPr>
            <w:tcW w:w="200" w:type="dxa"/>
            <w:vAlign w:val="bottom"/>
          </w:tcPr>
          <w:p>
            <w:pPr>
              <w:spacing w:after="0"/>
              <w:rPr>
                <w:sz w:val="16"/>
                <w:szCs w:val="16"/>
                <w:color w:val="auto"/>
              </w:rPr>
            </w:pPr>
          </w:p>
        </w:tc>
        <w:tc>
          <w:tcPr>
            <w:tcW w:w="808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committees</w:t>
            </w: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right w:val="single" w:sz="8" w:color="021496"/>
            </w:tcBorders>
            <w:shd w:val="clear" w:color="auto" w:fill="D8D8D8"/>
          </w:tcPr>
          <w:p>
            <w:pPr>
              <w:spacing w:after="0"/>
              <w:rPr>
                <w:sz w:val="22"/>
                <w:szCs w:val="22"/>
                <w:color w:val="auto"/>
              </w:rPr>
            </w:pPr>
          </w:p>
        </w:tc>
        <w:tc>
          <w:tcPr>
            <w:tcW w:w="200" w:type="dxa"/>
            <w:vAlign w:val="bottom"/>
          </w:tcPr>
          <w:p>
            <w:pPr>
              <w:spacing w:after="0"/>
              <w:rPr>
                <w:sz w:val="22"/>
                <w:szCs w:val="22"/>
                <w:color w:val="auto"/>
              </w:rPr>
            </w:pPr>
          </w:p>
        </w:tc>
        <w:tc>
          <w:tcPr>
            <w:tcW w:w="80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  Providing oversight of Dover’s practices on political contributions and lobbying expenses and reviewing</w:t>
            </w: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right w:val="single" w:sz="8" w:color="021496"/>
            </w:tcBorders>
            <w:shd w:val="clear" w:color="auto" w:fill="D8D8D8"/>
          </w:tcPr>
          <w:p>
            <w:pPr>
              <w:spacing w:after="0"/>
              <w:rPr>
                <w:sz w:val="16"/>
                <w:szCs w:val="16"/>
                <w:color w:val="auto"/>
              </w:rPr>
            </w:pPr>
          </w:p>
        </w:tc>
        <w:tc>
          <w:tcPr>
            <w:tcW w:w="200" w:type="dxa"/>
            <w:vAlign w:val="bottom"/>
          </w:tcPr>
          <w:p>
            <w:pPr>
              <w:spacing w:after="0"/>
              <w:rPr>
                <w:sz w:val="16"/>
                <w:szCs w:val="16"/>
                <w:color w:val="auto"/>
              </w:rPr>
            </w:pPr>
          </w:p>
        </w:tc>
        <w:tc>
          <w:tcPr>
            <w:tcW w:w="808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annually Dover’s political contributions and lobbying expenses</w:t>
            </w:r>
          </w:p>
        </w:tc>
        <w:tc>
          <w:tcPr>
            <w:tcW w:w="0" w:type="dxa"/>
            <w:vAlign w:val="bottom"/>
          </w:tcPr>
          <w:p>
            <w:pPr>
              <w:spacing w:after="0"/>
              <w:rPr>
                <w:sz w:val="1"/>
                <w:szCs w:val="1"/>
                <w:color w:val="auto"/>
              </w:rPr>
            </w:pPr>
          </w:p>
        </w:tc>
      </w:tr>
      <w:tr>
        <w:trPr>
          <w:trHeight w:val="382"/>
        </w:trPr>
        <w:tc>
          <w:tcPr>
            <w:tcW w:w="2660" w:type="dxa"/>
            <w:vAlign w:val="bottom"/>
            <w:tcBorders>
              <w:left w:val="single" w:sz="8" w:color="auto"/>
              <w:right w:val="single" w:sz="8" w:color="021496"/>
            </w:tcBorders>
            <w:shd w:val="clear" w:color="auto" w:fill="D8D8D8"/>
          </w:tcPr>
          <w:p>
            <w:pPr>
              <w:spacing w:after="0"/>
              <w:rPr>
                <w:sz w:val="24"/>
                <w:szCs w:val="24"/>
                <w:color w:val="auto"/>
              </w:rPr>
            </w:pPr>
          </w:p>
        </w:tc>
        <w:tc>
          <w:tcPr>
            <w:tcW w:w="200" w:type="dxa"/>
            <w:vAlign w:val="bottom"/>
          </w:tcPr>
          <w:p>
            <w:pPr>
              <w:spacing w:after="0"/>
              <w:rPr>
                <w:sz w:val="24"/>
                <w:szCs w:val="24"/>
                <w:color w:val="auto"/>
              </w:rPr>
            </w:pPr>
          </w:p>
        </w:tc>
        <w:tc>
          <w:tcPr>
            <w:tcW w:w="80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The Governance and Nominating Committee’s responsibilities and authority are described in greater detail in its</w:t>
            </w: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right w:val="single" w:sz="8" w:color="021496"/>
            </w:tcBorders>
            <w:shd w:val="clear" w:color="auto" w:fill="D8D8D8"/>
          </w:tcPr>
          <w:p>
            <w:pPr>
              <w:spacing w:after="0"/>
              <w:rPr>
                <w:sz w:val="16"/>
                <w:szCs w:val="16"/>
                <w:color w:val="auto"/>
              </w:rPr>
            </w:pPr>
          </w:p>
        </w:tc>
        <w:tc>
          <w:tcPr>
            <w:tcW w:w="200" w:type="dxa"/>
            <w:vAlign w:val="bottom"/>
          </w:tcPr>
          <w:p>
            <w:pPr>
              <w:spacing w:after="0"/>
              <w:rPr>
                <w:sz w:val="16"/>
                <w:szCs w:val="16"/>
                <w:color w:val="auto"/>
              </w:rPr>
            </w:pPr>
          </w:p>
        </w:tc>
        <w:tc>
          <w:tcPr>
            <w:tcW w:w="80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written charter.</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bottom w:val="single" w:sz="8" w:color="auto"/>
              <w:right w:val="single" w:sz="8" w:color="021496"/>
            </w:tcBorders>
            <w:shd w:val="clear" w:color="auto" w:fill="D8D8D8"/>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6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170" w:type="dxa"/>
        <w:tblCellMar>
          <w:top w:w="0" w:type="dxa"/>
          <w:left w:w="0" w:type="dxa"/>
          <w:bottom w:w="0" w:type="dxa"/>
          <w:right w:w="0" w:type="dxa"/>
        </w:tblCellMar>
      </w:tblPr>
      <w:tr>
        <w:trPr>
          <w:trHeight w:val="288"/>
        </w:trPr>
        <w:tc>
          <w:tcPr>
            <w:tcW w:w="2660" w:type="dxa"/>
            <w:vAlign w:val="bottom"/>
            <w:tcBorders>
              <w:top w:val="single" w:sz="8" w:color="auto"/>
              <w:left w:val="single" w:sz="8" w:color="auto"/>
              <w:bottom w:val="single" w:sz="8" w:color="021496"/>
              <w:right w:val="single" w:sz="8" w:color="021496"/>
            </w:tcBorders>
            <w:shd w:val="clear" w:color="auto" w:fill="021496"/>
          </w:tcPr>
          <w:p>
            <w:pPr>
              <w:spacing w:after="0"/>
              <w:rPr>
                <w:sz w:val="24"/>
                <w:szCs w:val="24"/>
                <w:color w:val="auto"/>
              </w:rPr>
            </w:pPr>
          </w:p>
        </w:tc>
        <w:tc>
          <w:tcPr>
            <w:tcW w:w="200" w:type="dxa"/>
            <w:vAlign w:val="bottom"/>
            <w:tcBorders>
              <w:top w:val="single" w:sz="8" w:color="auto"/>
              <w:bottom w:val="single" w:sz="8" w:color="021496"/>
            </w:tcBorders>
            <w:shd w:val="clear" w:color="auto" w:fill="021496"/>
          </w:tcPr>
          <w:p>
            <w:pPr>
              <w:spacing w:after="0"/>
              <w:rPr>
                <w:sz w:val="24"/>
                <w:szCs w:val="24"/>
                <w:color w:val="auto"/>
              </w:rPr>
            </w:pPr>
          </w:p>
        </w:tc>
        <w:tc>
          <w:tcPr>
            <w:tcW w:w="1560" w:type="dxa"/>
            <w:vAlign w:val="bottom"/>
            <w:tcBorders>
              <w:top w:val="single" w:sz="8" w:color="auto"/>
              <w:bottom w:val="single" w:sz="8" w:color="021496"/>
            </w:tcBorders>
            <w:shd w:val="clear" w:color="auto" w:fill="021496"/>
          </w:tcPr>
          <w:p>
            <w:pPr>
              <w:spacing w:after="0"/>
              <w:rPr>
                <w:sz w:val="24"/>
                <w:szCs w:val="24"/>
                <w:color w:val="auto"/>
              </w:rPr>
            </w:pPr>
          </w:p>
        </w:tc>
        <w:tc>
          <w:tcPr>
            <w:tcW w:w="6520" w:type="dxa"/>
            <w:vAlign w:val="bottom"/>
            <w:tcBorders>
              <w:top w:val="single" w:sz="8" w:color="auto"/>
              <w:bottom w:val="single" w:sz="8" w:color="021496"/>
              <w:right w:val="single" w:sz="8" w:color="auto"/>
            </w:tcBorders>
            <w:shd w:val="clear" w:color="auto" w:fill="021496"/>
          </w:tcPr>
          <w:p>
            <w:pPr>
              <w:ind w:left="400"/>
              <w:spacing w:after="0"/>
              <w:rPr>
                <w:sz w:val="20"/>
                <w:szCs w:val="20"/>
                <w:color w:val="auto"/>
              </w:rPr>
            </w:pPr>
            <w:r>
              <w:rPr>
                <w:rFonts w:ascii="Arial" w:cs="Arial" w:eastAsia="Arial" w:hAnsi="Arial"/>
                <w:sz w:val="16"/>
                <w:szCs w:val="16"/>
                <w:b w:val="1"/>
                <w:bCs w:val="1"/>
                <w:color w:val="FFFFFF"/>
              </w:rPr>
              <w:t>Finance Committee</w:t>
            </w:r>
          </w:p>
        </w:tc>
        <w:tc>
          <w:tcPr>
            <w:tcW w:w="0" w:type="dxa"/>
            <w:vAlign w:val="bottom"/>
          </w:tcPr>
          <w:p>
            <w:pPr>
              <w:spacing w:after="0"/>
              <w:rPr>
                <w:sz w:val="1"/>
                <w:szCs w:val="1"/>
                <w:color w:val="auto"/>
              </w:rPr>
            </w:pPr>
          </w:p>
        </w:tc>
      </w:tr>
      <w:tr>
        <w:trPr>
          <w:trHeight w:val="241"/>
        </w:trPr>
        <w:tc>
          <w:tcPr>
            <w:tcW w:w="2660" w:type="dxa"/>
            <w:vAlign w:val="bottom"/>
            <w:tcBorders>
              <w:left w:val="single" w:sz="8" w:color="auto"/>
              <w:right w:val="single" w:sz="8" w:color="021496"/>
            </w:tcBorders>
            <w:shd w:val="clear" w:color="auto" w:fill="D8D8D8"/>
          </w:tcPr>
          <w:p>
            <w:pPr>
              <w:ind w:left="340"/>
              <w:spacing w:after="0"/>
              <w:rPr>
                <w:sz w:val="20"/>
                <w:szCs w:val="20"/>
                <w:color w:val="auto"/>
              </w:rPr>
            </w:pPr>
            <w:r>
              <w:rPr>
                <w:rFonts w:ascii="Arial" w:cs="Arial" w:eastAsia="Arial" w:hAnsi="Arial"/>
                <w:sz w:val="16"/>
                <w:szCs w:val="16"/>
                <w:b w:val="1"/>
                <w:bCs w:val="1"/>
                <w:i w:val="1"/>
                <w:iCs w:val="1"/>
                <w:color w:val="auto"/>
              </w:rPr>
              <w:t>Eric A. Spiegel (Chair)</w:t>
            </w:r>
          </w:p>
        </w:tc>
        <w:tc>
          <w:tcPr>
            <w:tcW w:w="200" w:type="dxa"/>
            <w:vAlign w:val="bottom"/>
          </w:tcPr>
          <w:p>
            <w:pPr>
              <w:spacing w:after="0"/>
              <w:rPr>
                <w:sz w:val="20"/>
                <w:szCs w:val="20"/>
                <w:color w:val="auto"/>
              </w:rPr>
            </w:pPr>
          </w:p>
        </w:tc>
        <w:tc>
          <w:tcPr>
            <w:tcW w:w="808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Key Responsibilities</w:t>
            </w:r>
          </w:p>
        </w:tc>
        <w:tc>
          <w:tcPr>
            <w:tcW w:w="0" w:type="dxa"/>
            <w:vAlign w:val="bottom"/>
          </w:tcPr>
          <w:p>
            <w:pPr>
              <w:spacing w:after="0"/>
              <w:rPr>
                <w:sz w:val="1"/>
                <w:szCs w:val="1"/>
                <w:color w:val="auto"/>
              </w:rPr>
            </w:pPr>
          </w:p>
        </w:tc>
      </w:tr>
      <w:tr>
        <w:trPr>
          <w:trHeight w:val="20"/>
        </w:trPr>
        <w:tc>
          <w:tcPr>
            <w:tcW w:w="2660" w:type="dxa"/>
            <w:vAlign w:val="bottom"/>
            <w:tcBorders>
              <w:left w:val="single" w:sz="8" w:color="auto"/>
              <w:right w:val="single" w:sz="8" w:color="021496"/>
            </w:tcBorders>
            <w:shd w:val="clear" w:color="auto" w:fill="D8D8D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5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660" w:type="dxa"/>
            <w:vAlign w:val="bottom"/>
            <w:tcBorders>
              <w:left w:val="single" w:sz="8" w:color="auto"/>
              <w:right w:val="single" w:sz="8" w:color="021496"/>
            </w:tcBorders>
            <w:shd w:val="clear" w:color="auto" w:fill="D8D8D8"/>
          </w:tcPr>
          <w:p>
            <w:pPr>
              <w:ind w:left="340"/>
              <w:spacing w:after="0"/>
              <w:rPr>
                <w:sz w:val="20"/>
                <w:szCs w:val="20"/>
                <w:color w:val="auto"/>
              </w:rPr>
            </w:pPr>
            <w:r>
              <w:rPr>
                <w:rFonts w:ascii="Arial" w:cs="Arial" w:eastAsia="Arial" w:hAnsi="Arial"/>
                <w:sz w:val="16"/>
                <w:szCs w:val="16"/>
                <w:color w:val="auto"/>
              </w:rPr>
              <w:t>H. John Gilbertson, Jr.</w:t>
            </w:r>
          </w:p>
        </w:tc>
        <w:tc>
          <w:tcPr>
            <w:tcW w:w="200" w:type="dxa"/>
            <w:vAlign w:val="bottom"/>
          </w:tcPr>
          <w:p>
            <w:pPr>
              <w:spacing w:after="0"/>
              <w:rPr>
                <w:sz w:val="24"/>
                <w:szCs w:val="24"/>
                <w:color w:val="auto"/>
              </w:rPr>
            </w:pPr>
          </w:p>
        </w:tc>
        <w:tc>
          <w:tcPr>
            <w:tcW w:w="80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  Reviewing and recommending for approval by the Board proposed changes to dividend policies, stock splits,</w:t>
            </w:r>
          </w:p>
        </w:tc>
        <w:tc>
          <w:tcPr>
            <w:tcW w:w="0" w:type="dxa"/>
            <w:vAlign w:val="bottom"/>
          </w:tcPr>
          <w:p>
            <w:pPr>
              <w:spacing w:after="0"/>
              <w:rPr>
                <w:sz w:val="1"/>
                <w:szCs w:val="1"/>
                <w:color w:val="auto"/>
              </w:rPr>
            </w:pPr>
          </w:p>
        </w:tc>
      </w:tr>
      <w:tr>
        <w:trPr>
          <w:trHeight w:val="187"/>
        </w:trPr>
        <w:tc>
          <w:tcPr>
            <w:tcW w:w="2660" w:type="dxa"/>
            <w:vAlign w:val="bottom"/>
            <w:tcBorders>
              <w:left w:val="single" w:sz="8" w:color="auto"/>
              <w:right w:val="single" w:sz="8" w:color="021496"/>
            </w:tcBorders>
            <w:shd w:val="clear" w:color="auto" w:fill="D8D8D8"/>
          </w:tcPr>
          <w:p>
            <w:pPr>
              <w:ind w:left="340"/>
              <w:spacing w:after="0"/>
              <w:rPr>
                <w:sz w:val="20"/>
                <w:szCs w:val="20"/>
                <w:color w:val="auto"/>
              </w:rPr>
            </w:pPr>
            <w:r>
              <w:rPr>
                <w:rFonts w:ascii="Arial" w:cs="Arial" w:eastAsia="Arial" w:hAnsi="Arial"/>
                <w:sz w:val="16"/>
                <w:szCs w:val="16"/>
                <w:color w:val="auto"/>
              </w:rPr>
              <w:t>Keith E. Wandell</w:t>
            </w:r>
          </w:p>
        </w:tc>
        <w:tc>
          <w:tcPr>
            <w:tcW w:w="200" w:type="dxa"/>
            <w:vAlign w:val="bottom"/>
          </w:tcPr>
          <w:p>
            <w:pPr>
              <w:spacing w:after="0"/>
              <w:rPr>
                <w:sz w:val="16"/>
                <w:szCs w:val="16"/>
                <w:color w:val="auto"/>
              </w:rPr>
            </w:pPr>
          </w:p>
        </w:tc>
        <w:tc>
          <w:tcPr>
            <w:tcW w:w="808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and repurchase programs</w:t>
            </w: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right w:val="single" w:sz="8" w:color="021496"/>
            </w:tcBorders>
            <w:shd w:val="clear" w:color="auto" w:fill="D8D8D8"/>
          </w:tcPr>
          <w:p>
            <w:pPr>
              <w:ind w:left="340"/>
              <w:spacing w:after="0"/>
              <w:rPr>
                <w:sz w:val="20"/>
                <w:szCs w:val="20"/>
                <w:color w:val="auto"/>
              </w:rPr>
            </w:pPr>
            <w:r>
              <w:rPr>
                <w:rFonts w:ascii="Arial" w:cs="Arial" w:eastAsia="Arial" w:hAnsi="Arial"/>
                <w:sz w:val="16"/>
                <w:szCs w:val="16"/>
                <w:color w:val="auto"/>
              </w:rPr>
              <w:t>Mary A. Winston</w:t>
            </w:r>
          </w:p>
        </w:tc>
        <w:tc>
          <w:tcPr>
            <w:tcW w:w="200" w:type="dxa"/>
            <w:vAlign w:val="bottom"/>
          </w:tcPr>
          <w:p>
            <w:pPr>
              <w:spacing w:after="0"/>
              <w:rPr>
                <w:sz w:val="16"/>
                <w:szCs w:val="16"/>
                <w:color w:val="auto"/>
              </w:rPr>
            </w:pPr>
          </w:p>
        </w:tc>
        <w:tc>
          <w:tcPr>
            <w:tcW w:w="80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  Reviewing our capital structure, liquidity, and financing plans</w:t>
            </w:r>
          </w:p>
        </w:tc>
        <w:tc>
          <w:tcPr>
            <w:tcW w:w="0" w:type="dxa"/>
            <w:vAlign w:val="bottom"/>
          </w:tcPr>
          <w:p>
            <w:pPr>
              <w:spacing w:after="0"/>
              <w:rPr>
                <w:sz w:val="1"/>
                <w:szCs w:val="1"/>
                <w:color w:val="auto"/>
              </w:rPr>
            </w:pPr>
          </w:p>
        </w:tc>
      </w:tr>
      <w:tr>
        <w:trPr>
          <w:trHeight w:val="80"/>
        </w:trPr>
        <w:tc>
          <w:tcPr>
            <w:tcW w:w="2660" w:type="dxa"/>
            <w:vAlign w:val="bottom"/>
            <w:tcBorders>
              <w:left w:val="single" w:sz="8" w:color="auto"/>
              <w:right w:val="single" w:sz="8" w:color="021496"/>
            </w:tcBorders>
            <w:shd w:val="clear" w:color="auto" w:fill="D8D8D8"/>
          </w:tcPr>
          <w:p>
            <w:pPr>
              <w:spacing w:after="0"/>
              <w:rPr>
                <w:sz w:val="6"/>
                <w:szCs w:val="6"/>
                <w:color w:val="auto"/>
              </w:rPr>
            </w:pPr>
          </w:p>
        </w:tc>
        <w:tc>
          <w:tcPr>
            <w:tcW w:w="200" w:type="dxa"/>
            <w:vAlign w:val="bottom"/>
          </w:tcPr>
          <w:p>
            <w:pPr>
              <w:spacing w:after="0"/>
              <w:rPr>
                <w:sz w:val="6"/>
                <w:szCs w:val="6"/>
                <w:color w:val="auto"/>
              </w:rPr>
            </w:pPr>
          </w:p>
        </w:tc>
        <w:tc>
          <w:tcPr>
            <w:tcW w:w="80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660" w:type="dxa"/>
            <w:vAlign w:val="bottom"/>
            <w:tcBorders>
              <w:left w:val="single" w:sz="8" w:color="auto"/>
              <w:right w:val="single" w:sz="8" w:color="021496"/>
            </w:tcBorders>
            <w:shd w:val="clear" w:color="auto" w:fill="D8D8D8"/>
          </w:tcPr>
          <w:p>
            <w:pPr>
              <w:spacing w:after="0"/>
              <w:rPr>
                <w:sz w:val="23"/>
                <w:szCs w:val="23"/>
                <w:color w:val="auto"/>
              </w:rPr>
            </w:pPr>
          </w:p>
        </w:tc>
        <w:tc>
          <w:tcPr>
            <w:tcW w:w="200" w:type="dxa"/>
            <w:vAlign w:val="bottom"/>
          </w:tcPr>
          <w:p>
            <w:pPr>
              <w:spacing w:after="0"/>
              <w:rPr>
                <w:sz w:val="23"/>
                <w:szCs w:val="23"/>
                <w:color w:val="auto"/>
              </w:rPr>
            </w:pPr>
          </w:p>
        </w:tc>
        <w:tc>
          <w:tcPr>
            <w:tcW w:w="80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  Reviewing and approving the registration and issuance of debt or equity securities</w:t>
            </w: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right w:val="single" w:sz="8" w:color="021496"/>
            </w:tcBorders>
            <w:shd w:val="clear" w:color="auto" w:fill="D8D8D8"/>
          </w:tcPr>
          <w:p>
            <w:pPr>
              <w:spacing w:after="0"/>
              <w:rPr>
                <w:sz w:val="22"/>
                <w:szCs w:val="22"/>
                <w:color w:val="auto"/>
              </w:rPr>
            </w:pPr>
          </w:p>
        </w:tc>
        <w:tc>
          <w:tcPr>
            <w:tcW w:w="200" w:type="dxa"/>
            <w:vAlign w:val="bottom"/>
          </w:tcPr>
          <w:p>
            <w:pPr>
              <w:spacing w:after="0"/>
              <w:rPr>
                <w:sz w:val="22"/>
                <w:szCs w:val="22"/>
                <w:color w:val="auto"/>
              </w:rPr>
            </w:pPr>
          </w:p>
        </w:tc>
        <w:tc>
          <w:tcPr>
            <w:tcW w:w="80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  Subject to thresholds determined from time to time by the Board, reviewing and approving, or reviewing and</w:t>
            </w: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right w:val="single" w:sz="8" w:color="021496"/>
            </w:tcBorders>
            <w:shd w:val="clear" w:color="auto" w:fill="D8D8D8"/>
          </w:tcPr>
          <w:p>
            <w:pPr>
              <w:spacing w:after="0"/>
              <w:rPr>
                <w:sz w:val="16"/>
                <w:szCs w:val="16"/>
                <w:color w:val="auto"/>
              </w:rPr>
            </w:pPr>
          </w:p>
        </w:tc>
        <w:tc>
          <w:tcPr>
            <w:tcW w:w="200" w:type="dxa"/>
            <w:vAlign w:val="bottom"/>
          </w:tcPr>
          <w:p>
            <w:pPr>
              <w:spacing w:after="0"/>
              <w:rPr>
                <w:sz w:val="16"/>
                <w:szCs w:val="16"/>
                <w:color w:val="auto"/>
              </w:rPr>
            </w:pPr>
          </w:p>
        </w:tc>
        <w:tc>
          <w:tcPr>
            <w:tcW w:w="808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recommending for Board approval, capital expenditures</w:t>
            </w: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right w:val="single" w:sz="8" w:color="021496"/>
            </w:tcBorders>
            <w:shd w:val="clear" w:color="auto" w:fill="D8D8D8"/>
          </w:tcPr>
          <w:p>
            <w:pPr>
              <w:spacing w:after="0"/>
              <w:rPr>
                <w:sz w:val="22"/>
                <w:szCs w:val="22"/>
                <w:color w:val="auto"/>
              </w:rPr>
            </w:pPr>
          </w:p>
        </w:tc>
        <w:tc>
          <w:tcPr>
            <w:tcW w:w="200" w:type="dxa"/>
            <w:vAlign w:val="bottom"/>
          </w:tcPr>
          <w:p>
            <w:pPr>
              <w:spacing w:after="0"/>
              <w:rPr>
                <w:sz w:val="22"/>
                <w:szCs w:val="22"/>
                <w:color w:val="auto"/>
              </w:rPr>
            </w:pPr>
          </w:p>
        </w:tc>
        <w:tc>
          <w:tcPr>
            <w:tcW w:w="80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  Subject to thresholds determined from time to time by the Board, reviewing and approving, or reviewing and</w:t>
            </w: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right w:val="single" w:sz="8" w:color="021496"/>
            </w:tcBorders>
            <w:shd w:val="clear" w:color="auto" w:fill="D8D8D8"/>
          </w:tcPr>
          <w:p>
            <w:pPr>
              <w:spacing w:after="0"/>
              <w:rPr>
                <w:sz w:val="16"/>
                <w:szCs w:val="16"/>
                <w:color w:val="auto"/>
              </w:rPr>
            </w:pPr>
          </w:p>
        </w:tc>
        <w:tc>
          <w:tcPr>
            <w:tcW w:w="200" w:type="dxa"/>
            <w:vAlign w:val="bottom"/>
          </w:tcPr>
          <w:p>
            <w:pPr>
              <w:spacing w:after="0"/>
              <w:rPr>
                <w:sz w:val="16"/>
                <w:szCs w:val="16"/>
                <w:color w:val="auto"/>
              </w:rPr>
            </w:pPr>
          </w:p>
        </w:tc>
        <w:tc>
          <w:tcPr>
            <w:tcW w:w="8080" w:type="dxa"/>
            <w:vAlign w:val="bottom"/>
            <w:tcBorders>
              <w:right w:val="single" w:sz="8" w:color="auto"/>
            </w:tcBorders>
            <w:gridSpan w:val="2"/>
          </w:tcPr>
          <w:p>
            <w:pPr>
              <w:ind w:left="240"/>
              <w:spacing w:after="0"/>
              <w:rPr>
                <w:sz w:val="20"/>
                <w:szCs w:val="20"/>
                <w:color w:val="auto"/>
              </w:rPr>
            </w:pPr>
            <w:r>
              <w:rPr>
                <w:rFonts w:ascii="Arial" w:cs="Arial" w:eastAsia="Arial" w:hAnsi="Arial"/>
                <w:sz w:val="16"/>
                <w:szCs w:val="16"/>
                <w:color w:val="auto"/>
              </w:rPr>
              <w:t>recommending for Board approval, M&amp;A transactions</w:t>
            </w:r>
          </w:p>
        </w:tc>
        <w:tc>
          <w:tcPr>
            <w:tcW w:w="0" w:type="dxa"/>
            <w:vAlign w:val="bottom"/>
          </w:tcPr>
          <w:p>
            <w:pPr>
              <w:spacing w:after="0"/>
              <w:rPr>
                <w:sz w:val="1"/>
                <w:szCs w:val="1"/>
                <w:color w:val="auto"/>
              </w:rPr>
            </w:pPr>
          </w:p>
        </w:tc>
      </w:tr>
      <w:tr>
        <w:trPr>
          <w:trHeight w:val="267"/>
        </w:trPr>
        <w:tc>
          <w:tcPr>
            <w:tcW w:w="2660" w:type="dxa"/>
            <w:vAlign w:val="bottom"/>
            <w:tcBorders>
              <w:left w:val="single" w:sz="8" w:color="auto"/>
              <w:right w:val="single" w:sz="8" w:color="021496"/>
            </w:tcBorders>
            <w:shd w:val="clear" w:color="auto" w:fill="D8D8D8"/>
          </w:tcPr>
          <w:p>
            <w:pPr>
              <w:spacing w:after="0"/>
              <w:rPr>
                <w:sz w:val="23"/>
                <w:szCs w:val="23"/>
                <w:color w:val="auto"/>
              </w:rPr>
            </w:pPr>
          </w:p>
        </w:tc>
        <w:tc>
          <w:tcPr>
            <w:tcW w:w="200" w:type="dxa"/>
            <w:vAlign w:val="bottom"/>
          </w:tcPr>
          <w:p>
            <w:pPr>
              <w:spacing w:after="0"/>
              <w:rPr>
                <w:sz w:val="23"/>
                <w:szCs w:val="23"/>
                <w:color w:val="auto"/>
              </w:rPr>
            </w:pPr>
          </w:p>
        </w:tc>
        <w:tc>
          <w:tcPr>
            <w:tcW w:w="80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  Oversight of treasury, insurance, and tax planning matters</w:t>
            </w:r>
          </w:p>
        </w:tc>
        <w:tc>
          <w:tcPr>
            <w:tcW w:w="0" w:type="dxa"/>
            <w:vAlign w:val="bottom"/>
          </w:tcPr>
          <w:p>
            <w:pPr>
              <w:spacing w:after="0"/>
              <w:rPr>
                <w:sz w:val="1"/>
                <w:szCs w:val="1"/>
                <w:color w:val="auto"/>
              </w:rPr>
            </w:pPr>
          </w:p>
        </w:tc>
      </w:tr>
      <w:tr>
        <w:trPr>
          <w:trHeight w:val="388"/>
        </w:trPr>
        <w:tc>
          <w:tcPr>
            <w:tcW w:w="2660" w:type="dxa"/>
            <w:vAlign w:val="bottom"/>
            <w:tcBorders>
              <w:left w:val="single" w:sz="8" w:color="auto"/>
              <w:right w:val="single" w:sz="8" w:color="021496"/>
            </w:tcBorders>
            <w:shd w:val="clear" w:color="auto" w:fill="D8D8D8"/>
          </w:tcPr>
          <w:p>
            <w:pPr>
              <w:spacing w:after="0"/>
              <w:rPr>
                <w:sz w:val="24"/>
                <w:szCs w:val="24"/>
                <w:color w:val="auto"/>
              </w:rPr>
            </w:pPr>
          </w:p>
        </w:tc>
        <w:tc>
          <w:tcPr>
            <w:tcW w:w="200" w:type="dxa"/>
            <w:vAlign w:val="bottom"/>
          </w:tcPr>
          <w:p>
            <w:pPr>
              <w:spacing w:after="0"/>
              <w:rPr>
                <w:sz w:val="24"/>
                <w:szCs w:val="24"/>
                <w:color w:val="auto"/>
              </w:rPr>
            </w:pPr>
          </w:p>
        </w:tc>
        <w:tc>
          <w:tcPr>
            <w:tcW w:w="80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The Finance Committee’s responsibilities and authority are described in greater detail in its written charter.</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bottom w:val="single" w:sz="8" w:color="auto"/>
              <w:right w:val="single" w:sz="8" w:color="021496"/>
            </w:tcBorders>
            <w:shd w:val="clear" w:color="auto" w:fill="D8D8D8"/>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6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6"/>
        </w:trPr>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520" w:type="dxa"/>
            <w:vAlign w:val="bottom"/>
          </w:tcPr>
          <w:p>
            <w:pPr>
              <w:ind w:left="270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2022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27</w:t>
            </w:r>
          </w:p>
        </w:tc>
        <w:tc>
          <w:tcPr>
            <w:tcW w:w="0" w:type="dxa"/>
            <w:vAlign w:val="bottom"/>
          </w:tcPr>
          <w:p>
            <w:pPr>
              <w:spacing w:after="0"/>
              <w:rPr>
                <w:sz w:val="1"/>
                <w:szCs w:val="1"/>
                <w:color w:val="auto"/>
              </w:rPr>
            </w:pPr>
          </w:p>
        </w:tc>
      </w:tr>
    </w:tbl>
    <w:p>
      <w:pPr>
        <w:sectPr>
          <w:pgSz w:w="11900" w:h="16838" w:orient="portrait"/>
          <w:cols w:equalWidth="0" w:num="1">
            <w:col w:w="11100"/>
          </w:cols>
          <w:pgMar w:left="320" w:top="456"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Corporate Governance</w:t>
      </w:r>
    </w:p>
    <w:p>
      <w:pPr>
        <w:spacing w:after="0" w:line="94"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color w:val="auto"/>
        </w:rPr>
        <w:t>Our Board is committed to sound governance practices and regularly reviews and refines our profile to reflect evolving best practices and matters raised by our shareholders. The following summarizes key aspects of our governance framework.</w:t>
      </w:r>
    </w:p>
    <w:p>
      <w:pPr>
        <w:spacing w:after="0" w:line="221" w:lineRule="exact"/>
        <w:rPr>
          <w:sz w:val="20"/>
          <w:szCs w:val="20"/>
          <w:color w:val="auto"/>
        </w:rPr>
      </w:pPr>
    </w:p>
    <w:tbl>
      <w:tblPr>
        <w:tblLayout w:type="fixed"/>
        <w:tblInd w:w="170" w:type="dxa"/>
        <w:tblCellMar>
          <w:top w:w="0" w:type="dxa"/>
          <w:left w:w="0" w:type="dxa"/>
          <w:bottom w:w="0" w:type="dxa"/>
          <w:right w:w="0" w:type="dxa"/>
        </w:tblCellMar>
      </w:tblPr>
      <w:tr>
        <w:trPr>
          <w:trHeight w:val="261"/>
        </w:trPr>
        <w:tc>
          <w:tcPr>
            <w:tcW w:w="2000" w:type="dxa"/>
            <w:vAlign w:val="bottom"/>
            <w:tcBorders>
              <w:left w:val="single" w:sz="8" w:color="021496"/>
              <w:bottom w:val="single" w:sz="8" w:color="021496"/>
              <w:right w:val="single" w:sz="8" w:color="021496"/>
            </w:tcBorders>
            <w:shd w:val="clear" w:color="auto" w:fill="021496"/>
          </w:tcPr>
          <w:p>
            <w:pPr>
              <w:spacing w:after="0"/>
              <w:rPr>
                <w:sz w:val="22"/>
                <w:szCs w:val="22"/>
                <w:color w:val="auto"/>
              </w:rPr>
            </w:pPr>
          </w:p>
        </w:tc>
        <w:tc>
          <w:tcPr>
            <w:tcW w:w="8940" w:type="dxa"/>
            <w:vAlign w:val="bottom"/>
            <w:tcBorders>
              <w:bottom w:val="single" w:sz="8" w:color="021496"/>
              <w:right w:val="single" w:sz="8" w:color="021496"/>
            </w:tcBorders>
            <w:shd w:val="clear" w:color="auto" w:fill="021496"/>
          </w:tcPr>
          <w:p>
            <w:pPr>
              <w:ind w:left="2440"/>
              <w:spacing w:after="0"/>
              <w:rPr>
                <w:sz w:val="20"/>
                <w:szCs w:val="20"/>
                <w:color w:val="auto"/>
              </w:rPr>
            </w:pPr>
            <w:r>
              <w:rPr>
                <w:rFonts w:ascii="Arial" w:cs="Arial" w:eastAsia="Arial" w:hAnsi="Arial"/>
                <w:sz w:val="16"/>
                <w:szCs w:val="16"/>
                <w:b w:val="1"/>
                <w:bCs w:val="1"/>
                <w:color w:val="FFFFFF"/>
              </w:rPr>
              <w:t>GOVERNANCE HIGHLIGHTS</w:t>
            </w:r>
          </w:p>
        </w:tc>
        <w:tc>
          <w:tcPr>
            <w:tcW w:w="0" w:type="dxa"/>
            <w:vAlign w:val="bottom"/>
          </w:tcPr>
          <w:p>
            <w:pPr>
              <w:spacing w:after="0"/>
              <w:rPr>
                <w:sz w:val="1"/>
                <w:szCs w:val="1"/>
                <w:color w:val="auto"/>
              </w:rPr>
            </w:pPr>
          </w:p>
        </w:tc>
      </w:tr>
      <w:tr>
        <w:trPr>
          <w:trHeight w:val="209"/>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8"/>
              </w:rPr>
              <w:t>Independent</w:t>
            </w: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All directors are independent, other than our CEO, and our Board has leadership that is independent from</w:t>
            </w:r>
          </w:p>
        </w:tc>
        <w:tc>
          <w:tcPr>
            <w:tcW w:w="0" w:type="dxa"/>
            <w:vAlign w:val="bottom"/>
          </w:tcPr>
          <w:p>
            <w:pPr>
              <w:spacing w:after="0"/>
              <w:rPr>
                <w:sz w:val="1"/>
                <w:szCs w:val="1"/>
                <w:color w:val="auto"/>
              </w:rPr>
            </w:pPr>
          </w:p>
        </w:tc>
      </w:tr>
      <w:tr>
        <w:trPr>
          <w:trHeight w:val="216"/>
        </w:trPr>
        <w:tc>
          <w:tcPr>
            <w:tcW w:w="2000" w:type="dxa"/>
            <w:vAlign w:val="bottom"/>
            <w:tcBorders>
              <w:left w:val="single" w:sz="8" w:color="021496"/>
              <w:bottom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Board of Directors</w:t>
            </w:r>
          </w:p>
        </w:tc>
        <w:tc>
          <w:tcPr>
            <w:tcW w:w="8940" w:type="dxa"/>
            <w:vAlign w:val="bottom"/>
            <w:tcBorders>
              <w:bottom w:val="single" w:sz="8" w:color="021496"/>
              <w:right w:val="single" w:sz="8" w:color="021496"/>
            </w:tcBorders>
          </w:tcPr>
          <w:p>
            <w:pPr>
              <w:ind w:left="320"/>
              <w:spacing w:after="0"/>
              <w:rPr>
                <w:sz w:val="20"/>
                <w:szCs w:val="20"/>
                <w:color w:val="auto"/>
              </w:rPr>
            </w:pPr>
            <w:r>
              <w:rPr>
                <w:rFonts w:ascii="Arial" w:cs="Arial" w:eastAsia="Arial" w:hAnsi="Arial"/>
                <w:sz w:val="16"/>
                <w:szCs w:val="16"/>
                <w:color w:val="auto"/>
              </w:rPr>
              <w:t>management, by way of an independent Chair.</w:t>
            </w:r>
          </w:p>
        </w:tc>
        <w:tc>
          <w:tcPr>
            <w:tcW w:w="0" w:type="dxa"/>
            <w:vAlign w:val="bottom"/>
          </w:tcPr>
          <w:p>
            <w:pPr>
              <w:spacing w:after="0"/>
              <w:rPr>
                <w:sz w:val="1"/>
                <w:szCs w:val="1"/>
                <w:color w:val="auto"/>
              </w:rPr>
            </w:pPr>
          </w:p>
        </w:tc>
      </w:tr>
      <w:tr>
        <w:trPr>
          <w:trHeight w:val="205"/>
        </w:trPr>
        <w:tc>
          <w:tcPr>
            <w:tcW w:w="200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Commitment to</w:t>
            </w: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In 2020, our Board adopted a policy reflected in our Corporate Governance Guidelines requiring that the initial list of</w:t>
            </w:r>
          </w:p>
        </w:tc>
        <w:tc>
          <w:tcPr>
            <w:tcW w:w="0" w:type="dxa"/>
            <w:vAlign w:val="bottom"/>
          </w:tcPr>
          <w:p>
            <w:pPr>
              <w:spacing w:after="0"/>
              <w:rPr>
                <w:sz w:val="1"/>
                <w:szCs w:val="1"/>
                <w:color w:val="auto"/>
              </w:rPr>
            </w:pPr>
          </w:p>
        </w:tc>
      </w:tr>
      <w:tr>
        <w:trPr>
          <w:trHeight w:val="80"/>
        </w:trPr>
        <w:tc>
          <w:tcPr>
            <w:tcW w:w="2000" w:type="dxa"/>
            <w:vAlign w:val="bottom"/>
            <w:tcBorders>
              <w:left w:val="single" w:sz="8" w:color="021496"/>
              <w:right w:val="single" w:sz="8" w:color="021496"/>
            </w:tcBorders>
            <w:vMerge w:val="continue"/>
            <w:shd w:val="clear" w:color="auto" w:fill="EAEFED"/>
          </w:tcPr>
          <w:p>
            <w:pPr>
              <w:spacing w:after="0"/>
              <w:rPr>
                <w:sz w:val="6"/>
                <w:szCs w:val="6"/>
                <w:color w:val="auto"/>
              </w:rPr>
            </w:pPr>
          </w:p>
        </w:tc>
        <w:tc>
          <w:tcPr>
            <w:tcW w:w="8940" w:type="dxa"/>
            <w:vAlign w:val="bottom"/>
            <w:tcBorders>
              <w:right w:val="single" w:sz="8" w:color="021496"/>
            </w:tcBorders>
            <w:vMerge w:val="restart"/>
          </w:tcPr>
          <w:p>
            <w:pPr>
              <w:ind w:left="320"/>
              <w:spacing w:after="0"/>
              <w:rPr>
                <w:sz w:val="20"/>
                <w:szCs w:val="20"/>
                <w:color w:val="auto"/>
              </w:rPr>
            </w:pPr>
            <w:r>
              <w:rPr>
                <w:rFonts w:ascii="Arial" w:cs="Arial" w:eastAsia="Arial" w:hAnsi="Arial"/>
                <w:sz w:val="16"/>
                <w:szCs w:val="16"/>
                <w:color w:val="auto"/>
              </w:rPr>
              <w:t xml:space="preserve">potential director and external CEO candidates presented by third-party search firms </w:t>
            </w:r>
            <w:r>
              <w:rPr>
                <w:rFonts w:ascii="Arial" w:cs="Arial" w:eastAsia="Arial" w:hAnsi="Arial"/>
                <w:sz w:val="16"/>
                <w:szCs w:val="16"/>
                <w:b w:val="1"/>
                <w:bCs w:val="1"/>
                <w:color w:val="021496"/>
              </w:rPr>
              <w:t>include qualified candidates</w:t>
            </w:r>
          </w:p>
        </w:tc>
        <w:tc>
          <w:tcPr>
            <w:tcW w:w="0" w:type="dxa"/>
            <w:vAlign w:val="bottom"/>
          </w:tcPr>
          <w:p>
            <w:pPr>
              <w:spacing w:after="0"/>
              <w:rPr>
                <w:sz w:val="1"/>
                <w:szCs w:val="1"/>
                <w:color w:val="auto"/>
              </w:rPr>
            </w:pPr>
          </w:p>
        </w:tc>
      </w:tr>
      <w:tr>
        <w:trPr>
          <w:trHeight w:val="107"/>
        </w:trPr>
        <w:tc>
          <w:tcPr>
            <w:tcW w:w="2000" w:type="dxa"/>
            <w:vAlign w:val="bottom"/>
            <w:tcBorders>
              <w:left w:val="single" w:sz="8" w:color="021496"/>
              <w:right w:val="single" w:sz="8" w:color="021496"/>
            </w:tcBorders>
            <w:vMerge w:val="restart"/>
            <w:shd w:val="clear" w:color="auto" w:fill="EAEFED"/>
          </w:tcPr>
          <w:p>
            <w:pPr>
              <w:jc w:val="center"/>
              <w:ind w:left="40"/>
              <w:spacing w:after="0"/>
              <w:rPr>
                <w:sz w:val="20"/>
                <w:szCs w:val="20"/>
                <w:color w:val="auto"/>
              </w:rPr>
            </w:pPr>
            <w:r>
              <w:rPr>
                <w:rFonts w:ascii="Arial" w:cs="Arial" w:eastAsia="Arial" w:hAnsi="Arial"/>
                <w:sz w:val="16"/>
                <w:szCs w:val="16"/>
                <w:b w:val="1"/>
                <w:bCs w:val="1"/>
                <w:color w:val="auto"/>
              </w:rPr>
              <w:t>Diversity</w:t>
            </w:r>
          </w:p>
        </w:tc>
        <w:tc>
          <w:tcPr>
            <w:tcW w:w="8940" w:type="dxa"/>
            <w:vAlign w:val="bottom"/>
            <w:tcBorders>
              <w:right w:val="single" w:sz="8" w:color="02149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00" w:type="dxa"/>
            <w:vAlign w:val="bottom"/>
            <w:tcBorders>
              <w:left w:val="single" w:sz="8" w:color="021496"/>
              <w:right w:val="single" w:sz="8" w:color="021496"/>
            </w:tcBorders>
            <w:vMerge w:val="continue"/>
            <w:shd w:val="clear" w:color="auto" w:fill="EAEFED"/>
          </w:tcPr>
          <w:p>
            <w:pPr>
              <w:spacing w:after="0"/>
              <w:rPr>
                <w:sz w:val="9"/>
                <w:szCs w:val="9"/>
                <w:color w:val="auto"/>
              </w:rPr>
            </w:pPr>
          </w:p>
        </w:tc>
        <w:tc>
          <w:tcPr>
            <w:tcW w:w="8940" w:type="dxa"/>
            <w:vAlign w:val="bottom"/>
            <w:tcBorders>
              <w:right w:val="single" w:sz="8" w:color="021496"/>
            </w:tcBorders>
            <w:vMerge w:val="restart"/>
          </w:tcPr>
          <w:p>
            <w:pPr>
              <w:ind w:left="320"/>
              <w:spacing w:after="0"/>
              <w:rPr>
                <w:sz w:val="20"/>
                <w:szCs w:val="20"/>
                <w:color w:val="auto"/>
              </w:rPr>
            </w:pPr>
            <w:r>
              <w:rPr>
                <w:rFonts w:ascii="Arial" w:cs="Arial" w:eastAsia="Arial" w:hAnsi="Arial"/>
                <w:sz w:val="16"/>
                <w:szCs w:val="16"/>
                <w:b w:val="1"/>
                <w:bCs w:val="1"/>
                <w:color w:val="021496"/>
              </w:rPr>
              <w:t>who reflect diverse backgrounds, including diversity of gender and race or ethnicity</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10"/>
        </w:trPr>
        <w:tc>
          <w:tcPr>
            <w:tcW w:w="2000" w:type="dxa"/>
            <w:vAlign w:val="bottom"/>
            <w:tcBorders>
              <w:left w:val="single" w:sz="8" w:color="021496"/>
              <w:bottom w:val="single" w:sz="8" w:color="021496"/>
              <w:right w:val="single" w:sz="8" w:color="021496"/>
            </w:tcBorders>
            <w:shd w:val="clear" w:color="auto" w:fill="EAEFED"/>
          </w:tcPr>
          <w:p>
            <w:pPr>
              <w:spacing w:after="0"/>
              <w:rPr>
                <w:sz w:val="9"/>
                <w:szCs w:val="9"/>
                <w:color w:val="auto"/>
              </w:rPr>
            </w:pPr>
          </w:p>
        </w:tc>
        <w:tc>
          <w:tcPr>
            <w:tcW w:w="8940" w:type="dxa"/>
            <w:vAlign w:val="bottom"/>
            <w:tcBorders>
              <w:bottom w:val="single" w:sz="8" w:color="021496"/>
              <w:right w:val="single" w:sz="8" w:color="02149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00" w:type="dxa"/>
            <w:vAlign w:val="bottom"/>
            <w:tcBorders>
              <w:left w:val="single" w:sz="8" w:color="021496"/>
              <w:right w:val="single" w:sz="8" w:color="021496"/>
            </w:tcBorders>
            <w:shd w:val="clear" w:color="auto" w:fill="EAEFED"/>
          </w:tcPr>
          <w:p>
            <w:pPr>
              <w:jc w:val="center"/>
              <w:ind w:left="40"/>
              <w:spacing w:after="0"/>
              <w:rPr>
                <w:sz w:val="20"/>
                <w:szCs w:val="20"/>
                <w:color w:val="auto"/>
              </w:rPr>
            </w:pPr>
            <w:r>
              <w:rPr>
                <w:rFonts w:ascii="Arial" w:cs="Arial" w:eastAsia="Arial" w:hAnsi="Arial"/>
                <w:sz w:val="16"/>
                <w:szCs w:val="16"/>
                <w:b w:val="1"/>
                <w:bCs w:val="1"/>
                <w:color w:val="auto"/>
                <w:w w:val="99"/>
              </w:rPr>
              <w:t>Special</w:t>
            </w: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In 2020, we amended our by-laws to </w:t>
            </w:r>
            <w:r>
              <w:rPr>
                <w:rFonts w:ascii="Arial" w:cs="Arial" w:eastAsia="Arial" w:hAnsi="Arial"/>
                <w:sz w:val="16"/>
                <w:szCs w:val="16"/>
                <w:b w:val="1"/>
                <w:bCs w:val="1"/>
                <w:color w:val="021496"/>
              </w:rPr>
              <w:t>reduce the ownership threshold required to call a special meeting of</w:t>
            </w:r>
          </w:p>
        </w:tc>
        <w:tc>
          <w:tcPr>
            <w:tcW w:w="0" w:type="dxa"/>
            <w:vAlign w:val="bottom"/>
          </w:tcPr>
          <w:p>
            <w:pPr>
              <w:spacing w:after="0"/>
              <w:rPr>
                <w:sz w:val="1"/>
                <w:szCs w:val="1"/>
                <w:color w:val="auto"/>
              </w:rPr>
            </w:pPr>
          </w:p>
        </w:tc>
      </w:tr>
      <w:tr>
        <w:trPr>
          <w:trHeight w:val="187"/>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Shareholder</w:t>
            </w:r>
          </w:p>
        </w:tc>
        <w:tc>
          <w:tcPr>
            <w:tcW w:w="8940" w:type="dxa"/>
            <w:vAlign w:val="bottom"/>
            <w:tcBorders>
              <w:right w:val="single" w:sz="8" w:color="021496"/>
            </w:tcBorders>
          </w:tcPr>
          <w:p>
            <w:pPr>
              <w:ind w:left="320"/>
              <w:spacing w:after="0"/>
              <w:rPr>
                <w:sz w:val="20"/>
                <w:szCs w:val="20"/>
                <w:color w:val="auto"/>
              </w:rPr>
            </w:pPr>
            <w:r>
              <w:rPr>
                <w:rFonts w:ascii="Arial" w:cs="Arial" w:eastAsia="Arial" w:hAnsi="Arial"/>
                <w:sz w:val="16"/>
                <w:szCs w:val="16"/>
                <w:b w:val="1"/>
                <w:bCs w:val="1"/>
                <w:color w:val="021496"/>
              </w:rPr>
              <w:t>shareholders to 15% or more of the voting power of our outstanding stock from 25%</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87"/>
        </w:trPr>
        <w:tc>
          <w:tcPr>
            <w:tcW w:w="2000" w:type="dxa"/>
            <w:vAlign w:val="bottom"/>
            <w:tcBorders>
              <w:left w:val="single" w:sz="8" w:color="021496"/>
              <w:bottom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Meetings</w:t>
            </w:r>
          </w:p>
        </w:tc>
        <w:tc>
          <w:tcPr>
            <w:tcW w:w="8940" w:type="dxa"/>
            <w:vAlign w:val="bottom"/>
            <w:tcBorders>
              <w:bottom w:val="single" w:sz="8" w:color="021496"/>
              <w:right w:val="single" w:sz="8" w:color="021496"/>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Elimination of</w:t>
            </w:r>
          </w:p>
        </w:tc>
        <w:tc>
          <w:tcPr>
            <w:tcW w:w="8940" w:type="dxa"/>
            <w:vAlign w:val="bottom"/>
            <w:tcBorders>
              <w:right w:val="single" w:sz="8" w:color="021496"/>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Super-majority</w:t>
            </w: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All of the supermajority voting provisions in our charter were eliminated in 2019.</w:t>
            </w:r>
          </w:p>
        </w:tc>
        <w:tc>
          <w:tcPr>
            <w:tcW w:w="0" w:type="dxa"/>
            <w:vAlign w:val="bottom"/>
          </w:tcPr>
          <w:p>
            <w:pPr>
              <w:spacing w:after="0"/>
              <w:rPr>
                <w:sz w:val="1"/>
                <w:szCs w:val="1"/>
                <w:color w:val="auto"/>
              </w:rPr>
            </w:pPr>
          </w:p>
        </w:tc>
      </w:tr>
      <w:tr>
        <w:trPr>
          <w:trHeight w:val="216"/>
        </w:trPr>
        <w:tc>
          <w:tcPr>
            <w:tcW w:w="2000" w:type="dxa"/>
            <w:vAlign w:val="bottom"/>
            <w:tcBorders>
              <w:left w:val="single" w:sz="8" w:color="021496"/>
              <w:bottom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Provisions</w:t>
            </w:r>
          </w:p>
        </w:tc>
        <w:tc>
          <w:tcPr>
            <w:tcW w:w="8940" w:type="dxa"/>
            <w:vAlign w:val="bottom"/>
            <w:tcBorders>
              <w:bottom w:val="single" w:sz="8" w:color="021496"/>
              <w:right w:val="single" w:sz="8" w:color="021496"/>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Board Committee</w:t>
            </w: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Our Board </w:t>
            </w:r>
            <w:r>
              <w:rPr>
                <w:rFonts w:ascii="Arial" w:cs="Arial" w:eastAsia="Arial" w:hAnsi="Arial"/>
                <w:sz w:val="16"/>
                <w:szCs w:val="16"/>
                <w:b w:val="1"/>
                <w:bCs w:val="1"/>
                <w:color w:val="021496"/>
              </w:rPr>
              <w:t>periodically reviews committee composition and chair positions</w:t>
            </w:r>
            <w:r>
              <w:rPr>
                <w:rFonts w:ascii="Arial" w:cs="Arial" w:eastAsia="Arial" w:hAnsi="Arial"/>
                <w:sz w:val="16"/>
                <w:szCs w:val="16"/>
                <w:color w:val="auto"/>
              </w:rPr>
              <w:t>, seeking the appropriate blend of</w:t>
            </w:r>
          </w:p>
        </w:tc>
        <w:tc>
          <w:tcPr>
            <w:tcW w:w="0" w:type="dxa"/>
            <w:vAlign w:val="bottom"/>
          </w:tcPr>
          <w:p>
            <w:pPr>
              <w:spacing w:after="0"/>
              <w:rPr>
                <w:sz w:val="1"/>
                <w:szCs w:val="1"/>
                <w:color w:val="auto"/>
              </w:rPr>
            </w:pPr>
          </w:p>
        </w:tc>
      </w:tr>
      <w:tr>
        <w:trPr>
          <w:trHeight w:val="229"/>
        </w:trPr>
        <w:tc>
          <w:tcPr>
            <w:tcW w:w="2000" w:type="dxa"/>
            <w:vAlign w:val="bottom"/>
            <w:tcBorders>
              <w:left w:val="single" w:sz="8" w:color="021496"/>
              <w:bottom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Refreshment</w:t>
            </w:r>
          </w:p>
        </w:tc>
        <w:tc>
          <w:tcPr>
            <w:tcW w:w="8940" w:type="dxa"/>
            <w:vAlign w:val="bottom"/>
            <w:tcBorders>
              <w:bottom w:val="single" w:sz="8" w:color="021496"/>
              <w:right w:val="single" w:sz="8" w:color="021496"/>
            </w:tcBorders>
          </w:tcPr>
          <w:p>
            <w:pPr>
              <w:ind w:left="320"/>
              <w:spacing w:after="0"/>
              <w:rPr>
                <w:sz w:val="20"/>
                <w:szCs w:val="20"/>
                <w:color w:val="auto"/>
              </w:rPr>
            </w:pPr>
            <w:r>
              <w:rPr>
                <w:rFonts w:ascii="Arial" w:cs="Arial" w:eastAsia="Arial" w:hAnsi="Arial"/>
                <w:sz w:val="16"/>
                <w:szCs w:val="16"/>
                <w:color w:val="auto"/>
              </w:rPr>
              <w:t>continuity and fresh perspectives on committees.</w:t>
            </w:r>
          </w:p>
        </w:tc>
        <w:tc>
          <w:tcPr>
            <w:tcW w:w="0" w:type="dxa"/>
            <w:vAlign w:val="bottom"/>
          </w:tcPr>
          <w:p>
            <w:pPr>
              <w:spacing w:after="0"/>
              <w:rPr>
                <w:sz w:val="1"/>
                <w:szCs w:val="1"/>
                <w:color w:val="auto"/>
              </w:rPr>
            </w:pPr>
          </w:p>
        </w:tc>
      </w:tr>
      <w:tr>
        <w:trPr>
          <w:trHeight w:val="231"/>
        </w:trPr>
        <w:tc>
          <w:tcPr>
            <w:tcW w:w="200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Annual Majority</w:t>
            </w: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All of our </w:t>
            </w:r>
            <w:r>
              <w:rPr>
                <w:rFonts w:ascii="Arial" w:cs="Arial" w:eastAsia="Arial" w:hAnsi="Arial"/>
                <w:sz w:val="16"/>
                <w:szCs w:val="16"/>
                <w:b w:val="1"/>
                <w:bCs w:val="1"/>
                <w:color w:val="021496"/>
              </w:rPr>
              <w:t>directors are elected annually</w:t>
            </w:r>
            <w:r>
              <w:rPr>
                <w:rFonts w:ascii="Arial" w:cs="Arial" w:eastAsia="Arial" w:hAnsi="Arial"/>
                <w:sz w:val="16"/>
                <w:szCs w:val="16"/>
                <w:color w:val="auto"/>
              </w:rPr>
              <w:t xml:space="preserve"> by our shareholders.</w:t>
            </w:r>
          </w:p>
        </w:tc>
        <w:tc>
          <w:tcPr>
            <w:tcW w:w="0" w:type="dxa"/>
            <w:vAlign w:val="bottom"/>
          </w:tcPr>
          <w:p>
            <w:pPr>
              <w:spacing w:after="0"/>
              <w:rPr>
                <w:sz w:val="1"/>
                <w:szCs w:val="1"/>
                <w:color w:val="auto"/>
              </w:rPr>
            </w:pPr>
          </w:p>
        </w:tc>
      </w:tr>
      <w:tr>
        <w:trPr>
          <w:trHeight w:val="134"/>
        </w:trPr>
        <w:tc>
          <w:tcPr>
            <w:tcW w:w="2000" w:type="dxa"/>
            <w:vAlign w:val="bottom"/>
            <w:tcBorders>
              <w:left w:val="single" w:sz="8" w:color="021496"/>
              <w:right w:val="single" w:sz="8" w:color="021496"/>
            </w:tcBorders>
            <w:vMerge w:val="continue"/>
            <w:shd w:val="clear" w:color="auto" w:fill="EAEFED"/>
          </w:tcPr>
          <w:p>
            <w:pPr>
              <w:spacing w:after="0"/>
              <w:rPr>
                <w:sz w:val="11"/>
                <w:szCs w:val="11"/>
                <w:color w:val="auto"/>
              </w:rPr>
            </w:pPr>
          </w:p>
        </w:tc>
        <w:tc>
          <w:tcPr>
            <w:tcW w:w="894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6"/>
                <w:szCs w:val="16"/>
                <w:color w:val="auto"/>
              </w:rPr>
              <w:t xml:space="preserve">•  Our </w:t>
            </w:r>
            <w:r>
              <w:rPr>
                <w:rFonts w:ascii="Arial" w:cs="Arial" w:eastAsia="Arial" w:hAnsi="Arial"/>
                <w:sz w:val="16"/>
                <w:szCs w:val="16"/>
                <w:b w:val="1"/>
                <w:bCs w:val="1"/>
                <w:color w:val="021496"/>
              </w:rPr>
              <w:t>directors must receive a majority of the votes cast</w:t>
            </w:r>
            <w:r>
              <w:rPr>
                <w:rFonts w:ascii="Arial" w:cs="Arial" w:eastAsia="Arial" w:hAnsi="Arial"/>
                <w:sz w:val="16"/>
                <w:szCs w:val="16"/>
                <w:color w:val="auto"/>
              </w:rPr>
              <w:t xml:space="preserve"> in uncontested elections to be elected.</w:t>
            </w:r>
          </w:p>
        </w:tc>
        <w:tc>
          <w:tcPr>
            <w:tcW w:w="0" w:type="dxa"/>
            <w:vAlign w:val="bottom"/>
          </w:tcPr>
          <w:p>
            <w:pPr>
              <w:spacing w:after="0"/>
              <w:rPr>
                <w:sz w:val="1"/>
                <w:szCs w:val="1"/>
                <w:color w:val="auto"/>
              </w:rPr>
            </w:pPr>
          </w:p>
        </w:tc>
      </w:tr>
      <w:tr>
        <w:trPr>
          <w:trHeight w:val="133"/>
        </w:trPr>
        <w:tc>
          <w:tcPr>
            <w:tcW w:w="200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7"/>
              </w:rPr>
              <w:t>Vote Director</w:t>
            </w:r>
          </w:p>
        </w:tc>
        <w:tc>
          <w:tcPr>
            <w:tcW w:w="8940" w:type="dxa"/>
            <w:vAlign w:val="bottom"/>
            <w:tcBorders>
              <w:right w:val="single" w:sz="8" w:color="021496"/>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00" w:type="dxa"/>
            <w:vAlign w:val="bottom"/>
            <w:tcBorders>
              <w:left w:val="single" w:sz="8" w:color="021496"/>
              <w:right w:val="single" w:sz="8" w:color="021496"/>
            </w:tcBorders>
            <w:vMerge w:val="continue"/>
            <w:shd w:val="clear" w:color="auto" w:fill="EAEFED"/>
          </w:tcPr>
          <w:p>
            <w:pPr>
              <w:spacing w:after="0"/>
              <w:rPr>
                <w:sz w:val="4"/>
                <w:szCs w:val="4"/>
                <w:color w:val="auto"/>
              </w:rPr>
            </w:pPr>
          </w:p>
        </w:tc>
        <w:tc>
          <w:tcPr>
            <w:tcW w:w="8940" w:type="dxa"/>
            <w:vAlign w:val="bottom"/>
            <w:tcBorders>
              <w:right w:val="single" w:sz="8" w:color="021496"/>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8"/>
              </w:rPr>
              <w:t>Elections &amp;</w:t>
            </w: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We have a director resignation policy that requires a director to tender an irrevocable resignation letter to the Board</w:t>
            </w:r>
          </w:p>
        </w:tc>
        <w:tc>
          <w:tcPr>
            <w:tcW w:w="0" w:type="dxa"/>
            <w:vAlign w:val="bottom"/>
          </w:tcPr>
          <w:p>
            <w:pPr>
              <w:spacing w:after="0"/>
              <w:rPr>
                <w:sz w:val="1"/>
                <w:szCs w:val="1"/>
                <w:color w:val="auto"/>
              </w:rPr>
            </w:pPr>
          </w:p>
        </w:tc>
      </w:tr>
      <w:tr>
        <w:trPr>
          <w:trHeight w:val="187"/>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Mandatory</w:t>
            </w:r>
          </w:p>
        </w:tc>
        <w:tc>
          <w:tcPr>
            <w:tcW w:w="8940" w:type="dxa"/>
            <w:vAlign w:val="bottom"/>
            <w:tcBorders>
              <w:right w:val="single" w:sz="8" w:color="021496"/>
            </w:tcBorders>
          </w:tcPr>
          <w:p>
            <w:pPr>
              <w:ind w:left="320"/>
              <w:spacing w:after="0"/>
              <w:rPr>
                <w:sz w:val="20"/>
                <w:szCs w:val="20"/>
                <w:color w:val="auto"/>
              </w:rPr>
            </w:pPr>
            <w:r>
              <w:rPr>
                <w:rFonts w:ascii="Arial" w:cs="Arial" w:eastAsia="Arial" w:hAnsi="Arial"/>
                <w:sz w:val="16"/>
                <w:szCs w:val="16"/>
                <w:color w:val="auto"/>
              </w:rPr>
              <w:t>prior to being nominated, contingent on the director not receiving a majority of the votes cast in an uncontested election</w:t>
            </w:r>
          </w:p>
        </w:tc>
        <w:tc>
          <w:tcPr>
            <w:tcW w:w="0" w:type="dxa"/>
            <w:vAlign w:val="bottom"/>
          </w:tcPr>
          <w:p>
            <w:pPr>
              <w:spacing w:after="0"/>
              <w:rPr>
                <w:sz w:val="1"/>
                <w:szCs w:val="1"/>
                <w:color w:val="auto"/>
              </w:rPr>
            </w:pPr>
          </w:p>
        </w:tc>
      </w:tr>
      <w:tr>
        <w:trPr>
          <w:trHeight w:val="207"/>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9"/>
              </w:rPr>
              <w:t>Resignation Policy</w:t>
            </w:r>
          </w:p>
        </w:tc>
        <w:tc>
          <w:tcPr>
            <w:tcW w:w="8940" w:type="dxa"/>
            <w:vAlign w:val="bottom"/>
            <w:tcBorders>
              <w:right w:val="single" w:sz="8" w:color="021496"/>
            </w:tcBorders>
          </w:tcPr>
          <w:p>
            <w:pPr>
              <w:ind w:left="320"/>
              <w:spacing w:after="0"/>
              <w:rPr>
                <w:sz w:val="20"/>
                <w:szCs w:val="20"/>
                <w:color w:val="auto"/>
              </w:rPr>
            </w:pPr>
            <w:r>
              <w:rPr>
                <w:rFonts w:ascii="Arial" w:cs="Arial" w:eastAsia="Arial" w:hAnsi="Arial"/>
                <w:sz w:val="16"/>
                <w:szCs w:val="16"/>
                <w:color w:val="auto"/>
              </w:rPr>
              <w:t>and the Board’s acceptance of the resignation. The Governance and Nominating Committee will recommend to the full</w:t>
            </w:r>
          </w:p>
        </w:tc>
        <w:tc>
          <w:tcPr>
            <w:tcW w:w="0" w:type="dxa"/>
            <w:vAlign w:val="bottom"/>
          </w:tcPr>
          <w:p>
            <w:pPr>
              <w:spacing w:after="0"/>
              <w:rPr>
                <w:sz w:val="1"/>
                <w:szCs w:val="1"/>
                <w:color w:val="auto"/>
              </w:rPr>
            </w:pPr>
          </w:p>
        </w:tc>
      </w:tr>
      <w:tr>
        <w:trPr>
          <w:trHeight w:val="196"/>
        </w:trPr>
        <w:tc>
          <w:tcPr>
            <w:tcW w:w="2000" w:type="dxa"/>
            <w:vAlign w:val="bottom"/>
            <w:tcBorders>
              <w:left w:val="single" w:sz="8" w:color="021496"/>
              <w:bottom w:val="single" w:sz="8" w:color="021496"/>
              <w:right w:val="single" w:sz="8" w:color="021496"/>
            </w:tcBorders>
            <w:shd w:val="clear" w:color="auto" w:fill="EAEFED"/>
          </w:tcPr>
          <w:p>
            <w:pPr>
              <w:spacing w:after="0"/>
              <w:rPr>
                <w:sz w:val="17"/>
                <w:szCs w:val="17"/>
                <w:color w:val="auto"/>
              </w:rPr>
            </w:pPr>
          </w:p>
        </w:tc>
        <w:tc>
          <w:tcPr>
            <w:tcW w:w="8940" w:type="dxa"/>
            <w:vAlign w:val="bottom"/>
            <w:tcBorders>
              <w:bottom w:val="single" w:sz="8" w:color="021496"/>
              <w:right w:val="single" w:sz="8" w:color="021496"/>
            </w:tcBorders>
          </w:tcPr>
          <w:p>
            <w:pPr>
              <w:ind w:left="320"/>
              <w:spacing w:after="0"/>
              <w:rPr>
                <w:sz w:val="20"/>
                <w:szCs w:val="20"/>
                <w:color w:val="auto"/>
              </w:rPr>
            </w:pPr>
            <w:r>
              <w:rPr>
                <w:rFonts w:ascii="Arial" w:cs="Arial" w:eastAsia="Arial" w:hAnsi="Arial"/>
                <w:sz w:val="16"/>
                <w:szCs w:val="16"/>
                <w:color w:val="auto"/>
              </w:rPr>
              <w:t>Board whether to accept the resignation or whether to take other action.</w:t>
            </w:r>
          </w:p>
        </w:tc>
        <w:tc>
          <w:tcPr>
            <w:tcW w:w="0" w:type="dxa"/>
            <w:vAlign w:val="bottom"/>
          </w:tcPr>
          <w:p>
            <w:pPr>
              <w:spacing w:after="0"/>
              <w:rPr>
                <w:sz w:val="1"/>
                <w:szCs w:val="1"/>
                <w:color w:val="auto"/>
              </w:rPr>
            </w:pPr>
          </w:p>
        </w:tc>
      </w:tr>
      <w:tr>
        <w:trPr>
          <w:trHeight w:val="225"/>
        </w:trPr>
        <w:tc>
          <w:tcPr>
            <w:tcW w:w="2000" w:type="dxa"/>
            <w:vAlign w:val="bottom"/>
            <w:tcBorders>
              <w:left w:val="single" w:sz="8" w:color="021496"/>
              <w:right w:val="single" w:sz="8" w:color="021496"/>
            </w:tcBorders>
            <w:shd w:val="clear" w:color="auto" w:fill="EAEFED"/>
          </w:tcPr>
          <w:p>
            <w:pPr>
              <w:spacing w:after="0"/>
              <w:rPr>
                <w:sz w:val="19"/>
                <w:szCs w:val="19"/>
                <w:color w:val="auto"/>
              </w:rPr>
            </w:pP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Our by-laws permit a shareholder or a group of up to </w:t>
            </w:r>
            <w:r>
              <w:rPr>
                <w:rFonts w:ascii="Arial" w:cs="Arial" w:eastAsia="Arial" w:hAnsi="Arial"/>
                <w:sz w:val="16"/>
                <w:szCs w:val="16"/>
                <w:b w:val="1"/>
                <w:bCs w:val="1"/>
                <w:color w:val="021496"/>
              </w:rPr>
              <w:t>20 shareholders owning 3% or more</w:t>
            </w:r>
            <w:r>
              <w:rPr>
                <w:rFonts w:ascii="Arial" w:cs="Arial" w:eastAsia="Arial" w:hAnsi="Arial"/>
                <w:sz w:val="16"/>
                <w:szCs w:val="16"/>
                <w:color w:val="auto"/>
              </w:rPr>
              <w:t xml:space="preserve"> of our outstanding</w:t>
            </w:r>
          </w:p>
        </w:tc>
        <w:tc>
          <w:tcPr>
            <w:tcW w:w="0" w:type="dxa"/>
            <w:vAlign w:val="bottom"/>
          </w:tcPr>
          <w:p>
            <w:pPr>
              <w:spacing w:after="0"/>
              <w:rPr>
                <w:sz w:val="1"/>
                <w:szCs w:val="1"/>
                <w:color w:val="auto"/>
              </w:rPr>
            </w:pPr>
          </w:p>
        </w:tc>
      </w:tr>
      <w:tr>
        <w:trPr>
          <w:trHeight w:val="187"/>
        </w:trPr>
        <w:tc>
          <w:tcPr>
            <w:tcW w:w="200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Proxy Access</w:t>
            </w:r>
          </w:p>
        </w:tc>
        <w:tc>
          <w:tcPr>
            <w:tcW w:w="8940" w:type="dxa"/>
            <w:vAlign w:val="bottom"/>
            <w:tcBorders>
              <w:right w:val="single" w:sz="8" w:color="021496"/>
            </w:tcBorders>
          </w:tcPr>
          <w:p>
            <w:pPr>
              <w:ind w:left="320"/>
              <w:spacing w:after="0"/>
              <w:rPr>
                <w:sz w:val="20"/>
                <w:szCs w:val="20"/>
                <w:color w:val="auto"/>
              </w:rPr>
            </w:pPr>
            <w:r>
              <w:rPr>
                <w:rFonts w:ascii="Arial" w:cs="Arial" w:eastAsia="Arial" w:hAnsi="Arial"/>
                <w:sz w:val="16"/>
                <w:szCs w:val="16"/>
                <w:color w:val="auto"/>
              </w:rPr>
              <w:t>common stock continuously for at least three years to nominate and include in our proxy materials director candidates</w:t>
            </w:r>
          </w:p>
        </w:tc>
        <w:tc>
          <w:tcPr>
            <w:tcW w:w="0" w:type="dxa"/>
            <w:vAlign w:val="bottom"/>
          </w:tcPr>
          <w:p>
            <w:pPr>
              <w:spacing w:after="0"/>
              <w:rPr>
                <w:sz w:val="1"/>
                <w:szCs w:val="1"/>
                <w:color w:val="auto"/>
              </w:rPr>
            </w:pPr>
          </w:p>
        </w:tc>
      </w:tr>
      <w:tr>
        <w:trPr>
          <w:trHeight w:val="100"/>
        </w:trPr>
        <w:tc>
          <w:tcPr>
            <w:tcW w:w="2000" w:type="dxa"/>
            <w:vAlign w:val="bottom"/>
            <w:tcBorders>
              <w:left w:val="single" w:sz="8" w:color="021496"/>
              <w:right w:val="single" w:sz="8" w:color="021496"/>
            </w:tcBorders>
            <w:vMerge w:val="continue"/>
            <w:shd w:val="clear" w:color="auto" w:fill="EAEFED"/>
          </w:tcPr>
          <w:p>
            <w:pPr>
              <w:spacing w:after="0"/>
              <w:rPr>
                <w:sz w:val="8"/>
                <w:szCs w:val="8"/>
                <w:color w:val="auto"/>
              </w:rPr>
            </w:pPr>
          </w:p>
        </w:tc>
        <w:tc>
          <w:tcPr>
            <w:tcW w:w="8940" w:type="dxa"/>
            <w:vAlign w:val="bottom"/>
            <w:tcBorders>
              <w:right w:val="single" w:sz="8" w:color="021496"/>
            </w:tcBorders>
            <w:vMerge w:val="restart"/>
          </w:tcPr>
          <w:p>
            <w:pPr>
              <w:ind w:left="320"/>
              <w:spacing w:after="0"/>
              <w:rPr>
                <w:sz w:val="20"/>
                <w:szCs w:val="20"/>
                <w:color w:val="auto"/>
              </w:rPr>
            </w:pPr>
            <w:r>
              <w:rPr>
                <w:rFonts w:ascii="Arial" w:cs="Arial" w:eastAsia="Arial" w:hAnsi="Arial"/>
                <w:sz w:val="16"/>
                <w:szCs w:val="16"/>
                <w:color w:val="auto"/>
              </w:rPr>
              <w:t>constituting up to the greater of two individuals or 20% of the Board, provided that the shareholder(s) and the</w:t>
            </w:r>
          </w:p>
        </w:tc>
        <w:tc>
          <w:tcPr>
            <w:tcW w:w="0" w:type="dxa"/>
            <w:vAlign w:val="bottom"/>
          </w:tcPr>
          <w:p>
            <w:pPr>
              <w:spacing w:after="0"/>
              <w:rPr>
                <w:sz w:val="1"/>
                <w:szCs w:val="1"/>
                <w:color w:val="auto"/>
              </w:rPr>
            </w:pPr>
          </w:p>
        </w:tc>
      </w:tr>
      <w:tr>
        <w:trPr>
          <w:trHeight w:val="88"/>
        </w:trPr>
        <w:tc>
          <w:tcPr>
            <w:tcW w:w="2000" w:type="dxa"/>
            <w:vAlign w:val="bottom"/>
            <w:tcBorders>
              <w:left w:val="single" w:sz="8" w:color="021496"/>
              <w:right w:val="single" w:sz="8" w:color="021496"/>
            </w:tcBorders>
            <w:shd w:val="clear" w:color="auto" w:fill="EAEFED"/>
          </w:tcPr>
          <w:p>
            <w:pPr>
              <w:spacing w:after="0"/>
              <w:rPr>
                <w:sz w:val="7"/>
                <w:szCs w:val="7"/>
                <w:color w:val="auto"/>
              </w:rPr>
            </w:pPr>
          </w:p>
        </w:tc>
        <w:tc>
          <w:tcPr>
            <w:tcW w:w="8940" w:type="dxa"/>
            <w:vAlign w:val="bottom"/>
            <w:tcBorders>
              <w:right w:val="single" w:sz="8" w:color="02149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00" w:type="dxa"/>
            <w:vAlign w:val="bottom"/>
            <w:tcBorders>
              <w:left w:val="single" w:sz="8" w:color="021496"/>
              <w:bottom w:val="single" w:sz="8" w:color="EAEFED"/>
              <w:right w:val="single" w:sz="8" w:color="021496"/>
            </w:tcBorders>
            <w:shd w:val="clear" w:color="auto" w:fill="EAEFED"/>
          </w:tcPr>
          <w:p>
            <w:pPr>
              <w:spacing w:after="0"/>
              <w:rPr>
                <w:sz w:val="19"/>
                <w:szCs w:val="19"/>
                <w:color w:val="auto"/>
              </w:rPr>
            </w:pPr>
          </w:p>
        </w:tc>
        <w:tc>
          <w:tcPr>
            <w:tcW w:w="8940" w:type="dxa"/>
            <w:vAlign w:val="bottom"/>
            <w:tcBorders>
              <w:right w:val="single" w:sz="8" w:color="021496"/>
            </w:tcBorders>
          </w:tcPr>
          <w:p>
            <w:pPr>
              <w:ind w:left="320"/>
              <w:spacing w:after="0"/>
              <w:rPr>
                <w:sz w:val="20"/>
                <w:szCs w:val="20"/>
                <w:color w:val="auto"/>
              </w:rPr>
            </w:pPr>
            <w:r>
              <w:rPr>
                <w:rFonts w:ascii="Arial" w:cs="Arial" w:eastAsia="Arial" w:hAnsi="Arial"/>
                <w:sz w:val="16"/>
                <w:szCs w:val="16"/>
                <w:color w:val="auto"/>
              </w:rPr>
              <w:t>nominee(s) satisfy the requirements specified in our by-laws.</w:t>
            </w:r>
          </w:p>
        </w:tc>
        <w:tc>
          <w:tcPr>
            <w:tcW w:w="0" w:type="dxa"/>
            <w:vAlign w:val="bottom"/>
          </w:tcPr>
          <w:p>
            <w:pPr>
              <w:spacing w:after="0"/>
              <w:rPr>
                <w:sz w:val="1"/>
                <w:szCs w:val="1"/>
                <w:color w:val="auto"/>
              </w:rPr>
            </w:pPr>
          </w:p>
        </w:tc>
      </w:tr>
      <w:tr>
        <w:trPr>
          <w:trHeight w:val="20"/>
        </w:trPr>
        <w:tc>
          <w:tcPr>
            <w:tcW w:w="2000" w:type="dxa"/>
            <w:vAlign w:val="bottom"/>
            <w:tcBorders>
              <w:left w:val="single" w:sz="8" w:color="021496"/>
              <w:right w:val="single" w:sz="8" w:color="021496"/>
            </w:tcBorders>
            <w:shd w:val="clear" w:color="auto" w:fill="021496"/>
          </w:tcPr>
          <w:p>
            <w:pPr>
              <w:spacing w:after="0" w:line="20" w:lineRule="exact"/>
              <w:rPr>
                <w:sz w:val="1"/>
                <w:szCs w:val="1"/>
                <w:color w:val="auto"/>
              </w:rPr>
            </w:pPr>
          </w:p>
        </w:tc>
        <w:tc>
          <w:tcPr>
            <w:tcW w:w="8940" w:type="dxa"/>
            <w:vAlign w:val="bottom"/>
            <w:tcBorders>
              <w:right w:val="single" w:sz="8" w:color="021496"/>
            </w:tcBorders>
            <w:shd w:val="clear" w:color="auto" w:fill="0214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Board Leadership Structure</w:t>
      </w:r>
    </w:p>
    <w:p>
      <w:pPr>
        <w:spacing w:after="0" w:line="80" w:lineRule="exact"/>
        <w:rPr>
          <w:sz w:val="20"/>
          <w:szCs w:val="20"/>
          <w:color w:val="auto"/>
        </w:rPr>
      </w:pPr>
    </w:p>
    <w:p>
      <w:pPr>
        <w:ind w:left="160" w:right="160"/>
        <w:spacing w:after="0" w:line="247" w:lineRule="auto"/>
        <w:rPr>
          <w:sz w:val="20"/>
          <w:szCs w:val="20"/>
          <w:color w:val="auto"/>
        </w:rPr>
      </w:pPr>
      <w:r>
        <w:rPr>
          <w:rFonts w:ascii="Arial" w:cs="Arial" w:eastAsia="Arial" w:hAnsi="Arial"/>
          <w:sz w:val="16"/>
          <w:szCs w:val="16"/>
          <w:color w:val="auto"/>
        </w:rPr>
        <w:t>We believe that having an independent leader of the Board is important to the Board’s oversight role and decision-making involving corporate strategy, performance, succession, and other critical matters. Under our current Board leadership structure, our Board has leadership that is independent from management by way of an independent Chair. Our CEO is also a member of the Board as a management representative. We believe this is important to make information and insight directly available to the directors in their deliberations. In our view, this board leadership structure gives us an appropriate, well-functioning balance between non-management and management directors that combines experience, accountability and effective risk oversight.</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Board, Committee and Individual Director Evaluations</w:t>
      </w:r>
    </w:p>
    <w:p>
      <w:pPr>
        <w:spacing w:after="0" w:line="80"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Our Board and its committees conduct robust annual self-evaluations of their performance. In addition, our Board evaluates one-third of our directors on a rotating individual basis each year with the purpose of assisting each director to be a more effective member of the Board. New directors undergo the evaluation process in each of their first two years on the Board. Our directors believe the rotational nature of our evaluation process enables a more in-depth, comprehensive evaluation for each of our directors.</w:t>
      </w:r>
    </w:p>
    <w:p>
      <w:pPr>
        <w:spacing w:after="0" w:line="116"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28</w:t>
      </w:r>
    </w:p>
    <w:p>
      <w:pPr>
        <w:sectPr>
          <w:pgSz w:w="11900" w:h="16838" w:orient="portrait"/>
          <w:cols w:equalWidth="0" w:num="1">
            <w:col w:w="11100"/>
          </w:cols>
          <w:pgMar w:left="320" w:top="456"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Directors’ Meetings and Attendance</w:t>
      </w:r>
    </w:p>
    <w:p>
      <w:pPr>
        <w:spacing w:after="0" w:line="94" w:lineRule="exact"/>
        <w:rPr>
          <w:sz w:val="20"/>
          <w:szCs w:val="20"/>
          <w:color w:val="auto"/>
        </w:rPr>
      </w:pPr>
    </w:p>
    <w:p>
      <w:pPr>
        <w:ind w:left="160" w:right="160"/>
        <w:spacing w:after="0" w:line="248" w:lineRule="auto"/>
        <w:rPr>
          <w:sz w:val="20"/>
          <w:szCs w:val="20"/>
          <w:color w:val="auto"/>
        </w:rPr>
      </w:pPr>
      <w:r>
        <w:rPr>
          <w:rFonts w:ascii="Arial" w:cs="Arial" w:eastAsia="Arial" w:hAnsi="Arial"/>
          <w:sz w:val="16"/>
          <w:szCs w:val="16"/>
          <w:color w:val="auto"/>
        </w:rPr>
        <w:t>During 2021, the Board met seven times. No director attended less than 75% of the board and standing committee meetings held while he or she was a member of the Board and relevant standing committee. Average board attendance was over 97% in 2021. Our independent directors meet at regularly scheduled executive sessions at least quarterly without management representatives or non-independent directors present. The Chair of the Board presides at these sessions. We expect our directors to attend the Annual Meeting. All directors attended the 2021 Annual Meeting.</w:t>
      </w:r>
    </w:p>
    <w:p>
      <w:pPr>
        <w:spacing w:after="0" w:line="162" w:lineRule="exact"/>
        <w:rPr>
          <w:sz w:val="20"/>
          <w:szCs w:val="20"/>
          <w:color w:val="auto"/>
        </w:rPr>
      </w:pPr>
    </w:p>
    <w:p>
      <w:pPr>
        <w:ind w:left="160" w:right="220"/>
        <w:spacing w:after="0" w:line="248" w:lineRule="auto"/>
        <w:rPr>
          <w:sz w:val="20"/>
          <w:szCs w:val="20"/>
          <w:color w:val="auto"/>
        </w:rPr>
      </w:pPr>
      <w:r>
        <w:rPr>
          <w:rFonts w:ascii="Arial" w:cs="Arial" w:eastAsia="Arial" w:hAnsi="Arial"/>
          <w:sz w:val="16"/>
          <w:szCs w:val="16"/>
          <w:color w:val="auto"/>
        </w:rPr>
        <w:t>Our directors also regularly engage with management and outside subject matter experts outside of formal meetings. Examples include developing agendas and reviewing the content of materials in advance of meetings, calls, or in-person meetings with members of management to prepare for meetings, receiving periodic updates from management on significant operational or strategic developments between meetings, and, from time to time, engaging with shareholders.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Management Meetings and Site Visits</w:t>
      </w:r>
    </w:p>
    <w:p>
      <w:pPr>
        <w:spacing w:after="0" w:line="80" w:lineRule="exact"/>
        <w:rPr>
          <w:sz w:val="20"/>
          <w:szCs w:val="20"/>
          <w:color w:val="auto"/>
        </w:rPr>
      </w:pPr>
    </w:p>
    <w:p>
      <w:pPr>
        <w:ind w:left="160" w:right="180"/>
        <w:spacing w:after="0" w:line="246" w:lineRule="auto"/>
        <w:rPr>
          <w:sz w:val="20"/>
          <w:szCs w:val="20"/>
          <w:color w:val="auto"/>
        </w:rPr>
      </w:pPr>
      <w:r>
        <w:rPr>
          <w:rFonts w:ascii="Arial" w:cs="Arial" w:eastAsia="Arial" w:hAnsi="Arial"/>
          <w:sz w:val="16"/>
          <w:szCs w:val="16"/>
          <w:color w:val="auto"/>
        </w:rPr>
        <w:t>We encourage our directors to meet with senior managers throughout the enterprise and attend management’s strategic planning sessions. When considering businesses to visit, priority goes to those businesses identified as strategically important as well as those that were recently acquired. From time to time, the Board makes on-site visits to our businesses to tour the manufacturing facilities and meet face-to-face with company management and employees. These visits serve as an important tool in the Board’s succession planning process for our senior leadership team and enable a deeper understanding of our businesses and our culture. In 2021, these types of opportunities for engagement were largely conducted virtually rather than in-person.</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Director Orientation and Education</w:t>
      </w:r>
    </w:p>
    <w:p>
      <w:pPr>
        <w:spacing w:after="0" w:line="94" w:lineRule="exact"/>
        <w:rPr>
          <w:sz w:val="20"/>
          <w:szCs w:val="20"/>
          <w:color w:val="auto"/>
        </w:rPr>
      </w:pPr>
    </w:p>
    <w:p>
      <w:pPr>
        <w:ind w:left="160" w:right="160"/>
        <w:spacing w:after="0" w:line="247" w:lineRule="auto"/>
        <w:rPr>
          <w:sz w:val="20"/>
          <w:szCs w:val="20"/>
          <w:color w:val="auto"/>
        </w:rPr>
      </w:pPr>
      <w:r>
        <w:rPr>
          <w:rFonts w:ascii="Arial" w:cs="Arial" w:eastAsia="Arial" w:hAnsi="Arial"/>
          <w:sz w:val="16"/>
          <w:szCs w:val="16"/>
          <w:color w:val="auto"/>
        </w:rPr>
        <w:t>All new directors participate in our director orientation program. New directors meet with senior corporate leaders to review and discuss our businesses, operations, strategy, end markets, governance, internal controls, and culture. We believe that our on-boarding approach, coupled with participation in regular Board and committee meetings, as well as additional exposure to our business through participation in management meetings and site visits, whether virtually or in-person, provides new directors a strong foundation in our businesses and accelerates their effectiveness to fully engage in Board deliberations.</w:t>
      </w:r>
    </w:p>
    <w:p>
      <w:pPr>
        <w:spacing w:after="0" w:line="163" w:lineRule="exact"/>
        <w:rPr>
          <w:sz w:val="20"/>
          <w:szCs w:val="20"/>
          <w:color w:val="auto"/>
        </w:rPr>
      </w:pPr>
    </w:p>
    <w:p>
      <w:pPr>
        <w:ind w:left="160" w:right="480"/>
        <w:spacing w:after="0" w:line="256" w:lineRule="auto"/>
        <w:rPr>
          <w:sz w:val="20"/>
          <w:szCs w:val="20"/>
          <w:color w:val="auto"/>
        </w:rPr>
      </w:pPr>
      <w:r>
        <w:rPr>
          <w:rFonts w:ascii="Arial" w:cs="Arial" w:eastAsia="Arial" w:hAnsi="Arial"/>
          <w:sz w:val="16"/>
          <w:szCs w:val="16"/>
          <w:color w:val="auto"/>
        </w:rPr>
        <w:t>Our Board also encourages directors to participate annually in continuing director education programs outside of the Boardroom, and we reimburse directors for their expenses associated with this participation.</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Director Independence</w:t>
      </w:r>
    </w:p>
    <w:p>
      <w:pPr>
        <w:spacing w:after="0" w:line="80"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auto"/>
        </w:rPr>
        <w:t>Our Board has determined that each of the current members of the Board, except for Richard J. Tobin, who is our CEO, has no material relationship with Dover and satisfies all the criteria for being “independent” members of our Board. This includes the criteria established by the U.S. Securities and Exchange Commission (“SEC”) and the New York Stock Exchange (“NYSE”) listing standards, as well as our standards for classification as an independent director which are available on our website at www.dovercorporation.com. Our Board makes an annual determination of the independence of each nominee for director prior to his or her nomination for re-election. No director may be deemed independent unless the Board determines that he or she has no material relationship with Dover, directly or as an officer, shareholder or partner of an organization that has a material relationship with Dover.</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Majority Standard for Election of Directors and Mandatory Resignation Policy</w:t>
      </w:r>
    </w:p>
    <w:p>
      <w:pPr>
        <w:spacing w:after="0" w:line="94"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auto"/>
        </w:rPr>
        <w:t>Under our by-laws and corporate governance guidelines, the voting standard in director elections is a majority of the votes cast. Under this majority of the votes cast standard, a director must receive more votes in favor of his or her election than votes against his or her election. Abstentions and broker non-votes do not count as votes cast with respect to a director’s election. In contested director elections (where there are more nominees than available seats on the board), the plurality standard will apply. Under the plurality standard, the nominees who receive the most “for” votes are elected to the Board until all seats are filled.</w:t>
      </w:r>
    </w:p>
    <w:p>
      <w:pPr>
        <w:spacing w:after="0" w:line="163" w:lineRule="exact"/>
        <w:rPr>
          <w:sz w:val="20"/>
          <w:szCs w:val="20"/>
          <w:color w:val="auto"/>
        </w:rPr>
      </w:pPr>
    </w:p>
    <w:p>
      <w:pPr>
        <w:ind w:left="160" w:right="220"/>
        <w:spacing w:after="0" w:line="250" w:lineRule="auto"/>
        <w:rPr>
          <w:sz w:val="20"/>
          <w:szCs w:val="20"/>
          <w:color w:val="auto"/>
        </w:rPr>
      </w:pPr>
      <w:r>
        <w:rPr>
          <w:rFonts w:ascii="Arial" w:cs="Arial" w:eastAsia="Arial" w:hAnsi="Arial"/>
          <w:sz w:val="16"/>
          <w:szCs w:val="16"/>
          <w:color w:val="auto"/>
        </w:rPr>
        <w:t>For an incumbent director to be nominated for re-election, he or she must submit an irrevocable resignation letter. The resignation will be contingent on the nominee not receiving a majority of the votes cast in an uncontested election and on the Board’s acceptance of the resignation. If an incumbent director fails to receive a majority of the votes cast in an uncontested</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29</w:t>
      </w:r>
    </w:p>
    <w:p>
      <w:pPr>
        <w:sectPr>
          <w:pgSz w:w="11900" w:h="16838" w:orient="portrait"/>
          <w:cols w:equalWidth="0" w:num="1">
            <w:col w:w="11080"/>
          </w:cols>
          <w:pgMar w:left="320" w:top="456"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70" w:lineRule="exact"/>
        <w:rPr>
          <w:sz w:val="20"/>
          <w:szCs w:val="20"/>
          <w:color w:val="auto"/>
        </w:rPr>
      </w:pPr>
    </w:p>
    <w:p>
      <w:pPr>
        <w:jc w:val="both"/>
        <w:ind w:left="160" w:right="20"/>
        <w:spacing w:after="0" w:line="250" w:lineRule="auto"/>
        <w:rPr>
          <w:sz w:val="20"/>
          <w:szCs w:val="20"/>
          <w:color w:val="auto"/>
        </w:rPr>
      </w:pPr>
      <w:r>
        <w:rPr>
          <w:rFonts w:ascii="Arial" w:cs="Arial" w:eastAsia="Arial" w:hAnsi="Arial"/>
          <w:sz w:val="16"/>
          <w:szCs w:val="16"/>
          <w:color w:val="auto"/>
        </w:rPr>
        <w:t>election, the Governance and Nominating Committee will make a recommendation to our Board concerning whether to accept or reject the resignation or whether other action should be taken. Our Board will act on the resignation within 90 days following certification of the election results, taking into account the committee’s recommendation. The Board will publicly announce its decision and, if the resignation is rejected, the rationale for its decision.</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Governance Guidelines and Code of Ethics</w:t>
      </w:r>
    </w:p>
    <w:p>
      <w:pPr>
        <w:spacing w:after="0" w:line="94" w:lineRule="exact"/>
        <w:rPr>
          <w:sz w:val="20"/>
          <w:szCs w:val="20"/>
          <w:color w:val="auto"/>
        </w:rPr>
      </w:pPr>
    </w:p>
    <w:p>
      <w:pPr>
        <w:ind w:left="160" w:right="80"/>
        <w:spacing w:after="0" w:line="246" w:lineRule="auto"/>
        <w:rPr>
          <w:sz w:val="20"/>
          <w:szCs w:val="20"/>
          <w:color w:val="auto"/>
        </w:rPr>
      </w:pPr>
      <w:r>
        <w:rPr>
          <w:rFonts w:ascii="Arial" w:cs="Arial" w:eastAsia="Arial" w:hAnsi="Arial"/>
          <w:sz w:val="16"/>
          <w:szCs w:val="16"/>
          <w:color w:val="auto"/>
        </w:rPr>
        <w:t>Our Board long ago adopted written corporate governance guidelines that set forth the responsibilities of our Board and the qualifications and independence of its members and the members of its standing committees. The Board reviews these guidelines at least annually, in light of evolving best practices, shareholder feedback and the evolution of our business. In 2020, the Board amended the guidelines to require that initial lists of potential director and external CEO candidates presented by third-party search firms include qualified candidates who reflect diverse backgrounds, including diversity of gender and race or ethnicity. In addition, our Board has a long-standing Code of Conduct setting forth standards applicable to all of our companies and their employees, a code of ethics for our CEO and senior financial officers, and charters for each of its standing committees. All of these documents (referred to collectively as “governance materials”) are available on our website at www.dovercorporation.com.</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Procedures for Approval of Related Person Transactions</w:t>
      </w:r>
    </w:p>
    <w:p>
      <w:pPr>
        <w:spacing w:after="0" w:line="80"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auto"/>
        </w:rPr>
        <w:t>We generally do not engage in transactions in which our senior executive officers or directors, any of their immediate family members or any of our 5% shareholders have a material interest. Should a proposed transaction or series of similar transactions involve any such persons and an amount that exceeds $120,000, it would be subject to review and approval by the Governance and Nominating Committee in accordance with a written policy and the procedures adopted by our Board, which are available with the governance materials on our website.</w:t>
      </w:r>
    </w:p>
    <w:p>
      <w:pPr>
        <w:spacing w:after="0" w:line="162" w:lineRule="exact"/>
        <w:rPr>
          <w:sz w:val="20"/>
          <w:szCs w:val="20"/>
          <w:color w:val="auto"/>
        </w:rPr>
      </w:pPr>
    </w:p>
    <w:p>
      <w:pPr>
        <w:ind w:left="160" w:right="40"/>
        <w:spacing w:after="0" w:line="245" w:lineRule="auto"/>
        <w:rPr>
          <w:sz w:val="20"/>
          <w:szCs w:val="20"/>
          <w:color w:val="auto"/>
        </w:rPr>
      </w:pPr>
      <w:r>
        <w:rPr>
          <w:rFonts w:ascii="Arial" w:cs="Arial" w:eastAsia="Arial" w:hAnsi="Arial"/>
          <w:sz w:val="16"/>
          <w:szCs w:val="16"/>
          <w:color w:val="auto"/>
        </w:rPr>
        <w:t>Under the procedures, management determines whether a proposed transaction requires review under the policy and, if so, presents the transaction to the Governance and Nominating Committee. The Governance and Nominating Committee reviews the relevant facts and circumstances of the transaction and approves or rejects the transaction. If the proposed transaction is immaterial or it is impractical or undesirable to defer the proposed transaction until the next committee meeting, the Chair of the committee decides whether to (i) approve the transaction and report the transaction at the next meeting or (ii) call a special meeting of the committee to review and approve the transaction. Should the proposed transaction involve the CEO or enough members of the Governance and Nominating Committee to prevent a quorum, the disinterested members of the committee will review the transaction and make a recommendation to the Board, and the disinterested members of the Board will then approve or reject the transaction. No director may participate in the review of any transaction in which he or she is a related person.</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Communication with Directors</w:t>
      </w:r>
    </w:p>
    <w:p>
      <w:pPr>
        <w:spacing w:after="0" w:line="94" w:lineRule="exact"/>
        <w:rPr>
          <w:sz w:val="20"/>
          <w:szCs w:val="20"/>
          <w:color w:val="auto"/>
        </w:rPr>
      </w:pPr>
    </w:p>
    <w:p>
      <w:pPr>
        <w:ind w:left="160" w:right="360"/>
        <w:spacing w:after="0" w:line="247" w:lineRule="auto"/>
        <w:rPr>
          <w:sz w:val="20"/>
          <w:szCs w:val="20"/>
          <w:color w:val="auto"/>
        </w:rPr>
      </w:pPr>
      <w:r>
        <w:rPr>
          <w:rFonts w:ascii="Arial" w:cs="Arial" w:eastAsia="Arial" w:hAnsi="Arial"/>
          <w:sz w:val="16"/>
          <w:szCs w:val="16"/>
          <w:color w:val="auto"/>
        </w:rPr>
        <w:t>The Audit Committee has established procedures for (i) the receipt, retention and treatment of complaints regarding accounting, internal accounting controls or auditing matters (“accounting matters”) and (ii) the confidential, anonymous submission by employees of concerns regarding questionable accounting matters. Such complaints or concerns may be submitted to Dover, care of our Corporate Secretary or through the communications coordinator, an external service provider, by mail, fax, telephone, or via the internet as published on our website. The communications coordinator forwards such communications to Dover without disclosing the identity of the sender if anonymity is requested.</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Shareholders and other interested persons may also communicate with our Board and the non-management directors in any of these same manners.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Such communications are forwarded to the Chair of the Governance and Nominating Committee.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30</w:t>
      </w:r>
    </w:p>
    <w:p>
      <w:pPr>
        <w:sectPr>
          <w:pgSz w:w="11900" w:h="16838" w:orient="portrait"/>
          <w:cols w:equalWidth="0" w:num="1">
            <w:col w:w="11080"/>
          </w:cols>
          <w:pgMar w:left="320" w:top="456"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Shareholder Engagement and History of Board Responsiveness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Shareholder Engagement</w:t>
      </w:r>
    </w:p>
    <w:p>
      <w:pPr>
        <w:spacing w:after="0" w:line="193"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In 2021, we continued our focus on regularly engaging with our shareholders. We reached out to holders of approximately 60% of our shares outstanding, and engaged with governance professionals and/or portfolio managers at investors holding approximately 31% of our shares outstanding. Our shareholder engagement team consists of senior management and has also included our Chair from time to time. We also participate in various governance forums with our shareholders and regularly engage with shareholders through industry conferences and meetings.</w:t>
      </w:r>
    </w:p>
    <w:p>
      <w:pPr>
        <w:spacing w:after="0" w:line="162" w:lineRule="exact"/>
        <w:rPr>
          <w:sz w:val="20"/>
          <w:szCs w:val="20"/>
          <w:color w:val="auto"/>
        </w:rPr>
      </w:pPr>
    </w:p>
    <w:p>
      <w:pPr>
        <w:ind w:left="160" w:right="380"/>
        <w:spacing w:after="0" w:line="248" w:lineRule="auto"/>
        <w:rPr>
          <w:sz w:val="20"/>
          <w:szCs w:val="20"/>
          <w:color w:val="auto"/>
        </w:rPr>
      </w:pPr>
      <w:r>
        <w:rPr>
          <w:rFonts w:ascii="Arial" w:cs="Arial" w:eastAsia="Arial" w:hAnsi="Arial"/>
          <w:sz w:val="16"/>
          <w:szCs w:val="16"/>
          <w:color w:val="auto"/>
        </w:rPr>
        <w:t>We received feedback from investors on a range of topics, including corporate governance topics such as the right of shareholders to act by written consent. We are pleased with the feedback we received with investors on the topics we discussed, and look forward to ongoing engagement with our shareholders in order to continue to incorporate their views into our Board’s decision-making process. We aim to have best-in-class governance and compensation structures at Dover.</w:t>
      </w:r>
    </w:p>
    <w:p>
      <w:pPr>
        <w:spacing w:after="0" w:line="201" w:lineRule="exact"/>
        <w:rPr>
          <w:sz w:val="20"/>
          <w:szCs w:val="20"/>
          <w:color w:val="auto"/>
        </w:rPr>
      </w:pPr>
    </w:p>
    <w:tbl>
      <w:tblPr>
        <w:tblLayout w:type="fixed"/>
        <w:tblInd w:w="170" w:type="dxa"/>
        <w:tblCellMar>
          <w:top w:w="0" w:type="dxa"/>
          <w:left w:w="0" w:type="dxa"/>
          <w:bottom w:w="0" w:type="dxa"/>
          <w:right w:w="0" w:type="dxa"/>
        </w:tblCellMar>
      </w:tblPr>
      <w:tr>
        <w:trPr>
          <w:trHeight w:val="201"/>
        </w:trPr>
        <w:tc>
          <w:tcPr>
            <w:tcW w:w="2120" w:type="dxa"/>
            <w:vAlign w:val="bottom"/>
            <w:tcBorders>
              <w:left w:val="single" w:sz="8" w:color="021496"/>
              <w:right w:val="single" w:sz="8" w:color="021496"/>
            </w:tcBorders>
            <w:shd w:val="clear" w:color="auto" w:fill="021496"/>
          </w:tcPr>
          <w:p>
            <w:pPr>
              <w:spacing w:after="0"/>
              <w:rPr>
                <w:sz w:val="17"/>
                <w:szCs w:val="17"/>
                <w:color w:val="auto"/>
              </w:rPr>
            </w:pPr>
          </w:p>
        </w:tc>
        <w:tc>
          <w:tcPr>
            <w:tcW w:w="8820" w:type="dxa"/>
            <w:vAlign w:val="bottom"/>
            <w:tcBorders>
              <w:right w:val="single" w:sz="8" w:color="021496"/>
            </w:tcBorders>
            <w:shd w:val="clear" w:color="auto" w:fill="021496"/>
          </w:tcPr>
          <w:p>
            <w:pPr>
              <w:ind w:left="1800"/>
              <w:spacing w:after="0"/>
              <w:rPr>
                <w:sz w:val="20"/>
                <w:szCs w:val="20"/>
                <w:color w:val="auto"/>
              </w:rPr>
            </w:pPr>
            <w:r>
              <w:rPr>
                <w:rFonts w:ascii="Arial" w:cs="Arial" w:eastAsia="Arial" w:hAnsi="Arial"/>
                <w:sz w:val="15"/>
                <w:szCs w:val="15"/>
                <w:b w:val="1"/>
                <w:bCs w:val="1"/>
                <w:color w:val="FFFFFF"/>
              </w:rPr>
              <w:t>KEY ITEMS OF DISCUSSION AND FEEDBACK</w:t>
            </w:r>
          </w:p>
        </w:tc>
        <w:tc>
          <w:tcPr>
            <w:tcW w:w="0" w:type="dxa"/>
            <w:vAlign w:val="bottom"/>
          </w:tcPr>
          <w:p>
            <w:pPr>
              <w:spacing w:after="0"/>
              <w:rPr>
                <w:sz w:val="1"/>
                <w:szCs w:val="1"/>
                <w:color w:val="auto"/>
              </w:rPr>
            </w:pPr>
          </w:p>
        </w:tc>
      </w:tr>
      <w:tr>
        <w:trPr>
          <w:trHeight w:val="160"/>
        </w:trPr>
        <w:tc>
          <w:tcPr>
            <w:tcW w:w="2120" w:type="dxa"/>
            <w:vAlign w:val="bottom"/>
            <w:tcBorders>
              <w:left w:val="single" w:sz="8" w:color="021496"/>
              <w:right w:val="single" w:sz="8" w:color="021496"/>
            </w:tcBorders>
            <w:shd w:val="clear" w:color="auto" w:fill="D8D8D8"/>
          </w:tcPr>
          <w:p>
            <w:pPr>
              <w:ind w:left="620"/>
              <w:spacing w:after="0"/>
              <w:rPr>
                <w:sz w:val="20"/>
                <w:szCs w:val="20"/>
                <w:color w:val="auto"/>
              </w:rPr>
            </w:pPr>
            <w:r>
              <w:rPr>
                <w:rFonts w:ascii="Arial" w:cs="Arial" w:eastAsia="Arial" w:hAnsi="Arial"/>
                <w:sz w:val="14"/>
                <w:szCs w:val="14"/>
                <w:b w:val="1"/>
                <w:bCs w:val="1"/>
                <w:color w:val="auto"/>
              </w:rPr>
              <w:t>Performance &amp;</w:t>
            </w:r>
          </w:p>
        </w:tc>
        <w:tc>
          <w:tcPr>
            <w:tcW w:w="8820" w:type="dxa"/>
            <w:vAlign w:val="bottom"/>
            <w:tcBorders>
              <w:right w:val="single" w:sz="8" w:color="021496"/>
            </w:tcBorders>
          </w:tcPr>
          <w:p>
            <w:pPr>
              <w:ind w:left="80"/>
              <w:spacing w:after="0" w:line="161" w:lineRule="exact"/>
              <w:rPr>
                <w:sz w:val="20"/>
                <w:szCs w:val="20"/>
                <w:color w:val="auto"/>
              </w:rPr>
            </w:pPr>
            <w:r>
              <w:rPr>
                <w:rFonts w:ascii="Arial" w:cs="Arial" w:eastAsia="Arial" w:hAnsi="Arial"/>
                <w:sz w:val="15"/>
                <w:szCs w:val="15"/>
                <w:color w:val="auto"/>
              </w:rPr>
              <w:t xml:space="preserve">•   We reviewed </w:t>
            </w:r>
            <w:r>
              <w:rPr>
                <w:rFonts w:ascii="Arial" w:cs="Arial" w:eastAsia="Arial" w:hAnsi="Arial"/>
                <w:sz w:val="15"/>
                <w:szCs w:val="15"/>
                <w:b w:val="1"/>
                <w:bCs w:val="1"/>
                <w:color w:val="021496"/>
              </w:rPr>
              <w:t>our portfolio of businesses, performance, strategic priorities</w:t>
            </w:r>
            <w:r>
              <w:rPr>
                <w:rFonts w:ascii="Arial" w:cs="Arial" w:eastAsia="Arial" w:hAnsi="Arial"/>
                <w:sz w:val="15"/>
                <w:szCs w:val="15"/>
                <w:color w:val="auto"/>
              </w:rPr>
              <w:t xml:space="preserve">, and focus on continuing to </w:t>
            </w:r>
            <w:r>
              <w:rPr>
                <w:rFonts w:ascii="Arial" w:cs="Arial" w:eastAsia="Arial" w:hAnsi="Arial"/>
                <w:sz w:val="15"/>
                <w:szCs w:val="15"/>
                <w:b w:val="1"/>
                <w:bCs w:val="1"/>
                <w:color w:val="021496"/>
              </w:rPr>
              <w:t>deliver long-</w:t>
            </w:r>
          </w:p>
        </w:tc>
        <w:tc>
          <w:tcPr>
            <w:tcW w:w="0" w:type="dxa"/>
            <w:vAlign w:val="bottom"/>
          </w:tcPr>
          <w:p>
            <w:pPr>
              <w:spacing w:after="0"/>
              <w:rPr>
                <w:sz w:val="1"/>
                <w:szCs w:val="1"/>
                <w:color w:val="auto"/>
              </w:rPr>
            </w:pPr>
          </w:p>
        </w:tc>
      </w:tr>
      <w:tr>
        <w:trPr>
          <w:trHeight w:val="166"/>
        </w:trPr>
        <w:tc>
          <w:tcPr>
            <w:tcW w:w="2120" w:type="dxa"/>
            <w:vAlign w:val="bottom"/>
            <w:tcBorders>
              <w:left w:val="single" w:sz="8" w:color="021496"/>
              <w:right w:val="single" w:sz="8" w:color="021496"/>
            </w:tcBorders>
            <w:shd w:val="clear" w:color="auto" w:fill="D8D8D8"/>
          </w:tcPr>
          <w:p>
            <w:pPr>
              <w:jc w:val="center"/>
              <w:ind w:left="145"/>
              <w:spacing w:after="0" w:line="166" w:lineRule="exact"/>
              <w:rPr>
                <w:sz w:val="20"/>
                <w:szCs w:val="20"/>
                <w:color w:val="auto"/>
              </w:rPr>
            </w:pPr>
            <w:r>
              <w:rPr>
                <w:rFonts w:ascii="Arial" w:cs="Arial" w:eastAsia="Arial" w:hAnsi="Arial"/>
                <w:sz w:val="15"/>
                <w:szCs w:val="15"/>
                <w:b w:val="1"/>
                <w:bCs w:val="1"/>
                <w:color w:val="auto"/>
                <w:w w:val="99"/>
              </w:rPr>
              <w:t>Long-Term</w:t>
            </w:r>
          </w:p>
        </w:tc>
        <w:tc>
          <w:tcPr>
            <w:tcW w:w="8820" w:type="dxa"/>
            <w:vAlign w:val="bottom"/>
            <w:tcBorders>
              <w:right w:val="single" w:sz="8" w:color="021496"/>
            </w:tcBorders>
          </w:tcPr>
          <w:p>
            <w:pPr>
              <w:ind w:left="400"/>
              <w:spacing w:after="0" w:line="166" w:lineRule="exact"/>
              <w:rPr>
                <w:sz w:val="20"/>
                <w:szCs w:val="20"/>
                <w:color w:val="auto"/>
              </w:rPr>
            </w:pPr>
            <w:r>
              <w:rPr>
                <w:rFonts w:ascii="Arial" w:cs="Arial" w:eastAsia="Arial" w:hAnsi="Arial"/>
                <w:sz w:val="15"/>
                <w:szCs w:val="15"/>
                <w:b w:val="1"/>
                <w:bCs w:val="1"/>
                <w:color w:val="021496"/>
              </w:rPr>
              <w:t xml:space="preserve">term value to shareholders </w:t>
            </w:r>
            <w:r>
              <w:rPr>
                <w:rFonts w:ascii="Arial" w:cs="Arial" w:eastAsia="Arial" w:hAnsi="Arial"/>
                <w:sz w:val="15"/>
                <w:szCs w:val="15"/>
                <w:color w:val="000000"/>
              </w:rPr>
              <w:t>despite a challenging operating environment caused by the COVID-19 pandemic.</w:t>
            </w:r>
          </w:p>
        </w:tc>
        <w:tc>
          <w:tcPr>
            <w:tcW w:w="0" w:type="dxa"/>
            <w:vAlign w:val="bottom"/>
          </w:tcPr>
          <w:p>
            <w:pPr>
              <w:spacing w:after="0"/>
              <w:rPr>
                <w:sz w:val="1"/>
                <w:szCs w:val="1"/>
                <w:color w:val="auto"/>
              </w:rPr>
            </w:pPr>
          </w:p>
        </w:tc>
      </w:tr>
      <w:tr>
        <w:trPr>
          <w:trHeight w:val="199"/>
        </w:trPr>
        <w:tc>
          <w:tcPr>
            <w:tcW w:w="2120" w:type="dxa"/>
            <w:vAlign w:val="bottom"/>
            <w:tcBorders>
              <w:left w:val="single" w:sz="8" w:color="021496"/>
              <w:right w:val="single" w:sz="8" w:color="021496"/>
            </w:tcBorders>
            <w:shd w:val="clear" w:color="auto" w:fill="D8D8D8"/>
          </w:tcPr>
          <w:p>
            <w:pPr>
              <w:jc w:val="center"/>
              <w:ind w:left="165"/>
              <w:spacing w:after="0"/>
              <w:rPr>
                <w:sz w:val="20"/>
                <w:szCs w:val="20"/>
                <w:color w:val="auto"/>
              </w:rPr>
            </w:pPr>
            <w:r>
              <w:rPr>
                <w:rFonts w:ascii="Arial" w:cs="Arial" w:eastAsia="Arial" w:hAnsi="Arial"/>
                <w:sz w:val="15"/>
                <w:szCs w:val="15"/>
                <w:b w:val="1"/>
                <w:bCs w:val="1"/>
                <w:color w:val="auto"/>
                <w:w w:val="99"/>
              </w:rPr>
              <w:t>Strategy</w:t>
            </w:r>
          </w:p>
        </w:tc>
        <w:tc>
          <w:tcPr>
            <w:tcW w:w="8820" w:type="dxa"/>
            <w:vAlign w:val="bottom"/>
            <w:tcBorders>
              <w:right w:val="single" w:sz="8" w:color="021496"/>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120" w:type="dxa"/>
            <w:vAlign w:val="bottom"/>
            <w:tcBorders>
              <w:left w:val="single" w:sz="8" w:color="021496"/>
              <w:bottom w:val="single" w:sz="8" w:color="021496"/>
              <w:right w:val="single" w:sz="8" w:color="021496"/>
            </w:tcBorders>
            <w:shd w:val="clear" w:color="auto" w:fill="D8D8D8"/>
          </w:tcPr>
          <w:p>
            <w:pPr>
              <w:spacing w:after="0"/>
              <w:rPr>
                <w:sz w:val="5"/>
                <w:szCs w:val="5"/>
                <w:color w:val="auto"/>
              </w:rPr>
            </w:pPr>
          </w:p>
        </w:tc>
        <w:tc>
          <w:tcPr>
            <w:tcW w:w="8820" w:type="dxa"/>
            <w:vAlign w:val="bottom"/>
            <w:tcBorders>
              <w:bottom w:val="single" w:sz="8" w:color="021496"/>
              <w:right w:val="single" w:sz="8" w:color="021496"/>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120" w:type="dxa"/>
            <w:vAlign w:val="bottom"/>
            <w:tcBorders>
              <w:left w:val="single" w:sz="8" w:color="021496"/>
              <w:right w:val="single" w:sz="8" w:color="021496"/>
            </w:tcBorders>
            <w:vMerge w:val="restart"/>
            <w:shd w:val="clear" w:color="auto" w:fill="D8D8D8"/>
          </w:tcPr>
          <w:p>
            <w:pPr>
              <w:jc w:val="center"/>
              <w:ind w:left="165"/>
              <w:spacing w:after="0"/>
              <w:rPr>
                <w:sz w:val="20"/>
                <w:szCs w:val="20"/>
                <w:color w:val="auto"/>
              </w:rPr>
            </w:pPr>
            <w:r>
              <w:rPr>
                <w:rFonts w:ascii="Arial" w:cs="Arial" w:eastAsia="Arial" w:hAnsi="Arial"/>
                <w:sz w:val="15"/>
                <w:szCs w:val="15"/>
                <w:b w:val="1"/>
                <w:bCs w:val="1"/>
                <w:color w:val="auto"/>
              </w:rPr>
              <w:t>Capital Allocation</w:t>
            </w:r>
          </w:p>
        </w:tc>
        <w:tc>
          <w:tcPr>
            <w:tcW w:w="8820" w:type="dxa"/>
            <w:vAlign w:val="bottom"/>
            <w:tcBorders>
              <w:right w:val="single" w:sz="8" w:color="021496"/>
            </w:tcBorders>
          </w:tcPr>
          <w:p>
            <w:pPr>
              <w:ind w:left="80"/>
              <w:spacing w:after="0" w:line="164" w:lineRule="exact"/>
              <w:rPr>
                <w:sz w:val="20"/>
                <w:szCs w:val="20"/>
                <w:color w:val="auto"/>
              </w:rPr>
            </w:pPr>
            <w:r>
              <w:rPr>
                <w:rFonts w:ascii="Arial" w:cs="Arial" w:eastAsia="Arial" w:hAnsi="Arial"/>
                <w:sz w:val="15"/>
                <w:szCs w:val="15"/>
                <w:color w:val="auto"/>
              </w:rPr>
              <w:t xml:space="preserve">•   We discussed how our </w:t>
            </w:r>
            <w:r>
              <w:rPr>
                <w:rFonts w:ascii="Arial" w:cs="Arial" w:eastAsia="Arial" w:hAnsi="Arial"/>
                <w:sz w:val="15"/>
                <w:szCs w:val="15"/>
                <w:b w:val="1"/>
                <w:bCs w:val="1"/>
                <w:color w:val="021496"/>
              </w:rPr>
              <w:t>balance sheet strength</w:t>
            </w:r>
            <w:r>
              <w:rPr>
                <w:rFonts w:ascii="Arial" w:cs="Arial" w:eastAsia="Arial" w:hAnsi="Arial"/>
                <w:sz w:val="15"/>
                <w:szCs w:val="15"/>
                <w:color w:val="auto"/>
              </w:rPr>
              <w:t xml:space="preserve"> and </w:t>
            </w:r>
            <w:r>
              <w:rPr>
                <w:rFonts w:ascii="Arial" w:cs="Arial" w:eastAsia="Arial" w:hAnsi="Arial"/>
                <w:sz w:val="15"/>
                <w:szCs w:val="15"/>
                <w:b w:val="1"/>
                <w:bCs w:val="1"/>
                <w:color w:val="021496"/>
              </w:rPr>
              <w:t>history of prudent capital allocation</w:t>
            </w:r>
            <w:r>
              <w:rPr>
                <w:rFonts w:ascii="Arial" w:cs="Arial" w:eastAsia="Arial" w:hAnsi="Arial"/>
                <w:sz w:val="15"/>
                <w:szCs w:val="15"/>
                <w:color w:val="auto"/>
              </w:rPr>
              <w:t xml:space="preserve"> served as differentiating factors</w:t>
            </w:r>
          </w:p>
        </w:tc>
        <w:tc>
          <w:tcPr>
            <w:tcW w:w="0" w:type="dxa"/>
            <w:vAlign w:val="bottom"/>
          </w:tcPr>
          <w:p>
            <w:pPr>
              <w:spacing w:after="0"/>
              <w:rPr>
                <w:sz w:val="1"/>
                <w:szCs w:val="1"/>
                <w:color w:val="auto"/>
              </w:rPr>
            </w:pPr>
          </w:p>
        </w:tc>
      </w:tr>
      <w:tr>
        <w:trPr>
          <w:trHeight w:val="101"/>
        </w:trPr>
        <w:tc>
          <w:tcPr>
            <w:tcW w:w="2120" w:type="dxa"/>
            <w:vAlign w:val="bottom"/>
            <w:tcBorders>
              <w:left w:val="single" w:sz="8" w:color="021496"/>
              <w:right w:val="single" w:sz="8" w:color="021496"/>
            </w:tcBorders>
            <w:vMerge w:val="continue"/>
            <w:shd w:val="clear" w:color="auto" w:fill="D8D8D8"/>
          </w:tcPr>
          <w:p>
            <w:pPr>
              <w:spacing w:after="0"/>
              <w:rPr>
                <w:sz w:val="8"/>
                <w:szCs w:val="8"/>
                <w:color w:val="auto"/>
              </w:rPr>
            </w:pPr>
          </w:p>
        </w:tc>
        <w:tc>
          <w:tcPr>
            <w:tcW w:w="8820" w:type="dxa"/>
            <w:vAlign w:val="bottom"/>
            <w:tcBorders>
              <w:right w:val="single" w:sz="8" w:color="021496"/>
            </w:tcBorders>
            <w:vMerge w:val="restart"/>
          </w:tcPr>
          <w:p>
            <w:pPr>
              <w:ind w:left="400"/>
              <w:spacing w:after="0"/>
              <w:rPr>
                <w:sz w:val="20"/>
                <w:szCs w:val="20"/>
                <w:color w:val="auto"/>
              </w:rPr>
            </w:pPr>
            <w:r>
              <w:rPr>
                <w:rFonts w:ascii="Arial" w:cs="Arial" w:eastAsia="Arial" w:hAnsi="Arial"/>
                <w:sz w:val="15"/>
                <w:szCs w:val="15"/>
                <w:color w:val="auto"/>
              </w:rPr>
              <w:t>that allowed us to remain flexible during the market dislocation caused by the COVID-19 pandemic.</w:t>
            </w:r>
          </w:p>
        </w:tc>
        <w:tc>
          <w:tcPr>
            <w:tcW w:w="0" w:type="dxa"/>
            <w:vAlign w:val="bottom"/>
          </w:tcPr>
          <w:p>
            <w:pPr>
              <w:spacing w:after="0"/>
              <w:rPr>
                <w:sz w:val="1"/>
                <w:szCs w:val="1"/>
                <w:color w:val="auto"/>
              </w:rPr>
            </w:pPr>
          </w:p>
        </w:tc>
      </w:tr>
      <w:tr>
        <w:trPr>
          <w:trHeight w:val="130"/>
        </w:trPr>
        <w:tc>
          <w:tcPr>
            <w:tcW w:w="2120" w:type="dxa"/>
            <w:vAlign w:val="bottom"/>
            <w:tcBorders>
              <w:left w:val="single" w:sz="8" w:color="021496"/>
              <w:bottom w:val="single" w:sz="8" w:color="D8D8D8"/>
              <w:right w:val="single" w:sz="8" w:color="021496"/>
            </w:tcBorders>
            <w:shd w:val="clear" w:color="auto" w:fill="D8D8D8"/>
          </w:tcPr>
          <w:p>
            <w:pPr>
              <w:spacing w:after="0"/>
              <w:rPr>
                <w:sz w:val="11"/>
                <w:szCs w:val="11"/>
                <w:color w:val="auto"/>
              </w:rPr>
            </w:pPr>
          </w:p>
        </w:tc>
        <w:tc>
          <w:tcPr>
            <w:tcW w:w="8820" w:type="dxa"/>
            <w:vAlign w:val="bottom"/>
            <w:tcBorders>
              <w:right w:val="single" w:sz="8" w:color="021496"/>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20" w:type="dxa"/>
            <w:vAlign w:val="bottom"/>
            <w:tcBorders>
              <w:top w:val="single" w:sz="8" w:color="021496"/>
              <w:left w:val="single" w:sz="8" w:color="021496"/>
              <w:right w:val="single" w:sz="8" w:color="021496"/>
            </w:tcBorders>
            <w:shd w:val="clear" w:color="auto" w:fill="D8D8D8"/>
          </w:tcPr>
          <w:p>
            <w:pPr>
              <w:spacing w:after="0"/>
              <w:rPr>
                <w:sz w:val="12"/>
                <w:szCs w:val="12"/>
                <w:color w:val="auto"/>
              </w:rPr>
            </w:pPr>
          </w:p>
        </w:tc>
        <w:tc>
          <w:tcPr>
            <w:tcW w:w="8820" w:type="dxa"/>
            <w:vAlign w:val="bottom"/>
            <w:tcBorders>
              <w:top w:val="single" w:sz="8" w:color="021496"/>
              <w:right w:val="single" w:sz="8" w:color="021496"/>
            </w:tcBorders>
          </w:tcPr>
          <w:p>
            <w:pPr>
              <w:ind w:left="80"/>
              <w:spacing w:after="0" w:line="146" w:lineRule="exact"/>
              <w:rPr>
                <w:sz w:val="20"/>
                <w:szCs w:val="20"/>
                <w:color w:val="auto"/>
              </w:rPr>
            </w:pPr>
            <w:r>
              <w:rPr>
                <w:rFonts w:ascii="Arial" w:cs="Arial" w:eastAsia="Arial" w:hAnsi="Arial"/>
                <w:sz w:val="15"/>
                <w:szCs w:val="15"/>
                <w:color w:val="auto"/>
              </w:rPr>
              <w:t xml:space="preserve">•   We discussed how we are taking a thoughtful approach to </w:t>
            </w:r>
            <w:r>
              <w:rPr>
                <w:rFonts w:ascii="Arial" w:cs="Arial" w:eastAsia="Arial" w:hAnsi="Arial"/>
                <w:sz w:val="15"/>
                <w:szCs w:val="15"/>
                <w:b w:val="1"/>
                <w:bCs w:val="1"/>
                <w:color w:val="021496"/>
              </w:rPr>
              <w:t>developing a center-led approach to human capital</w:t>
            </w:r>
          </w:p>
        </w:tc>
        <w:tc>
          <w:tcPr>
            <w:tcW w:w="0" w:type="dxa"/>
            <w:vAlign w:val="bottom"/>
          </w:tcPr>
          <w:p>
            <w:pPr>
              <w:spacing w:after="0"/>
              <w:rPr>
                <w:sz w:val="1"/>
                <w:szCs w:val="1"/>
                <w:color w:val="auto"/>
              </w:rPr>
            </w:pPr>
          </w:p>
        </w:tc>
      </w:tr>
      <w:tr>
        <w:trPr>
          <w:trHeight w:val="199"/>
        </w:trPr>
        <w:tc>
          <w:tcPr>
            <w:tcW w:w="2120" w:type="dxa"/>
            <w:vAlign w:val="bottom"/>
            <w:tcBorders>
              <w:left w:val="single" w:sz="8" w:color="021496"/>
              <w:right w:val="single" w:sz="8" w:color="021496"/>
            </w:tcBorders>
            <w:shd w:val="clear" w:color="auto" w:fill="D8D8D8"/>
          </w:tcPr>
          <w:p>
            <w:pPr>
              <w:spacing w:after="0"/>
              <w:rPr>
                <w:sz w:val="17"/>
                <w:szCs w:val="17"/>
                <w:color w:val="auto"/>
              </w:rPr>
            </w:pPr>
          </w:p>
        </w:tc>
        <w:tc>
          <w:tcPr>
            <w:tcW w:w="8820" w:type="dxa"/>
            <w:vAlign w:val="bottom"/>
            <w:tcBorders>
              <w:right w:val="single" w:sz="8" w:color="021496"/>
            </w:tcBorders>
          </w:tcPr>
          <w:p>
            <w:pPr>
              <w:ind w:left="400"/>
              <w:spacing w:after="0"/>
              <w:rPr>
                <w:sz w:val="20"/>
                <w:szCs w:val="20"/>
                <w:color w:val="auto"/>
              </w:rPr>
            </w:pPr>
            <w:r>
              <w:rPr>
                <w:rFonts w:ascii="Arial" w:cs="Arial" w:eastAsia="Arial" w:hAnsi="Arial"/>
                <w:sz w:val="15"/>
                <w:szCs w:val="15"/>
                <w:b w:val="1"/>
                <w:bCs w:val="1"/>
                <w:color w:val="021496"/>
              </w:rPr>
              <w:t>management and diversity and inclusion</w:t>
            </w:r>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02"/>
        </w:trPr>
        <w:tc>
          <w:tcPr>
            <w:tcW w:w="2120" w:type="dxa"/>
            <w:vAlign w:val="bottom"/>
            <w:tcBorders>
              <w:left w:val="single" w:sz="8" w:color="021496"/>
              <w:right w:val="single" w:sz="8" w:color="021496"/>
            </w:tcBorders>
            <w:shd w:val="clear" w:color="auto" w:fill="D8D8D8"/>
          </w:tcPr>
          <w:p>
            <w:pPr>
              <w:jc w:val="center"/>
              <w:ind w:left="145"/>
              <w:spacing w:after="0"/>
              <w:rPr>
                <w:sz w:val="20"/>
                <w:szCs w:val="20"/>
                <w:color w:val="auto"/>
              </w:rPr>
            </w:pPr>
            <w:r>
              <w:rPr>
                <w:rFonts w:ascii="Arial" w:cs="Arial" w:eastAsia="Arial" w:hAnsi="Arial"/>
                <w:sz w:val="15"/>
                <w:szCs w:val="15"/>
                <w:b w:val="1"/>
                <w:bCs w:val="1"/>
                <w:color w:val="auto"/>
                <w:w w:val="99"/>
              </w:rPr>
              <w:t>Diversity &amp;</w:t>
            </w:r>
          </w:p>
        </w:tc>
        <w:tc>
          <w:tcPr>
            <w:tcW w:w="8820" w:type="dxa"/>
            <w:vAlign w:val="bottom"/>
            <w:tcBorders>
              <w:right w:val="single" w:sz="8" w:color="021496"/>
            </w:tcBorders>
          </w:tcPr>
          <w:p>
            <w:pPr>
              <w:ind w:left="80"/>
              <w:spacing w:after="0"/>
              <w:rPr>
                <w:sz w:val="20"/>
                <w:szCs w:val="20"/>
                <w:color w:val="auto"/>
              </w:rPr>
            </w:pPr>
            <w:r>
              <w:rPr>
                <w:rFonts w:ascii="Arial" w:cs="Arial" w:eastAsia="Arial" w:hAnsi="Arial"/>
                <w:sz w:val="15"/>
                <w:szCs w:val="15"/>
                <w:color w:val="auto"/>
              </w:rPr>
              <w:t xml:space="preserve">•   Shareholders expressed appreciation for the new </w:t>
            </w:r>
            <w:r>
              <w:rPr>
                <w:rFonts w:ascii="Arial" w:cs="Arial" w:eastAsia="Arial" w:hAnsi="Arial"/>
                <w:sz w:val="15"/>
                <w:szCs w:val="15"/>
                <w:b w:val="1"/>
                <w:bCs w:val="1"/>
                <w:color w:val="021496"/>
              </w:rPr>
              <w:t>transparency on the sustainability portion of our website</w:t>
            </w:r>
            <w:r>
              <w:rPr>
                <w:rFonts w:ascii="Arial" w:cs="Arial" w:eastAsia="Arial" w:hAnsi="Arial"/>
                <w:sz w:val="15"/>
                <w:szCs w:val="15"/>
                <w:color w:val="auto"/>
              </w:rPr>
              <w:t xml:space="preserve"> regarding</w:t>
            </w:r>
          </w:p>
        </w:tc>
        <w:tc>
          <w:tcPr>
            <w:tcW w:w="0" w:type="dxa"/>
            <w:vAlign w:val="bottom"/>
          </w:tcPr>
          <w:p>
            <w:pPr>
              <w:spacing w:after="0"/>
              <w:rPr>
                <w:sz w:val="1"/>
                <w:szCs w:val="1"/>
                <w:color w:val="auto"/>
              </w:rPr>
            </w:pPr>
          </w:p>
        </w:tc>
      </w:tr>
      <w:tr>
        <w:trPr>
          <w:trHeight w:val="199"/>
        </w:trPr>
        <w:tc>
          <w:tcPr>
            <w:tcW w:w="2120" w:type="dxa"/>
            <w:vAlign w:val="bottom"/>
            <w:tcBorders>
              <w:left w:val="single" w:sz="8" w:color="021496"/>
              <w:right w:val="single" w:sz="8" w:color="021496"/>
            </w:tcBorders>
            <w:shd w:val="clear" w:color="auto" w:fill="D8D8D8"/>
          </w:tcPr>
          <w:p>
            <w:pPr>
              <w:jc w:val="center"/>
              <w:ind w:left="145"/>
              <w:spacing w:after="0"/>
              <w:rPr>
                <w:sz w:val="20"/>
                <w:szCs w:val="20"/>
                <w:color w:val="auto"/>
              </w:rPr>
            </w:pPr>
            <w:r>
              <w:rPr>
                <w:rFonts w:ascii="Arial" w:cs="Arial" w:eastAsia="Arial" w:hAnsi="Arial"/>
                <w:sz w:val="15"/>
                <w:szCs w:val="15"/>
                <w:b w:val="1"/>
                <w:bCs w:val="1"/>
                <w:color w:val="auto"/>
              </w:rPr>
              <w:t>Inclusion</w:t>
            </w:r>
          </w:p>
        </w:tc>
        <w:tc>
          <w:tcPr>
            <w:tcW w:w="8820" w:type="dxa"/>
            <w:vAlign w:val="bottom"/>
            <w:tcBorders>
              <w:right w:val="single" w:sz="8" w:color="021496"/>
            </w:tcBorders>
          </w:tcPr>
          <w:p>
            <w:pPr>
              <w:ind w:left="400"/>
              <w:spacing w:after="0"/>
              <w:rPr>
                <w:sz w:val="20"/>
                <w:szCs w:val="20"/>
                <w:color w:val="auto"/>
              </w:rPr>
            </w:pPr>
            <w:r>
              <w:rPr>
                <w:rFonts w:ascii="Arial" w:cs="Arial" w:eastAsia="Arial" w:hAnsi="Arial"/>
                <w:sz w:val="15"/>
                <w:szCs w:val="15"/>
                <w:color w:val="auto"/>
              </w:rPr>
              <w:t>workforce demographics (gender, ethnicity, age).</w:t>
            </w:r>
          </w:p>
        </w:tc>
        <w:tc>
          <w:tcPr>
            <w:tcW w:w="0" w:type="dxa"/>
            <w:vAlign w:val="bottom"/>
          </w:tcPr>
          <w:p>
            <w:pPr>
              <w:spacing w:after="0"/>
              <w:rPr>
                <w:sz w:val="1"/>
                <w:szCs w:val="1"/>
                <w:color w:val="auto"/>
              </w:rPr>
            </w:pPr>
          </w:p>
        </w:tc>
      </w:tr>
      <w:tr>
        <w:trPr>
          <w:trHeight w:val="220"/>
        </w:trPr>
        <w:tc>
          <w:tcPr>
            <w:tcW w:w="2120" w:type="dxa"/>
            <w:vAlign w:val="bottom"/>
            <w:tcBorders>
              <w:left w:val="single" w:sz="8" w:color="021496"/>
              <w:right w:val="single" w:sz="8" w:color="021496"/>
            </w:tcBorders>
            <w:shd w:val="clear" w:color="auto" w:fill="D8D8D8"/>
          </w:tcPr>
          <w:p>
            <w:pPr>
              <w:spacing w:after="0"/>
              <w:rPr>
                <w:sz w:val="19"/>
                <w:szCs w:val="19"/>
                <w:color w:val="auto"/>
              </w:rPr>
            </w:pPr>
          </w:p>
        </w:tc>
        <w:tc>
          <w:tcPr>
            <w:tcW w:w="8820" w:type="dxa"/>
            <w:vAlign w:val="bottom"/>
            <w:tcBorders>
              <w:right w:val="single" w:sz="8" w:color="021496"/>
            </w:tcBorders>
          </w:tcPr>
          <w:p>
            <w:pPr>
              <w:ind w:left="80"/>
              <w:spacing w:after="0"/>
              <w:rPr>
                <w:sz w:val="20"/>
                <w:szCs w:val="20"/>
                <w:color w:val="auto"/>
              </w:rPr>
            </w:pPr>
            <w:r>
              <w:rPr>
                <w:rFonts w:ascii="Arial" w:cs="Arial" w:eastAsia="Arial" w:hAnsi="Arial"/>
                <w:sz w:val="15"/>
                <w:szCs w:val="15"/>
                <w:color w:val="auto"/>
              </w:rPr>
              <w:t xml:space="preserve">•   We also discussed the </w:t>
            </w:r>
            <w:r>
              <w:rPr>
                <w:rFonts w:ascii="Arial" w:cs="Arial" w:eastAsia="Arial" w:hAnsi="Arial"/>
                <w:sz w:val="15"/>
                <w:szCs w:val="15"/>
                <w:b w:val="1"/>
                <w:bCs w:val="1"/>
                <w:color w:val="021496"/>
              </w:rPr>
              <w:t>diversity &amp; inclusion goals we set in 2021</w:t>
            </w:r>
            <w:r>
              <w:rPr>
                <w:rFonts w:ascii="Arial" w:cs="Arial" w:eastAsia="Arial" w:hAnsi="Arial"/>
                <w:sz w:val="15"/>
                <w:szCs w:val="15"/>
                <w:color w:val="auto"/>
              </w:rPr>
              <w:t xml:space="preserve"> related to conducting an engagement survey to</w:t>
            </w:r>
          </w:p>
        </w:tc>
        <w:tc>
          <w:tcPr>
            <w:tcW w:w="0" w:type="dxa"/>
            <w:vAlign w:val="bottom"/>
          </w:tcPr>
          <w:p>
            <w:pPr>
              <w:spacing w:after="0"/>
              <w:rPr>
                <w:sz w:val="1"/>
                <w:szCs w:val="1"/>
                <w:color w:val="auto"/>
              </w:rPr>
            </w:pPr>
          </w:p>
        </w:tc>
      </w:tr>
      <w:tr>
        <w:trPr>
          <w:trHeight w:val="181"/>
        </w:trPr>
        <w:tc>
          <w:tcPr>
            <w:tcW w:w="2120" w:type="dxa"/>
            <w:vAlign w:val="bottom"/>
            <w:tcBorders>
              <w:left w:val="single" w:sz="8" w:color="021496"/>
              <w:right w:val="single" w:sz="8" w:color="021496"/>
            </w:tcBorders>
            <w:shd w:val="clear" w:color="auto" w:fill="D8D8D8"/>
          </w:tcPr>
          <w:p>
            <w:pPr>
              <w:spacing w:after="0"/>
              <w:rPr>
                <w:sz w:val="15"/>
                <w:szCs w:val="15"/>
                <w:color w:val="auto"/>
              </w:rPr>
            </w:pPr>
          </w:p>
        </w:tc>
        <w:tc>
          <w:tcPr>
            <w:tcW w:w="8820" w:type="dxa"/>
            <w:vAlign w:val="bottom"/>
            <w:tcBorders>
              <w:right w:val="single" w:sz="8" w:color="021496"/>
            </w:tcBorders>
          </w:tcPr>
          <w:p>
            <w:pPr>
              <w:ind w:left="400"/>
              <w:spacing w:after="0"/>
              <w:rPr>
                <w:sz w:val="20"/>
                <w:szCs w:val="20"/>
                <w:color w:val="auto"/>
              </w:rPr>
            </w:pPr>
            <w:r>
              <w:rPr>
                <w:rFonts w:ascii="Arial" w:cs="Arial" w:eastAsia="Arial" w:hAnsi="Arial"/>
                <w:sz w:val="15"/>
                <w:szCs w:val="15"/>
                <w:color w:val="auto"/>
              </w:rPr>
              <w:t>establish a baseline measure of inclusivity, and implementing unconscious bias training for employees with direct reports.</w:t>
            </w:r>
          </w:p>
        </w:tc>
        <w:tc>
          <w:tcPr>
            <w:tcW w:w="0" w:type="dxa"/>
            <w:vAlign w:val="bottom"/>
          </w:tcPr>
          <w:p>
            <w:pPr>
              <w:spacing w:after="0"/>
              <w:rPr>
                <w:sz w:val="1"/>
                <w:szCs w:val="1"/>
                <w:color w:val="auto"/>
              </w:rPr>
            </w:pPr>
          </w:p>
        </w:tc>
      </w:tr>
      <w:tr>
        <w:trPr>
          <w:trHeight w:val="63"/>
        </w:trPr>
        <w:tc>
          <w:tcPr>
            <w:tcW w:w="2120" w:type="dxa"/>
            <w:vAlign w:val="bottom"/>
            <w:tcBorders>
              <w:left w:val="single" w:sz="8" w:color="021496"/>
              <w:bottom w:val="single" w:sz="8" w:color="021496"/>
              <w:right w:val="single" w:sz="8" w:color="021496"/>
            </w:tcBorders>
            <w:shd w:val="clear" w:color="auto" w:fill="D8D8D8"/>
          </w:tcPr>
          <w:p>
            <w:pPr>
              <w:spacing w:after="0"/>
              <w:rPr>
                <w:sz w:val="5"/>
                <w:szCs w:val="5"/>
                <w:color w:val="auto"/>
              </w:rPr>
            </w:pPr>
          </w:p>
        </w:tc>
        <w:tc>
          <w:tcPr>
            <w:tcW w:w="8820" w:type="dxa"/>
            <w:vAlign w:val="bottom"/>
            <w:tcBorders>
              <w:bottom w:val="single" w:sz="8" w:color="021496"/>
              <w:right w:val="single" w:sz="8" w:color="021496"/>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120" w:type="dxa"/>
            <w:vAlign w:val="bottom"/>
            <w:tcBorders>
              <w:left w:val="single" w:sz="8" w:color="021496"/>
              <w:right w:val="single" w:sz="8" w:color="021496"/>
            </w:tcBorders>
            <w:shd w:val="clear" w:color="auto" w:fill="D8D8D8"/>
          </w:tcPr>
          <w:p>
            <w:pPr>
              <w:spacing w:after="0"/>
              <w:rPr>
                <w:sz w:val="14"/>
                <w:szCs w:val="14"/>
                <w:color w:val="auto"/>
              </w:rPr>
            </w:pPr>
          </w:p>
        </w:tc>
        <w:tc>
          <w:tcPr>
            <w:tcW w:w="8820" w:type="dxa"/>
            <w:vAlign w:val="bottom"/>
            <w:tcBorders>
              <w:right w:val="single" w:sz="8" w:color="021496"/>
            </w:tcBorders>
          </w:tcPr>
          <w:p>
            <w:pPr>
              <w:ind w:left="80"/>
              <w:spacing w:after="0" w:line="164" w:lineRule="exact"/>
              <w:rPr>
                <w:sz w:val="20"/>
                <w:szCs w:val="20"/>
                <w:color w:val="auto"/>
              </w:rPr>
            </w:pPr>
            <w:r>
              <w:rPr>
                <w:rFonts w:ascii="Arial" w:cs="Arial" w:eastAsia="Arial" w:hAnsi="Arial"/>
                <w:sz w:val="15"/>
                <w:szCs w:val="15"/>
                <w:color w:val="auto"/>
              </w:rPr>
              <w:t xml:space="preserve">•   We discussed </w:t>
            </w:r>
            <w:r>
              <w:rPr>
                <w:rFonts w:ascii="Arial" w:cs="Arial" w:eastAsia="Arial" w:hAnsi="Arial"/>
                <w:sz w:val="15"/>
                <w:szCs w:val="15"/>
                <w:b w:val="1"/>
                <w:bCs w:val="1"/>
                <w:color w:val="021496"/>
              </w:rPr>
              <w:t>ESG program</w:t>
            </w:r>
            <w:r>
              <w:rPr>
                <w:rFonts w:ascii="Arial" w:cs="Arial" w:eastAsia="Arial" w:hAnsi="Arial"/>
                <w:sz w:val="15"/>
                <w:szCs w:val="15"/>
                <w:color w:val="auto"/>
              </w:rPr>
              <w:t xml:space="preserve">, including our recently announced goals to </w:t>
            </w:r>
            <w:r>
              <w:rPr>
                <w:rFonts w:ascii="Arial" w:cs="Arial" w:eastAsia="Arial" w:hAnsi="Arial"/>
                <w:sz w:val="15"/>
                <w:szCs w:val="15"/>
                <w:b w:val="1"/>
                <w:bCs w:val="1"/>
                <w:color w:val="021496"/>
              </w:rPr>
              <w:t>reduce our GHG emissions by 2030</w:t>
            </w:r>
            <w:r>
              <w:rPr>
                <w:rFonts w:ascii="Arial" w:cs="Arial" w:eastAsia="Arial" w:hAnsi="Arial"/>
                <w:sz w:val="15"/>
                <w:szCs w:val="15"/>
                <w:color w:val="auto"/>
              </w:rPr>
              <w:t>, the results</w:t>
            </w:r>
          </w:p>
        </w:tc>
        <w:tc>
          <w:tcPr>
            <w:tcW w:w="0" w:type="dxa"/>
            <w:vAlign w:val="bottom"/>
          </w:tcPr>
          <w:p>
            <w:pPr>
              <w:spacing w:after="0"/>
              <w:rPr>
                <w:sz w:val="1"/>
                <w:szCs w:val="1"/>
                <w:color w:val="auto"/>
              </w:rPr>
            </w:pPr>
          </w:p>
        </w:tc>
      </w:tr>
      <w:tr>
        <w:trPr>
          <w:trHeight w:val="142"/>
        </w:trPr>
        <w:tc>
          <w:tcPr>
            <w:tcW w:w="2120" w:type="dxa"/>
            <w:vAlign w:val="bottom"/>
            <w:tcBorders>
              <w:left w:val="single" w:sz="8" w:color="021496"/>
              <w:right w:val="single" w:sz="8" w:color="021496"/>
            </w:tcBorders>
            <w:shd w:val="clear" w:color="auto" w:fill="D8D8D8"/>
          </w:tcPr>
          <w:p>
            <w:pPr>
              <w:spacing w:after="0"/>
              <w:rPr>
                <w:sz w:val="12"/>
                <w:szCs w:val="12"/>
                <w:color w:val="auto"/>
              </w:rPr>
            </w:pPr>
          </w:p>
        </w:tc>
        <w:tc>
          <w:tcPr>
            <w:tcW w:w="8820" w:type="dxa"/>
            <w:vAlign w:val="bottom"/>
            <w:tcBorders>
              <w:right w:val="single" w:sz="8" w:color="021496"/>
            </w:tcBorders>
          </w:tcPr>
          <w:p>
            <w:pPr>
              <w:ind w:left="400"/>
              <w:spacing w:after="0" w:line="143" w:lineRule="exact"/>
              <w:rPr>
                <w:sz w:val="20"/>
                <w:szCs w:val="20"/>
                <w:color w:val="auto"/>
              </w:rPr>
            </w:pPr>
            <w:r>
              <w:rPr>
                <w:rFonts w:ascii="Arial" w:cs="Arial" w:eastAsia="Arial" w:hAnsi="Arial"/>
                <w:sz w:val="15"/>
                <w:szCs w:val="15"/>
                <w:color w:val="auto"/>
              </w:rPr>
              <w:t>of our climate risk assessment and scenario analysis aligned with the TCFD reporting framework, the extensive disclosures</w:t>
            </w:r>
          </w:p>
        </w:tc>
        <w:tc>
          <w:tcPr>
            <w:tcW w:w="0" w:type="dxa"/>
            <w:vAlign w:val="bottom"/>
          </w:tcPr>
          <w:p>
            <w:pPr>
              <w:spacing w:after="0"/>
              <w:rPr>
                <w:sz w:val="1"/>
                <w:szCs w:val="1"/>
                <w:color w:val="auto"/>
              </w:rPr>
            </w:pPr>
          </w:p>
        </w:tc>
      </w:tr>
      <w:tr>
        <w:trPr>
          <w:trHeight w:val="239"/>
        </w:trPr>
        <w:tc>
          <w:tcPr>
            <w:tcW w:w="2120" w:type="dxa"/>
            <w:vAlign w:val="bottom"/>
            <w:tcBorders>
              <w:left w:val="single" w:sz="8" w:color="021496"/>
              <w:right w:val="single" w:sz="8" w:color="021496"/>
            </w:tcBorders>
            <w:shd w:val="clear" w:color="auto" w:fill="D8D8D8"/>
          </w:tcPr>
          <w:p>
            <w:pPr>
              <w:jc w:val="center"/>
              <w:ind w:left="165"/>
              <w:spacing w:after="0"/>
              <w:rPr>
                <w:sz w:val="20"/>
                <w:szCs w:val="20"/>
                <w:color w:val="auto"/>
              </w:rPr>
            </w:pPr>
            <w:r>
              <w:rPr>
                <w:rFonts w:ascii="Arial" w:cs="Arial" w:eastAsia="Arial" w:hAnsi="Arial"/>
                <w:sz w:val="15"/>
                <w:szCs w:val="15"/>
                <w:b w:val="1"/>
                <w:bCs w:val="1"/>
                <w:color w:val="auto"/>
              </w:rPr>
              <w:t>ESG</w:t>
            </w:r>
          </w:p>
        </w:tc>
        <w:tc>
          <w:tcPr>
            <w:tcW w:w="8820" w:type="dxa"/>
            <w:vAlign w:val="bottom"/>
            <w:tcBorders>
              <w:right w:val="single" w:sz="8" w:color="021496"/>
            </w:tcBorders>
          </w:tcPr>
          <w:p>
            <w:pPr>
              <w:ind w:left="400"/>
              <w:spacing w:after="0"/>
              <w:rPr>
                <w:sz w:val="20"/>
                <w:szCs w:val="20"/>
                <w:color w:val="auto"/>
              </w:rPr>
            </w:pPr>
            <w:r>
              <w:rPr>
                <w:rFonts w:ascii="Arial" w:cs="Arial" w:eastAsia="Arial" w:hAnsi="Arial"/>
                <w:sz w:val="15"/>
                <w:szCs w:val="15"/>
                <w:color w:val="auto"/>
              </w:rPr>
              <w:t xml:space="preserve">available on the sustainability portion of our </w:t>
            </w:r>
            <w:r>
              <w:rPr>
                <w:rFonts w:ascii="Arial" w:cs="Arial" w:eastAsia="Arial" w:hAnsi="Arial"/>
                <w:sz w:val="15"/>
                <w:szCs w:val="15"/>
                <w:b w:val="1"/>
                <w:bCs w:val="1"/>
                <w:color w:val="021496"/>
              </w:rPr>
              <w:t>website</w:t>
            </w:r>
            <w:r>
              <w:rPr>
                <w:rFonts w:ascii="Arial" w:cs="Arial" w:eastAsia="Arial" w:hAnsi="Arial"/>
                <w:sz w:val="15"/>
                <w:szCs w:val="15"/>
                <w:color w:val="auto"/>
              </w:rPr>
              <w:t xml:space="preserve">, and our </w:t>
            </w:r>
            <w:r>
              <w:rPr>
                <w:rFonts w:ascii="Arial" w:cs="Arial" w:eastAsia="Arial" w:hAnsi="Arial"/>
                <w:sz w:val="15"/>
                <w:szCs w:val="15"/>
                <w:b w:val="1"/>
                <w:bCs w:val="1"/>
                <w:color w:val="021496"/>
              </w:rPr>
              <w:t>SASB and GRI-aligned disclosures</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120" w:type="dxa"/>
            <w:vAlign w:val="bottom"/>
            <w:tcBorders>
              <w:left w:val="single" w:sz="8" w:color="021496"/>
              <w:right w:val="single" w:sz="8" w:color="021496"/>
            </w:tcBorders>
            <w:shd w:val="clear" w:color="auto" w:fill="D8D8D8"/>
          </w:tcPr>
          <w:p>
            <w:pPr>
              <w:spacing w:after="0"/>
              <w:rPr>
                <w:sz w:val="14"/>
                <w:szCs w:val="14"/>
                <w:color w:val="auto"/>
              </w:rPr>
            </w:pPr>
          </w:p>
        </w:tc>
        <w:tc>
          <w:tcPr>
            <w:tcW w:w="8820" w:type="dxa"/>
            <w:vAlign w:val="bottom"/>
            <w:tcBorders>
              <w:right w:val="single" w:sz="8" w:color="021496"/>
            </w:tcBorders>
          </w:tcPr>
          <w:p>
            <w:pPr>
              <w:ind w:left="80"/>
              <w:spacing w:after="0" w:line="162" w:lineRule="exact"/>
              <w:rPr>
                <w:sz w:val="20"/>
                <w:szCs w:val="20"/>
                <w:color w:val="auto"/>
              </w:rPr>
            </w:pPr>
            <w:r>
              <w:rPr>
                <w:rFonts w:ascii="Arial" w:cs="Arial" w:eastAsia="Arial" w:hAnsi="Arial"/>
                <w:sz w:val="15"/>
                <w:szCs w:val="15"/>
                <w:color w:val="auto"/>
              </w:rPr>
              <w:t xml:space="preserve">•   We also discussed that, in 2022, we plan to </w:t>
            </w:r>
            <w:r>
              <w:rPr>
                <w:rFonts w:ascii="Arial" w:cs="Arial" w:eastAsia="Arial" w:hAnsi="Arial"/>
                <w:sz w:val="15"/>
                <w:szCs w:val="15"/>
                <w:b w:val="1"/>
                <w:bCs w:val="1"/>
                <w:color w:val="021496"/>
              </w:rPr>
              <w:t>continue to make progress in several key priority areas in line with our</w:t>
            </w:r>
          </w:p>
        </w:tc>
        <w:tc>
          <w:tcPr>
            <w:tcW w:w="0" w:type="dxa"/>
            <w:vAlign w:val="bottom"/>
          </w:tcPr>
          <w:p>
            <w:pPr>
              <w:spacing w:after="0"/>
              <w:rPr>
                <w:sz w:val="1"/>
                <w:szCs w:val="1"/>
                <w:color w:val="auto"/>
              </w:rPr>
            </w:pPr>
          </w:p>
        </w:tc>
      </w:tr>
      <w:tr>
        <w:trPr>
          <w:trHeight w:val="199"/>
        </w:trPr>
        <w:tc>
          <w:tcPr>
            <w:tcW w:w="2120" w:type="dxa"/>
            <w:vAlign w:val="bottom"/>
            <w:tcBorders>
              <w:left w:val="single" w:sz="8" w:color="021496"/>
              <w:right w:val="single" w:sz="8" w:color="021496"/>
            </w:tcBorders>
            <w:shd w:val="clear" w:color="auto" w:fill="D8D8D8"/>
          </w:tcPr>
          <w:p>
            <w:pPr>
              <w:spacing w:after="0"/>
              <w:rPr>
                <w:sz w:val="17"/>
                <w:szCs w:val="17"/>
                <w:color w:val="auto"/>
              </w:rPr>
            </w:pPr>
          </w:p>
        </w:tc>
        <w:tc>
          <w:tcPr>
            <w:tcW w:w="8820" w:type="dxa"/>
            <w:vAlign w:val="bottom"/>
            <w:tcBorders>
              <w:right w:val="single" w:sz="8" w:color="021496"/>
            </w:tcBorders>
          </w:tcPr>
          <w:p>
            <w:pPr>
              <w:ind w:left="400"/>
              <w:spacing w:after="0"/>
              <w:rPr>
                <w:sz w:val="20"/>
                <w:szCs w:val="20"/>
                <w:color w:val="auto"/>
              </w:rPr>
            </w:pPr>
            <w:r>
              <w:rPr>
                <w:rFonts w:ascii="Arial" w:cs="Arial" w:eastAsia="Arial" w:hAnsi="Arial"/>
                <w:sz w:val="15"/>
                <w:szCs w:val="15"/>
                <w:b w:val="1"/>
                <w:bCs w:val="1"/>
                <w:color w:val="021496"/>
              </w:rPr>
              <w:t>three-year plan to expand the scope and robustness of our ESG practices and disclosures.</w:t>
            </w:r>
          </w:p>
        </w:tc>
        <w:tc>
          <w:tcPr>
            <w:tcW w:w="0" w:type="dxa"/>
            <w:vAlign w:val="bottom"/>
          </w:tcPr>
          <w:p>
            <w:pPr>
              <w:spacing w:after="0"/>
              <w:rPr>
                <w:sz w:val="1"/>
                <w:szCs w:val="1"/>
                <w:color w:val="auto"/>
              </w:rPr>
            </w:pPr>
          </w:p>
        </w:tc>
      </w:tr>
      <w:tr>
        <w:trPr>
          <w:trHeight w:val="63"/>
        </w:trPr>
        <w:tc>
          <w:tcPr>
            <w:tcW w:w="2120" w:type="dxa"/>
            <w:vAlign w:val="bottom"/>
            <w:tcBorders>
              <w:left w:val="single" w:sz="8" w:color="021496"/>
              <w:bottom w:val="single" w:sz="8" w:color="021496"/>
              <w:right w:val="single" w:sz="8" w:color="021496"/>
            </w:tcBorders>
            <w:shd w:val="clear" w:color="auto" w:fill="D8D8D8"/>
          </w:tcPr>
          <w:p>
            <w:pPr>
              <w:spacing w:after="0"/>
              <w:rPr>
                <w:sz w:val="5"/>
                <w:szCs w:val="5"/>
                <w:color w:val="auto"/>
              </w:rPr>
            </w:pPr>
          </w:p>
        </w:tc>
        <w:tc>
          <w:tcPr>
            <w:tcW w:w="8820" w:type="dxa"/>
            <w:vAlign w:val="bottom"/>
            <w:tcBorders>
              <w:bottom w:val="single" w:sz="8" w:color="021496"/>
              <w:right w:val="single" w:sz="8" w:color="021496"/>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120" w:type="dxa"/>
            <w:vAlign w:val="bottom"/>
            <w:tcBorders>
              <w:left w:val="single" w:sz="8" w:color="021496"/>
              <w:right w:val="single" w:sz="8" w:color="021496"/>
            </w:tcBorders>
            <w:shd w:val="clear" w:color="auto" w:fill="D8D8D8"/>
          </w:tcPr>
          <w:p>
            <w:pPr>
              <w:spacing w:after="0"/>
              <w:rPr>
                <w:sz w:val="12"/>
                <w:szCs w:val="12"/>
                <w:color w:val="auto"/>
              </w:rPr>
            </w:pPr>
          </w:p>
        </w:tc>
        <w:tc>
          <w:tcPr>
            <w:tcW w:w="8820" w:type="dxa"/>
            <w:vAlign w:val="bottom"/>
            <w:tcBorders>
              <w:right w:val="single" w:sz="8" w:color="021496"/>
            </w:tcBorders>
          </w:tcPr>
          <w:p>
            <w:pPr>
              <w:ind w:left="80"/>
              <w:spacing w:after="0" w:line="146" w:lineRule="exact"/>
              <w:rPr>
                <w:sz w:val="20"/>
                <w:szCs w:val="20"/>
                <w:color w:val="auto"/>
              </w:rPr>
            </w:pPr>
            <w:r>
              <w:rPr>
                <w:rFonts w:ascii="Arial" w:cs="Arial" w:eastAsia="Arial" w:hAnsi="Arial"/>
                <w:sz w:val="15"/>
                <w:szCs w:val="15"/>
                <w:color w:val="auto"/>
              </w:rPr>
              <w:t xml:space="preserve">•   Shareholders expressed </w:t>
            </w:r>
            <w:r>
              <w:rPr>
                <w:rFonts w:ascii="Arial" w:cs="Arial" w:eastAsia="Arial" w:hAnsi="Arial"/>
                <w:sz w:val="15"/>
                <w:szCs w:val="15"/>
                <w:b w:val="1"/>
                <w:bCs w:val="1"/>
                <w:color w:val="021496"/>
              </w:rPr>
              <w:t>strong support</w:t>
            </w:r>
            <w:r>
              <w:rPr>
                <w:rFonts w:ascii="Arial" w:cs="Arial" w:eastAsia="Arial" w:hAnsi="Arial"/>
                <w:sz w:val="15"/>
                <w:szCs w:val="15"/>
                <w:color w:val="auto"/>
              </w:rPr>
              <w:t xml:space="preserve"> for the </w:t>
            </w:r>
            <w:r>
              <w:rPr>
                <w:rFonts w:ascii="Arial" w:cs="Arial" w:eastAsia="Arial" w:hAnsi="Arial"/>
                <w:sz w:val="15"/>
                <w:szCs w:val="15"/>
                <w:b w:val="1"/>
                <w:bCs w:val="1"/>
                <w:color w:val="021496"/>
              </w:rPr>
              <w:t>meaningful changes implemented to our executive compensation</w:t>
            </w:r>
          </w:p>
        </w:tc>
        <w:tc>
          <w:tcPr>
            <w:tcW w:w="0" w:type="dxa"/>
            <w:vAlign w:val="bottom"/>
          </w:tcPr>
          <w:p>
            <w:pPr>
              <w:spacing w:after="0"/>
              <w:rPr>
                <w:sz w:val="1"/>
                <w:szCs w:val="1"/>
                <w:color w:val="auto"/>
              </w:rPr>
            </w:pPr>
          </w:p>
        </w:tc>
      </w:tr>
      <w:tr>
        <w:trPr>
          <w:trHeight w:val="160"/>
        </w:trPr>
        <w:tc>
          <w:tcPr>
            <w:tcW w:w="2120" w:type="dxa"/>
            <w:vAlign w:val="bottom"/>
            <w:tcBorders>
              <w:left w:val="single" w:sz="8" w:color="021496"/>
              <w:right w:val="single" w:sz="8" w:color="021496"/>
            </w:tcBorders>
            <w:shd w:val="clear" w:color="auto" w:fill="D8D8D8"/>
          </w:tcPr>
          <w:p>
            <w:pPr>
              <w:spacing w:after="0"/>
              <w:rPr>
                <w:sz w:val="13"/>
                <w:szCs w:val="13"/>
                <w:color w:val="auto"/>
              </w:rPr>
            </w:pPr>
          </w:p>
        </w:tc>
        <w:tc>
          <w:tcPr>
            <w:tcW w:w="8820" w:type="dxa"/>
            <w:vAlign w:val="bottom"/>
            <w:tcBorders>
              <w:right w:val="single" w:sz="8" w:color="021496"/>
            </w:tcBorders>
          </w:tcPr>
          <w:p>
            <w:pPr>
              <w:ind w:left="400"/>
              <w:spacing w:after="0" w:line="161" w:lineRule="exact"/>
              <w:rPr>
                <w:sz w:val="20"/>
                <w:szCs w:val="20"/>
                <w:color w:val="auto"/>
              </w:rPr>
            </w:pPr>
            <w:r>
              <w:rPr>
                <w:rFonts w:ascii="Arial" w:cs="Arial" w:eastAsia="Arial" w:hAnsi="Arial"/>
                <w:sz w:val="15"/>
                <w:szCs w:val="15"/>
                <w:b w:val="1"/>
                <w:bCs w:val="1"/>
                <w:color w:val="021496"/>
              </w:rPr>
              <w:t>program in 2020</w:t>
            </w:r>
            <w:r>
              <w:rPr>
                <w:rFonts w:ascii="Arial" w:cs="Arial" w:eastAsia="Arial" w:hAnsi="Arial"/>
                <w:sz w:val="15"/>
                <w:szCs w:val="15"/>
                <w:color w:val="000000"/>
              </w:rPr>
              <w:t>. They expressed appreciation for the additional detail presented in our proxy statement regarding the</w:t>
            </w:r>
          </w:p>
        </w:tc>
        <w:tc>
          <w:tcPr>
            <w:tcW w:w="0" w:type="dxa"/>
            <w:vAlign w:val="bottom"/>
          </w:tcPr>
          <w:p>
            <w:pPr>
              <w:spacing w:after="0"/>
              <w:rPr>
                <w:sz w:val="1"/>
                <w:szCs w:val="1"/>
                <w:color w:val="auto"/>
              </w:rPr>
            </w:pPr>
          </w:p>
        </w:tc>
      </w:tr>
      <w:tr>
        <w:trPr>
          <w:trHeight w:val="160"/>
        </w:trPr>
        <w:tc>
          <w:tcPr>
            <w:tcW w:w="2120" w:type="dxa"/>
            <w:vAlign w:val="bottom"/>
            <w:tcBorders>
              <w:left w:val="single" w:sz="8" w:color="021496"/>
              <w:right w:val="single" w:sz="8" w:color="021496"/>
            </w:tcBorders>
            <w:vMerge w:val="restart"/>
            <w:shd w:val="clear" w:color="auto" w:fill="D8D8D8"/>
          </w:tcPr>
          <w:p>
            <w:pPr>
              <w:jc w:val="center"/>
              <w:ind w:left="145"/>
              <w:spacing w:after="0"/>
              <w:rPr>
                <w:sz w:val="20"/>
                <w:szCs w:val="20"/>
                <w:color w:val="auto"/>
              </w:rPr>
            </w:pPr>
            <w:r>
              <w:rPr>
                <w:rFonts w:ascii="Arial" w:cs="Arial" w:eastAsia="Arial" w:hAnsi="Arial"/>
                <w:sz w:val="15"/>
                <w:szCs w:val="15"/>
                <w:b w:val="1"/>
                <w:bCs w:val="1"/>
                <w:color w:val="auto"/>
                <w:w w:val="99"/>
              </w:rPr>
              <w:t>Executive</w:t>
            </w:r>
          </w:p>
        </w:tc>
        <w:tc>
          <w:tcPr>
            <w:tcW w:w="8820" w:type="dxa"/>
            <w:vAlign w:val="bottom"/>
            <w:tcBorders>
              <w:right w:val="single" w:sz="8" w:color="021496"/>
            </w:tcBorders>
          </w:tcPr>
          <w:p>
            <w:pPr>
              <w:ind w:left="400"/>
              <w:spacing w:after="0" w:line="161" w:lineRule="exact"/>
              <w:rPr>
                <w:sz w:val="20"/>
                <w:szCs w:val="20"/>
                <w:color w:val="auto"/>
              </w:rPr>
            </w:pPr>
            <w:r>
              <w:rPr>
                <w:rFonts w:ascii="Arial" w:cs="Arial" w:eastAsia="Arial" w:hAnsi="Arial"/>
                <w:sz w:val="15"/>
                <w:szCs w:val="15"/>
                <w:b w:val="1"/>
                <w:bCs w:val="1"/>
                <w:color w:val="021496"/>
              </w:rPr>
              <w:t xml:space="preserve">weighting, nature and performance outcomes for the individual strategic objectives </w:t>
            </w:r>
            <w:r>
              <w:rPr>
                <w:rFonts w:ascii="Arial" w:cs="Arial" w:eastAsia="Arial" w:hAnsi="Arial"/>
                <w:sz w:val="15"/>
                <w:szCs w:val="15"/>
                <w:color w:val="000000"/>
              </w:rPr>
              <w:t>in our AIP, as well as improved</w:t>
            </w:r>
          </w:p>
        </w:tc>
        <w:tc>
          <w:tcPr>
            <w:tcW w:w="0" w:type="dxa"/>
            <w:vAlign w:val="bottom"/>
          </w:tcPr>
          <w:p>
            <w:pPr>
              <w:spacing w:after="0"/>
              <w:rPr>
                <w:sz w:val="1"/>
                <w:szCs w:val="1"/>
                <w:color w:val="auto"/>
              </w:rPr>
            </w:pPr>
          </w:p>
        </w:tc>
      </w:tr>
      <w:tr>
        <w:trPr>
          <w:trHeight w:val="155"/>
        </w:trPr>
        <w:tc>
          <w:tcPr>
            <w:tcW w:w="2120" w:type="dxa"/>
            <w:vAlign w:val="bottom"/>
            <w:tcBorders>
              <w:left w:val="single" w:sz="8" w:color="021496"/>
              <w:right w:val="single" w:sz="8" w:color="021496"/>
            </w:tcBorders>
            <w:vMerge w:val="continue"/>
            <w:shd w:val="clear" w:color="auto" w:fill="D8D8D8"/>
          </w:tcPr>
          <w:p>
            <w:pPr>
              <w:spacing w:after="0"/>
              <w:rPr>
                <w:sz w:val="13"/>
                <w:szCs w:val="13"/>
                <w:color w:val="auto"/>
              </w:rPr>
            </w:pPr>
          </w:p>
        </w:tc>
        <w:tc>
          <w:tcPr>
            <w:tcW w:w="8820" w:type="dxa"/>
            <w:vAlign w:val="bottom"/>
            <w:tcBorders>
              <w:right w:val="single" w:sz="8" w:color="021496"/>
            </w:tcBorders>
          </w:tcPr>
          <w:p>
            <w:pPr>
              <w:ind w:left="400"/>
              <w:spacing w:after="0" w:line="155" w:lineRule="exact"/>
              <w:rPr>
                <w:sz w:val="20"/>
                <w:szCs w:val="20"/>
                <w:color w:val="auto"/>
              </w:rPr>
            </w:pPr>
            <w:r>
              <w:rPr>
                <w:rFonts w:ascii="Arial" w:cs="Arial" w:eastAsia="Arial" w:hAnsi="Arial"/>
                <w:sz w:val="15"/>
                <w:szCs w:val="15"/>
                <w:color w:val="auto"/>
              </w:rPr>
              <w:t xml:space="preserve">disclosure regarding the </w:t>
            </w:r>
            <w:r>
              <w:rPr>
                <w:rFonts w:ascii="Arial" w:cs="Arial" w:eastAsia="Arial" w:hAnsi="Arial"/>
                <w:sz w:val="15"/>
                <w:szCs w:val="15"/>
                <w:b w:val="1"/>
                <w:bCs w:val="1"/>
                <w:color w:val="021496"/>
              </w:rPr>
              <w:t>threshold, target and maximum levels for the financial goals</w:t>
            </w:r>
            <w:r>
              <w:rPr>
                <w:rFonts w:ascii="Arial" w:cs="Arial" w:eastAsia="Arial" w:hAnsi="Arial"/>
                <w:sz w:val="15"/>
                <w:szCs w:val="15"/>
                <w:color w:val="auto"/>
              </w:rPr>
              <w:t xml:space="preserve"> in our AIP. For LTIP awards made</w:t>
            </w:r>
          </w:p>
        </w:tc>
        <w:tc>
          <w:tcPr>
            <w:tcW w:w="0" w:type="dxa"/>
            <w:vAlign w:val="bottom"/>
          </w:tcPr>
          <w:p>
            <w:pPr>
              <w:spacing w:after="0"/>
              <w:rPr>
                <w:sz w:val="1"/>
                <w:szCs w:val="1"/>
                <w:color w:val="auto"/>
              </w:rPr>
            </w:pPr>
          </w:p>
        </w:tc>
      </w:tr>
      <w:tr>
        <w:trPr>
          <w:trHeight w:val="166"/>
        </w:trPr>
        <w:tc>
          <w:tcPr>
            <w:tcW w:w="2120" w:type="dxa"/>
            <w:vAlign w:val="bottom"/>
            <w:tcBorders>
              <w:left w:val="single" w:sz="8" w:color="021496"/>
              <w:right w:val="single" w:sz="8" w:color="021496"/>
            </w:tcBorders>
            <w:shd w:val="clear" w:color="auto" w:fill="D8D8D8"/>
          </w:tcPr>
          <w:p>
            <w:pPr>
              <w:jc w:val="center"/>
              <w:ind w:left="145"/>
              <w:spacing w:after="0" w:line="166" w:lineRule="exact"/>
              <w:rPr>
                <w:sz w:val="20"/>
                <w:szCs w:val="20"/>
                <w:color w:val="auto"/>
              </w:rPr>
            </w:pPr>
            <w:r>
              <w:rPr>
                <w:rFonts w:ascii="Arial" w:cs="Arial" w:eastAsia="Arial" w:hAnsi="Arial"/>
                <w:sz w:val="15"/>
                <w:szCs w:val="15"/>
                <w:b w:val="1"/>
                <w:bCs w:val="1"/>
                <w:color w:val="auto"/>
              </w:rPr>
              <w:t>Compensation</w:t>
            </w:r>
          </w:p>
        </w:tc>
        <w:tc>
          <w:tcPr>
            <w:tcW w:w="8820" w:type="dxa"/>
            <w:vAlign w:val="bottom"/>
            <w:tcBorders>
              <w:right w:val="single" w:sz="8" w:color="021496"/>
            </w:tcBorders>
          </w:tcPr>
          <w:p>
            <w:pPr>
              <w:ind w:left="400"/>
              <w:spacing w:after="0" w:line="166" w:lineRule="exact"/>
              <w:rPr>
                <w:sz w:val="20"/>
                <w:szCs w:val="20"/>
                <w:color w:val="auto"/>
              </w:rPr>
            </w:pPr>
            <w:r>
              <w:rPr>
                <w:rFonts w:ascii="Arial" w:cs="Arial" w:eastAsia="Arial" w:hAnsi="Arial"/>
                <w:sz w:val="15"/>
                <w:szCs w:val="15"/>
                <w:color w:val="auto"/>
              </w:rPr>
              <w:t xml:space="preserve">in 2020, they also supported the </w:t>
            </w:r>
            <w:r>
              <w:rPr>
                <w:rFonts w:ascii="Arial" w:cs="Arial" w:eastAsia="Arial" w:hAnsi="Arial"/>
                <w:sz w:val="15"/>
                <w:szCs w:val="15"/>
                <w:b w:val="1"/>
                <w:bCs w:val="1"/>
                <w:color w:val="021496"/>
              </w:rPr>
              <w:t>increase in the proportion of awards dedicated to performance shares</w:t>
            </w:r>
            <w:r>
              <w:rPr>
                <w:rFonts w:ascii="Arial" w:cs="Arial" w:eastAsia="Arial" w:hAnsi="Arial"/>
                <w:sz w:val="15"/>
                <w:szCs w:val="15"/>
                <w:color w:val="auto"/>
              </w:rPr>
              <w:t xml:space="preserve"> and the </w:t>
            </w:r>
            <w:r>
              <w:rPr>
                <w:rFonts w:ascii="Arial" w:cs="Arial" w:eastAsia="Arial" w:hAnsi="Arial"/>
                <w:sz w:val="15"/>
                <w:szCs w:val="15"/>
                <w:b w:val="1"/>
                <w:bCs w:val="1"/>
                <w:color w:val="021496"/>
              </w:rPr>
              <w:t>shift to</w:t>
            </w:r>
          </w:p>
        </w:tc>
        <w:tc>
          <w:tcPr>
            <w:tcW w:w="0" w:type="dxa"/>
            <w:vAlign w:val="bottom"/>
          </w:tcPr>
          <w:p>
            <w:pPr>
              <w:spacing w:after="0"/>
              <w:rPr>
                <w:sz w:val="1"/>
                <w:szCs w:val="1"/>
                <w:color w:val="auto"/>
              </w:rPr>
            </w:pPr>
          </w:p>
        </w:tc>
      </w:tr>
      <w:tr>
        <w:trPr>
          <w:trHeight w:val="160"/>
        </w:trPr>
        <w:tc>
          <w:tcPr>
            <w:tcW w:w="2120" w:type="dxa"/>
            <w:vAlign w:val="bottom"/>
            <w:tcBorders>
              <w:left w:val="single" w:sz="8" w:color="021496"/>
              <w:right w:val="single" w:sz="8" w:color="021496"/>
            </w:tcBorders>
            <w:shd w:val="clear" w:color="auto" w:fill="D8D8D8"/>
          </w:tcPr>
          <w:p>
            <w:pPr>
              <w:spacing w:after="0"/>
              <w:rPr>
                <w:sz w:val="13"/>
                <w:szCs w:val="13"/>
                <w:color w:val="auto"/>
              </w:rPr>
            </w:pPr>
          </w:p>
        </w:tc>
        <w:tc>
          <w:tcPr>
            <w:tcW w:w="8820" w:type="dxa"/>
            <w:vAlign w:val="bottom"/>
            <w:tcBorders>
              <w:right w:val="single" w:sz="8" w:color="021496"/>
            </w:tcBorders>
          </w:tcPr>
          <w:p>
            <w:pPr>
              <w:ind w:left="400"/>
              <w:spacing w:after="0" w:line="161" w:lineRule="exact"/>
              <w:rPr>
                <w:sz w:val="20"/>
                <w:szCs w:val="20"/>
                <w:color w:val="auto"/>
              </w:rPr>
            </w:pPr>
            <w:r>
              <w:rPr>
                <w:rFonts w:ascii="Arial" w:cs="Arial" w:eastAsia="Arial" w:hAnsi="Arial"/>
                <w:sz w:val="15"/>
                <w:szCs w:val="15"/>
                <w:b w:val="1"/>
                <w:bCs w:val="1"/>
                <w:color w:val="021496"/>
              </w:rPr>
              <w:t xml:space="preserve">relative TSR </w:t>
            </w:r>
            <w:r>
              <w:rPr>
                <w:rFonts w:ascii="Arial" w:cs="Arial" w:eastAsia="Arial" w:hAnsi="Arial"/>
                <w:sz w:val="15"/>
                <w:szCs w:val="15"/>
                <w:color w:val="000000"/>
              </w:rPr>
              <w:t>from internal TSR as the performance metric for performance shares. In addition, shareholders expressed</w:t>
            </w:r>
          </w:p>
        </w:tc>
        <w:tc>
          <w:tcPr>
            <w:tcW w:w="0" w:type="dxa"/>
            <w:vAlign w:val="bottom"/>
          </w:tcPr>
          <w:p>
            <w:pPr>
              <w:spacing w:after="0"/>
              <w:rPr>
                <w:sz w:val="1"/>
                <w:szCs w:val="1"/>
                <w:color w:val="auto"/>
              </w:rPr>
            </w:pPr>
          </w:p>
        </w:tc>
      </w:tr>
      <w:tr>
        <w:trPr>
          <w:trHeight w:val="160"/>
        </w:trPr>
        <w:tc>
          <w:tcPr>
            <w:tcW w:w="2120" w:type="dxa"/>
            <w:vAlign w:val="bottom"/>
            <w:tcBorders>
              <w:left w:val="single" w:sz="8" w:color="021496"/>
              <w:right w:val="single" w:sz="8" w:color="021496"/>
            </w:tcBorders>
            <w:shd w:val="clear" w:color="auto" w:fill="D8D8D8"/>
          </w:tcPr>
          <w:p>
            <w:pPr>
              <w:spacing w:after="0"/>
              <w:rPr>
                <w:sz w:val="13"/>
                <w:szCs w:val="13"/>
                <w:color w:val="auto"/>
              </w:rPr>
            </w:pPr>
          </w:p>
        </w:tc>
        <w:tc>
          <w:tcPr>
            <w:tcW w:w="8820" w:type="dxa"/>
            <w:vAlign w:val="bottom"/>
            <w:tcBorders>
              <w:right w:val="single" w:sz="8" w:color="021496"/>
            </w:tcBorders>
          </w:tcPr>
          <w:p>
            <w:pPr>
              <w:ind w:left="400"/>
              <w:spacing w:after="0" w:line="161" w:lineRule="exact"/>
              <w:rPr>
                <w:sz w:val="20"/>
                <w:szCs w:val="20"/>
                <w:color w:val="auto"/>
              </w:rPr>
            </w:pPr>
            <w:r>
              <w:rPr>
                <w:rFonts w:ascii="Arial" w:cs="Arial" w:eastAsia="Arial" w:hAnsi="Arial"/>
                <w:sz w:val="15"/>
                <w:szCs w:val="15"/>
                <w:color w:val="auto"/>
              </w:rPr>
              <w:t xml:space="preserve">support for continuing to include the </w:t>
            </w:r>
            <w:r>
              <w:rPr>
                <w:rFonts w:ascii="Arial" w:cs="Arial" w:eastAsia="Arial" w:hAnsi="Arial"/>
                <w:sz w:val="15"/>
                <w:szCs w:val="15"/>
                <w:b w:val="1"/>
                <w:bCs w:val="1"/>
                <w:color w:val="021496"/>
              </w:rPr>
              <w:t>effective oversight and management of ESG matters as a strategic objective for</w:t>
            </w:r>
          </w:p>
        </w:tc>
        <w:tc>
          <w:tcPr>
            <w:tcW w:w="0" w:type="dxa"/>
            <w:vAlign w:val="bottom"/>
          </w:tcPr>
          <w:p>
            <w:pPr>
              <w:spacing w:after="0"/>
              <w:rPr>
                <w:sz w:val="1"/>
                <w:szCs w:val="1"/>
                <w:color w:val="auto"/>
              </w:rPr>
            </w:pPr>
          </w:p>
        </w:tc>
      </w:tr>
      <w:tr>
        <w:trPr>
          <w:trHeight w:val="249"/>
        </w:trPr>
        <w:tc>
          <w:tcPr>
            <w:tcW w:w="2120" w:type="dxa"/>
            <w:vAlign w:val="bottom"/>
            <w:tcBorders>
              <w:left w:val="single" w:sz="8" w:color="021496"/>
              <w:bottom w:val="single" w:sz="8" w:color="D8D8D8"/>
              <w:right w:val="single" w:sz="8" w:color="021496"/>
            </w:tcBorders>
            <w:shd w:val="clear" w:color="auto" w:fill="D8D8D8"/>
          </w:tcPr>
          <w:p>
            <w:pPr>
              <w:spacing w:after="0"/>
              <w:rPr>
                <w:sz w:val="21"/>
                <w:szCs w:val="21"/>
                <w:color w:val="auto"/>
              </w:rPr>
            </w:pPr>
          </w:p>
        </w:tc>
        <w:tc>
          <w:tcPr>
            <w:tcW w:w="8820" w:type="dxa"/>
            <w:vAlign w:val="bottom"/>
            <w:tcBorders>
              <w:right w:val="single" w:sz="8" w:color="021496"/>
            </w:tcBorders>
          </w:tcPr>
          <w:p>
            <w:pPr>
              <w:ind w:left="400"/>
              <w:spacing w:after="0"/>
              <w:rPr>
                <w:sz w:val="20"/>
                <w:szCs w:val="20"/>
                <w:color w:val="auto"/>
              </w:rPr>
            </w:pPr>
            <w:r>
              <w:rPr>
                <w:rFonts w:ascii="Arial" w:cs="Arial" w:eastAsia="Arial" w:hAnsi="Arial"/>
                <w:sz w:val="15"/>
                <w:szCs w:val="15"/>
                <w:b w:val="1"/>
                <w:bCs w:val="1"/>
                <w:color w:val="021496"/>
              </w:rPr>
              <w:t xml:space="preserve">our CEO </w:t>
            </w:r>
            <w:r>
              <w:rPr>
                <w:rFonts w:ascii="Arial" w:cs="Arial" w:eastAsia="Arial" w:hAnsi="Arial"/>
                <w:sz w:val="15"/>
                <w:szCs w:val="15"/>
                <w:color w:val="000000"/>
              </w:rPr>
              <w:t>under the AIP and welcomed our recent adoption of a</w:t>
            </w:r>
            <w:r>
              <w:rPr>
                <w:rFonts w:ascii="Arial" w:cs="Arial" w:eastAsia="Arial" w:hAnsi="Arial"/>
                <w:sz w:val="15"/>
                <w:szCs w:val="15"/>
                <w:b w:val="1"/>
                <w:bCs w:val="1"/>
                <w:color w:val="021496"/>
              </w:rPr>
              <w:t xml:space="preserve"> comprehensive clawback policy</w:t>
            </w:r>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164"/>
        </w:trPr>
        <w:tc>
          <w:tcPr>
            <w:tcW w:w="2120" w:type="dxa"/>
            <w:vAlign w:val="bottom"/>
            <w:tcBorders>
              <w:top w:val="single" w:sz="8" w:color="021496"/>
              <w:left w:val="single" w:sz="8" w:color="021496"/>
              <w:right w:val="single" w:sz="8" w:color="021496"/>
            </w:tcBorders>
            <w:shd w:val="clear" w:color="auto" w:fill="D8D8D8"/>
          </w:tcPr>
          <w:p>
            <w:pPr>
              <w:spacing w:after="0"/>
              <w:rPr>
                <w:sz w:val="14"/>
                <w:szCs w:val="14"/>
                <w:color w:val="auto"/>
              </w:rPr>
            </w:pPr>
          </w:p>
        </w:tc>
        <w:tc>
          <w:tcPr>
            <w:tcW w:w="8820" w:type="dxa"/>
            <w:vAlign w:val="bottom"/>
            <w:tcBorders>
              <w:top w:val="single" w:sz="8" w:color="021496"/>
              <w:right w:val="single" w:sz="8" w:color="021496"/>
            </w:tcBorders>
          </w:tcPr>
          <w:p>
            <w:pPr>
              <w:ind w:left="80"/>
              <w:spacing w:after="0" w:line="164" w:lineRule="exact"/>
              <w:rPr>
                <w:sz w:val="20"/>
                <w:szCs w:val="20"/>
                <w:color w:val="auto"/>
              </w:rPr>
            </w:pPr>
            <w:r>
              <w:rPr>
                <w:rFonts w:ascii="Arial" w:cs="Arial" w:eastAsia="Arial" w:hAnsi="Arial"/>
                <w:sz w:val="15"/>
                <w:szCs w:val="15"/>
                <w:color w:val="auto"/>
              </w:rPr>
              <w:t xml:space="preserve">•   Our shareholders continued to express their </w:t>
            </w:r>
            <w:r>
              <w:rPr>
                <w:rFonts w:ascii="Arial" w:cs="Arial" w:eastAsia="Arial" w:hAnsi="Arial"/>
                <w:sz w:val="15"/>
                <w:szCs w:val="15"/>
                <w:b w:val="1"/>
                <w:bCs w:val="1"/>
                <w:color w:val="021496"/>
              </w:rPr>
              <w:t>broad support for our governance practices and shareholder rights</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2120" w:type="dxa"/>
            <w:vAlign w:val="bottom"/>
            <w:tcBorders>
              <w:left w:val="single" w:sz="8" w:color="021496"/>
              <w:right w:val="single" w:sz="8" w:color="021496"/>
            </w:tcBorders>
            <w:shd w:val="clear" w:color="auto" w:fill="D8D8D8"/>
          </w:tcPr>
          <w:p>
            <w:pPr>
              <w:spacing w:after="0"/>
              <w:rPr>
                <w:sz w:val="13"/>
                <w:szCs w:val="13"/>
                <w:color w:val="auto"/>
              </w:rPr>
            </w:pPr>
          </w:p>
        </w:tc>
        <w:tc>
          <w:tcPr>
            <w:tcW w:w="8820" w:type="dxa"/>
            <w:vAlign w:val="bottom"/>
            <w:tcBorders>
              <w:right w:val="single" w:sz="8" w:color="021496"/>
            </w:tcBorders>
          </w:tcPr>
          <w:p>
            <w:pPr>
              <w:ind w:left="400"/>
              <w:spacing w:after="0" w:line="161" w:lineRule="exact"/>
              <w:rPr>
                <w:sz w:val="20"/>
                <w:szCs w:val="20"/>
                <w:color w:val="auto"/>
              </w:rPr>
            </w:pPr>
            <w:r>
              <w:rPr>
                <w:rFonts w:ascii="Arial" w:cs="Arial" w:eastAsia="Arial" w:hAnsi="Arial"/>
                <w:sz w:val="15"/>
                <w:szCs w:val="15"/>
                <w:color w:val="auto"/>
              </w:rPr>
              <w:t>including special meeting right, use of annual director elections, and independent Board leadership structure, and thoughtful</w:t>
            </w:r>
          </w:p>
        </w:tc>
        <w:tc>
          <w:tcPr>
            <w:tcW w:w="0" w:type="dxa"/>
            <w:vAlign w:val="bottom"/>
          </w:tcPr>
          <w:p>
            <w:pPr>
              <w:spacing w:after="0"/>
              <w:rPr>
                <w:sz w:val="1"/>
                <w:szCs w:val="1"/>
                <w:color w:val="auto"/>
              </w:rPr>
            </w:pPr>
          </w:p>
        </w:tc>
      </w:tr>
      <w:tr>
        <w:trPr>
          <w:trHeight w:val="181"/>
        </w:trPr>
        <w:tc>
          <w:tcPr>
            <w:tcW w:w="2120" w:type="dxa"/>
            <w:vAlign w:val="bottom"/>
            <w:tcBorders>
              <w:left w:val="single" w:sz="8" w:color="021496"/>
              <w:right w:val="single" w:sz="8" w:color="021496"/>
            </w:tcBorders>
            <w:vMerge w:val="restart"/>
            <w:shd w:val="clear" w:color="auto" w:fill="D8D8D8"/>
          </w:tcPr>
          <w:p>
            <w:pPr>
              <w:jc w:val="center"/>
              <w:ind w:left="165"/>
              <w:spacing w:after="0"/>
              <w:rPr>
                <w:sz w:val="20"/>
                <w:szCs w:val="20"/>
                <w:color w:val="auto"/>
              </w:rPr>
            </w:pPr>
            <w:r>
              <w:rPr>
                <w:rFonts w:ascii="Arial" w:cs="Arial" w:eastAsia="Arial" w:hAnsi="Arial"/>
                <w:sz w:val="15"/>
                <w:szCs w:val="15"/>
                <w:b w:val="1"/>
                <w:bCs w:val="1"/>
                <w:color w:val="auto"/>
              </w:rPr>
              <w:t>Corporate</w:t>
            </w:r>
          </w:p>
        </w:tc>
        <w:tc>
          <w:tcPr>
            <w:tcW w:w="8820" w:type="dxa"/>
            <w:vAlign w:val="bottom"/>
            <w:tcBorders>
              <w:right w:val="single" w:sz="8" w:color="021496"/>
            </w:tcBorders>
          </w:tcPr>
          <w:p>
            <w:pPr>
              <w:ind w:left="400"/>
              <w:spacing w:after="0"/>
              <w:rPr>
                <w:sz w:val="20"/>
                <w:szCs w:val="20"/>
                <w:color w:val="auto"/>
              </w:rPr>
            </w:pPr>
            <w:r>
              <w:rPr>
                <w:rFonts w:ascii="Arial" w:cs="Arial" w:eastAsia="Arial" w:hAnsi="Arial"/>
                <w:sz w:val="15"/>
                <w:szCs w:val="15"/>
                <w:color w:val="auto"/>
              </w:rPr>
              <w:t>and active refreshment process.</w:t>
            </w:r>
          </w:p>
        </w:tc>
        <w:tc>
          <w:tcPr>
            <w:tcW w:w="0" w:type="dxa"/>
            <w:vAlign w:val="bottom"/>
          </w:tcPr>
          <w:p>
            <w:pPr>
              <w:spacing w:after="0"/>
              <w:rPr>
                <w:sz w:val="1"/>
                <w:szCs w:val="1"/>
                <w:color w:val="auto"/>
              </w:rPr>
            </w:pPr>
          </w:p>
        </w:tc>
      </w:tr>
      <w:tr>
        <w:trPr>
          <w:trHeight w:val="82"/>
        </w:trPr>
        <w:tc>
          <w:tcPr>
            <w:tcW w:w="2120" w:type="dxa"/>
            <w:vAlign w:val="bottom"/>
            <w:tcBorders>
              <w:left w:val="single" w:sz="8" w:color="021496"/>
              <w:right w:val="single" w:sz="8" w:color="021496"/>
            </w:tcBorders>
            <w:vMerge w:val="continue"/>
            <w:shd w:val="clear" w:color="auto" w:fill="D8D8D8"/>
          </w:tcPr>
          <w:p>
            <w:pPr>
              <w:spacing w:after="0"/>
              <w:rPr>
                <w:sz w:val="7"/>
                <w:szCs w:val="7"/>
                <w:color w:val="auto"/>
              </w:rPr>
            </w:pPr>
          </w:p>
        </w:tc>
        <w:tc>
          <w:tcPr>
            <w:tcW w:w="8820" w:type="dxa"/>
            <w:vAlign w:val="bottom"/>
            <w:tcBorders>
              <w:right w:val="single" w:sz="8" w:color="021496"/>
            </w:tcBorders>
            <w:vMerge w:val="restart"/>
          </w:tcPr>
          <w:p>
            <w:pPr>
              <w:ind w:left="80"/>
              <w:spacing w:after="0"/>
              <w:rPr>
                <w:sz w:val="20"/>
                <w:szCs w:val="20"/>
                <w:color w:val="auto"/>
              </w:rPr>
            </w:pPr>
            <w:r>
              <w:rPr>
                <w:rFonts w:ascii="Arial" w:cs="Arial" w:eastAsia="Arial" w:hAnsi="Arial"/>
                <w:sz w:val="15"/>
                <w:szCs w:val="15"/>
                <w:color w:val="auto"/>
              </w:rPr>
              <w:t xml:space="preserve">•   Many of our shareholders continued to express the view that the </w:t>
            </w:r>
            <w:r>
              <w:rPr>
                <w:rFonts w:ascii="Arial" w:cs="Arial" w:eastAsia="Arial" w:hAnsi="Arial"/>
                <w:sz w:val="15"/>
                <w:szCs w:val="15"/>
                <w:b w:val="1"/>
                <w:bCs w:val="1"/>
                <w:color w:val="021496"/>
              </w:rPr>
              <w:t>right to act by written consent is unnecessary in light of</w:t>
            </w:r>
          </w:p>
        </w:tc>
        <w:tc>
          <w:tcPr>
            <w:tcW w:w="0" w:type="dxa"/>
            <w:vAlign w:val="bottom"/>
          </w:tcPr>
          <w:p>
            <w:pPr>
              <w:spacing w:after="0"/>
              <w:rPr>
                <w:sz w:val="1"/>
                <w:szCs w:val="1"/>
                <w:color w:val="auto"/>
              </w:rPr>
            </w:pPr>
          </w:p>
        </w:tc>
      </w:tr>
      <w:tr>
        <w:trPr>
          <w:trHeight w:val="155"/>
        </w:trPr>
        <w:tc>
          <w:tcPr>
            <w:tcW w:w="2120" w:type="dxa"/>
            <w:vAlign w:val="bottom"/>
            <w:tcBorders>
              <w:left w:val="single" w:sz="8" w:color="021496"/>
              <w:right w:val="single" w:sz="8" w:color="021496"/>
            </w:tcBorders>
            <w:shd w:val="clear" w:color="auto" w:fill="D8D8D8"/>
          </w:tcPr>
          <w:p>
            <w:pPr>
              <w:jc w:val="center"/>
              <w:ind w:left="165"/>
              <w:spacing w:after="0" w:line="155" w:lineRule="exact"/>
              <w:rPr>
                <w:sz w:val="20"/>
                <w:szCs w:val="20"/>
                <w:color w:val="auto"/>
              </w:rPr>
            </w:pPr>
            <w:r>
              <w:rPr>
                <w:rFonts w:ascii="Arial" w:cs="Arial" w:eastAsia="Arial" w:hAnsi="Arial"/>
                <w:sz w:val="15"/>
                <w:szCs w:val="15"/>
                <w:b w:val="1"/>
                <w:bCs w:val="1"/>
                <w:color w:val="auto"/>
              </w:rPr>
              <w:t>Governance</w:t>
            </w:r>
          </w:p>
        </w:tc>
        <w:tc>
          <w:tcPr>
            <w:tcW w:w="8820" w:type="dxa"/>
            <w:vAlign w:val="bottom"/>
            <w:tcBorders>
              <w:right w:val="single" w:sz="8" w:color="021496"/>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20" w:type="dxa"/>
            <w:vAlign w:val="bottom"/>
            <w:tcBorders>
              <w:left w:val="single" w:sz="8" w:color="021496"/>
              <w:right w:val="single" w:sz="8" w:color="021496"/>
            </w:tcBorders>
            <w:shd w:val="clear" w:color="auto" w:fill="D8D8D8"/>
          </w:tcPr>
          <w:p>
            <w:pPr>
              <w:spacing w:after="0"/>
              <w:rPr>
                <w:sz w:val="10"/>
                <w:szCs w:val="10"/>
                <w:color w:val="auto"/>
              </w:rPr>
            </w:pPr>
          </w:p>
        </w:tc>
        <w:tc>
          <w:tcPr>
            <w:tcW w:w="8820" w:type="dxa"/>
            <w:vAlign w:val="bottom"/>
            <w:tcBorders>
              <w:right w:val="single" w:sz="8" w:color="021496"/>
            </w:tcBorders>
          </w:tcPr>
          <w:p>
            <w:pPr>
              <w:ind w:left="400"/>
              <w:spacing w:after="0" w:line="126" w:lineRule="exact"/>
              <w:rPr>
                <w:sz w:val="20"/>
                <w:szCs w:val="20"/>
                <w:color w:val="auto"/>
              </w:rPr>
            </w:pPr>
            <w:r>
              <w:rPr>
                <w:rFonts w:ascii="Arial" w:cs="Arial" w:eastAsia="Arial" w:hAnsi="Arial"/>
                <w:sz w:val="14"/>
                <w:szCs w:val="14"/>
                <w:b w:val="1"/>
                <w:bCs w:val="1"/>
                <w:color w:val="021496"/>
              </w:rPr>
              <w:t>our shareholders’ existing right to call special meetings</w:t>
            </w:r>
            <w:r>
              <w:rPr>
                <w:rFonts w:ascii="Arial" w:cs="Arial" w:eastAsia="Arial" w:hAnsi="Arial"/>
                <w:sz w:val="14"/>
                <w:szCs w:val="14"/>
                <w:color w:val="000000"/>
              </w:rPr>
              <w:t>. Moreover, to the extent some shareholders desired greater</w:t>
            </w:r>
          </w:p>
        </w:tc>
        <w:tc>
          <w:tcPr>
            <w:tcW w:w="0" w:type="dxa"/>
            <w:vAlign w:val="bottom"/>
          </w:tcPr>
          <w:p>
            <w:pPr>
              <w:spacing w:after="0"/>
              <w:rPr>
                <w:sz w:val="1"/>
                <w:szCs w:val="1"/>
                <w:color w:val="auto"/>
              </w:rPr>
            </w:pPr>
          </w:p>
        </w:tc>
      </w:tr>
      <w:tr>
        <w:trPr>
          <w:trHeight w:val="160"/>
        </w:trPr>
        <w:tc>
          <w:tcPr>
            <w:tcW w:w="2120" w:type="dxa"/>
            <w:vAlign w:val="bottom"/>
            <w:tcBorders>
              <w:left w:val="single" w:sz="8" w:color="021496"/>
              <w:right w:val="single" w:sz="8" w:color="021496"/>
            </w:tcBorders>
            <w:shd w:val="clear" w:color="auto" w:fill="D8D8D8"/>
          </w:tcPr>
          <w:p>
            <w:pPr>
              <w:spacing w:after="0"/>
              <w:rPr>
                <w:sz w:val="13"/>
                <w:szCs w:val="13"/>
                <w:color w:val="auto"/>
              </w:rPr>
            </w:pPr>
          </w:p>
        </w:tc>
        <w:tc>
          <w:tcPr>
            <w:tcW w:w="8820" w:type="dxa"/>
            <w:vAlign w:val="bottom"/>
            <w:tcBorders>
              <w:right w:val="single" w:sz="8" w:color="021496"/>
            </w:tcBorders>
          </w:tcPr>
          <w:p>
            <w:pPr>
              <w:ind w:left="400"/>
              <w:spacing w:after="0" w:line="161" w:lineRule="exact"/>
              <w:rPr>
                <w:sz w:val="20"/>
                <w:szCs w:val="20"/>
                <w:color w:val="auto"/>
              </w:rPr>
            </w:pPr>
            <w:r>
              <w:rPr>
                <w:rFonts w:ascii="Arial" w:cs="Arial" w:eastAsia="Arial" w:hAnsi="Arial"/>
                <w:sz w:val="15"/>
                <w:szCs w:val="15"/>
                <w:color w:val="auto"/>
              </w:rPr>
              <w:t xml:space="preserve">rights, the feedback was that our </w:t>
            </w:r>
            <w:r>
              <w:rPr>
                <w:rFonts w:ascii="Arial" w:cs="Arial" w:eastAsia="Arial" w:hAnsi="Arial"/>
                <w:sz w:val="15"/>
                <w:szCs w:val="15"/>
                <w:b w:val="1"/>
                <w:bCs w:val="1"/>
                <w:color w:val="021496"/>
              </w:rPr>
              <w:t>adoption of a 15% ownership threshold in 2020 for special meetings was preferable</w:t>
            </w:r>
          </w:p>
        </w:tc>
        <w:tc>
          <w:tcPr>
            <w:tcW w:w="0" w:type="dxa"/>
            <w:vAlign w:val="bottom"/>
          </w:tcPr>
          <w:p>
            <w:pPr>
              <w:spacing w:after="0"/>
              <w:rPr>
                <w:sz w:val="1"/>
                <w:szCs w:val="1"/>
                <w:color w:val="auto"/>
              </w:rPr>
            </w:pPr>
          </w:p>
        </w:tc>
      </w:tr>
      <w:tr>
        <w:trPr>
          <w:trHeight w:val="199"/>
        </w:trPr>
        <w:tc>
          <w:tcPr>
            <w:tcW w:w="2120" w:type="dxa"/>
            <w:vAlign w:val="bottom"/>
            <w:tcBorders>
              <w:left w:val="single" w:sz="8" w:color="021496"/>
              <w:right w:val="single" w:sz="8" w:color="021496"/>
            </w:tcBorders>
            <w:shd w:val="clear" w:color="auto" w:fill="D8D8D8"/>
          </w:tcPr>
          <w:p>
            <w:pPr>
              <w:spacing w:after="0"/>
              <w:rPr>
                <w:sz w:val="17"/>
                <w:szCs w:val="17"/>
                <w:color w:val="auto"/>
              </w:rPr>
            </w:pPr>
          </w:p>
        </w:tc>
        <w:tc>
          <w:tcPr>
            <w:tcW w:w="8820" w:type="dxa"/>
            <w:vAlign w:val="bottom"/>
            <w:tcBorders>
              <w:right w:val="single" w:sz="8" w:color="021496"/>
            </w:tcBorders>
          </w:tcPr>
          <w:p>
            <w:pPr>
              <w:ind w:left="400"/>
              <w:spacing w:after="0"/>
              <w:rPr>
                <w:sz w:val="20"/>
                <w:szCs w:val="20"/>
                <w:color w:val="auto"/>
              </w:rPr>
            </w:pPr>
            <w:r>
              <w:rPr>
                <w:rFonts w:ascii="Arial" w:cs="Arial" w:eastAsia="Arial" w:hAnsi="Arial"/>
                <w:sz w:val="15"/>
                <w:szCs w:val="15"/>
                <w:b w:val="1"/>
                <w:bCs w:val="1"/>
                <w:color w:val="021496"/>
              </w:rPr>
              <w:t>to a written consent right</w:t>
            </w:r>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63"/>
        </w:trPr>
        <w:tc>
          <w:tcPr>
            <w:tcW w:w="2120" w:type="dxa"/>
            <w:vAlign w:val="bottom"/>
            <w:tcBorders>
              <w:left w:val="single" w:sz="8" w:color="021496"/>
              <w:bottom w:val="single" w:sz="8" w:color="021496"/>
              <w:right w:val="single" w:sz="8" w:color="021496"/>
            </w:tcBorders>
            <w:shd w:val="clear" w:color="auto" w:fill="D8D8D8"/>
          </w:tcPr>
          <w:p>
            <w:pPr>
              <w:spacing w:after="0"/>
              <w:rPr>
                <w:sz w:val="5"/>
                <w:szCs w:val="5"/>
                <w:color w:val="auto"/>
              </w:rPr>
            </w:pPr>
          </w:p>
        </w:tc>
        <w:tc>
          <w:tcPr>
            <w:tcW w:w="8820" w:type="dxa"/>
            <w:vAlign w:val="bottom"/>
            <w:tcBorders>
              <w:bottom w:val="single" w:sz="8" w:color="021496"/>
              <w:right w:val="single" w:sz="8" w:color="021496"/>
            </w:tcBorders>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2120" w:type="dxa"/>
            <w:vAlign w:val="bottom"/>
          </w:tcPr>
          <w:p>
            <w:pPr>
              <w:spacing w:after="0"/>
              <w:rPr>
                <w:sz w:val="24"/>
                <w:szCs w:val="24"/>
                <w:color w:val="auto"/>
              </w:rPr>
            </w:pPr>
          </w:p>
        </w:tc>
        <w:tc>
          <w:tcPr>
            <w:tcW w:w="8820" w:type="dxa"/>
            <w:vAlign w:val="bottom"/>
          </w:tcPr>
          <w:p>
            <w:pPr>
              <w:ind w:left="500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2022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31</w:t>
            </w:r>
          </w:p>
        </w:tc>
        <w:tc>
          <w:tcPr>
            <w:tcW w:w="0" w:type="dxa"/>
            <w:vAlign w:val="bottom"/>
          </w:tcPr>
          <w:p>
            <w:pPr>
              <w:spacing w:after="0"/>
              <w:rPr>
                <w:sz w:val="1"/>
                <w:szCs w:val="1"/>
                <w:color w:val="auto"/>
              </w:rPr>
            </w:pPr>
          </w:p>
        </w:tc>
      </w:tr>
    </w:tbl>
    <w:p>
      <w:pPr>
        <w:sectPr>
          <w:pgSz w:w="11900" w:h="16838" w:orient="portrait"/>
          <w:cols w:equalWidth="0" w:num="1">
            <w:col w:w="11100"/>
          </w:cols>
          <w:pgMar w:left="320" w:top="456"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History of Board Responsiveness</w:t>
      </w:r>
    </w:p>
    <w:p>
      <w:pPr>
        <w:spacing w:after="0" w:line="206" w:lineRule="exact"/>
        <w:rPr>
          <w:sz w:val="20"/>
          <w:szCs w:val="20"/>
          <w:color w:val="auto"/>
        </w:rPr>
      </w:pPr>
    </w:p>
    <w:p>
      <w:pPr>
        <w:ind w:left="160" w:right="400"/>
        <w:spacing w:after="0" w:line="246" w:lineRule="auto"/>
        <w:rPr>
          <w:sz w:val="20"/>
          <w:szCs w:val="20"/>
          <w:color w:val="auto"/>
        </w:rPr>
      </w:pPr>
      <w:r>
        <w:rPr>
          <w:rFonts w:ascii="Arial" w:cs="Arial" w:eastAsia="Arial" w:hAnsi="Arial"/>
          <w:sz w:val="16"/>
          <w:szCs w:val="16"/>
          <w:color w:val="auto"/>
        </w:rPr>
        <w:t>We are committed to being responsive to our shareholders as demonstrated by the number of changes we have made over the years based on their input. In direct response to shareholder feedback, over the past 8 years, Dover has adopted and amended our special meeting right, adopted proxy access, implemented meaningful changes to our executive compensation program, removed all our super-majority voting provisions in our charter, adopted a robust clawback policy, and enhanced our disclosures to investors. The table below highlights many of the changes to our governance structures and compensation program that have been implemented over the past several years informed by shareholder feedback. These changes specifically address shareholders’ areas of focus and input gathered through our extensive shareholder engagements and outreach efforts.</w:t>
      </w:r>
    </w:p>
    <w:p>
      <w:pPr>
        <w:spacing w:after="0" w:line="204" w:lineRule="exact"/>
        <w:rPr>
          <w:sz w:val="20"/>
          <w:szCs w:val="20"/>
          <w:color w:val="auto"/>
        </w:rPr>
      </w:pPr>
    </w:p>
    <w:tbl>
      <w:tblPr>
        <w:tblLayout w:type="fixed"/>
        <w:tblInd w:w="900" w:type="dxa"/>
        <w:tblCellMar>
          <w:top w:w="0" w:type="dxa"/>
          <w:left w:w="0" w:type="dxa"/>
          <w:bottom w:w="0" w:type="dxa"/>
          <w:right w:w="0" w:type="dxa"/>
        </w:tblCellMar>
      </w:tblPr>
      <w:tr>
        <w:trPr>
          <w:trHeight w:val="249"/>
        </w:trPr>
        <w:tc>
          <w:tcPr>
            <w:tcW w:w="880" w:type="dxa"/>
            <w:vAlign w:val="bottom"/>
            <w:vMerge w:val="restart"/>
            <w:shd w:val="clear" w:color="auto" w:fill="021496"/>
          </w:tcPr>
          <w:p>
            <w:pPr>
              <w:ind w:left="340"/>
              <w:spacing w:after="0"/>
              <w:rPr>
                <w:sz w:val="20"/>
                <w:szCs w:val="20"/>
                <w:color w:val="auto"/>
              </w:rPr>
            </w:pPr>
            <w:r>
              <w:rPr>
                <w:rFonts w:ascii="Arial" w:cs="Arial" w:eastAsia="Arial" w:hAnsi="Arial"/>
                <w:sz w:val="16"/>
                <w:szCs w:val="16"/>
                <w:b w:val="1"/>
                <w:bCs w:val="1"/>
                <w:color w:val="FFFFFF"/>
              </w:rPr>
              <w:t>Year</w:t>
            </w:r>
          </w:p>
        </w:tc>
        <w:tc>
          <w:tcPr>
            <w:tcW w:w="2220" w:type="dxa"/>
            <w:vAlign w:val="bottom"/>
            <w:shd w:val="clear" w:color="auto" w:fill="021496"/>
          </w:tcPr>
          <w:p>
            <w:pPr>
              <w:jc w:val="center"/>
              <w:ind w:left="65"/>
              <w:spacing w:after="0"/>
              <w:rPr>
                <w:sz w:val="20"/>
                <w:szCs w:val="20"/>
                <w:color w:val="auto"/>
              </w:rPr>
            </w:pPr>
            <w:r>
              <w:rPr>
                <w:rFonts w:ascii="Arial" w:cs="Arial" w:eastAsia="Arial" w:hAnsi="Arial"/>
                <w:sz w:val="16"/>
                <w:szCs w:val="16"/>
                <w:b w:val="1"/>
                <w:bCs w:val="1"/>
                <w:color w:val="FFFFFF"/>
              </w:rPr>
              <w:t>% of Outstanding Shares</w:t>
            </w:r>
          </w:p>
        </w:tc>
        <w:tc>
          <w:tcPr>
            <w:tcW w:w="7080" w:type="dxa"/>
            <w:vAlign w:val="bottom"/>
            <w:vMerge w:val="restart"/>
            <w:shd w:val="clear" w:color="auto" w:fill="021496"/>
          </w:tcPr>
          <w:p>
            <w:pPr>
              <w:ind w:left="1820"/>
              <w:spacing w:after="0"/>
              <w:rPr>
                <w:sz w:val="20"/>
                <w:szCs w:val="20"/>
                <w:color w:val="auto"/>
              </w:rPr>
            </w:pPr>
            <w:r>
              <w:rPr>
                <w:rFonts w:ascii="Arial" w:cs="Arial" w:eastAsia="Arial" w:hAnsi="Arial"/>
                <w:sz w:val="16"/>
                <w:szCs w:val="16"/>
                <w:b w:val="1"/>
                <w:bCs w:val="1"/>
                <w:color w:val="FFFFFF"/>
              </w:rPr>
              <w:t>Actions in Response to Shareholder Feedback</w:t>
            </w:r>
          </w:p>
        </w:tc>
        <w:tc>
          <w:tcPr>
            <w:tcW w:w="0" w:type="dxa"/>
            <w:vAlign w:val="bottom"/>
          </w:tcPr>
          <w:p>
            <w:pPr>
              <w:spacing w:after="0"/>
              <w:rPr>
                <w:sz w:val="1"/>
                <w:szCs w:val="1"/>
                <w:color w:val="auto"/>
              </w:rPr>
            </w:pPr>
          </w:p>
        </w:tc>
      </w:tr>
      <w:tr>
        <w:trPr>
          <w:trHeight w:val="120"/>
        </w:trPr>
        <w:tc>
          <w:tcPr>
            <w:tcW w:w="880" w:type="dxa"/>
            <w:vAlign w:val="bottom"/>
            <w:vMerge w:val="continue"/>
            <w:shd w:val="clear" w:color="auto" w:fill="021496"/>
          </w:tcPr>
          <w:p>
            <w:pPr>
              <w:spacing w:after="0"/>
              <w:rPr>
                <w:sz w:val="10"/>
                <w:szCs w:val="10"/>
                <w:color w:val="auto"/>
              </w:rPr>
            </w:pPr>
          </w:p>
        </w:tc>
        <w:tc>
          <w:tcPr>
            <w:tcW w:w="2220" w:type="dxa"/>
            <w:vAlign w:val="bottom"/>
            <w:vMerge w:val="restart"/>
            <w:shd w:val="clear" w:color="auto" w:fill="021496"/>
          </w:tcPr>
          <w:p>
            <w:pPr>
              <w:jc w:val="center"/>
              <w:ind w:left="45"/>
              <w:spacing w:after="0"/>
              <w:rPr>
                <w:sz w:val="20"/>
                <w:szCs w:val="20"/>
                <w:color w:val="auto"/>
              </w:rPr>
            </w:pPr>
            <w:r>
              <w:rPr>
                <w:rFonts w:ascii="Arial" w:cs="Arial" w:eastAsia="Arial" w:hAnsi="Arial"/>
                <w:sz w:val="16"/>
                <w:szCs w:val="16"/>
                <w:b w:val="1"/>
                <w:bCs w:val="1"/>
                <w:color w:val="FFFFFF"/>
              </w:rPr>
              <w:t>Outreached /Engaged</w:t>
            </w:r>
          </w:p>
        </w:tc>
        <w:tc>
          <w:tcPr>
            <w:tcW w:w="7080" w:type="dxa"/>
            <w:vAlign w:val="bottom"/>
            <w:vMerge w:val="continue"/>
            <w:shd w:val="clear" w:color="auto" w:fill="021496"/>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880" w:type="dxa"/>
            <w:vAlign w:val="bottom"/>
            <w:shd w:val="clear" w:color="auto" w:fill="021496"/>
          </w:tcPr>
          <w:p>
            <w:pPr>
              <w:spacing w:after="0"/>
              <w:rPr>
                <w:sz w:val="8"/>
                <w:szCs w:val="8"/>
                <w:color w:val="auto"/>
              </w:rPr>
            </w:pPr>
          </w:p>
        </w:tc>
        <w:tc>
          <w:tcPr>
            <w:tcW w:w="2220" w:type="dxa"/>
            <w:vAlign w:val="bottom"/>
            <w:vMerge w:val="continue"/>
            <w:shd w:val="clear" w:color="auto" w:fill="021496"/>
          </w:tcPr>
          <w:p>
            <w:pPr>
              <w:spacing w:after="0"/>
              <w:rPr>
                <w:sz w:val="8"/>
                <w:szCs w:val="8"/>
                <w:color w:val="auto"/>
              </w:rPr>
            </w:pPr>
          </w:p>
        </w:tc>
        <w:tc>
          <w:tcPr>
            <w:tcW w:w="7080" w:type="dxa"/>
            <w:vAlign w:val="bottom"/>
            <w:shd w:val="clear" w:color="auto" w:fill="021496"/>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880" w:type="dxa"/>
            <w:vAlign w:val="bottom"/>
            <w:shd w:val="clear" w:color="auto" w:fill="021496"/>
          </w:tcPr>
          <w:p>
            <w:pPr>
              <w:spacing w:after="0"/>
              <w:rPr>
                <w:sz w:val="7"/>
                <w:szCs w:val="7"/>
                <w:color w:val="auto"/>
              </w:rPr>
            </w:pPr>
          </w:p>
        </w:tc>
        <w:tc>
          <w:tcPr>
            <w:tcW w:w="2220" w:type="dxa"/>
            <w:vAlign w:val="bottom"/>
            <w:shd w:val="clear" w:color="auto" w:fill="021496"/>
          </w:tcPr>
          <w:p>
            <w:pPr>
              <w:spacing w:after="0"/>
              <w:rPr>
                <w:sz w:val="7"/>
                <w:szCs w:val="7"/>
                <w:color w:val="auto"/>
              </w:rPr>
            </w:pPr>
          </w:p>
        </w:tc>
        <w:tc>
          <w:tcPr>
            <w:tcW w:w="7080" w:type="dxa"/>
            <w:vAlign w:val="bottom"/>
            <w:shd w:val="clear" w:color="auto" w:fill="021496"/>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shd w:val="clear" w:color="auto" w:fill="EAEFED"/>
          </w:tcPr>
          <w:p>
            <w:pPr>
              <w:ind w:left="340"/>
              <w:spacing w:after="0"/>
              <w:rPr>
                <w:sz w:val="20"/>
                <w:szCs w:val="20"/>
                <w:color w:val="auto"/>
              </w:rPr>
            </w:pPr>
            <w:r>
              <w:rPr>
                <w:rFonts w:ascii="Arial" w:cs="Arial" w:eastAsia="Arial" w:hAnsi="Arial"/>
                <w:sz w:val="14"/>
                <w:szCs w:val="14"/>
                <w:b w:val="1"/>
                <w:bCs w:val="1"/>
                <w:color w:val="auto"/>
              </w:rPr>
              <w:t>2022</w:t>
            </w:r>
          </w:p>
        </w:tc>
        <w:tc>
          <w:tcPr>
            <w:tcW w:w="2220" w:type="dxa"/>
            <w:vAlign w:val="bottom"/>
            <w:shd w:val="clear" w:color="auto" w:fill="EAEFED"/>
          </w:tcPr>
          <w:p>
            <w:pPr>
              <w:jc w:val="center"/>
              <w:ind w:left="45"/>
              <w:spacing w:after="0"/>
              <w:rPr>
                <w:sz w:val="20"/>
                <w:szCs w:val="20"/>
                <w:color w:val="auto"/>
              </w:rPr>
            </w:pPr>
            <w:r>
              <w:rPr>
                <w:rFonts w:ascii="Arial" w:cs="Arial" w:eastAsia="Arial" w:hAnsi="Arial"/>
                <w:sz w:val="14"/>
                <w:szCs w:val="14"/>
                <w:b w:val="1"/>
                <w:bCs w:val="1"/>
                <w:color w:val="021496"/>
              </w:rPr>
              <w:t>Lead-up to 2022 AGM:</w:t>
            </w:r>
          </w:p>
        </w:tc>
        <w:tc>
          <w:tcPr>
            <w:tcW w:w="7080" w:type="dxa"/>
            <w:vAlign w:val="bottom"/>
            <w:shd w:val="clear" w:color="auto" w:fill="EAEFED"/>
          </w:tcPr>
          <w:p>
            <w:pPr>
              <w:ind w:left="1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Currently engaging with shareholders on corporate governance, executive compensation and sustainability</w:t>
            </w:r>
          </w:p>
        </w:tc>
        <w:tc>
          <w:tcPr>
            <w:tcW w:w="0" w:type="dxa"/>
            <w:vAlign w:val="bottom"/>
          </w:tcPr>
          <w:p>
            <w:pPr>
              <w:spacing w:after="0"/>
              <w:rPr>
                <w:sz w:val="1"/>
                <w:szCs w:val="1"/>
                <w:color w:val="auto"/>
              </w:rPr>
            </w:pPr>
          </w:p>
        </w:tc>
      </w:tr>
      <w:tr>
        <w:trPr>
          <w:trHeight w:val="120"/>
        </w:trPr>
        <w:tc>
          <w:tcPr>
            <w:tcW w:w="880" w:type="dxa"/>
            <w:vAlign w:val="bottom"/>
            <w:vMerge w:val="continue"/>
            <w:shd w:val="clear" w:color="auto" w:fill="EAEFED"/>
          </w:tcPr>
          <w:p>
            <w:pPr>
              <w:spacing w:after="0"/>
              <w:rPr>
                <w:sz w:val="10"/>
                <w:szCs w:val="10"/>
                <w:color w:val="auto"/>
              </w:rPr>
            </w:pPr>
          </w:p>
        </w:tc>
        <w:tc>
          <w:tcPr>
            <w:tcW w:w="2220" w:type="dxa"/>
            <w:vAlign w:val="bottom"/>
            <w:vMerge w:val="restart"/>
            <w:shd w:val="clear" w:color="auto" w:fill="EAEFED"/>
          </w:tcPr>
          <w:p>
            <w:pPr>
              <w:jc w:val="center"/>
              <w:ind w:left="45"/>
              <w:spacing w:after="0"/>
              <w:rPr>
                <w:sz w:val="20"/>
                <w:szCs w:val="20"/>
                <w:color w:val="auto"/>
              </w:rPr>
            </w:pPr>
            <w:r>
              <w:rPr>
                <w:rFonts w:ascii="Arial" w:cs="Arial" w:eastAsia="Arial" w:hAnsi="Arial"/>
                <w:sz w:val="14"/>
                <w:szCs w:val="14"/>
                <w:b w:val="1"/>
                <w:bCs w:val="1"/>
                <w:i w:val="1"/>
                <w:iCs w:val="1"/>
                <w:color w:val="021496"/>
              </w:rPr>
              <w:t>Ongoing</w:t>
            </w:r>
          </w:p>
        </w:tc>
        <w:tc>
          <w:tcPr>
            <w:tcW w:w="7080" w:type="dxa"/>
            <w:vAlign w:val="bottom"/>
            <w:vMerge w:val="restart"/>
            <w:shd w:val="clear" w:color="auto" w:fill="EAEFED"/>
          </w:tcPr>
          <w:p>
            <w:pPr>
              <w:ind w:left="320"/>
              <w:spacing w:after="0"/>
              <w:rPr>
                <w:sz w:val="20"/>
                <w:szCs w:val="20"/>
                <w:color w:val="auto"/>
              </w:rPr>
            </w:pPr>
            <w:r>
              <w:rPr>
                <w:rFonts w:ascii="Arial" w:cs="Arial" w:eastAsia="Arial" w:hAnsi="Arial"/>
                <w:sz w:val="14"/>
                <w:szCs w:val="14"/>
                <w:color w:val="auto"/>
              </w:rPr>
              <w:t>ahead of the 2022 Annual Meeting</w:t>
            </w:r>
          </w:p>
        </w:tc>
        <w:tc>
          <w:tcPr>
            <w:tcW w:w="0" w:type="dxa"/>
            <w:vAlign w:val="bottom"/>
          </w:tcPr>
          <w:p>
            <w:pPr>
              <w:spacing w:after="0"/>
              <w:rPr>
                <w:sz w:val="1"/>
                <w:szCs w:val="1"/>
                <w:color w:val="auto"/>
              </w:rPr>
            </w:pPr>
          </w:p>
        </w:tc>
      </w:tr>
      <w:tr>
        <w:trPr>
          <w:trHeight w:val="105"/>
        </w:trPr>
        <w:tc>
          <w:tcPr>
            <w:tcW w:w="880" w:type="dxa"/>
            <w:vAlign w:val="bottom"/>
            <w:tcBorders>
              <w:bottom w:val="single" w:sz="8" w:color="EAEFED"/>
            </w:tcBorders>
            <w:shd w:val="clear" w:color="auto" w:fill="EAEFED"/>
          </w:tcPr>
          <w:p>
            <w:pPr>
              <w:spacing w:after="0"/>
              <w:rPr>
                <w:sz w:val="9"/>
                <w:szCs w:val="9"/>
                <w:color w:val="auto"/>
              </w:rPr>
            </w:pPr>
          </w:p>
        </w:tc>
        <w:tc>
          <w:tcPr>
            <w:tcW w:w="2220" w:type="dxa"/>
            <w:vAlign w:val="bottom"/>
            <w:tcBorders>
              <w:bottom w:val="single" w:sz="8" w:color="EAEFED"/>
            </w:tcBorders>
            <w:vMerge w:val="continue"/>
            <w:shd w:val="clear" w:color="auto" w:fill="EAEFED"/>
          </w:tcPr>
          <w:p>
            <w:pPr>
              <w:spacing w:after="0"/>
              <w:rPr>
                <w:sz w:val="9"/>
                <w:szCs w:val="9"/>
                <w:color w:val="auto"/>
              </w:rPr>
            </w:pPr>
          </w:p>
        </w:tc>
        <w:tc>
          <w:tcPr>
            <w:tcW w:w="7080" w:type="dxa"/>
            <w:vAlign w:val="bottom"/>
            <w:tcBorders>
              <w:bottom w:val="single" w:sz="8" w:color="EAEFED"/>
            </w:tcBorders>
            <w:vMerge w:val="continue"/>
            <w:shd w:val="clear" w:color="auto" w:fill="EAEFED"/>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80" w:type="dxa"/>
            <w:vAlign w:val="bottom"/>
            <w:tcBorders>
              <w:top w:val="single" w:sz="8" w:color="7F7F7F"/>
            </w:tcBorders>
          </w:tcPr>
          <w:p>
            <w:pPr>
              <w:spacing w:after="0"/>
              <w:rPr>
                <w:sz w:val="12"/>
                <w:szCs w:val="12"/>
                <w:color w:val="auto"/>
              </w:rPr>
            </w:pPr>
          </w:p>
        </w:tc>
        <w:tc>
          <w:tcPr>
            <w:tcW w:w="2220" w:type="dxa"/>
            <w:vAlign w:val="bottom"/>
            <w:tcBorders>
              <w:top w:val="single" w:sz="8" w:color="7F7F7F"/>
            </w:tcBorders>
          </w:tcPr>
          <w:p>
            <w:pPr>
              <w:spacing w:after="0"/>
              <w:rPr>
                <w:sz w:val="12"/>
                <w:szCs w:val="12"/>
                <w:color w:val="auto"/>
              </w:rPr>
            </w:pPr>
          </w:p>
        </w:tc>
        <w:tc>
          <w:tcPr>
            <w:tcW w:w="7080" w:type="dxa"/>
            <w:vAlign w:val="bottom"/>
            <w:tcBorders>
              <w:top w:val="single" w:sz="8" w:color="7F7F7F"/>
            </w:tcBorders>
          </w:tcPr>
          <w:p>
            <w:pPr>
              <w:ind w:left="100"/>
              <w:spacing w:after="0" w:line="148"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Continued to maintain a refreshed and diverse board by appointing an additional female director</w:t>
            </w: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080" w:type="dxa"/>
            <w:vAlign w:val="bottom"/>
          </w:tcPr>
          <w:p>
            <w:pPr>
              <w:ind w:left="1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Made several ESG accomplishments including:</w:t>
            </w: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080" w:type="dxa"/>
            <w:vAlign w:val="bottom"/>
          </w:tcPr>
          <w:p>
            <w:pPr>
              <w:ind w:left="3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Announcing goals to reduce our GHG emissions by 2030</w:t>
            </w:r>
          </w:p>
        </w:tc>
        <w:tc>
          <w:tcPr>
            <w:tcW w:w="0" w:type="dxa"/>
            <w:vAlign w:val="bottom"/>
          </w:tcPr>
          <w:p>
            <w:pPr>
              <w:spacing w:after="0"/>
              <w:rPr>
                <w:sz w:val="1"/>
                <w:szCs w:val="1"/>
                <w:color w:val="auto"/>
              </w:rPr>
            </w:pPr>
          </w:p>
        </w:tc>
      </w:tr>
      <w:tr>
        <w:trPr>
          <w:trHeight w:val="174"/>
        </w:trPr>
        <w:tc>
          <w:tcPr>
            <w:tcW w:w="8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2021</w:t>
            </w:r>
          </w:p>
        </w:tc>
        <w:tc>
          <w:tcPr>
            <w:tcW w:w="2220" w:type="dxa"/>
            <w:vAlign w:val="bottom"/>
            <w:vMerge w:val="restart"/>
          </w:tcPr>
          <w:p>
            <w:pPr>
              <w:jc w:val="center"/>
              <w:ind w:left="65"/>
              <w:spacing w:after="0"/>
              <w:rPr>
                <w:sz w:val="20"/>
                <w:szCs w:val="20"/>
                <w:color w:val="auto"/>
              </w:rPr>
            </w:pPr>
            <w:r>
              <w:rPr>
                <w:rFonts w:ascii="Arial" w:cs="Arial" w:eastAsia="Arial" w:hAnsi="Arial"/>
                <w:sz w:val="14"/>
                <w:szCs w:val="14"/>
                <w:b w:val="1"/>
                <w:bCs w:val="1"/>
                <w:color w:val="021496"/>
              </w:rPr>
              <w:t>59% / 31%</w:t>
            </w:r>
          </w:p>
        </w:tc>
        <w:tc>
          <w:tcPr>
            <w:tcW w:w="7080" w:type="dxa"/>
            <w:vAlign w:val="bottom"/>
          </w:tcPr>
          <w:p>
            <w:pPr>
              <w:ind w:left="3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Undertaking a climate risk assessment aligned with the TCFD reporting framework</w:t>
            </w:r>
          </w:p>
        </w:tc>
        <w:tc>
          <w:tcPr>
            <w:tcW w:w="0" w:type="dxa"/>
            <w:vAlign w:val="bottom"/>
          </w:tcPr>
          <w:p>
            <w:pPr>
              <w:spacing w:after="0"/>
              <w:rPr>
                <w:sz w:val="1"/>
                <w:szCs w:val="1"/>
                <w:color w:val="auto"/>
              </w:rPr>
            </w:pPr>
          </w:p>
        </w:tc>
      </w:tr>
      <w:tr>
        <w:trPr>
          <w:trHeight w:val="208"/>
        </w:trPr>
        <w:tc>
          <w:tcPr>
            <w:tcW w:w="88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7080" w:type="dxa"/>
            <w:vAlign w:val="bottom"/>
          </w:tcPr>
          <w:p>
            <w:pPr>
              <w:ind w:left="3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Setting new diversity &amp; inclusion goals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-824230</wp:posOffset>
            </wp:positionV>
            <wp:extent cx="6640830" cy="48831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40830" cy="4883150"/>
                    </a:xfrm>
                    <a:prstGeom prst="rect">
                      <a:avLst/>
                    </a:prstGeom>
                    <a:noFill/>
                  </pic:spPr>
                </pic:pic>
              </a:graphicData>
            </a:graphic>
          </wp:anchor>
        </w:drawing>
      </w:r>
    </w:p>
    <w:p>
      <w:pPr>
        <w:ind w:left="4520" w:right="740" w:hanging="213"/>
        <w:spacing w:after="0" w:line="15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Establishing a working group of operating companies with a goal of embedding sustainability considerations into product development</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2200"/>
        <w:spacing w:after="0"/>
        <w:rPr>
          <w:sz w:val="20"/>
          <w:szCs w:val="20"/>
          <w:color w:val="auto"/>
        </w:rPr>
      </w:pPr>
      <w:r>
        <w:rPr>
          <w:rFonts w:ascii="Arial" w:cs="Arial" w:eastAsia="Arial" w:hAnsi="Arial"/>
          <w:sz w:val="14"/>
          <w:szCs w:val="14"/>
          <w:b w:val="1"/>
          <w:bCs w:val="1"/>
          <w:color w:val="021496"/>
        </w:rPr>
        <w:t>Winter: 65% / 15%</w:t>
      </w:r>
    </w:p>
    <w:p>
      <w:pPr>
        <w:spacing w:after="0" w:line="17" w:lineRule="exact"/>
        <w:rPr>
          <w:sz w:val="20"/>
          <w:szCs w:val="20"/>
          <w:color w:val="auto"/>
        </w:rPr>
      </w:pPr>
    </w:p>
    <w:p>
      <w:pPr>
        <w:jc w:val="center"/>
        <w:ind w:left="2200"/>
        <w:spacing w:after="0"/>
        <w:rPr>
          <w:sz w:val="20"/>
          <w:szCs w:val="20"/>
          <w:color w:val="auto"/>
        </w:rPr>
      </w:pPr>
      <w:r>
        <w:rPr>
          <w:rFonts w:ascii="Arial" w:cs="Arial" w:eastAsia="Arial" w:hAnsi="Arial"/>
          <w:sz w:val="14"/>
          <w:szCs w:val="14"/>
          <w:b w:val="1"/>
          <w:bCs w:val="1"/>
          <w:color w:val="021496"/>
        </w:rPr>
        <w:t>Lead-up to 2020 AGM:</w:t>
      </w:r>
    </w:p>
    <w:p>
      <w:pPr>
        <w:ind w:left="2440" w:right="240" w:hanging="1198"/>
        <w:spacing w:after="0" w:line="380" w:lineRule="auto"/>
        <w:tabs>
          <w:tab w:leader="none" w:pos="2420" w:val="left"/>
        </w:tabs>
        <w:rPr>
          <w:sz w:val="20"/>
          <w:szCs w:val="20"/>
          <w:color w:val="auto"/>
        </w:rPr>
      </w:pPr>
      <w:r>
        <w:rPr>
          <w:rFonts w:ascii="Arial" w:cs="Arial" w:eastAsia="Arial" w:hAnsi="Arial"/>
          <w:sz w:val="28"/>
          <w:szCs w:val="28"/>
          <w:b w:val="1"/>
          <w:bCs w:val="1"/>
          <w:color w:val="000000"/>
          <w:vertAlign w:val="superscript"/>
        </w:rPr>
        <w:t>2020</w:t>
      </w:r>
      <w:r>
        <w:rPr>
          <w:sz w:val="20"/>
          <w:szCs w:val="20"/>
          <w:color w:val="auto"/>
        </w:rPr>
        <w:tab/>
      </w:r>
      <w:r>
        <w:rPr>
          <w:rFonts w:ascii="Arial" w:cs="Arial" w:eastAsia="Arial" w:hAnsi="Arial"/>
          <w:sz w:val="14"/>
          <w:szCs w:val="14"/>
          <w:b w:val="1"/>
          <w:bCs w:val="1"/>
          <w:color w:val="021496"/>
        </w:rPr>
        <w:t>51% / 12% Fall: 59% / 38%</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201" w:hanging="201"/>
        <w:spacing w:after="0"/>
        <w:tabs>
          <w:tab w:leader="none" w:pos="201" w:val="left"/>
        </w:tabs>
        <w:numPr>
          <w:ilvl w:val="0"/>
          <w:numId w:val="46"/>
        </w:numPr>
        <w:rPr>
          <w:rFonts w:ascii="MS PGothic" w:cs="MS PGothic" w:eastAsia="MS PGothic" w:hAnsi="MS PGothic"/>
          <w:sz w:val="14"/>
          <w:szCs w:val="14"/>
          <w:color w:val="auto"/>
        </w:rPr>
      </w:pPr>
      <w:r>
        <w:rPr>
          <w:rFonts w:ascii="Arial" w:cs="Arial" w:eastAsia="Arial" w:hAnsi="Arial"/>
          <w:sz w:val="14"/>
          <w:szCs w:val="14"/>
          <w:color w:val="auto"/>
        </w:rPr>
        <w:t>Implemented for 2020 executive compensation program:</w:t>
      </w:r>
    </w:p>
    <w:p>
      <w:pPr>
        <w:spacing w:after="0" w:line="12" w:lineRule="exact"/>
        <w:rPr>
          <w:rFonts w:ascii="MS PGothic" w:cs="MS PGothic" w:eastAsia="MS PGothic" w:hAnsi="MS PGothic"/>
          <w:sz w:val="14"/>
          <w:szCs w:val="14"/>
          <w:color w:val="auto"/>
        </w:rPr>
      </w:pPr>
    </w:p>
    <w:p>
      <w:pPr>
        <w:ind w:left="421" w:right="100" w:hanging="207"/>
        <w:spacing w:after="0" w:line="249" w:lineRule="auto"/>
        <w:tabs>
          <w:tab w:leader="none" w:pos="407" w:val="left"/>
        </w:tabs>
        <w:numPr>
          <w:ilvl w:val="1"/>
          <w:numId w:val="46"/>
        </w:numPr>
        <w:rPr>
          <w:rFonts w:ascii="MS PGothic" w:cs="MS PGothic" w:eastAsia="MS PGothic" w:hAnsi="MS PGothic"/>
          <w:sz w:val="14"/>
          <w:szCs w:val="14"/>
          <w:color w:val="auto"/>
        </w:rPr>
      </w:pPr>
      <w:r>
        <w:rPr>
          <w:rFonts w:ascii="Arial" w:cs="Arial" w:eastAsia="Arial" w:hAnsi="Arial"/>
          <w:sz w:val="14"/>
          <w:szCs w:val="14"/>
          <w:color w:val="auto"/>
        </w:rPr>
        <w:t>Increased proportion of LTIP dedicated to performance shares and shifted from internal TSR to relative TSR as metric for performance shares</w:t>
      </w:r>
    </w:p>
    <w:p>
      <w:pPr>
        <w:ind w:left="421" w:hanging="207"/>
        <w:spacing w:after="0"/>
        <w:tabs>
          <w:tab w:leader="none" w:pos="421" w:val="left"/>
        </w:tabs>
        <w:numPr>
          <w:ilvl w:val="1"/>
          <w:numId w:val="46"/>
        </w:numPr>
        <w:rPr>
          <w:rFonts w:ascii="MS PGothic" w:cs="MS PGothic" w:eastAsia="MS PGothic" w:hAnsi="MS PGothic"/>
          <w:sz w:val="14"/>
          <w:szCs w:val="14"/>
          <w:color w:val="auto"/>
        </w:rPr>
      </w:pPr>
      <w:r>
        <w:rPr>
          <w:rFonts w:ascii="Arial" w:cs="Arial" w:eastAsia="Arial" w:hAnsi="Arial"/>
          <w:sz w:val="14"/>
          <w:szCs w:val="14"/>
          <w:color w:val="auto"/>
        </w:rPr>
        <w:t>Reduced maximum payout ceiling from 400% to 300% in LTIP</w:t>
      </w:r>
    </w:p>
    <w:p>
      <w:pPr>
        <w:spacing w:after="0" w:line="12" w:lineRule="exact"/>
        <w:rPr>
          <w:rFonts w:ascii="MS PGothic" w:cs="MS PGothic" w:eastAsia="MS PGothic" w:hAnsi="MS PGothic"/>
          <w:sz w:val="14"/>
          <w:szCs w:val="14"/>
          <w:color w:val="auto"/>
        </w:rPr>
      </w:pPr>
    </w:p>
    <w:p>
      <w:pPr>
        <w:ind w:left="201" w:hanging="201"/>
        <w:spacing w:after="0"/>
        <w:tabs>
          <w:tab w:leader="none" w:pos="201" w:val="left"/>
        </w:tabs>
        <w:numPr>
          <w:ilvl w:val="0"/>
          <w:numId w:val="46"/>
        </w:numPr>
        <w:rPr>
          <w:rFonts w:ascii="MS PGothic" w:cs="MS PGothic" w:eastAsia="MS PGothic" w:hAnsi="MS PGothic"/>
          <w:sz w:val="14"/>
          <w:szCs w:val="14"/>
          <w:color w:val="auto"/>
        </w:rPr>
      </w:pPr>
      <w:r>
        <w:rPr>
          <w:rFonts w:ascii="Arial" w:cs="Arial" w:eastAsia="Arial" w:hAnsi="Arial"/>
          <w:sz w:val="14"/>
          <w:szCs w:val="14"/>
          <w:color w:val="auto"/>
        </w:rPr>
        <w:t>Reduced ownership threshold required to call a special meeting of shareholders to 15% from 25%</w:t>
      </w:r>
    </w:p>
    <w:p>
      <w:pPr>
        <w:spacing w:after="0" w:line="12" w:lineRule="exact"/>
        <w:rPr>
          <w:rFonts w:ascii="MS PGothic" w:cs="MS PGothic" w:eastAsia="MS PGothic" w:hAnsi="MS PGothic"/>
          <w:sz w:val="14"/>
          <w:szCs w:val="14"/>
          <w:color w:val="auto"/>
        </w:rPr>
      </w:pPr>
    </w:p>
    <w:p>
      <w:pPr>
        <w:ind w:left="221" w:right="160" w:hanging="221"/>
        <w:spacing w:after="0" w:line="249" w:lineRule="auto"/>
        <w:tabs>
          <w:tab w:leader="none" w:pos="199" w:val="left"/>
        </w:tabs>
        <w:numPr>
          <w:ilvl w:val="0"/>
          <w:numId w:val="46"/>
        </w:numPr>
        <w:rPr>
          <w:rFonts w:ascii="MS PGothic" w:cs="MS PGothic" w:eastAsia="MS PGothic" w:hAnsi="MS PGothic"/>
          <w:sz w:val="14"/>
          <w:szCs w:val="14"/>
          <w:color w:val="auto"/>
        </w:rPr>
      </w:pPr>
      <w:r>
        <w:rPr>
          <w:rFonts w:ascii="Arial" w:cs="Arial" w:eastAsia="Arial" w:hAnsi="Arial"/>
          <w:sz w:val="14"/>
          <w:szCs w:val="14"/>
          <w:color w:val="auto"/>
        </w:rPr>
        <w:t>Adopted a diversity search policy for external director and CEO searches conducted by third-party search firms</w:t>
      </w:r>
    </w:p>
    <w:p>
      <w:pPr>
        <w:ind w:left="201" w:hanging="201"/>
        <w:spacing w:after="0"/>
        <w:tabs>
          <w:tab w:leader="none" w:pos="201" w:val="left"/>
        </w:tabs>
        <w:numPr>
          <w:ilvl w:val="0"/>
          <w:numId w:val="46"/>
        </w:numPr>
        <w:rPr>
          <w:rFonts w:ascii="MS PGothic" w:cs="MS PGothic" w:eastAsia="MS PGothic" w:hAnsi="MS PGothic"/>
          <w:sz w:val="14"/>
          <w:szCs w:val="14"/>
          <w:color w:val="auto"/>
        </w:rPr>
      </w:pPr>
      <w:r>
        <w:rPr>
          <w:rFonts w:ascii="Arial" w:cs="Arial" w:eastAsia="Arial" w:hAnsi="Arial"/>
          <w:sz w:val="14"/>
          <w:szCs w:val="14"/>
          <w:color w:val="auto"/>
        </w:rPr>
        <w:t>Made several ESG accomplishments including:</w:t>
      </w:r>
    </w:p>
    <w:p>
      <w:pPr>
        <w:spacing w:after="0" w:line="12" w:lineRule="exact"/>
        <w:rPr>
          <w:rFonts w:ascii="MS PGothic" w:cs="MS PGothic" w:eastAsia="MS PGothic" w:hAnsi="MS PGothic"/>
          <w:sz w:val="14"/>
          <w:szCs w:val="14"/>
          <w:color w:val="auto"/>
        </w:rPr>
      </w:pPr>
    </w:p>
    <w:p>
      <w:pPr>
        <w:ind w:left="401" w:hanging="187"/>
        <w:spacing w:after="0"/>
        <w:tabs>
          <w:tab w:leader="none" w:pos="401" w:val="left"/>
        </w:tabs>
        <w:numPr>
          <w:ilvl w:val="1"/>
          <w:numId w:val="46"/>
        </w:numPr>
        <w:rPr>
          <w:rFonts w:ascii="MS PGothic" w:cs="MS PGothic" w:eastAsia="MS PGothic" w:hAnsi="MS PGothic"/>
          <w:sz w:val="14"/>
          <w:szCs w:val="14"/>
          <w:color w:val="auto"/>
        </w:rPr>
      </w:pPr>
      <w:r>
        <w:rPr>
          <w:rFonts w:ascii="Arial" w:cs="Arial" w:eastAsia="Arial" w:hAnsi="Arial"/>
          <w:sz w:val="14"/>
          <w:szCs w:val="14"/>
          <w:color w:val="auto"/>
        </w:rPr>
        <w:t>A robust materiality assessment to help identify go-forward focus areas</w:t>
      </w:r>
    </w:p>
    <w:p>
      <w:pPr>
        <w:spacing w:after="0" w:line="12" w:lineRule="exact"/>
        <w:rPr>
          <w:rFonts w:ascii="MS PGothic" w:cs="MS PGothic" w:eastAsia="MS PGothic" w:hAnsi="MS PGothic"/>
          <w:sz w:val="14"/>
          <w:szCs w:val="14"/>
          <w:color w:val="auto"/>
        </w:rPr>
      </w:pPr>
    </w:p>
    <w:p>
      <w:pPr>
        <w:ind w:left="421" w:hanging="207"/>
        <w:spacing w:after="0"/>
        <w:tabs>
          <w:tab w:leader="none" w:pos="421" w:val="left"/>
        </w:tabs>
        <w:numPr>
          <w:ilvl w:val="1"/>
          <w:numId w:val="46"/>
        </w:numPr>
        <w:rPr>
          <w:rFonts w:ascii="MS PGothic" w:cs="MS PGothic" w:eastAsia="MS PGothic" w:hAnsi="MS PGothic"/>
          <w:sz w:val="14"/>
          <w:szCs w:val="14"/>
          <w:color w:val="auto"/>
        </w:rPr>
      </w:pPr>
      <w:r>
        <w:rPr>
          <w:rFonts w:ascii="Arial" w:cs="Arial" w:eastAsia="Arial" w:hAnsi="Arial"/>
          <w:sz w:val="14"/>
          <w:szCs w:val="14"/>
          <w:color w:val="auto"/>
        </w:rPr>
        <w:t>The launch of the sustainability portion of our website</w:t>
      </w:r>
    </w:p>
    <w:p>
      <w:pPr>
        <w:spacing w:after="0" w:line="12" w:lineRule="exact"/>
        <w:rPr>
          <w:rFonts w:ascii="MS PGothic" w:cs="MS PGothic" w:eastAsia="MS PGothic" w:hAnsi="MS PGothic"/>
          <w:sz w:val="14"/>
          <w:szCs w:val="14"/>
          <w:color w:val="auto"/>
        </w:rPr>
      </w:pPr>
    </w:p>
    <w:p>
      <w:pPr>
        <w:ind w:left="421" w:hanging="207"/>
        <w:spacing w:after="0"/>
        <w:tabs>
          <w:tab w:leader="none" w:pos="421" w:val="left"/>
        </w:tabs>
        <w:numPr>
          <w:ilvl w:val="1"/>
          <w:numId w:val="46"/>
        </w:numPr>
        <w:rPr>
          <w:rFonts w:ascii="MS PGothic" w:cs="MS PGothic" w:eastAsia="MS PGothic" w:hAnsi="MS PGothic"/>
          <w:sz w:val="14"/>
          <w:szCs w:val="14"/>
          <w:color w:val="auto"/>
        </w:rPr>
      </w:pPr>
      <w:r>
        <w:rPr>
          <w:rFonts w:ascii="Arial" w:cs="Arial" w:eastAsia="Arial" w:hAnsi="Arial"/>
          <w:sz w:val="14"/>
          <w:szCs w:val="14"/>
          <w:color w:val="auto"/>
        </w:rPr>
        <w:t>Publication of SASB and GRI indices</w:t>
      </w:r>
    </w:p>
    <w:p>
      <w:pPr>
        <w:spacing w:after="0" w:line="12" w:lineRule="exact"/>
        <w:rPr>
          <w:rFonts w:ascii="MS PGothic" w:cs="MS PGothic" w:eastAsia="MS PGothic" w:hAnsi="MS PGothic"/>
          <w:sz w:val="14"/>
          <w:szCs w:val="14"/>
          <w:color w:val="auto"/>
        </w:rPr>
      </w:pPr>
    </w:p>
    <w:p>
      <w:pPr>
        <w:ind w:left="421" w:hanging="207"/>
        <w:spacing w:after="0"/>
        <w:tabs>
          <w:tab w:leader="none" w:pos="421" w:val="left"/>
        </w:tabs>
        <w:numPr>
          <w:ilvl w:val="1"/>
          <w:numId w:val="46"/>
        </w:numPr>
        <w:rPr>
          <w:rFonts w:ascii="MS PGothic" w:cs="MS PGothic" w:eastAsia="MS PGothic" w:hAnsi="MS PGothic"/>
          <w:sz w:val="14"/>
          <w:szCs w:val="14"/>
          <w:color w:val="auto"/>
        </w:rPr>
      </w:pPr>
      <w:r>
        <w:rPr>
          <w:rFonts w:ascii="Arial" w:cs="Arial" w:eastAsia="Arial" w:hAnsi="Arial"/>
          <w:sz w:val="14"/>
          <w:szCs w:val="14"/>
          <w:color w:val="auto"/>
        </w:rPr>
        <w:t>Release of an “investor tear sheet” covering key ESG highlights</w:t>
      </w:r>
    </w:p>
    <w:p>
      <w:pPr>
        <w:spacing w:after="0" w:line="12" w:lineRule="exact"/>
        <w:rPr>
          <w:rFonts w:ascii="MS PGothic" w:cs="MS PGothic" w:eastAsia="MS PGothic" w:hAnsi="MS PGothic"/>
          <w:sz w:val="14"/>
          <w:szCs w:val="14"/>
          <w:color w:val="auto"/>
        </w:rPr>
      </w:pPr>
    </w:p>
    <w:p>
      <w:pPr>
        <w:ind w:left="421" w:hanging="207"/>
        <w:spacing w:after="0"/>
        <w:tabs>
          <w:tab w:leader="none" w:pos="421" w:val="left"/>
        </w:tabs>
        <w:numPr>
          <w:ilvl w:val="1"/>
          <w:numId w:val="46"/>
        </w:numPr>
        <w:rPr>
          <w:rFonts w:ascii="MS PGothic" w:cs="MS PGothic" w:eastAsia="MS PGothic" w:hAnsi="MS PGothic"/>
          <w:sz w:val="14"/>
          <w:szCs w:val="14"/>
          <w:color w:val="auto"/>
        </w:rPr>
      </w:pPr>
      <w:r>
        <w:rPr>
          <w:rFonts w:ascii="Arial" w:cs="Arial" w:eastAsia="Arial" w:hAnsi="Arial"/>
          <w:sz w:val="14"/>
          <w:szCs w:val="14"/>
          <w:color w:val="auto"/>
        </w:rPr>
        <w:t>Increased transparency into workforce 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-1429385</wp:posOffset>
            </wp:positionV>
            <wp:extent cx="64623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623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399"/>
            <w:col w:w="6981"/>
          </w:cols>
          <w:pgMar w:left="320" w:top="456" w:right="49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021496"/>
        </w:rPr>
        <w:t>Lead-up to 2019 AGM:</w:t>
      </w:r>
    </w:p>
    <w:p>
      <w:pPr>
        <w:spacing w:after="0" w:line="17" w:lineRule="exact"/>
        <w:rPr>
          <w:sz w:val="20"/>
          <w:szCs w:val="20"/>
          <w:color w:val="auto"/>
        </w:rPr>
      </w:pPr>
    </w:p>
    <w:p>
      <w:pPr>
        <w:ind w:left="2440" w:right="240" w:hanging="1198"/>
        <w:spacing w:after="0" w:line="353" w:lineRule="auto"/>
        <w:tabs>
          <w:tab w:leader="none" w:pos="2420" w:val="left"/>
        </w:tabs>
        <w:rPr>
          <w:sz w:val="20"/>
          <w:szCs w:val="20"/>
          <w:color w:val="auto"/>
        </w:rPr>
      </w:pPr>
      <w:r>
        <w:rPr>
          <w:rFonts w:ascii="Arial" w:cs="Arial" w:eastAsia="Arial" w:hAnsi="Arial"/>
          <w:sz w:val="28"/>
          <w:szCs w:val="28"/>
          <w:b w:val="1"/>
          <w:bCs w:val="1"/>
          <w:color w:val="000000"/>
          <w:vertAlign w:val="subscript"/>
        </w:rPr>
        <w:t>2019</w:t>
      </w:r>
      <w:r>
        <w:rPr>
          <w:sz w:val="20"/>
          <w:szCs w:val="20"/>
          <w:color w:val="auto"/>
        </w:rPr>
        <w:tab/>
      </w:r>
      <w:r>
        <w:rPr>
          <w:rFonts w:ascii="Arial" w:cs="Arial" w:eastAsia="Arial" w:hAnsi="Arial"/>
          <w:sz w:val="14"/>
          <w:szCs w:val="14"/>
          <w:b w:val="1"/>
          <w:bCs w:val="1"/>
          <w:color w:val="021496"/>
        </w:rPr>
        <w:t>63% / 37% Fall: 63% / 41%</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221" w:right="540" w:hanging="221"/>
        <w:spacing w:after="0" w:line="249" w:lineRule="auto"/>
        <w:tabs>
          <w:tab w:leader="none" w:pos="219" w:val="left"/>
        </w:tabs>
        <w:numPr>
          <w:ilvl w:val="0"/>
          <w:numId w:val="47"/>
        </w:numPr>
        <w:rPr>
          <w:rFonts w:ascii="MS PGothic" w:cs="MS PGothic" w:eastAsia="MS PGothic" w:hAnsi="MS PGothic"/>
          <w:sz w:val="14"/>
          <w:szCs w:val="14"/>
          <w:color w:val="auto"/>
        </w:rPr>
      </w:pPr>
      <w:r>
        <w:rPr>
          <w:rFonts w:ascii="Arial" w:cs="Arial" w:eastAsia="Arial" w:hAnsi="Arial"/>
          <w:sz w:val="14"/>
          <w:szCs w:val="14"/>
          <w:color w:val="auto"/>
        </w:rPr>
        <w:t>Achieved removal of all supermajority provisions through submission of management proposal and comprehensive retail investor campaign</w:t>
      </w:r>
    </w:p>
    <w:p>
      <w:pPr>
        <w:ind w:left="201" w:hanging="201"/>
        <w:spacing w:after="0"/>
        <w:tabs>
          <w:tab w:leader="none" w:pos="201" w:val="left"/>
        </w:tabs>
        <w:numPr>
          <w:ilvl w:val="0"/>
          <w:numId w:val="47"/>
        </w:numPr>
        <w:rPr>
          <w:rFonts w:ascii="MS PGothic" w:cs="MS PGothic" w:eastAsia="MS PGothic" w:hAnsi="MS PGothic"/>
          <w:sz w:val="14"/>
          <w:szCs w:val="14"/>
          <w:color w:val="auto"/>
        </w:rPr>
      </w:pPr>
      <w:r>
        <w:rPr>
          <w:rFonts w:ascii="Arial" w:cs="Arial" w:eastAsia="Arial" w:hAnsi="Arial"/>
          <w:sz w:val="14"/>
          <w:szCs w:val="14"/>
          <w:color w:val="auto"/>
        </w:rPr>
        <w:t>Enhanced disclosure regarding individual strategic objectives and financial metrics in AIP</w:t>
      </w:r>
    </w:p>
    <w:p>
      <w:pPr>
        <w:spacing w:after="0" w:line="12" w:lineRule="exact"/>
        <w:rPr>
          <w:rFonts w:ascii="MS PGothic" w:cs="MS PGothic" w:eastAsia="MS PGothic" w:hAnsi="MS PGothic"/>
          <w:sz w:val="14"/>
          <w:szCs w:val="14"/>
          <w:color w:val="auto"/>
        </w:rPr>
      </w:pPr>
    </w:p>
    <w:p>
      <w:pPr>
        <w:ind w:left="201" w:hanging="201"/>
        <w:spacing w:after="0"/>
        <w:tabs>
          <w:tab w:leader="none" w:pos="201" w:val="left"/>
        </w:tabs>
        <w:numPr>
          <w:ilvl w:val="0"/>
          <w:numId w:val="47"/>
        </w:numPr>
        <w:rPr>
          <w:rFonts w:ascii="MS PGothic" w:cs="MS PGothic" w:eastAsia="MS PGothic" w:hAnsi="MS PGothic"/>
          <w:sz w:val="14"/>
          <w:szCs w:val="14"/>
          <w:color w:val="auto"/>
        </w:rPr>
      </w:pPr>
      <w:r>
        <w:rPr>
          <w:rFonts w:ascii="Arial" w:cs="Arial" w:eastAsia="Arial" w:hAnsi="Arial"/>
          <w:sz w:val="14"/>
          <w:szCs w:val="14"/>
          <w:color w:val="auto"/>
        </w:rPr>
        <w:t>Adopted comprehensive clawback policy</w:t>
      </w:r>
    </w:p>
    <w:p>
      <w:pPr>
        <w:spacing w:after="0" w:line="12" w:lineRule="exact"/>
        <w:rPr>
          <w:rFonts w:ascii="MS PGothic" w:cs="MS PGothic" w:eastAsia="MS PGothic" w:hAnsi="MS PGothic"/>
          <w:sz w:val="14"/>
          <w:szCs w:val="14"/>
          <w:color w:val="auto"/>
        </w:rPr>
      </w:pPr>
    </w:p>
    <w:p>
      <w:pPr>
        <w:ind w:left="201" w:hanging="201"/>
        <w:spacing w:after="0"/>
        <w:tabs>
          <w:tab w:leader="none" w:pos="201" w:val="left"/>
        </w:tabs>
        <w:numPr>
          <w:ilvl w:val="0"/>
          <w:numId w:val="47"/>
        </w:numPr>
        <w:rPr>
          <w:rFonts w:ascii="MS PGothic" w:cs="MS PGothic" w:eastAsia="MS PGothic" w:hAnsi="MS PGothic"/>
          <w:sz w:val="14"/>
          <w:szCs w:val="14"/>
          <w:color w:val="auto"/>
        </w:rPr>
      </w:pPr>
      <w:r>
        <w:rPr>
          <w:rFonts w:ascii="Arial" w:cs="Arial" w:eastAsia="Arial" w:hAnsi="Arial"/>
          <w:sz w:val="14"/>
          <w:szCs w:val="14"/>
          <w:color w:val="auto"/>
        </w:rPr>
        <w:t>Incorporated ESG oversight into CEO’s individual strategic objectives in AIP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-554990</wp:posOffset>
            </wp:positionV>
            <wp:extent cx="64623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62395" cy="825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3700" w:space="399"/>
            <w:col w:w="6981"/>
          </w:cols>
          <w:pgMar w:left="320" w:top="456" w:right="499" w:bottom="1440" w:gutter="0" w:footer="0" w:header="0"/>
          <w:type w:val="continuous"/>
        </w:sectPr>
      </w:pPr>
    </w:p>
    <w:tbl>
      <w:tblPr>
        <w:tblLayout w:type="fixed"/>
        <w:tblInd w:w="900" w:type="dxa"/>
        <w:tblCellMar>
          <w:top w:w="0" w:type="dxa"/>
          <w:left w:w="0" w:type="dxa"/>
          <w:bottom w:w="0" w:type="dxa"/>
          <w:right w:w="0" w:type="dxa"/>
        </w:tblCellMar>
      </w:tblPr>
      <w:tr>
        <w:trPr>
          <w:trHeight w:val="205"/>
        </w:trPr>
        <w:tc>
          <w:tcPr>
            <w:tcW w:w="1180" w:type="dxa"/>
            <w:vAlign w:val="bottom"/>
            <w:tcBorders>
              <w:top w:val="single" w:sz="8" w:color="7F7F7F"/>
            </w:tcBorders>
            <w:vMerge w:val="restart"/>
          </w:tcPr>
          <w:p>
            <w:pPr>
              <w:jc w:val="right"/>
              <w:ind w:right="449"/>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top w:val="single" w:sz="8" w:color="7F7F7F"/>
            </w:tcBorders>
            <w:vMerge w:val="restart"/>
          </w:tcPr>
          <w:p>
            <w:pPr>
              <w:jc w:val="right"/>
              <w:spacing w:after="0"/>
              <w:rPr>
                <w:sz w:val="20"/>
                <w:szCs w:val="20"/>
                <w:color w:val="auto"/>
              </w:rPr>
            </w:pPr>
            <w:r>
              <w:rPr>
                <w:rFonts w:ascii="Arial" w:cs="Arial" w:eastAsia="Arial" w:hAnsi="Arial"/>
                <w:sz w:val="14"/>
                <w:szCs w:val="14"/>
                <w:b w:val="1"/>
                <w:bCs w:val="1"/>
                <w:color w:val="021496"/>
              </w:rPr>
              <w:t>51%</w:t>
            </w:r>
          </w:p>
        </w:tc>
        <w:tc>
          <w:tcPr>
            <w:tcW w:w="780" w:type="dxa"/>
            <w:vAlign w:val="bottom"/>
            <w:tcBorders>
              <w:top w:val="single" w:sz="8" w:color="7F7F7F"/>
            </w:tcBorders>
            <w:vMerge w:val="restart"/>
          </w:tcPr>
          <w:p>
            <w:pPr>
              <w:ind w:left="20"/>
              <w:spacing w:after="0"/>
              <w:rPr>
                <w:sz w:val="20"/>
                <w:szCs w:val="20"/>
                <w:color w:val="auto"/>
              </w:rPr>
            </w:pPr>
            <w:r>
              <w:rPr>
                <w:rFonts w:ascii="Arial" w:cs="Arial" w:eastAsia="Arial" w:hAnsi="Arial"/>
                <w:sz w:val="14"/>
                <w:szCs w:val="14"/>
                <w:b w:val="1"/>
                <w:bCs w:val="1"/>
                <w:color w:val="021496"/>
              </w:rPr>
              <w:t>/ 32%</w:t>
            </w:r>
          </w:p>
        </w:tc>
        <w:tc>
          <w:tcPr>
            <w:tcW w:w="7380" w:type="dxa"/>
            <w:vAlign w:val="bottom"/>
            <w:tcBorders>
              <w:top w:val="single" w:sz="8" w:color="7F7F7F"/>
            </w:tcBorders>
          </w:tcPr>
          <w:p>
            <w:pPr>
              <w:ind w:left="4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Put forth management proposal to remove supermajority voting provisions alongside comprehensive</w:t>
            </w:r>
          </w:p>
        </w:tc>
        <w:tc>
          <w:tcPr>
            <w:tcW w:w="0" w:type="dxa"/>
            <w:vAlign w:val="bottom"/>
          </w:tcPr>
          <w:p>
            <w:pPr>
              <w:spacing w:after="0"/>
              <w:rPr>
                <w:sz w:val="1"/>
                <w:szCs w:val="1"/>
                <w:color w:val="auto"/>
              </w:rPr>
            </w:pPr>
          </w:p>
        </w:tc>
      </w:tr>
      <w:tr>
        <w:trPr>
          <w:trHeight w:val="118"/>
        </w:trPr>
        <w:tc>
          <w:tcPr>
            <w:tcW w:w="11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380" w:type="dxa"/>
            <w:vAlign w:val="bottom"/>
            <w:vMerge w:val="restart"/>
          </w:tcPr>
          <w:p>
            <w:pPr>
              <w:ind w:left="620"/>
              <w:spacing w:after="0"/>
              <w:rPr>
                <w:sz w:val="20"/>
                <w:szCs w:val="20"/>
                <w:color w:val="auto"/>
              </w:rPr>
            </w:pPr>
            <w:r>
              <w:rPr>
                <w:rFonts w:ascii="Arial" w:cs="Arial" w:eastAsia="Arial" w:hAnsi="Arial"/>
                <w:sz w:val="14"/>
                <w:szCs w:val="14"/>
                <w:color w:val="auto"/>
              </w:rPr>
              <w:t>campaign with retail investors to build support – did not pass</w:t>
            </w:r>
          </w:p>
        </w:tc>
        <w:tc>
          <w:tcPr>
            <w:tcW w:w="0" w:type="dxa"/>
            <w:vAlign w:val="bottom"/>
          </w:tcPr>
          <w:p>
            <w:pPr>
              <w:spacing w:after="0"/>
              <w:rPr>
                <w:sz w:val="1"/>
                <w:szCs w:val="1"/>
                <w:color w:val="auto"/>
              </w:rPr>
            </w:pPr>
          </w:p>
        </w:tc>
      </w:tr>
      <w:tr>
        <w:trPr>
          <w:trHeight w:val="53"/>
        </w:trPr>
        <w:tc>
          <w:tcPr>
            <w:tcW w:w="1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1180" w:type="dxa"/>
            <w:vAlign w:val="bottom"/>
            <w:tcBorders>
              <w:bottom w:val="single" w:sz="8" w:color="7F7F7F"/>
            </w:tcBorders>
          </w:tcPr>
          <w:p>
            <w:pPr>
              <w:spacing w:after="0"/>
              <w:rPr>
                <w:sz w:val="6"/>
                <w:szCs w:val="6"/>
                <w:color w:val="auto"/>
              </w:rPr>
            </w:pPr>
          </w:p>
        </w:tc>
        <w:tc>
          <w:tcPr>
            <w:tcW w:w="840" w:type="dxa"/>
            <w:vAlign w:val="bottom"/>
            <w:tcBorders>
              <w:bottom w:val="single" w:sz="8" w:color="7F7F7F"/>
            </w:tcBorders>
          </w:tcPr>
          <w:p>
            <w:pPr>
              <w:spacing w:after="0"/>
              <w:rPr>
                <w:sz w:val="6"/>
                <w:szCs w:val="6"/>
                <w:color w:val="auto"/>
              </w:rPr>
            </w:pPr>
          </w:p>
        </w:tc>
        <w:tc>
          <w:tcPr>
            <w:tcW w:w="780" w:type="dxa"/>
            <w:vAlign w:val="bottom"/>
            <w:tcBorders>
              <w:bottom w:val="single" w:sz="8" w:color="7F7F7F"/>
            </w:tcBorders>
          </w:tcPr>
          <w:p>
            <w:pPr>
              <w:spacing w:after="0"/>
              <w:rPr>
                <w:sz w:val="6"/>
                <w:szCs w:val="6"/>
                <w:color w:val="auto"/>
              </w:rPr>
            </w:pPr>
          </w:p>
        </w:tc>
        <w:tc>
          <w:tcPr>
            <w:tcW w:w="738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180" w:type="dxa"/>
            <w:vAlign w:val="bottom"/>
            <w:vMerge w:val="restart"/>
          </w:tcPr>
          <w:p>
            <w:pPr>
              <w:jc w:val="right"/>
              <w:ind w:right="449"/>
              <w:spacing w:after="0"/>
              <w:rPr>
                <w:sz w:val="20"/>
                <w:szCs w:val="20"/>
                <w:color w:val="auto"/>
              </w:rPr>
            </w:pPr>
            <w:r>
              <w:rPr>
                <w:rFonts w:ascii="Arial" w:cs="Arial" w:eastAsia="Arial" w:hAnsi="Arial"/>
                <w:sz w:val="14"/>
                <w:szCs w:val="14"/>
                <w:b w:val="1"/>
                <w:bCs w:val="1"/>
                <w:color w:val="auto"/>
              </w:rPr>
              <w:t>2017</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021496"/>
              </w:rPr>
              <w:t>53%</w:t>
            </w: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021496"/>
              </w:rPr>
              <w:t>/ 33%</w:t>
            </w:r>
          </w:p>
        </w:tc>
        <w:tc>
          <w:tcPr>
            <w:tcW w:w="7380" w:type="dxa"/>
            <w:vAlign w:val="bottom"/>
          </w:tcPr>
          <w:p>
            <w:pPr>
              <w:ind w:left="400"/>
              <w:spacing w:after="0" w:line="148"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Updated AIP to 60% financial metrics / 40% strategic objectives from 50% / 50%</w:t>
            </w:r>
          </w:p>
        </w:tc>
        <w:tc>
          <w:tcPr>
            <w:tcW w:w="0" w:type="dxa"/>
            <w:vAlign w:val="bottom"/>
          </w:tcPr>
          <w:p>
            <w:pPr>
              <w:spacing w:after="0"/>
              <w:rPr>
                <w:sz w:val="1"/>
                <w:szCs w:val="1"/>
                <w:color w:val="auto"/>
              </w:rPr>
            </w:pPr>
          </w:p>
        </w:tc>
      </w:tr>
      <w:tr>
        <w:trPr>
          <w:trHeight w:val="224"/>
        </w:trPr>
        <w:tc>
          <w:tcPr>
            <w:tcW w:w="118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7380" w:type="dxa"/>
            <w:vAlign w:val="bottom"/>
          </w:tcPr>
          <w:p>
            <w:pPr>
              <w:ind w:left="4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Put forth management proposal to remove supermajority voting provisions – did not pass</w:t>
            </w:r>
          </w:p>
        </w:tc>
        <w:tc>
          <w:tcPr>
            <w:tcW w:w="0" w:type="dxa"/>
            <w:vAlign w:val="bottom"/>
          </w:tcPr>
          <w:p>
            <w:pPr>
              <w:spacing w:after="0"/>
              <w:rPr>
                <w:sz w:val="1"/>
                <w:szCs w:val="1"/>
                <w:color w:val="auto"/>
              </w:rPr>
            </w:pPr>
          </w:p>
        </w:tc>
      </w:tr>
      <w:tr>
        <w:trPr>
          <w:trHeight w:val="76"/>
        </w:trPr>
        <w:tc>
          <w:tcPr>
            <w:tcW w:w="1180" w:type="dxa"/>
            <w:vAlign w:val="bottom"/>
            <w:tcBorders>
              <w:bottom w:val="single" w:sz="8" w:color="7F7F7F"/>
            </w:tcBorders>
          </w:tcPr>
          <w:p>
            <w:pPr>
              <w:spacing w:after="0"/>
              <w:rPr>
                <w:sz w:val="6"/>
                <w:szCs w:val="6"/>
                <w:color w:val="auto"/>
              </w:rPr>
            </w:pPr>
          </w:p>
        </w:tc>
        <w:tc>
          <w:tcPr>
            <w:tcW w:w="840" w:type="dxa"/>
            <w:vAlign w:val="bottom"/>
            <w:tcBorders>
              <w:bottom w:val="single" w:sz="8" w:color="7F7F7F"/>
            </w:tcBorders>
          </w:tcPr>
          <w:p>
            <w:pPr>
              <w:spacing w:after="0"/>
              <w:rPr>
                <w:sz w:val="6"/>
                <w:szCs w:val="6"/>
                <w:color w:val="auto"/>
              </w:rPr>
            </w:pPr>
          </w:p>
        </w:tc>
        <w:tc>
          <w:tcPr>
            <w:tcW w:w="780" w:type="dxa"/>
            <w:vAlign w:val="bottom"/>
            <w:tcBorders>
              <w:bottom w:val="single" w:sz="8" w:color="7F7F7F"/>
            </w:tcBorders>
          </w:tcPr>
          <w:p>
            <w:pPr>
              <w:spacing w:after="0"/>
              <w:rPr>
                <w:sz w:val="6"/>
                <w:szCs w:val="6"/>
                <w:color w:val="auto"/>
              </w:rPr>
            </w:pPr>
          </w:p>
        </w:tc>
        <w:tc>
          <w:tcPr>
            <w:tcW w:w="738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180" w:type="dxa"/>
            <w:vAlign w:val="bottom"/>
            <w:vMerge w:val="restart"/>
          </w:tcPr>
          <w:p>
            <w:pPr>
              <w:jc w:val="right"/>
              <w:ind w:right="449"/>
              <w:spacing w:after="0"/>
              <w:rPr>
                <w:sz w:val="20"/>
                <w:szCs w:val="20"/>
                <w:color w:val="auto"/>
              </w:rPr>
            </w:pPr>
            <w:r>
              <w:rPr>
                <w:rFonts w:ascii="Arial" w:cs="Arial" w:eastAsia="Arial" w:hAnsi="Arial"/>
                <w:sz w:val="14"/>
                <w:szCs w:val="14"/>
                <w:b w:val="1"/>
                <w:bCs w:val="1"/>
                <w:color w:val="auto"/>
              </w:rPr>
              <w:t>2016</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021496"/>
              </w:rPr>
              <w:t>60%</w:t>
            </w: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021496"/>
              </w:rPr>
              <w:t>/ 28%</w:t>
            </w:r>
          </w:p>
        </w:tc>
        <w:tc>
          <w:tcPr>
            <w:tcW w:w="7380" w:type="dxa"/>
            <w:vAlign w:val="bottom"/>
          </w:tcPr>
          <w:p>
            <w:pPr>
              <w:ind w:left="400"/>
              <w:spacing w:after="0" w:line="148"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Adoption of proxy access</w:t>
            </w:r>
          </w:p>
        </w:tc>
        <w:tc>
          <w:tcPr>
            <w:tcW w:w="0" w:type="dxa"/>
            <w:vAlign w:val="bottom"/>
          </w:tcPr>
          <w:p>
            <w:pPr>
              <w:spacing w:after="0"/>
              <w:rPr>
                <w:sz w:val="1"/>
                <w:szCs w:val="1"/>
                <w:color w:val="auto"/>
              </w:rPr>
            </w:pPr>
          </w:p>
        </w:tc>
      </w:tr>
      <w:tr>
        <w:trPr>
          <w:trHeight w:val="224"/>
        </w:trPr>
        <w:tc>
          <w:tcPr>
            <w:tcW w:w="118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7380" w:type="dxa"/>
            <w:vAlign w:val="bottom"/>
          </w:tcPr>
          <w:p>
            <w:pPr>
              <w:ind w:left="4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Put forth management proposal to provide shareholders with written consent right – did not pass</w:t>
            </w:r>
          </w:p>
        </w:tc>
        <w:tc>
          <w:tcPr>
            <w:tcW w:w="0" w:type="dxa"/>
            <w:vAlign w:val="bottom"/>
          </w:tcPr>
          <w:p>
            <w:pPr>
              <w:spacing w:after="0"/>
              <w:rPr>
                <w:sz w:val="1"/>
                <w:szCs w:val="1"/>
                <w:color w:val="auto"/>
              </w:rPr>
            </w:pPr>
          </w:p>
        </w:tc>
      </w:tr>
      <w:tr>
        <w:trPr>
          <w:trHeight w:val="89"/>
        </w:trPr>
        <w:tc>
          <w:tcPr>
            <w:tcW w:w="1180" w:type="dxa"/>
            <w:vAlign w:val="bottom"/>
            <w:tcBorders>
              <w:bottom w:val="single" w:sz="8" w:color="7F7F7F"/>
            </w:tcBorders>
          </w:tcPr>
          <w:p>
            <w:pPr>
              <w:spacing w:after="0"/>
              <w:rPr>
                <w:sz w:val="7"/>
                <w:szCs w:val="7"/>
                <w:color w:val="auto"/>
              </w:rPr>
            </w:pPr>
          </w:p>
        </w:tc>
        <w:tc>
          <w:tcPr>
            <w:tcW w:w="840" w:type="dxa"/>
            <w:vAlign w:val="bottom"/>
            <w:tcBorders>
              <w:bottom w:val="single" w:sz="8" w:color="7F7F7F"/>
            </w:tcBorders>
          </w:tcPr>
          <w:p>
            <w:pPr>
              <w:spacing w:after="0"/>
              <w:rPr>
                <w:sz w:val="7"/>
                <w:szCs w:val="7"/>
                <w:color w:val="auto"/>
              </w:rPr>
            </w:pPr>
          </w:p>
        </w:tc>
        <w:tc>
          <w:tcPr>
            <w:tcW w:w="780" w:type="dxa"/>
            <w:vAlign w:val="bottom"/>
            <w:tcBorders>
              <w:bottom w:val="single" w:sz="8" w:color="7F7F7F"/>
            </w:tcBorders>
          </w:tcPr>
          <w:p>
            <w:pPr>
              <w:spacing w:after="0"/>
              <w:rPr>
                <w:sz w:val="7"/>
                <w:szCs w:val="7"/>
                <w:color w:val="auto"/>
              </w:rPr>
            </w:pPr>
          </w:p>
        </w:tc>
        <w:tc>
          <w:tcPr>
            <w:tcW w:w="738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180" w:type="dxa"/>
            <w:vAlign w:val="bottom"/>
            <w:tcBorders>
              <w:bottom w:val="single" w:sz="8" w:color="7F7F7F"/>
            </w:tcBorders>
          </w:tcPr>
          <w:p>
            <w:pPr>
              <w:jc w:val="right"/>
              <w:ind w:right="449"/>
              <w:spacing w:after="0"/>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4"/>
                <w:szCs w:val="14"/>
                <w:b w:val="1"/>
                <w:bCs w:val="1"/>
                <w:color w:val="021496"/>
              </w:rPr>
              <w:t>39%</w:t>
            </w:r>
          </w:p>
        </w:tc>
        <w:tc>
          <w:tcPr>
            <w:tcW w:w="780" w:type="dxa"/>
            <w:vAlign w:val="bottom"/>
            <w:tcBorders>
              <w:bottom w:val="single" w:sz="8" w:color="7F7F7F"/>
            </w:tcBorders>
          </w:tcPr>
          <w:p>
            <w:pPr>
              <w:ind w:left="20"/>
              <w:spacing w:after="0"/>
              <w:rPr>
                <w:sz w:val="20"/>
                <w:szCs w:val="20"/>
                <w:color w:val="auto"/>
              </w:rPr>
            </w:pPr>
            <w:r>
              <w:rPr>
                <w:rFonts w:ascii="Arial" w:cs="Arial" w:eastAsia="Arial" w:hAnsi="Arial"/>
                <w:sz w:val="14"/>
                <w:szCs w:val="14"/>
                <w:b w:val="1"/>
                <w:bCs w:val="1"/>
                <w:color w:val="021496"/>
              </w:rPr>
              <w:t>/ 24%</w:t>
            </w:r>
          </w:p>
        </w:tc>
        <w:tc>
          <w:tcPr>
            <w:tcW w:w="7380" w:type="dxa"/>
            <w:vAlign w:val="bottom"/>
            <w:tcBorders>
              <w:bottom w:val="single" w:sz="8" w:color="7F7F7F"/>
            </w:tcBorders>
          </w:tcPr>
          <w:p>
            <w:pPr>
              <w:ind w:left="4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Launch of governance-focused shareholder engagement program</w:t>
            </w:r>
          </w:p>
        </w:tc>
        <w:tc>
          <w:tcPr>
            <w:tcW w:w="0" w:type="dxa"/>
            <w:vAlign w:val="bottom"/>
          </w:tcPr>
          <w:p>
            <w:pPr>
              <w:spacing w:after="0"/>
              <w:rPr>
                <w:sz w:val="1"/>
                <w:szCs w:val="1"/>
                <w:color w:val="auto"/>
              </w:rPr>
            </w:pPr>
          </w:p>
        </w:tc>
      </w:tr>
      <w:tr>
        <w:trPr>
          <w:trHeight w:val="224"/>
        </w:trPr>
        <w:tc>
          <w:tcPr>
            <w:tcW w:w="1180" w:type="dxa"/>
            <w:vAlign w:val="bottom"/>
          </w:tcPr>
          <w:p>
            <w:pPr>
              <w:jc w:val="right"/>
              <w:ind w:right="449"/>
              <w:spacing w:after="0"/>
              <w:rPr>
                <w:sz w:val="20"/>
                <w:szCs w:val="20"/>
                <w:color w:val="auto"/>
              </w:rPr>
            </w:pPr>
            <w:r>
              <w:rPr>
                <w:rFonts w:ascii="Arial" w:cs="Arial" w:eastAsia="Arial" w:hAnsi="Arial"/>
                <w:sz w:val="14"/>
                <w:szCs w:val="14"/>
                <w:b w:val="1"/>
                <w:bCs w:val="1"/>
                <w:color w:val="auto"/>
              </w:rPr>
              <w:t>2014</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021496"/>
              </w:rPr>
              <w:t>-</w:t>
            </w:r>
          </w:p>
        </w:tc>
        <w:tc>
          <w:tcPr>
            <w:tcW w:w="780" w:type="dxa"/>
            <w:vAlign w:val="bottom"/>
          </w:tcPr>
          <w:p>
            <w:pPr>
              <w:ind w:left="20"/>
              <w:spacing w:after="0"/>
              <w:rPr>
                <w:sz w:val="20"/>
                <w:szCs w:val="20"/>
                <w:color w:val="auto"/>
              </w:rPr>
            </w:pPr>
            <w:r>
              <w:rPr>
                <w:rFonts w:ascii="Arial" w:cs="Arial" w:eastAsia="Arial" w:hAnsi="Arial"/>
                <w:sz w:val="14"/>
                <w:szCs w:val="14"/>
                <w:b w:val="1"/>
                <w:bCs w:val="1"/>
                <w:color w:val="021496"/>
              </w:rPr>
              <w:t>/ -</w:t>
            </w:r>
          </w:p>
        </w:tc>
        <w:tc>
          <w:tcPr>
            <w:tcW w:w="7380" w:type="dxa"/>
            <w:vAlign w:val="bottom"/>
          </w:tcPr>
          <w:p>
            <w:pPr>
              <w:ind w:left="4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Adoption of special meeting right</w:t>
            </w:r>
          </w:p>
        </w:tc>
        <w:tc>
          <w:tcPr>
            <w:tcW w:w="0" w:type="dxa"/>
            <w:vAlign w:val="bottom"/>
          </w:tcPr>
          <w:p>
            <w:pPr>
              <w:spacing w:after="0"/>
              <w:rPr>
                <w:sz w:val="1"/>
                <w:szCs w:val="1"/>
                <w:color w:val="auto"/>
              </w:rPr>
            </w:pPr>
          </w:p>
        </w:tc>
      </w:tr>
      <w:tr>
        <w:trPr>
          <w:trHeight w:val="30"/>
        </w:trPr>
        <w:tc>
          <w:tcPr>
            <w:tcW w:w="1180" w:type="dxa"/>
            <w:vAlign w:val="bottom"/>
            <w:tcBorders>
              <w:bottom w:val="single" w:sz="8" w:color="7F7F7F"/>
            </w:tcBorders>
          </w:tcPr>
          <w:p>
            <w:pPr>
              <w:spacing w:after="0"/>
              <w:rPr>
                <w:sz w:val="2"/>
                <w:szCs w:val="2"/>
                <w:color w:val="auto"/>
              </w:rPr>
            </w:pPr>
          </w:p>
        </w:tc>
        <w:tc>
          <w:tcPr>
            <w:tcW w:w="840" w:type="dxa"/>
            <w:vAlign w:val="bottom"/>
            <w:tcBorders>
              <w:bottom w:val="single" w:sz="8" w:color="7F7F7F"/>
            </w:tcBorders>
          </w:tcPr>
          <w:p>
            <w:pPr>
              <w:spacing w:after="0"/>
              <w:rPr>
                <w:sz w:val="2"/>
                <w:szCs w:val="2"/>
                <w:color w:val="auto"/>
              </w:rPr>
            </w:pPr>
          </w:p>
        </w:tc>
        <w:tc>
          <w:tcPr>
            <w:tcW w:w="780" w:type="dxa"/>
            <w:vAlign w:val="bottom"/>
            <w:tcBorders>
              <w:bottom w:val="single" w:sz="8" w:color="7F7F7F"/>
            </w:tcBorders>
          </w:tcPr>
          <w:p>
            <w:pPr>
              <w:spacing w:after="0"/>
              <w:rPr>
                <w:sz w:val="2"/>
                <w:szCs w:val="2"/>
                <w:color w:val="auto"/>
              </w:rPr>
            </w:pPr>
          </w:p>
        </w:tc>
        <w:tc>
          <w:tcPr>
            <w:tcW w:w="738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32</w:t>
      </w:r>
    </w:p>
    <w:p>
      <w:pPr>
        <w:sectPr>
          <w:pgSz w:w="11900" w:h="16838" w:orient="portrait"/>
          <w:cols w:equalWidth="0" w:num="1">
            <w:col w:w="11080"/>
          </w:cols>
          <w:pgMar w:left="320" w:top="456" w:right="49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Environmental, Social, and Governance Oversight (ESG)</w:t>
      </w:r>
    </w:p>
    <w:p>
      <w:pPr>
        <w:spacing w:after="0" w:line="117" w:lineRule="exact"/>
        <w:rPr>
          <w:sz w:val="20"/>
          <w:szCs w:val="20"/>
          <w:color w:val="auto"/>
        </w:rPr>
      </w:pPr>
    </w:p>
    <w:p>
      <w:pPr>
        <w:ind w:left="160" w:right="60"/>
        <w:spacing w:after="0" w:line="248" w:lineRule="auto"/>
        <w:rPr>
          <w:sz w:val="20"/>
          <w:szCs w:val="20"/>
          <w:color w:val="auto"/>
        </w:rPr>
      </w:pPr>
      <w:r>
        <w:rPr>
          <w:rFonts w:ascii="Arial" w:cs="Arial" w:eastAsia="Arial" w:hAnsi="Arial"/>
          <w:sz w:val="16"/>
          <w:szCs w:val="16"/>
          <w:color w:val="auto"/>
        </w:rPr>
        <w:t>Throughout our history, our commitment to corporate responsibility and sustainability has created significant value for our shareholders and stakeholders. Across our portfolio of businesses and our team of employees, we remain focused on operating and innovating sustainably to help meet the goals of our customers, realize the full potential of our employees through a culture that supports and values their efforts, and make the communities in which we operate stronger. For more information on our initiatives and accomplishments, please visit https://www.dovercorporation.com/sustainability/overview.</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Materiality Analysis</w:t>
      </w:r>
    </w:p>
    <w:p>
      <w:pPr>
        <w:spacing w:after="0" w:line="193" w:lineRule="exact"/>
        <w:rPr>
          <w:sz w:val="20"/>
          <w:szCs w:val="20"/>
          <w:color w:val="auto"/>
        </w:rPr>
      </w:pPr>
    </w:p>
    <w:p>
      <w:pPr>
        <w:ind w:left="160" w:right="260"/>
        <w:spacing w:after="0" w:line="247" w:lineRule="auto"/>
        <w:rPr>
          <w:sz w:val="20"/>
          <w:szCs w:val="20"/>
          <w:color w:val="auto"/>
        </w:rPr>
      </w:pPr>
      <w:r>
        <w:rPr>
          <w:rFonts w:ascii="Arial" w:cs="Arial" w:eastAsia="Arial" w:hAnsi="Arial"/>
          <w:sz w:val="16"/>
          <w:szCs w:val="16"/>
          <w:color w:val="auto"/>
        </w:rPr>
        <w:t>We conducted a materiality analysis in 2020 to identify the ESG issues most important to our business and stakeholders. Please see below for the specific areas of focus identified through the analysis. The findings from the materiality analysis were used by our Sustainability Steering Committee, comprised of our corporate and business leaders, to identify the ESG topics that are most critical to the company. These ESG areas of focus will guide our sustainability strategy moving forward as we implement a three-year ESG plan. For each sustainability topic, we are applying our resources, expertise, and innovation to improve outcomes and drive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128270</wp:posOffset>
            </wp:positionV>
            <wp:extent cx="5010785" cy="2683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10785"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940" w:hanging="241"/>
        <w:spacing w:after="0"/>
        <w:tabs>
          <w:tab w:leader="none" w:pos="19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Dover progress information to be provided on these topics in 2022</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Governance Oversight of ESG</w:t>
      </w:r>
    </w:p>
    <w:p>
      <w:pPr>
        <w:spacing w:after="0" w:line="193" w:lineRule="exact"/>
        <w:rPr>
          <w:sz w:val="20"/>
          <w:szCs w:val="20"/>
          <w:color w:val="auto"/>
        </w:rPr>
      </w:pPr>
    </w:p>
    <w:p>
      <w:pPr>
        <w:ind w:left="160" w:right="180"/>
        <w:spacing w:after="0" w:line="246" w:lineRule="auto"/>
        <w:rPr>
          <w:sz w:val="20"/>
          <w:szCs w:val="20"/>
          <w:color w:val="auto"/>
        </w:rPr>
      </w:pPr>
      <w:r>
        <w:rPr>
          <w:rFonts w:ascii="Arial" w:cs="Arial" w:eastAsia="Arial" w:hAnsi="Arial"/>
          <w:sz w:val="16"/>
          <w:szCs w:val="16"/>
          <w:color w:val="auto"/>
        </w:rPr>
        <w:t>Our governance framework serves as a strong foundation to promote the long-term interests of our shareholders. Our Board oversees our long-term strategic development and enterprise risk, including ESG risks. The Board’s oversight spans a wide array of ESG issues, including those related to climate change, health and safety, diversity and inclusion, ethics and compliance, and long-term environmental protection. As part of its continued focus on sustainability, our Board incorporates ESG oversight into the CEO’s annual performance and compensation evaluation as one of the CEO’s strategic objectives. The Board also has established a comprehensive enterprise risk management process to identify and manage risks, including any risks related to environmental and social issues.</w:t>
      </w:r>
    </w:p>
    <w:p>
      <w:pPr>
        <w:spacing w:after="0" w:line="166" w:lineRule="exact"/>
        <w:rPr>
          <w:sz w:val="20"/>
          <w:szCs w:val="20"/>
          <w:color w:val="auto"/>
        </w:rPr>
      </w:pPr>
    </w:p>
    <w:p>
      <w:pPr>
        <w:ind w:left="160" w:right="220"/>
        <w:spacing w:after="0" w:line="250" w:lineRule="auto"/>
        <w:rPr>
          <w:sz w:val="20"/>
          <w:szCs w:val="20"/>
          <w:color w:val="auto"/>
        </w:rPr>
      </w:pPr>
      <w:r>
        <w:rPr>
          <w:rFonts w:ascii="Arial" w:cs="Arial" w:eastAsia="Arial" w:hAnsi="Arial"/>
          <w:sz w:val="16"/>
          <w:szCs w:val="16"/>
          <w:color w:val="auto"/>
        </w:rPr>
        <w:t>Additionally, our cross-functional Sustainability Steering Committee was established in 2020 to manage ESG issues, meets at least four times per year, and provides an update to the Board at least annually. The Committee is responsible for guiding our sustainability strategy, initiatives, target-setting, performance, and reporting.</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33</w:t>
      </w:r>
    </w:p>
    <w:p>
      <w:pPr>
        <w:sectPr>
          <w:pgSz w:w="11900" w:h="16838" w:orient="portrait"/>
          <w:cols w:equalWidth="0" w:num="1">
            <w:col w:w="11080"/>
          </w:cols>
          <w:pgMar w:left="320" w:top="456"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Progress Toward Goals</w:t>
      </w:r>
    </w:p>
    <w:p>
      <w:pPr>
        <w:spacing w:after="0" w:line="206" w:lineRule="exact"/>
        <w:rPr>
          <w:sz w:val="20"/>
          <w:szCs w:val="20"/>
          <w:color w:val="auto"/>
        </w:rPr>
      </w:pPr>
    </w:p>
    <w:p>
      <w:pPr>
        <w:ind w:left="160" w:right="180"/>
        <w:spacing w:after="0" w:line="246" w:lineRule="auto"/>
        <w:rPr>
          <w:sz w:val="20"/>
          <w:szCs w:val="20"/>
          <w:color w:val="auto"/>
        </w:rPr>
      </w:pPr>
      <w:r>
        <w:rPr>
          <w:rFonts w:ascii="Arial" w:cs="Arial" w:eastAsia="Arial" w:hAnsi="Arial"/>
          <w:sz w:val="16"/>
          <w:szCs w:val="16"/>
          <w:color w:val="auto"/>
        </w:rPr>
        <w:t>In 2021, we made progress on a number of fronts in line with our three-year ESG plan. We formalized our commitment to science-based emissions targets by announcing a goal of reducing scope 1 and scope 2 market-based GHG emissions of 30 percent by 2030 (from a 2019 baseline year) and reducing scope 3 GHG emissions of 15 percent by 2030 (from a 2019 baseline year). We also conducted a TCFD-aligned climate risk assessment and scenario analysis and recently published a summary of the results on our website to further improve transparency regarding our ESG areas of focus. Also, as part of our efforts around increasing our focus on developing products that help our customers meet their sustainability goals, we engaged with some of our operating companies during 2021 regarding innovation for sustainable products. Finally, we announced new goals regarding diversity &amp; inclusion and TRIR reduction.</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34</w:t>
      </w:r>
    </w:p>
    <w:p>
      <w:pPr>
        <w:sectPr>
          <w:pgSz w:w="11900" w:h="16838" w:orient="portrait"/>
          <w:cols w:equalWidth="0" w:num="1">
            <w:col w:w="11080"/>
          </w:cols>
          <w:pgMar w:left="320" w:top="45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Directors’ Compensation</w:t>
      </w:r>
    </w:p>
    <w:p>
      <w:pPr>
        <w:spacing w:after="0" w:line="117" w:lineRule="exact"/>
        <w:rPr>
          <w:sz w:val="20"/>
          <w:szCs w:val="20"/>
          <w:color w:val="auto"/>
        </w:rPr>
      </w:pPr>
    </w:p>
    <w:p>
      <w:pPr>
        <w:ind w:left="160" w:right="160"/>
        <w:spacing w:after="0" w:line="250" w:lineRule="auto"/>
        <w:rPr>
          <w:sz w:val="20"/>
          <w:szCs w:val="20"/>
          <w:color w:val="auto"/>
        </w:rPr>
      </w:pPr>
      <w:r>
        <w:rPr>
          <w:rFonts w:ascii="Arial" w:cs="Arial" w:eastAsia="Arial" w:hAnsi="Arial"/>
          <w:sz w:val="16"/>
          <w:szCs w:val="16"/>
          <w:color w:val="auto"/>
        </w:rPr>
        <w:t>Our non-employee directors’ annual compensation is payable partly in cash and partly in common stock in an allocation our Board may adjust from time to time. If any director serves for less than a full calendar year, the compensation to be paid to that director for the year will be pro-rated as deemed appropriate by our Compensation Committee.</w:t>
      </w:r>
    </w:p>
    <w:p>
      <w:pPr>
        <w:spacing w:after="0" w:line="161"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Our Board has adopted a policy that directors are expected to hold at any time a number of shares at least equal to the aggregate number of shares they received as the stock portion of their annual retainer during the past five years, net of an assumed 30%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123190</wp:posOffset>
            </wp:positionV>
            <wp:extent cx="69297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6"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FOR 2021, NON-EMPLOYEE DIRECTOR COMPENSATION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153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9755" cy="153035"/>
                    </a:xfrm>
                    <a:prstGeom prst="rect">
                      <a:avLst/>
                    </a:prstGeom>
                    <a:noFill/>
                  </pic:spPr>
                </pic:pic>
              </a:graphicData>
            </a:graphic>
          </wp:anchor>
        </w:drawing>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Annual retainer of $270,000, payable $150,000 in common stock and $120,000 in cash</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Audit Committee Chair — additional annual cash retainer of $30,000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17780</wp:posOffset>
            </wp:positionV>
            <wp:extent cx="6929755" cy="144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Compensation Committee Chair — additional annual cash retainer of $20,000</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Governance and Nominating Committee Chair and Finance Committee Chair — additional annual cash retainer of $15,000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17780</wp:posOffset>
            </wp:positionV>
            <wp:extent cx="6929755" cy="144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Board Chair — additional annual retainer of $170,000, payable $130,000 in cash and $40,000 in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17780</wp:posOffset>
            </wp:positionV>
            <wp:extent cx="69297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7" w:lineRule="exact"/>
        <w:rPr>
          <w:sz w:val="20"/>
          <w:szCs w:val="20"/>
          <w:color w:val="auto"/>
        </w:rPr>
      </w:pPr>
    </w:p>
    <w:p>
      <w:pPr>
        <w:ind w:left="160" w:right="80"/>
        <w:spacing w:after="0" w:line="247" w:lineRule="auto"/>
        <w:rPr>
          <w:sz w:val="20"/>
          <w:szCs w:val="20"/>
          <w:color w:val="auto"/>
        </w:rPr>
      </w:pPr>
      <w:r>
        <w:rPr>
          <w:rFonts w:ascii="Arial" w:cs="Arial" w:eastAsia="Arial" w:hAnsi="Arial"/>
          <w:sz w:val="16"/>
          <w:szCs w:val="16"/>
          <w:color w:val="auto"/>
        </w:rPr>
        <w:t>Under our 2021 LTIP, each non-employee director can elect to defer the receipt of 0%, 50%, or 100% of the equity compensation payable in a year until termination of services as a non-employee director. Shares deferred are converted into deferred stock units representing the right to receive one share of our common stock for each unit held at the end of the deferral period. Dividend equivalents are credited on deferred stock units and will be distributed in cash at the time that shares are distributed in settlement of deferred stock units. Messrs. Johnston, Spiegel, Todd, and Wagner and Mses. Graham and DeHaas elected to defer receipt of their 2021 equity compensation and received deferred stock units.</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table below sets forth the compensation paid to our directors for services in 2021.</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96"/>
        </w:trPr>
        <w:tc>
          <w:tcPr>
            <w:tcW w:w="5380" w:type="dxa"/>
            <w:vAlign w:val="bottom"/>
            <w:tcBorders>
              <w:top w:val="single" w:sz="8" w:color="021496"/>
              <w:right w:val="single" w:sz="8" w:color="999999"/>
            </w:tcBorders>
          </w:tcPr>
          <w:p>
            <w:pPr>
              <w:spacing w:after="0"/>
              <w:rPr>
                <w:sz w:val="17"/>
                <w:szCs w:val="17"/>
                <w:color w:val="auto"/>
              </w:rPr>
            </w:pPr>
          </w:p>
        </w:tc>
        <w:tc>
          <w:tcPr>
            <w:tcW w:w="2360" w:type="dxa"/>
            <w:vAlign w:val="bottom"/>
            <w:tcBorders>
              <w:top w:val="single" w:sz="8" w:color="021496"/>
            </w:tcBorders>
          </w:tcPr>
          <w:p>
            <w:pPr>
              <w:jc w:val="right"/>
              <w:ind w:right="440"/>
              <w:spacing w:after="0"/>
              <w:rPr>
                <w:sz w:val="20"/>
                <w:szCs w:val="20"/>
                <w:color w:val="auto"/>
              </w:rPr>
            </w:pPr>
            <w:r>
              <w:rPr>
                <w:rFonts w:ascii="Arial" w:cs="Arial" w:eastAsia="Arial" w:hAnsi="Arial"/>
                <w:sz w:val="16"/>
                <w:szCs w:val="16"/>
                <w:b w:val="1"/>
                <w:bCs w:val="1"/>
                <w:color w:val="auto"/>
              </w:rPr>
              <w:t>FEES EARNED</w:t>
            </w:r>
          </w:p>
        </w:tc>
        <w:tc>
          <w:tcPr>
            <w:tcW w:w="2000" w:type="dxa"/>
            <w:vAlign w:val="bottom"/>
            <w:tcBorders>
              <w:top w:val="single" w:sz="8" w:color="021496"/>
            </w:tcBorders>
          </w:tcPr>
          <w:p>
            <w:pPr>
              <w:jc w:val="right"/>
              <w:ind w:right="660"/>
              <w:spacing w:after="0"/>
              <w:rPr>
                <w:sz w:val="20"/>
                <w:szCs w:val="20"/>
                <w:color w:val="auto"/>
              </w:rPr>
            </w:pPr>
            <w:r>
              <w:rPr>
                <w:rFonts w:ascii="Arial" w:cs="Arial" w:eastAsia="Arial" w:hAnsi="Arial"/>
                <w:sz w:val="16"/>
                <w:szCs w:val="16"/>
                <w:b w:val="1"/>
                <w:bCs w:val="1"/>
                <w:color w:val="auto"/>
              </w:rPr>
              <w:t>STOCK</w:t>
            </w:r>
          </w:p>
        </w:tc>
        <w:tc>
          <w:tcPr>
            <w:tcW w:w="1180" w:type="dxa"/>
            <w:vAlign w:val="bottom"/>
            <w:tcBorders>
              <w:top w:val="single" w:sz="8" w:color="021496"/>
            </w:tcBorders>
          </w:tcPr>
          <w:p>
            <w:pPr>
              <w:spacing w:after="0"/>
              <w:rPr>
                <w:sz w:val="17"/>
                <w:szCs w:val="17"/>
                <w:color w:val="auto"/>
              </w:rPr>
            </w:pPr>
          </w:p>
        </w:tc>
      </w:tr>
      <w:tr>
        <w:trPr>
          <w:trHeight w:val="187"/>
        </w:trPr>
        <w:tc>
          <w:tcPr>
            <w:tcW w:w="5380" w:type="dxa"/>
            <w:vAlign w:val="bottom"/>
            <w:tcBorders>
              <w:right w:val="single" w:sz="8" w:color="999999"/>
            </w:tcBorders>
          </w:tcPr>
          <w:p>
            <w:pPr>
              <w:spacing w:after="0"/>
              <w:rPr>
                <w:sz w:val="16"/>
                <w:szCs w:val="16"/>
                <w:color w:val="auto"/>
              </w:rPr>
            </w:pPr>
          </w:p>
        </w:tc>
        <w:tc>
          <w:tcPr>
            <w:tcW w:w="2360" w:type="dxa"/>
            <w:vAlign w:val="bottom"/>
          </w:tcPr>
          <w:p>
            <w:pPr>
              <w:jc w:val="right"/>
              <w:ind w:right="700"/>
              <w:spacing w:after="0"/>
              <w:rPr>
                <w:sz w:val="20"/>
                <w:szCs w:val="20"/>
                <w:color w:val="auto"/>
              </w:rPr>
            </w:pPr>
            <w:r>
              <w:rPr>
                <w:rFonts w:ascii="Arial" w:cs="Arial" w:eastAsia="Arial" w:hAnsi="Arial"/>
                <w:sz w:val="16"/>
                <w:szCs w:val="16"/>
                <w:b w:val="1"/>
                <w:bCs w:val="1"/>
                <w:color w:val="auto"/>
              </w:rPr>
              <w:t>OR PAID</w:t>
            </w:r>
          </w:p>
        </w:tc>
        <w:tc>
          <w:tcPr>
            <w:tcW w:w="2000" w:type="dxa"/>
            <w:vAlign w:val="bottom"/>
          </w:tcPr>
          <w:p>
            <w:pPr>
              <w:jc w:val="right"/>
              <w:ind w:right="460"/>
              <w:spacing w:after="0"/>
              <w:rPr>
                <w:sz w:val="20"/>
                <w:szCs w:val="20"/>
                <w:color w:val="auto"/>
              </w:rPr>
            </w:pPr>
            <w:r>
              <w:rPr>
                <w:rFonts w:ascii="Arial" w:cs="Arial" w:eastAsia="Arial" w:hAnsi="Arial"/>
                <w:sz w:val="16"/>
                <w:szCs w:val="16"/>
                <w:b w:val="1"/>
                <w:bCs w:val="1"/>
                <w:color w:val="auto"/>
              </w:rPr>
              <w:t>AWARDS ($)</w:t>
            </w:r>
          </w:p>
        </w:tc>
        <w:tc>
          <w:tcPr>
            <w:tcW w:w="1180" w:type="dxa"/>
            <w:vAlign w:val="bottom"/>
          </w:tcPr>
          <w:p>
            <w:pPr>
              <w:ind w:left="540"/>
              <w:spacing w:after="0"/>
              <w:rPr>
                <w:sz w:val="20"/>
                <w:szCs w:val="20"/>
                <w:color w:val="auto"/>
              </w:rPr>
            </w:pPr>
            <w:r>
              <w:rPr>
                <w:rFonts w:ascii="Arial" w:cs="Arial" w:eastAsia="Arial" w:hAnsi="Arial"/>
                <w:sz w:val="16"/>
                <w:szCs w:val="16"/>
                <w:b w:val="1"/>
                <w:bCs w:val="1"/>
                <w:color w:val="auto"/>
              </w:rPr>
              <w:t>TOTAL</w:t>
            </w:r>
          </w:p>
        </w:tc>
      </w:tr>
      <w:tr>
        <w:trPr>
          <w:trHeight w:val="239"/>
        </w:trPr>
        <w:tc>
          <w:tcPr>
            <w:tcW w:w="5380" w:type="dxa"/>
            <w:vAlign w:val="bottom"/>
            <w:tcBorders>
              <w:bottom w:val="single" w:sz="8" w:color="021496"/>
              <w:right w:val="single" w:sz="8" w:color="999999"/>
            </w:tcBorders>
          </w:tcPr>
          <w:p>
            <w:pPr>
              <w:ind w:left="100"/>
              <w:spacing w:after="0"/>
              <w:rPr>
                <w:sz w:val="20"/>
                <w:szCs w:val="20"/>
                <w:color w:val="auto"/>
              </w:rPr>
            </w:pPr>
            <w:r>
              <w:rPr>
                <w:rFonts w:ascii="Arial" w:cs="Arial" w:eastAsia="Arial" w:hAnsi="Arial"/>
                <w:sz w:val="16"/>
                <w:szCs w:val="16"/>
                <w:b w:val="1"/>
                <w:bCs w:val="1"/>
                <w:color w:val="auto"/>
              </w:rPr>
              <w:t>NAME</w:t>
            </w:r>
          </w:p>
        </w:tc>
        <w:tc>
          <w:tcPr>
            <w:tcW w:w="2360" w:type="dxa"/>
            <w:vAlign w:val="bottom"/>
            <w:tcBorders>
              <w:bottom w:val="single" w:sz="8" w:color="021496"/>
            </w:tcBorders>
          </w:tcPr>
          <w:p>
            <w:pPr>
              <w:jc w:val="right"/>
              <w:ind w:right="480"/>
              <w:spacing w:after="0"/>
              <w:rPr>
                <w:sz w:val="20"/>
                <w:szCs w:val="20"/>
                <w:color w:val="auto"/>
              </w:rPr>
            </w:pPr>
            <w:r>
              <w:rPr>
                <w:rFonts w:ascii="Arial" w:cs="Arial" w:eastAsia="Arial" w:hAnsi="Arial"/>
                <w:sz w:val="16"/>
                <w:szCs w:val="16"/>
                <w:b w:val="1"/>
                <w:bCs w:val="1"/>
                <w:color w:val="auto"/>
              </w:rPr>
              <w:t>IN CASH ($)(1)</w:t>
            </w:r>
          </w:p>
        </w:tc>
        <w:tc>
          <w:tcPr>
            <w:tcW w:w="2000" w:type="dxa"/>
            <w:vAlign w:val="bottom"/>
            <w:tcBorders>
              <w:bottom w:val="single" w:sz="8" w:color="021496"/>
            </w:tcBorders>
          </w:tcPr>
          <w:p>
            <w:pPr>
              <w:jc w:val="right"/>
              <w:ind w:right="840"/>
              <w:spacing w:after="0"/>
              <w:rPr>
                <w:sz w:val="20"/>
                <w:szCs w:val="20"/>
                <w:color w:val="auto"/>
              </w:rPr>
            </w:pPr>
            <w:r>
              <w:rPr>
                <w:rFonts w:ascii="Arial" w:cs="Arial" w:eastAsia="Arial" w:hAnsi="Arial"/>
                <w:sz w:val="16"/>
                <w:szCs w:val="16"/>
                <w:b w:val="1"/>
                <w:bCs w:val="1"/>
                <w:color w:val="auto"/>
              </w:rPr>
              <w:t>(2)</w:t>
            </w:r>
          </w:p>
        </w:tc>
        <w:tc>
          <w:tcPr>
            <w:tcW w:w="1180" w:type="dxa"/>
            <w:vAlign w:val="bottom"/>
            <w:tcBorders>
              <w:bottom w:val="single" w:sz="8" w:color="021496"/>
            </w:tcBorders>
          </w:tcPr>
          <w:p>
            <w:pPr>
              <w:ind w:left="700"/>
              <w:spacing w:after="0"/>
              <w:rPr>
                <w:sz w:val="20"/>
                <w:szCs w:val="20"/>
                <w:color w:val="auto"/>
              </w:rPr>
            </w:pPr>
            <w:r>
              <w:rPr>
                <w:rFonts w:ascii="Arial" w:cs="Arial" w:eastAsia="Arial" w:hAnsi="Arial"/>
                <w:sz w:val="16"/>
                <w:szCs w:val="16"/>
                <w:b w:val="1"/>
                <w:bCs w:val="1"/>
                <w:color w:val="auto"/>
              </w:rPr>
              <w:t>($)</w:t>
            </w:r>
          </w:p>
        </w:tc>
      </w:tr>
      <w:tr>
        <w:trPr>
          <w:trHeight w:val="227"/>
        </w:trPr>
        <w:tc>
          <w:tcPr>
            <w:tcW w:w="5380" w:type="dxa"/>
            <w:vAlign w:val="bottom"/>
            <w:tcBorders>
              <w:right w:val="single" w:sz="8" w:color="999999"/>
            </w:tcBorders>
            <w:shd w:val="clear" w:color="auto" w:fill="D8D8D8"/>
          </w:tcPr>
          <w:p>
            <w:pPr>
              <w:ind w:left="100"/>
              <w:spacing w:after="0" w:line="227" w:lineRule="exact"/>
              <w:rPr>
                <w:sz w:val="20"/>
                <w:szCs w:val="20"/>
                <w:color w:val="auto"/>
              </w:rPr>
            </w:pPr>
            <w:r>
              <w:rPr>
                <w:rFonts w:ascii="Arial" w:cs="Arial" w:eastAsia="Arial" w:hAnsi="Arial"/>
                <w:sz w:val="16"/>
                <w:szCs w:val="16"/>
                <w:b w:val="1"/>
                <w:bCs w:val="1"/>
                <w:color w:val="auto"/>
              </w:rPr>
              <w:t>DEBORAH L. DEHAAS</w:t>
            </w:r>
            <w:r>
              <w:rPr>
                <w:rFonts w:ascii="Arial" w:cs="Arial" w:eastAsia="Arial" w:hAnsi="Arial"/>
                <w:sz w:val="26"/>
                <w:szCs w:val="26"/>
                <w:b w:val="1"/>
                <w:bCs w:val="1"/>
                <w:color w:val="auto"/>
                <w:vertAlign w:val="superscript"/>
              </w:rPr>
              <w:t>(3)</w:t>
            </w:r>
          </w:p>
        </w:tc>
        <w:tc>
          <w:tcPr>
            <w:tcW w:w="2360" w:type="dxa"/>
            <w:vAlign w:val="bottom"/>
            <w:shd w:val="clear" w:color="auto" w:fill="D8D8D8"/>
          </w:tcPr>
          <w:p>
            <w:pPr>
              <w:jc w:val="right"/>
              <w:ind w:right="440"/>
              <w:spacing w:after="0"/>
              <w:rPr>
                <w:sz w:val="20"/>
                <w:szCs w:val="20"/>
                <w:color w:val="auto"/>
              </w:rPr>
            </w:pPr>
            <w:r>
              <w:rPr>
                <w:rFonts w:ascii="Arial" w:cs="Arial" w:eastAsia="Arial" w:hAnsi="Arial"/>
                <w:sz w:val="16"/>
                <w:szCs w:val="16"/>
                <w:color w:val="auto"/>
              </w:rPr>
              <w:t>106,521</w:t>
            </w:r>
          </w:p>
        </w:tc>
        <w:tc>
          <w:tcPr>
            <w:tcW w:w="2000" w:type="dxa"/>
            <w:vAlign w:val="bottom"/>
            <w:shd w:val="clear" w:color="auto" w:fill="D8D8D8"/>
          </w:tcPr>
          <w:p>
            <w:pPr>
              <w:jc w:val="right"/>
              <w:ind w:right="460"/>
              <w:spacing w:after="0"/>
              <w:rPr>
                <w:sz w:val="20"/>
                <w:szCs w:val="20"/>
                <w:color w:val="auto"/>
              </w:rPr>
            </w:pPr>
            <w:r>
              <w:rPr>
                <w:rFonts w:ascii="Arial" w:cs="Arial" w:eastAsia="Arial" w:hAnsi="Arial"/>
                <w:sz w:val="16"/>
                <w:szCs w:val="16"/>
                <w:color w:val="auto"/>
              </w:rPr>
              <w:t>133,075</w:t>
            </w:r>
          </w:p>
        </w:tc>
        <w:tc>
          <w:tcPr>
            <w:tcW w:w="1180" w:type="dxa"/>
            <w:vAlign w:val="bottom"/>
            <w:shd w:val="clear" w:color="auto" w:fill="D8D8D8"/>
          </w:tcPr>
          <w:p>
            <w:pPr>
              <w:ind w:left="540"/>
              <w:spacing w:after="0"/>
              <w:rPr>
                <w:sz w:val="20"/>
                <w:szCs w:val="20"/>
                <w:color w:val="auto"/>
              </w:rPr>
            </w:pPr>
            <w:r>
              <w:rPr>
                <w:rFonts w:ascii="Arial" w:cs="Arial" w:eastAsia="Arial" w:hAnsi="Arial"/>
                <w:sz w:val="16"/>
                <w:szCs w:val="16"/>
                <w:color w:val="auto"/>
              </w:rPr>
              <w:t>239,595</w:t>
            </w:r>
          </w:p>
        </w:tc>
      </w:tr>
      <w:tr>
        <w:trPr>
          <w:trHeight w:val="220"/>
        </w:trPr>
        <w:tc>
          <w:tcPr>
            <w:tcW w:w="538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H. JOHN GILBERTSON, JR</w:t>
            </w:r>
          </w:p>
        </w:tc>
        <w:tc>
          <w:tcPr>
            <w:tcW w:w="2360" w:type="dxa"/>
            <w:vAlign w:val="bottom"/>
          </w:tcPr>
          <w:p>
            <w:pPr>
              <w:jc w:val="right"/>
              <w:ind w:right="440"/>
              <w:spacing w:after="0"/>
              <w:rPr>
                <w:sz w:val="20"/>
                <w:szCs w:val="20"/>
                <w:color w:val="auto"/>
              </w:rPr>
            </w:pPr>
            <w:r>
              <w:rPr>
                <w:rFonts w:ascii="Arial" w:cs="Arial" w:eastAsia="Arial" w:hAnsi="Arial"/>
                <w:sz w:val="16"/>
                <w:szCs w:val="16"/>
                <w:color w:val="auto"/>
              </w:rPr>
              <w:t>120,000</w:t>
            </w:r>
          </w:p>
        </w:tc>
        <w:tc>
          <w:tcPr>
            <w:tcW w:w="2000" w:type="dxa"/>
            <w:vAlign w:val="bottom"/>
          </w:tcPr>
          <w:p>
            <w:pPr>
              <w:jc w:val="right"/>
              <w:ind w:right="460"/>
              <w:spacing w:after="0"/>
              <w:rPr>
                <w:sz w:val="20"/>
                <w:szCs w:val="20"/>
                <w:color w:val="auto"/>
              </w:rPr>
            </w:pPr>
            <w:r>
              <w:rPr>
                <w:rFonts w:ascii="Arial" w:cs="Arial" w:eastAsia="Arial" w:hAnsi="Arial"/>
                <w:sz w:val="16"/>
                <w:szCs w:val="16"/>
                <w:color w:val="auto"/>
              </w:rPr>
              <w:t>150,078</w:t>
            </w:r>
          </w:p>
        </w:tc>
        <w:tc>
          <w:tcPr>
            <w:tcW w:w="1180" w:type="dxa"/>
            <w:vAlign w:val="bottom"/>
          </w:tcPr>
          <w:p>
            <w:pPr>
              <w:ind w:left="540"/>
              <w:spacing w:after="0"/>
              <w:rPr>
                <w:sz w:val="20"/>
                <w:szCs w:val="20"/>
                <w:color w:val="auto"/>
              </w:rPr>
            </w:pPr>
            <w:r>
              <w:rPr>
                <w:rFonts w:ascii="Arial" w:cs="Arial" w:eastAsia="Arial" w:hAnsi="Arial"/>
                <w:sz w:val="16"/>
                <w:szCs w:val="16"/>
                <w:color w:val="auto"/>
              </w:rPr>
              <w:t>270,078</w:t>
            </w:r>
          </w:p>
        </w:tc>
      </w:tr>
      <w:tr>
        <w:trPr>
          <w:trHeight w:val="234"/>
        </w:trPr>
        <w:tc>
          <w:tcPr>
            <w:tcW w:w="5380" w:type="dxa"/>
            <w:vAlign w:val="bottom"/>
            <w:tcBorders>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KRISTIANE C. GRAHAM</w:t>
            </w:r>
          </w:p>
        </w:tc>
        <w:tc>
          <w:tcPr>
            <w:tcW w:w="2360" w:type="dxa"/>
            <w:vAlign w:val="bottom"/>
            <w:shd w:val="clear" w:color="auto" w:fill="D8D8D8"/>
          </w:tcPr>
          <w:p>
            <w:pPr>
              <w:jc w:val="right"/>
              <w:ind w:right="440"/>
              <w:spacing w:after="0"/>
              <w:rPr>
                <w:sz w:val="20"/>
                <w:szCs w:val="20"/>
                <w:color w:val="auto"/>
              </w:rPr>
            </w:pPr>
            <w:r>
              <w:rPr>
                <w:rFonts w:ascii="Arial" w:cs="Arial" w:eastAsia="Arial" w:hAnsi="Arial"/>
                <w:sz w:val="16"/>
                <w:szCs w:val="16"/>
                <w:color w:val="auto"/>
              </w:rPr>
              <w:t>120,000</w:t>
            </w:r>
          </w:p>
        </w:tc>
        <w:tc>
          <w:tcPr>
            <w:tcW w:w="2000" w:type="dxa"/>
            <w:vAlign w:val="bottom"/>
            <w:shd w:val="clear" w:color="auto" w:fill="D8D8D8"/>
          </w:tcPr>
          <w:p>
            <w:pPr>
              <w:jc w:val="right"/>
              <w:ind w:right="460"/>
              <w:spacing w:after="0"/>
              <w:rPr>
                <w:sz w:val="20"/>
                <w:szCs w:val="20"/>
                <w:color w:val="auto"/>
              </w:rPr>
            </w:pPr>
            <w:r>
              <w:rPr>
                <w:rFonts w:ascii="Arial" w:cs="Arial" w:eastAsia="Arial" w:hAnsi="Arial"/>
                <w:sz w:val="16"/>
                <w:szCs w:val="16"/>
                <w:color w:val="auto"/>
              </w:rPr>
              <w:t>150,078</w:t>
            </w:r>
          </w:p>
        </w:tc>
        <w:tc>
          <w:tcPr>
            <w:tcW w:w="1180" w:type="dxa"/>
            <w:vAlign w:val="bottom"/>
            <w:shd w:val="clear" w:color="auto" w:fill="D8D8D8"/>
          </w:tcPr>
          <w:p>
            <w:pPr>
              <w:ind w:left="540"/>
              <w:spacing w:after="0"/>
              <w:rPr>
                <w:sz w:val="20"/>
                <w:szCs w:val="20"/>
                <w:color w:val="auto"/>
              </w:rPr>
            </w:pPr>
            <w:r>
              <w:rPr>
                <w:rFonts w:ascii="Arial" w:cs="Arial" w:eastAsia="Arial" w:hAnsi="Arial"/>
                <w:sz w:val="16"/>
                <w:szCs w:val="16"/>
                <w:color w:val="auto"/>
              </w:rPr>
              <w:t>270,078</w:t>
            </w:r>
          </w:p>
        </w:tc>
      </w:tr>
      <w:tr>
        <w:trPr>
          <w:trHeight w:val="220"/>
        </w:trPr>
        <w:tc>
          <w:tcPr>
            <w:tcW w:w="538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MICHAEL F. JOHNSTON</w:t>
            </w:r>
          </w:p>
        </w:tc>
        <w:tc>
          <w:tcPr>
            <w:tcW w:w="2360" w:type="dxa"/>
            <w:vAlign w:val="bottom"/>
          </w:tcPr>
          <w:p>
            <w:pPr>
              <w:jc w:val="right"/>
              <w:ind w:right="440"/>
              <w:spacing w:after="0"/>
              <w:rPr>
                <w:sz w:val="20"/>
                <w:szCs w:val="20"/>
                <w:color w:val="auto"/>
              </w:rPr>
            </w:pPr>
            <w:r>
              <w:rPr>
                <w:rFonts w:ascii="Arial" w:cs="Arial" w:eastAsia="Arial" w:hAnsi="Arial"/>
                <w:sz w:val="16"/>
                <w:szCs w:val="16"/>
                <w:color w:val="auto"/>
              </w:rPr>
              <w:t>250,000</w:t>
            </w:r>
          </w:p>
        </w:tc>
        <w:tc>
          <w:tcPr>
            <w:tcW w:w="2000" w:type="dxa"/>
            <w:vAlign w:val="bottom"/>
          </w:tcPr>
          <w:p>
            <w:pPr>
              <w:jc w:val="right"/>
              <w:ind w:right="460"/>
              <w:spacing w:after="0"/>
              <w:rPr>
                <w:sz w:val="20"/>
                <w:szCs w:val="20"/>
                <w:color w:val="auto"/>
              </w:rPr>
            </w:pPr>
            <w:r>
              <w:rPr>
                <w:rFonts w:ascii="Arial" w:cs="Arial" w:eastAsia="Arial" w:hAnsi="Arial"/>
                <w:sz w:val="16"/>
                <w:szCs w:val="16"/>
                <w:color w:val="auto"/>
              </w:rPr>
              <w:t>189,983</w:t>
            </w:r>
          </w:p>
        </w:tc>
        <w:tc>
          <w:tcPr>
            <w:tcW w:w="1180" w:type="dxa"/>
            <w:vAlign w:val="bottom"/>
          </w:tcPr>
          <w:p>
            <w:pPr>
              <w:ind w:left="540"/>
              <w:spacing w:after="0"/>
              <w:rPr>
                <w:sz w:val="20"/>
                <w:szCs w:val="20"/>
                <w:color w:val="auto"/>
              </w:rPr>
            </w:pPr>
            <w:r>
              <w:rPr>
                <w:rFonts w:ascii="Arial" w:cs="Arial" w:eastAsia="Arial" w:hAnsi="Arial"/>
                <w:sz w:val="16"/>
                <w:szCs w:val="16"/>
                <w:color w:val="auto"/>
              </w:rPr>
              <w:t>439,983</w:t>
            </w:r>
          </w:p>
        </w:tc>
      </w:tr>
      <w:tr>
        <w:trPr>
          <w:trHeight w:val="234"/>
        </w:trPr>
        <w:tc>
          <w:tcPr>
            <w:tcW w:w="5380" w:type="dxa"/>
            <w:vAlign w:val="bottom"/>
            <w:tcBorders>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ERIC A. SPIEGEL</w:t>
            </w:r>
          </w:p>
        </w:tc>
        <w:tc>
          <w:tcPr>
            <w:tcW w:w="2360" w:type="dxa"/>
            <w:vAlign w:val="bottom"/>
            <w:shd w:val="clear" w:color="auto" w:fill="D8D8D8"/>
          </w:tcPr>
          <w:p>
            <w:pPr>
              <w:jc w:val="right"/>
              <w:ind w:right="440"/>
              <w:spacing w:after="0"/>
              <w:rPr>
                <w:sz w:val="20"/>
                <w:szCs w:val="20"/>
                <w:color w:val="auto"/>
              </w:rPr>
            </w:pPr>
            <w:r>
              <w:rPr>
                <w:rFonts w:ascii="Arial" w:cs="Arial" w:eastAsia="Arial" w:hAnsi="Arial"/>
                <w:sz w:val="16"/>
                <w:szCs w:val="16"/>
                <w:color w:val="auto"/>
              </w:rPr>
              <w:t>135,000</w:t>
            </w:r>
          </w:p>
        </w:tc>
        <w:tc>
          <w:tcPr>
            <w:tcW w:w="2000" w:type="dxa"/>
            <w:vAlign w:val="bottom"/>
            <w:shd w:val="clear" w:color="auto" w:fill="D8D8D8"/>
          </w:tcPr>
          <w:p>
            <w:pPr>
              <w:jc w:val="right"/>
              <w:ind w:right="460"/>
              <w:spacing w:after="0"/>
              <w:rPr>
                <w:sz w:val="20"/>
                <w:szCs w:val="20"/>
                <w:color w:val="auto"/>
              </w:rPr>
            </w:pPr>
            <w:r>
              <w:rPr>
                <w:rFonts w:ascii="Arial" w:cs="Arial" w:eastAsia="Arial" w:hAnsi="Arial"/>
                <w:sz w:val="16"/>
                <w:szCs w:val="16"/>
                <w:color w:val="auto"/>
              </w:rPr>
              <w:t>150,078</w:t>
            </w:r>
          </w:p>
        </w:tc>
        <w:tc>
          <w:tcPr>
            <w:tcW w:w="1180" w:type="dxa"/>
            <w:vAlign w:val="bottom"/>
            <w:shd w:val="clear" w:color="auto" w:fill="D8D8D8"/>
          </w:tcPr>
          <w:p>
            <w:pPr>
              <w:ind w:left="540"/>
              <w:spacing w:after="0"/>
              <w:rPr>
                <w:sz w:val="20"/>
                <w:szCs w:val="20"/>
                <w:color w:val="auto"/>
              </w:rPr>
            </w:pPr>
            <w:r>
              <w:rPr>
                <w:rFonts w:ascii="Arial" w:cs="Arial" w:eastAsia="Arial" w:hAnsi="Arial"/>
                <w:sz w:val="16"/>
                <w:szCs w:val="16"/>
                <w:color w:val="auto"/>
              </w:rPr>
              <w:t>285,078</w:t>
            </w:r>
          </w:p>
        </w:tc>
      </w:tr>
      <w:tr>
        <w:trPr>
          <w:trHeight w:val="220"/>
        </w:trPr>
        <w:tc>
          <w:tcPr>
            <w:tcW w:w="538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STEPHEN M. TODD</w:t>
            </w:r>
          </w:p>
        </w:tc>
        <w:tc>
          <w:tcPr>
            <w:tcW w:w="2360" w:type="dxa"/>
            <w:vAlign w:val="bottom"/>
          </w:tcPr>
          <w:p>
            <w:pPr>
              <w:jc w:val="right"/>
              <w:ind w:right="440"/>
              <w:spacing w:after="0"/>
              <w:rPr>
                <w:sz w:val="20"/>
                <w:szCs w:val="20"/>
                <w:color w:val="auto"/>
              </w:rPr>
            </w:pPr>
            <w:r>
              <w:rPr>
                <w:rFonts w:ascii="Arial" w:cs="Arial" w:eastAsia="Arial" w:hAnsi="Arial"/>
                <w:sz w:val="16"/>
                <w:szCs w:val="16"/>
                <w:color w:val="auto"/>
              </w:rPr>
              <w:t>150,000</w:t>
            </w:r>
          </w:p>
        </w:tc>
        <w:tc>
          <w:tcPr>
            <w:tcW w:w="2000" w:type="dxa"/>
            <w:vAlign w:val="bottom"/>
          </w:tcPr>
          <w:p>
            <w:pPr>
              <w:jc w:val="right"/>
              <w:ind w:right="460"/>
              <w:spacing w:after="0"/>
              <w:rPr>
                <w:sz w:val="20"/>
                <w:szCs w:val="20"/>
                <w:color w:val="auto"/>
              </w:rPr>
            </w:pPr>
            <w:r>
              <w:rPr>
                <w:rFonts w:ascii="Arial" w:cs="Arial" w:eastAsia="Arial" w:hAnsi="Arial"/>
                <w:sz w:val="16"/>
                <w:szCs w:val="16"/>
                <w:color w:val="auto"/>
              </w:rPr>
              <w:t>150,078</w:t>
            </w:r>
          </w:p>
        </w:tc>
        <w:tc>
          <w:tcPr>
            <w:tcW w:w="1180" w:type="dxa"/>
            <w:vAlign w:val="bottom"/>
          </w:tcPr>
          <w:p>
            <w:pPr>
              <w:ind w:left="540"/>
              <w:spacing w:after="0"/>
              <w:rPr>
                <w:sz w:val="20"/>
                <w:szCs w:val="20"/>
                <w:color w:val="auto"/>
              </w:rPr>
            </w:pPr>
            <w:r>
              <w:rPr>
                <w:rFonts w:ascii="Arial" w:cs="Arial" w:eastAsia="Arial" w:hAnsi="Arial"/>
                <w:sz w:val="16"/>
                <w:szCs w:val="16"/>
                <w:color w:val="auto"/>
              </w:rPr>
              <w:t>300,078</w:t>
            </w:r>
          </w:p>
        </w:tc>
      </w:tr>
      <w:tr>
        <w:trPr>
          <w:trHeight w:val="234"/>
        </w:trPr>
        <w:tc>
          <w:tcPr>
            <w:tcW w:w="5380" w:type="dxa"/>
            <w:vAlign w:val="bottom"/>
            <w:tcBorders>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STEPHEN K. WAGNER</w:t>
            </w:r>
          </w:p>
        </w:tc>
        <w:tc>
          <w:tcPr>
            <w:tcW w:w="2360" w:type="dxa"/>
            <w:vAlign w:val="bottom"/>
            <w:shd w:val="clear" w:color="auto" w:fill="D8D8D8"/>
          </w:tcPr>
          <w:p>
            <w:pPr>
              <w:jc w:val="right"/>
              <w:ind w:right="440"/>
              <w:spacing w:after="0"/>
              <w:rPr>
                <w:sz w:val="20"/>
                <w:szCs w:val="20"/>
                <w:color w:val="auto"/>
              </w:rPr>
            </w:pPr>
            <w:r>
              <w:rPr>
                <w:rFonts w:ascii="Arial" w:cs="Arial" w:eastAsia="Arial" w:hAnsi="Arial"/>
                <w:sz w:val="16"/>
                <w:szCs w:val="16"/>
                <w:color w:val="auto"/>
              </w:rPr>
              <w:t>135,000</w:t>
            </w:r>
          </w:p>
        </w:tc>
        <w:tc>
          <w:tcPr>
            <w:tcW w:w="2000" w:type="dxa"/>
            <w:vAlign w:val="bottom"/>
            <w:shd w:val="clear" w:color="auto" w:fill="D8D8D8"/>
          </w:tcPr>
          <w:p>
            <w:pPr>
              <w:jc w:val="right"/>
              <w:ind w:right="460"/>
              <w:spacing w:after="0"/>
              <w:rPr>
                <w:sz w:val="20"/>
                <w:szCs w:val="20"/>
                <w:color w:val="auto"/>
              </w:rPr>
            </w:pPr>
            <w:r>
              <w:rPr>
                <w:rFonts w:ascii="Arial" w:cs="Arial" w:eastAsia="Arial" w:hAnsi="Arial"/>
                <w:sz w:val="16"/>
                <w:szCs w:val="16"/>
                <w:color w:val="auto"/>
              </w:rPr>
              <w:t>150,078</w:t>
            </w:r>
          </w:p>
        </w:tc>
        <w:tc>
          <w:tcPr>
            <w:tcW w:w="1180" w:type="dxa"/>
            <w:vAlign w:val="bottom"/>
            <w:shd w:val="clear" w:color="auto" w:fill="D8D8D8"/>
          </w:tcPr>
          <w:p>
            <w:pPr>
              <w:ind w:left="540"/>
              <w:spacing w:after="0"/>
              <w:rPr>
                <w:sz w:val="20"/>
                <w:szCs w:val="20"/>
                <w:color w:val="auto"/>
              </w:rPr>
            </w:pPr>
            <w:r>
              <w:rPr>
                <w:rFonts w:ascii="Arial" w:cs="Arial" w:eastAsia="Arial" w:hAnsi="Arial"/>
                <w:sz w:val="16"/>
                <w:szCs w:val="16"/>
                <w:color w:val="auto"/>
              </w:rPr>
              <w:t>285,078</w:t>
            </w:r>
          </w:p>
        </w:tc>
      </w:tr>
      <w:tr>
        <w:trPr>
          <w:trHeight w:val="220"/>
        </w:trPr>
        <w:tc>
          <w:tcPr>
            <w:tcW w:w="538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KEITH E. WANDELL</w:t>
            </w:r>
          </w:p>
        </w:tc>
        <w:tc>
          <w:tcPr>
            <w:tcW w:w="2360" w:type="dxa"/>
            <w:vAlign w:val="bottom"/>
          </w:tcPr>
          <w:p>
            <w:pPr>
              <w:jc w:val="right"/>
              <w:ind w:right="440"/>
              <w:spacing w:after="0"/>
              <w:rPr>
                <w:sz w:val="20"/>
                <w:szCs w:val="20"/>
                <w:color w:val="auto"/>
              </w:rPr>
            </w:pPr>
            <w:r>
              <w:rPr>
                <w:rFonts w:ascii="Arial" w:cs="Arial" w:eastAsia="Arial" w:hAnsi="Arial"/>
                <w:sz w:val="16"/>
                <w:szCs w:val="16"/>
                <w:color w:val="auto"/>
              </w:rPr>
              <w:t>140,000</w:t>
            </w:r>
          </w:p>
        </w:tc>
        <w:tc>
          <w:tcPr>
            <w:tcW w:w="2000" w:type="dxa"/>
            <w:vAlign w:val="bottom"/>
          </w:tcPr>
          <w:p>
            <w:pPr>
              <w:jc w:val="right"/>
              <w:ind w:right="460"/>
              <w:spacing w:after="0"/>
              <w:rPr>
                <w:sz w:val="20"/>
                <w:szCs w:val="20"/>
                <w:color w:val="auto"/>
              </w:rPr>
            </w:pPr>
            <w:r>
              <w:rPr>
                <w:rFonts w:ascii="Arial" w:cs="Arial" w:eastAsia="Arial" w:hAnsi="Arial"/>
                <w:sz w:val="16"/>
                <w:szCs w:val="16"/>
                <w:color w:val="auto"/>
              </w:rPr>
              <w:t>150,078</w:t>
            </w:r>
          </w:p>
        </w:tc>
        <w:tc>
          <w:tcPr>
            <w:tcW w:w="1180" w:type="dxa"/>
            <w:vAlign w:val="bottom"/>
          </w:tcPr>
          <w:p>
            <w:pPr>
              <w:ind w:left="540"/>
              <w:spacing w:after="0"/>
              <w:rPr>
                <w:sz w:val="20"/>
                <w:szCs w:val="20"/>
                <w:color w:val="auto"/>
              </w:rPr>
            </w:pPr>
            <w:r>
              <w:rPr>
                <w:rFonts w:ascii="Arial" w:cs="Arial" w:eastAsia="Arial" w:hAnsi="Arial"/>
                <w:sz w:val="16"/>
                <w:szCs w:val="16"/>
                <w:color w:val="auto"/>
              </w:rPr>
              <w:t>290,078</w:t>
            </w:r>
          </w:p>
        </w:tc>
      </w:tr>
      <w:tr>
        <w:trPr>
          <w:trHeight w:val="228"/>
        </w:trPr>
        <w:tc>
          <w:tcPr>
            <w:tcW w:w="5380" w:type="dxa"/>
            <w:vAlign w:val="bottom"/>
            <w:tcBorders>
              <w:bottom w:val="single" w:sz="8" w:color="021496"/>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MARY A. WINSTON</w:t>
            </w:r>
          </w:p>
        </w:tc>
        <w:tc>
          <w:tcPr>
            <w:tcW w:w="2360" w:type="dxa"/>
            <w:vAlign w:val="bottom"/>
            <w:tcBorders>
              <w:bottom w:val="single" w:sz="8" w:color="021496"/>
            </w:tcBorders>
            <w:shd w:val="clear" w:color="auto" w:fill="D8D8D8"/>
          </w:tcPr>
          <w:p>
            <w:pPr>
              <w:jc w:val="right"/>
              <w:ind w:right="440"/>
              <w:spacing w:after="0"/>
              <w:rPr>
                <w:sz w:val="20"/>
                <w:szCs w:val="20"/>
                <w:color w:val="auto"/>
              </w:rPr>
            </w:pPr>
            <w:r>
              <w:rPr>
                <w:rFonts w:ascii="Arial" w:cs="Arial" w:eastAsia="Arial" w:hAnsi="Arial"/>
                <w:sz w:val="16"/>
                <w:szCs w:val="16"/>
                <w:color w:val="auto"/>
              </w:rPr>
              <w:t>120,000</w:t>
            </w:r>
          </w:p>
        </w:tc>
        <w:tc>
          <w:tcPr>
            <w:tcW w:w="2000" w:type="dxa"/>
            <w:vAlign w:val="bottom"/>
            <w:tcBorders>
              <w:bottom w:val="single" w:sz="8" w:color="021496"/>
            </w:tcBorders>
            <w:shd w:val="clear" w:color="auto" w:fill="D8D8D8"/>
          </w:tcPr>
          <w:p>
            <w:pPr>
              <w:jc w:val="right"/>
              <w:ind w:right="460"/>
              <w:spacing w:after="0"/>
              <w:rPr>
                <w:sz w:val="20"/>
                <w:szCs w:val="20"/>
                <w:color w:val="auto"/>
              </w:rPr>
            </w:pPr>
            <w:r>
              <w:rPr>
                <w:rFonts w:ascii="Arial" w:cs="Arial" w:eastAsia="Arial" w:hAnsi="Arial"/>
                <w:sz w:val="16"/>
                <w:szCs w:val="16"/>
                <w:color w:val="auto"/>
              </w:rPr>
              <w:t>150,078</w:t>
            </w:r>
          </w:p>
        </w:tc>
        <w:tc>
          <w:tcPr>
            <w:tcW w:w="1180" w:type="dxa"/>
            <w:vAlign w:val="bottom"/>
            <w:tcBorders>
              <w:bottom w:val="single" w:sz="8" w:color="021496"/>
            </w:tcBorders>
            <w:shd w:val="clear" w:color="auto" w:fill="D8D8D8"/>
          </w:tcPr>
          <w:p>
            <w:pPr>
              <w:ind w:left="540"/>
              <w:spacing w:after="0"/>
              <w:rPr>
                <w:sz w:val="20"/>
                <w:szCs w:val="20"/>
                <w:color w:val="auto"/>
              </w:rPr>
            </w:pPr>
            <w:r>
              <w:rPr>
                <w:rFonts w:ascii="Arial" w:cs="Arial" w:eastAsia="Arial" w:hAnsi="Arial"/>
                <w:sz w:val="16"/>
                <w:szCs w:val="16"/>
                <w:color w:val="auto"/>
              </w:rPr>
              <w:t>270,078</w:t>
            </w:r>
          </w:p>
        </w:tc>
      </w:tr>
    </w:tbl>
    <w:p>
      <w:pPr>
        <w:ind w:left="700" w:right="340" w:hanging="426"/>
        <w:spacing w:after="0" w:line="245" w:lineRule="auto"/>
        <w:tabs>
          <w:tab w:leader="none" w:pos="70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Amounts include the standard annual cash retainer, the Chair’s additional cash retainer, and the additional annual cash retainer for committee Chairs.</w:t>
      </w:r>
    </w:p>
    <w:p>
      <w:pPr>
        <w:ind w:left="700" w:hanging="426"/>
        <w:spacing w:after="0" w:line="244" w:lineRule="auto"/>
        <w:tabs>
          <w:tab w:leader="none" w:pos="70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On November 15, 2021, each of Messrs. Gilbertson and Wandell and Ms. Winston received 865 shares of common stock with an aggregate grant date fair market value of $150,078, Messrs. Spiegel, Todd and Wagner and Ms. Graham each received 865 deferred stock units with an aggregate grant date fair market value of $150,078, and Mr. Johnston received 1,095 deferred stock units with an aggregate grant date fair market value of $189,983, which included his additional compensation as Board Chair.</w:t>
      </w:r>
    </w:p>
    <w:p>
      <w:pPr>
        <w:ind w:left="700" w:right="20" w:hanging="426"/>
        <w:spacing w:after="0" w:line="256" w:lineRule="auto"/>
        <w:tabs>
          <w:tab w:leader="none" w:pos="70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Ms. DeHaas was first elected to the Board on February 11, 2021 and accordingly received pro-rata cash and equity in 2021. Ms. DeHaas received 767 deferred stock units on November 15, 2021 with an aggregate grant date fair market value of $133,075.</w:t>
      </w:r>
    </w:p>
    <w:p>
      <w:pPr>
        <w:spacing w:after="0" w:line="156"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Our Compensation Committee reviews our non-employee director compensation policy biennially and proposes changes to the Board, as appropriate. In reviewing the non-employee director compensation policy in 2022, our Compensation Committee</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35</w:t>
      </w:r>
    </w:p>
    <w:p>
      <w:pPr>
        <w:sectPr>
          <w:pgSz w:w="11900" w:h="16838" w:orient="portrait"/>
          <w:cols w:equalWidth="0" w:num="1">
            <w:col w:w="11080"/>
          </w:cols>
          <w:pgMar w:left="320" w:top="45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180"/>
        <w:spacing w:after="0" w:line="248" w:lineRule="auto"/>
        <w:rPr>
          <w:sz w:val="20"/>
          <w:szCs w:val="20"/>
          <w:color w:val="auto"/>
        </w:rPr>
      </w:pPr>
      <w:r>
        <w:rPr>
          <w:rFonts w:ascii="Arial" w:cs="Arial" w:eastAsia="Arial" w:hAnsi="Arial"/>
          <w:sz w:val="16"/>
          <w:szCs w:val="16"/>
          <w:color w:val="auto"/>
        </w:rPr>
        <w:t>worked with its independent compensation consultant to assess the competitiveness of our non-employee director compensation policy based on benchmark information from peer companies and relevant compensation surveys. Based on its review, our Compensation Committee proposed and the Board adopted the following change to our non-employee director compensation policy to be effective in 2022: an increase by $15,000 of the annual retainer for non-employee directors, payable in common stock.</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36</w:t>
      </w:r>
    </w:p>
    <w:p>
      <w:pPr>
        <w:sectPr>
          <w:pgSz w:w="11900" w:h="16838" w:orient="portrait"/>
          <w:cols w:equalWidth="0" w:num="1">
            <w:col w:w="11080"/>
          </w:cols>
          <w:pgMar w:left="320" w:top="45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left="160" w:right="1200"/>
        <w:spacing w:after="0" w:line="274" w:lineRule="auto"/>
        <w:rPr>
          <w:sz w:val="20"/>
          <w:szCs w:val="20"/>
          <w:color w:val="auto"/>
        </w:rPr>
      </w:pPr>
      <w:r>
        <w:rPr>
          <w:rFonts w:ascii="Arial" w:cs="Arial" w:eastAsia="Arial" w:hAnsi="Arial"/>
          <w:sz w:val="36"/>
          <w:szCs w:val="36"/>
          <w:b w:val="1"/>
          <w:bCs w:val="1"/>
          <w:color w:val="021496"/>
        </w:rPr>
        <w:t>Proposal 2 — Ratification of Appointment of Independent Registered Public Accounting Firm</w:t>
      </w:r>
    </w:p>
    <w:p>
      <w:pPr>
        <w:spacing w:after="0" w:line="146" w:lineRule="exact"/>
        <w:rPr>
          <w:sz w:val="20"/>
          <w:szCs w:val="20"/>
          <w:color w:val="auto"/>
        </w:rPr>
      </w:pPr>
    </w:p>
    <w:p>
      <w:pPr>
        <w:ind w:left="160" w:right="120"/>
        <w:spacing w:after="0" w:line="250" w:lineRule="auto"/>
        <w:rPr>
          <w:sz w:val="20"/>
          <w:szCs w:val="20"/>
          <w:color w:val="auto"/>
        </w:rPr>
      </w:pPr>
      <w:r>
        <w:rPr>
          <w:rFonts w:ascii="Arial" w:cs="Arial" w:eastAsia="Arial" w:hAnsi="Arial"/>
          <w:sz w:val="16"/>
          <w:szCs w:val="16"/>
          <w:color w:val="auto"/>
        </w:rPr>
        <w:t>The Audit Committee has appointed the independent registered public accounting firm of PwC to audit the annual accounts of Dover and its subsidiaries for 2022. PwC has audited the financial statements for the Company since 1995. Representatives of PwC are not expected to be present at the Annual Meeting.</w:t>
      </w:r>
    </w:p>
    <w:p>
      <w:pPr>
        <w:spacing w:after="0" w:line="201" w:lineRule="exact"/>
        <w:rPr>
          <w:sz w:val="20"/>
          <w:szCs w:val="20"/>
          <w:color w:val="auto"/>
        </w:rPr>
      </w:pPr>
    </w:p>
    <w:p>
      <w:pPr>
        <w:ind w:left="160" w:right="180"/>
        <w:spacing w:after="0" w:line="246" w:lineRule="auto"/>
        <w:rPr>
          <w:sz w:val="20"/>
          <w:szCs w:val="20"/>
          <w:color w:val="auto"/>
        </w:rPr>
      </w:pPr>
      <w:r>
        <w:rPr>
          <w:rFonts w:ascii="Arial" w:cs="Arial" w:eastAsia="Arial" w:hAnsi="Arial"/>
          <w:sz w:val="16"/>
          <w:szCs w:val="16"/>
          <w:color w:val="auto"/>
        </w:rPr>
        <w:t>Although shareholder ratification of PwC’s appointment is not required by Dover’s by-laws or otherwise, our Board is submitting the ratification of PwC’s appointment for the year 2022 to Dover’s shareholders. If the shareholders do not ratify the appointment of PwC, the Audit Committee will reconsider whether or not to retain PwC as Dover’s independent registered public accounting firm for the year 2022 but will not be obligated to terminate the appointment. Even if the shareholders ratify the appointment of PwC, the Audit Committee in its discretion may direct the appointment of a different independent registered public accounting firm at any time during the year if the Audit Committee determines that such a change would be in Dover’s interests.</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THE BOARD RECOMMENDS A VOTE “FOR” RATIFICATION OF THE APPOINTMENT</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OF PWC AS OUR INDEPENDENT REGISTERED PUBLIC ACCOUNTING FIRM FOR THE YEAR 2022.</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37</w:t>
      </w:r>
    </w:p>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2 — RATIFICATION OF APPOINTMENT OF INDEPENDENT REGISTERED PUBLIC ACCOUNTING FIRM</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251460</wp:posOffset>
            </wp:positionV>
            <wp:extent cx="6938010" cy="6123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38010" cy="612330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420" w:right="240"/>
        <w:spacing w:after="0" w:line="250" w:lineRule="auto"/>
        <w:rPr>
          <w:sz w:val="20"/>
          <w:szCs w:val="20"/>
          <w:color w:val="auto"/>
        </w:rPr>
      </w:pPr>
      <w:r>
        <w:rPr>
          <w:rFonts w:ascii="Arial" w:cs="Arial" w:eastAsia="Arial" w:hAnsi="Arial"/>
          <w:sz w:val="16"/>
          <w:szCs w:val="16"/>
          <w:color w:val="auto"/>
        </w:rPr>
        <w:t>The Audit Committee is composed of directors who, in the opinion of the Board, are independent and financially literate under NYSE rules and qualify as audit committee financial experts as defined by the SEC. Information concerning the credentials of the Audit Committee members can be found in the section of this proxy statement entitled “Proposal 1 — Election of Directors”.</w:t>
      </w:r>
    </w:p>
    <w:p>
      <w:pPr>
        <w:spacing w:after="0" w:line="107" w:lineRule="exact"/>
        <w:rPr>
          <w:sz w:val="20"/>
          <w:szCs w:val="20"/>
          <w:color w:val="auto"/>
        </w:rPr>
      </w:pPr>
    </w:p>
    <w:p>
      <w:pPr>
        <w:ind w:left="420" w:right="320"/>
        <w:spacing w:after="0" w:line="250" w:lineRule="auto"/>
        <w:rPr>
          <w:sz w:val="20"/>
          <w:szCs w:val="20"/>
          <w:color w:val="auto"/>
        </w:rPr>
      </w:pPr>
      <w:r>
        <w:rPr>
          <w:rFonts w:ascii="Arial" w:cs="Arial" w:eastAsia="Arial" w:hAnsi="Arial"/>
          <w:sz w:val="16"/>
          <w:szCs w:val="16"/>
          <w:color w:val="auto"/>
        </w:rPr>
        <w:t>The Audit Committee operates under a written charter adopted by the Board and available on Dover’s website. The Audit Committee assists the Board in overseeing the quality and integrity of Dover’s financial statements, compliance with legal and regulatory requirements, the qualifications, performance and independence of the independent auditors, and the performance of the internal audit function.</w:t>
      </w:r>
    </w:p>
    <w:p>
      <w:pPr>
        <w:spacing w:after="0" w:line="107" w:lineRule="exact"/>
        <w:rPr>
          <w:sz w:val="20"/>
          <w:szCs w:val="20"/>
          <w:color w:val="auto"/>
        </w:rPr>
      </w:pPr>
    </w:p>
    <w:p>
      <w:pPr>
        <w:ind w:left="420" w:right="340"/>
        <w:spacing w:after="0" w:line="247" w:lineRule="auto"/>
        <w:rPr>
          <w:sz w:val="20"/>
          <w:szCs w:val="20"/>
          <w:color w:val="auto"/>
        </w:rPr>
      </w:pPr>
      <w:r>
        <w:rPr>
          <w:rFonts w:ascii="Arial" w:cs="Arial" w:eastAsia="Arial" w:hAnsi="Arial"/>
          <w:sz w:val="16"/>
          <w:szCs w:val="16"/>
          <w:color w:val="auto"/>
        </w:rPr>
        <w:t>Among other things, the Audit Committee appoints the Company’s independent auditors and is directly involved in the selection of the lead audit engagement partner, discusses with the internal audit function and independent auditors the overall scope and plans for their respective audits, reviews the Company’s accounting policies and system of internal controls, reviews significant financial transactions, discusses with management and with the Board processes relating to risk management, pre-approves audit and permissible non-audit services provided by the independent auditors, and approves all fees paid to the independent auditors for such services.</w:t>
      </w:r>
    </w:p>
    <w:p>
      <w:pPr>
        <w:spacing w:after="0" w:line="110" w:lineRule="exact"/>
        <w:rPr>
          <w:sz w:val="20"/>
          <w:szCs w:val="20"/>
          <w:color w:val="auto"/>
        </w:rPr>
      </w:pPr>
    </w:p>
    <w:p>
      <w:pPr>
        <w:ind w:left="420" w:right="240"/>
        <w:spacing w:after="0" w:line="246" w:lineRule="auto"/>
        <w:rPr>
          <w:sz w:val="20"/>
          <w:szCs w:val="20"/>
          <w:color w:val="auto"/>
        </w:rPr>
      </w:pPr>
      <w:r>
        <w:rPr>
          <w:rFonts w:ascii="Arial" w:cs="Arial" w:eastAsia="Arial" w:hAnsi="Arial"/>
          <w:sz w:val="16"/>
          <w:szCs w:val="16"/>
          <w:color w:val="auto"/>
        </w:rPr>
        <w:t>For 2021, the Audit Committee engaged the independent registered public accounting firm PwC as Dover’s independent auditor. In selecting PwC, the Audit Committee considered, among other things: the experience and qualifications of the lead audit partner and other senior members of the PwC team; PwC’s historical performance on Dover’s audit and the quality of its communications with the Audit Committee; the results of the most recent internal quality control review or Public Company Accounting Oversight Board (“PCAOB”) inspection; PwC’s independence; its reputation for integrity and competence in the fields of accounting and auditing; the appropriateness of its fees; and its tenure as Dover’s independent auditors, including its understanding of the Company’s global businesses, accounting policies and practices, and internal control over financial reporting.</w:t>
      </w:r>
    </w:p>
    <w:p>
      <w:pPr>
        <w:spacing w:after="0" w:line="112" w:lineRule="exact"/>
        <w:rPr>
          <w:sz w:val="20"/>
          <w:szCs w:val="20"/>
          <w:color w:val="auto"/>
        </w:rPr>
      </w:pPr>
    </w:p>
    <w:p>
      <w:pPr>
        <w:jc w:val="both"/>
        <w:ind w:left="420" w:right="260"/>
        <w:spacing w:after="0" w:line="250" w:lineRule="auto"/>
        <w:rPr>
          <w:sz w:val="20"/>
          <w:szCs w:val="20"/>
          <w:color w:val="auto"/>
        </w:rPr>
      </w:pPr>
      <w:r>
        <w:rPr>
          <w:rFonts w:ascii="Arial" w:cs="Arial" w:eastAsia="Arial" w:hAnsi="Arial"/>
          <w:sz w:val="16"/>
          <w:szCs w:val="16"/>
          <w:color w:val="auto"/>
        </w:rPr>
        <w:t>The Audit Committee discussed with PwC the overall scope and plans for the audit of Dover’s 2021 financial statements. The Audit Committee met with PwC, with and without management present, to discuss the results of PwC’s examination, their assessment of internal controls and the overall quality of financial reporting.</w:t>
      </w:r>
    </w:p>
    <w:p>
      <w:pPr>
        <w:spacing w:after="0" w:line="107" w:lineRule="exact"/>
        <w:rPr>
          <w:sz w:val="20"/>
          <w:szCs w:val="20"/>
          <w:color w:val="auto"/>
        </w:rPr>
      </w:pPr>
    </w:p>
    <w:p>
      <w:pPr>
        <w:ind w:left="420" w:right="140"/>
        <w:spacing w:after="0" w:line="248" w:lineRule="auto"/>
        <w:rPr>
          <w:sz w:val="20"/>
          <w:szCs w:val="20"/>
          <w:color w:val="auto"/>
        </w:rPr>
      </w:pPr>
      <w:r>
        <w:rPr>
          <w:rFonts w:ascii="Arial" w:cs="Arial" w:eastAsia="Arial" w:hAnsi="Arial"/>
          <w:sz w:val="16"/>
          <w:szCs w:val="16"/>
          <w:color w:val="auto"/>
        </w:rPr>
        <w:t>The Audit Committee reviewed and discussed, with both the management of Dover and PwC, Dover’s 2021 audited financial statements, including a discussion of critical accounting policies, the quality, not just the acceptability, of the accounting principles followed, the reasonableness of significant judgments reflected in such financial statements and the clarity of disclosures in the financial statements. The Audit Committee met a total of eight times in 2021 and 2022 to discuss 2021 quarterly and full-year financial results and related disclosures.</w:t>
      </w:r>
    </w:p>
    <w:p>
      <w:pPr>
        <w:spacing w:after="0" w:line="109" w:lineRule="exact"/>
        <w:rPr>
          <w:sz w:val="20"/>
          <w:szCs w:val="20"/>
          <w:color w:val="auto"/>
        </w:rPr>
      </w:pPr>
    </w:p>
    <w:p>
      <w:pPr>
        <w:ind w:left="420" w:right="420"/>
        <w:spacing w:after="0" w:line="247" w:lineRule="auto"/>
        <w:rPr>
          <w:sz w:val="20"/>
          <w:szCs w:val="20"/>
          <w:color w:val="auto"/>
        </w:rPr>
      </w:pPr>
      <w:r>
        <w:rPr>
          <w:rFonts w:ascii="Arial" w:cs="Arial" w:eastAsia="Arial" w:hAnsi="Arial"/>
          <w:sz w:val="16"/>
          <w:szCs w:val="16"/>
          <w:color w:val="auto"/>
        </w:rPr>
        <w:t>The Audit Committee has received the written disclosures and the Rule 3526 letter from PwC required by the applicable requirements of PCAOB regarding the independent auditor’s communications with the Audit Committee concerning independence, and discussed with PwC its independence, including the impact of any relationships or permitted non-auditing services on PwC’s independence. The Audit Committee also discussed with PwC the matters required to be discussed under PCAOB Auditing Standard No. 1301. The Audit Committee has also received written materials addressing PwC’s internal control procedures and other matters required by NYSE listing standards.</w:t>
      </w:r>
    </w:p>
    <w:p>
      <w:pPr>
        <w:spacing w:after="0" w:line="110" w:lineRule="exact"/>
        <w:rPr>
          <w:sz w:val="20"/>
          <w:szCs w:val="20"/>
          <w:color w:val="auto"/>
        </w:rPr>
      </w:pPr>
    </w:p>
    <w:p>
      <w:pPr>
        <w:ind w:left="420" w:right="500"/>
        <w:spacing w:after="0" w:line="256" w:lineRule="auto"/>
        <w:rPr>
          <w:sz w:val="20"/>
          <w:szCs w:val="20"/>
          <w:color w:val="auto"/>
        </w:rPr>
      </w:pPr>
      <w:r>
        <w:rPr>
          <w:rFonts w:ascii="Arial" w:cs="Arial" w:eastAsia="Arial" w:hAnsi="Arial"/>
          <w:sz w:val="16"/>
          <w:szCs w:val="16"/>
          <w:color w:val="auto"/>
        </w:rPr>
        <w:t>Based upon the review and discussions referred to above, the Audit Committee recommended that the audited financial statements for the year ended December 31, 2021 be included in Dover’s Annual Report on Form 10-K.</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Audit Committee: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Stephen M. Todd (Chair)</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Deborah L. DeHaas</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H. John Gilbertson, Jr.</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Eric A. Spiegel</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Stephen K. Wagner</w:t>
      </w:r>
    </w:p>
    <w:p>
      <w:pPr>
        <w:spacing w:after="0" w:line="200" w:lineRule="exact"/>
        <w:rPr>
          <w:sz w:val="20"/>
          <w:szCs w:val="20"/>
          <w:color w:val="auto"/>
        </w:rPr>
      </w:pPr>
    </w:p>
    <w:p>
      <w:pPr>
        <w:spacing w:after="0" w:line="218" w:lineRule="exact"/>
        <w:rPr>
          <w:sz w:val="20"/>
          <w:szCs w:val="20"/>
          <w:color w:val="auto"/>
        </w:rPr>
      </w:pPr>
    </w:p>
    <w:p>
      <w:pPr>
        <w:ind w:left="420" w:right="200"/>
        <w:spacing w:after="0" w:line="250" w:lineRule="auto"/>
        <w:rPr>
          <w:sz w:val="20"/>
          <w:szCs w:val="20"/>
          <w:color w:val="auto"/>
        </w:rPr>
      </w:pPr>
      <w:r>
        <w:rPr>
          <w:rFonts w:ascii="Arial" w:cs="Arial" w:eastAsia="Arial" w:hAnsi="Arial"/>
          <w:sz w:val="16"/>
          <w:szCs w:val="16"/>
          <w:color w:val="auto"/>
        </w:rPr>
        <w:t>This report does not constitute “soliciting material” and shall not be deemed filed or incorporated by reference into any filing under the Securities Act of 1933 or under the Securities Exchange Act of 1934, except to the extent we specifically incorporate this report by reference, and shall not otherwise be deemed filed under such Acts.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38</w:t>
      </w:r>
    </w:p>
    <w:p>
      <w:pPr>
        <w:sectPr>
          <w:pgSz w:w="11900" w:h="16838" w:orient="portrait"/>
          <w:cols w:equalWidth="0" w:num="1">
            <w:col w:w="11080"/>
          </w:cols>
          <w:pgMar w:left="320" w:top="45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2 — RATIFICATION OF APPOINTMENT OF INDEPENDENT REGISTERED PUBLIC ACCOUNTING FIRM</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Fees Paid to Independent Registered Public Accounting Firm</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Fees paid to, or accrued for, PwC for services to us and our subsidiaries for 2021 and 2020 (including reimbursable expenses) were as follows:</w:t>
      </w: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247"/>
        </w:trPr>
        <w:tc>
          <w:tcPr>
            <w:tcW w:w="4120" w:type="dxa"/>
            <w:vAlign w:val="bottom"/>
            <w:tcBorders>
              <w:top w:val="single" w:sz="8" w:color="021496"/>
              <w:bottom w:val="single" w:sz="8" w:color="021496"/>
              <w:right w:val="single" w:sz="8" w:color="999999"/>
            </w:tcBorders>
          </w:tcPr>
          <w:p>
            <w:pPr>
              <w:spacing w:after="0"/>
              <w:rPr>
                <w:sz w:val="21"/>
                <w:szCs w:val="21"/>
                <w:color w:val="auto"/>
              </w:rPr>
            </w:pPr>
          </w:p>
        </w:tc>
        <w:tc>
          <w:tcPr>
            <w:tcW w:w="40" w:type="dxa"/>
            <w:vAlign w:val="bottom"/>
            <w:tcBorders>
              <w:top w:val="single" w:sz="8" w:color="021496"/>
              <w:bottom w:val="single" w:sz="8" w:color="021496"/>
            </w:tcBorders>
          </w:tcPr>
          <w:p>
            <w:pPr>
              <w:spacing w:after="0"/>
              <w:rPr>
                <w:sz w:val="21"/>
                <w:szCs w:val="21"/>
                <w:color w:val="auto"/>
              </w:rPr>
            </w:pPr>
          </w:p>
        </w:tc>
        <w:tc>
          <w:tcPr>
            <w:tcW w:w="400" w:type="dxa"/>
            <w:vAlign w:val="bottom"/>
            <w:tcBorders>
              <w:top w:val="single" w:sz="8" w:color="021496"/>
              <w:bottom w:val="single" w:sz="8" w:color="021496"/>
            </w:tcBorders>
          </w:tcPr>
          <w:p>
            <w:pPr>
              <w:spacing w:after="0"/>
              <w:rPr>
                <w:sz w:val="21"/>
                <w:szCs w:val="21"/>
                <w:color w:val="auto"/>
              </w:rPr>
            </w:pPr>
          </w:p>
        </w:tc>
        <w:tc>
          <w:tcPr>
            <w:tcW w:w="1440" w:type="dxa"/>
            <w:vAlign w:val="bottom"/>
            <w:tcBorders>
              <w:top w:val="single" w:sz="8" w:color="021496"/>
              <w:bottom w:val="single" w:sz="8" w:color="021496"/>
              <w:right w:val="single" w:sz="8" w:color="999999"/>
            </w:tcBorders>
          </w:tcPr>
          <w:p>
            <w:pPr>
              <w:jc w:val="right"/>
              <w:ind w:right="700"/>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top w:val="single" w:sz="8" w:color="021496"/>
              <w:bottom w:val="single" w:sz="8" w:color="021496"/>
            </w:tcBorders>
          </w:tcPr>
          <w:p>
            <w:pPr>
              <w:spacing w:after="0"/>
              <w:rPr>
                <w:sz w:val="21"/>
                <w:szCs w:val="21"/>
                <w:color w:val="auto"/>
              </w:rPr>
            </w:pPr>
          </w:p>
        </w:tc>
        <w:tc>
          <w:tcPr>
            <w:tcW w:w="380" w:type="dxa"/>
            <w:vAlign w:val="bottom"/>
            <w:tcBorders>
              <w:top w:val="single" w:sz="8" w:color="021496"/>
              <w:bottom w:val="single" w:sz="8" w:color="021496"/>
            </w:tcBorders>
          </w:tcPr>
          <w:p>
            <w:pPr>
              <w:spacing w:after="0"/>
              <w:rPr>
                <w:sz w:val="21"/>
                <w:szCs w:val="21"/>
                <w:color w:val="auto"/>
              </w:rPr>
            </w:pPr>
          </w:p>
        </w:tc>
        <w:tc>
          <w:tcPr>
            <w:tcW w:w="1360" w:type="dxa"/>
            <w:vAlign w:val="bottom"/>
            <w:tcBorders>
              <w:top w:val="single" w:sz="8" w:color="021496"/>
              <w:bottom w:val="single" w:sz="8" w:color="021496"/>
            </w:tcBorders>
          </w:tcPr>
          <w:p>
            <w:pPr>
              <w:jc w:val="right"/>
              <w:ind w:right="620"/>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top w:val="single" w:sz="8" w:color="021496"/>
              <w:bottom w:val="single" w:sz="8" w:color="021496"/>
            </w:tcBorders>
          </w:tcPr>
          <w:p>
            <w:pPr>
              <w:spacing w:after="0"/>
              <w:rPr>
                <w:sz w:val="21"/>
                <w:szCs w:val="21"/>
                <w:color w:val="auto"/>
              </w:rPr>
            </w:pPr>
          </w:p>
        </w:tc>
      </w:tr>
      <w:tr>
        <w:trPr>
          <w:trHeight w:val="227"/>
        </w:trPr>
        <w:tc>
          <w:tcPr>
            <w:tcW w:w="412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AUDIT FEES</w:t>
            </w:r>
          </w:p>
        </w:tc>
        <w:tc>
          <w:tcPr>
            <w:tcW w:w="440" w:type="dxa"/>
            <w:vAlign w:val="bottom"/>
            <w:gridSpan w:val="2"/>
            <w:shd w:val="clear" w:color="auto" w:fill="D8D8D8"/>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999999"/>
            </w:tcBorders>
            <w:shd w:val="clear" w:color="auto" w:fill="D8D8D8"/>
          </w:tcPr>
          <w:p>
            <w:pPr>
              <w:jc w:val="right"/>
              <w:ind w:right="280"/>
              <w:spacing w:after="0"/>
              <w:rPr>
                <w:sz w:val="20"/>
                <w:szCs w:val="20"/>
                <w:color w:val="auto"/>
              </w:rPr>
            </w:pPr>
            <w:r>
              <w:rPr>
                <w:rFonts w:ascii="Arial" w:cs="Arial" w:eastAsia="Arial" w:hAnsi="Arial"/>
                <w:sz w:val="16"/>
                <w:szCs w:val="16"/>
                <w:color w:val="auto"/>
              </w:rPr>
              <w:t>7,487,600</w:t>
            </w:r>
          </w:p>
        </w:tc>
        <w:tc>
          <w:tcPr>
            <w:tcW w:w="440" w:type="dxa"/>
            <w:vAlign w:val="bottom"/>
            <w:gridSpan w:val="2"/>
            <w:shd w:val="clear" w:color="auto" w:fill="D8D8D8"/>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7,697,324</w:t>
            </w:r>
          </w:p>
        </w:tc>
        <w:tc>
          <w:tcPr>
            <w:tcW w:w="60" w:type="dxa"/>
            <w:vAlign w:val="bottom"/>
            <w:shd w:val="clear" w:color="auto" w:fill="D8D8D8"/>
          </w:tcPr>
          <w:p>
            <w:pPr>
              <w:spacing w:after="0"/>
              <w:rPr>
                <w:sz w:val="19"/>
                <w:szCs w:val="19"/>
                <w:color w:val="auto"/>
              </w:rPr>
            </w:pPr>
          </w:p>
        </w:tc>
      </w:tr>
      <w:tr>
        <w:trPr>
          <w:trHeight w:val="220"/>
        </w:trPr>
        <w:tc>
          <w:tcPr>
            <w:tcW w:w="4120" w:type="dxa"/>
            <w:vAlign w:val="bottom"/>
            <w:tcBorders>
              <w:right w:val="single" w:sz="8" w:color="999999"/>
            </w:tcBorders>
          </w:tcPr>
          <w:p>
            <w:pPr>
              <w:ind w:left="60"/>
              <w:spacing w:after="0"/>
              <w:rPr>
                <w:sz w:val="20"/>
                <w:szCs w:val="20"/>
                <w:color w:val="auto"/>
              </w:rPr>
            </w:pPr>
            <w:r>
              <w:rPr>
                <w:rFonts w:ascii="Arial" w:cs="Arial" w:eastAsia="Arial" w:hAnsi="Arial"/>
                <w:sz w:val="16"/>
                <w:szCs w:val="16"/>
                <w:b w:val="1"/>
                <w:bCs w:val="1"/>
                <w:color w:val="auto"/>
              </w:rPr>
              <w:t>AUDIT-RELATED FEES</w:t>
            </w:r>
          </w:p>
        </w:tc>
        <w:tc>
          <w:tcPr>
            <w:tcW w:w="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999999"/>
            </w:tcBorders>
          </w:tcPr>
          <w:p>
            <w:pPr>
              <w:jc w:val="right"/>
              <w:ind w:right="280"/>
              <w:spacing w:after="0"/>
              <w:rPr>
                <w:sz w:val="20"/>
                <w:szCs w:val="20"/>
                <w:color w:val="auto"/>
              </w:rPr>
            </w:pPr>
            <w:r>
              <w:rPr>
                <w:rFonts w:ascii="Arial" w:cs="Arial" w:eastAsia="Arial" w:hAnsi="Arial"/>
                <w:sz w:val="16"/>
                <w:szCs w:val="16"/>
                <w:color w:val="auto"/>
              </w:rPr>
              <w:t>55,870</w:t>
            </w:r>
          </w:p>
        </w:tc>
        <w:tc>
          <w:tcPr>
            <w:tcW w:w="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41,880</w:t>
            </w:r>
          </w:p>
        </w:tc>
        <w:tc>
          <w:tcPr>
            <w:tcW w:w="60" w:type="dxa"/>
            <w:vAlign w:val="bottom"/>
          </w:tcPr>
          <w:p>
            <w:pPr>
              <w:spacing w:after="0"/>
              <w:rPr>
                <w:sz w:val="19"/>
                <w:szCs w:val="19"/>
                <w:color w:val="auto"/>
              </w:rPr>
            </w:pPr>
          </w:p>
        </w:tc>
      </w:tr>
      <w:tr>
        <w:trPr>
          <w:trHeight w:val="234"/>
        </w:trPr>
        <w:tc>
          <w:tcPr>
            <w:tcW w:w="412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TAX FEES</w:t>
            </w:r>
          </w:p>
        </w:tc>
        <w:tc>
          <w:tcPr>
            <w:tcW w:w="440" w:type="dxa"/>
            <w:vAlign w:val="bottom"/>
            <w:gridSpan w:val="2"/>
            <w:shd w:val="clear" w:color="auto" w:fill="D8D8D8"/>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999999"/>
            </w:tcBorders>
            <w:shd w:val="clear" w:color="auto" w:fill="D8D8D8"/>
          </w:tcPr>
          <w:p>
            <w:pPr>
              <w:jc w:val="right"/>
              <w:ind w:right="280"/>
              <w:spacing w:after="0"/>
              <w:rPr>
                <w:sz w:val="20"/>
                <w:szCs w:val="20"/>
                <w:color w:val="auto"/>
              </w:rPr>
            </w:pPr>
            <w:r>
              <w:rPr>
                <w:rFonts w:ascii="Arial" w:cs="Arial" w:eastAsia="Arial" w:hAnsi="Arial"/>
                <w:sz w:val="16"/>
                <w:szCs w:val="16"/>
                <w:color w:val="auto"/>
              </w:rPr>
              <w:t>182,323</w:t>
            </w:r>
          </w:p>
        </w:tc>
        <w:tc>
          <w:tcPr>
            <w:tcW w:w="440" w:type="dxa"/>
            <w:vAlign w:val="bottom"/>
            <w:gridSpan w:val="2"/>
            <w:shd w:val="clear" w:color="auto" w:fill="D8D8D8"/>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173,305</w:t>
            </w:r>
          </w:p>
        </w:tc>
        <w:tc>
          <w:tcPr>
            <w:tcW w:w="60" w:type="dxa"/>
            <w:vAlign w:val="bottom"/>
            <w:shd w:val="clear" w:color="auto" w:fill="D8D8D8"/>
          </w:tcPr>
          <w:p>
            <w:pPr>
              <w:spacing w:after="0"/>
              <w:rPr>
                <w:sz w:val="20"/>
                <w:szCs w:val="20"/>
                <w:color w:val="auto"/>
              </w:rPr>
            </w:pPr>
          </w:p>
        </w:tc>
      </w:tr>
      <w:tr>
        <w:trPr>
          <w:trHeight w:val="221"/>
        </w:trPr>
        <w:tc>
          <w:tcPr>
            <w:tcW w:w="4120" w:type="dxa"/>
            <w:vAlign w:val="bottom"/>
            <w:tcBorders>
              <w:right w:val="single" w:sz="8" w:color="999999"/>
            </w:tcBorders>
          </w:tcPr>
          <w:p>
            <w:pPr>
              <w:ind w:left="60"/>
              <w:spacing w:after="0"/>
              <w:rPr>
                <w:sz w:val="20"/>
                <w:szCs w:val="20"/>
                <w:color w:val="auto"/>
              </w:rPr>
            </w:pPr>
            <w:r>
              <w:rPr>
                <w:rFonts w:ascii="Arial" w:cs="Arial" w:eastAsia="Arial" w:hAnsi="Arial"/>
                <w:sz w:val="16"/>
                <w:szCs w:val="16"/>
                <w:b w:val="1"/>
                <w:bCs w:val="1"/>
                <w:color w:val="auto"/>
              </w:rPr>
              <w:t>ALL OTHER FEES</w:t>
            </w:r>
          </w:p>
        </w:tc>
        <w:tc>
          <w:tcPr>
            <w:tcW w:w="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999999"/>
            </w:tcBorders>
          </w:tcPr>
          <w:p>
            <w:pPr>
              <w:jc w:val="right"/>
              <w:ind w:right="280"/>
              <w:spacing w:after="0"/>
              <w:rPr>
                <w:sz w:val="20"/>
                <w:szCs w:val="20"/>
                <w:color w:val="auto"/>
              </w:rPr>
            </w:pPr>
            <w:r>
              <w:rPr>
                <w:rFonts w:ascii="Arial" w:cs="Arial" w:eastAsia="Arial" w:hAnsi="Arial"/>
                <w:sz w:val="16"/>
                <w:szCs w:val="16"/>
                <w:color w:val="auto"/>
              </w:rPr>
              <w:t>900</w:t>
            </w:r>
          </w:p>
        </w:tc>
        <w:tc>
          <w:tcPr>
            <w:tcW w:w="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12,476</w:t>
            </w:r>
          </w:p>
        </w:tc>
        <w:tc>
          <w:tcPr>
            <w:tcW w:w="60" w:type="dxa"/>
            <w:vAlign w:val="bottom"/>
          </w:tcPr>
          <w:p>
            <w:pPr>
              <w:spacing w:after="0"/>
              <w:rPr>
                <w:sz w:val="19"/>
                <w:szCs w:val="19"/>
                <w:color w:val="auto"/>
              </w:rPr>
            </w:pPr>
          </w:p>
        </w:tc>
      </w:tr>
      <w:tr>
        <w:trPr>
          <w:trHeight w:val="20"/>
        </w:trPr>
        <w:tc>
          <w:tcPr>
            <w:tcW w:w="4120" w:type="dxa"/>
            <w:vAlign w:val="bottom"/>
            <w:tcBorders>
              <w:right w:val="single" w:sz="8" w:color="999999"/>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right w:val="single" w:sz="8" w:color="999999"/>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412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TOTAL</w:t>
            </w:r>
          </w:p>
        </w:tc>
        <w:tc>
          <w:tcPr>
            <w:tcW w:w="40" w:type="dxa"/>
            <w:vAlign w:val="bottom"/>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440" w:type="dxa"/>
            <w:vAlign w:val="bottom"/>
            <w:tcBorders>
              <w:right w:val="single" w:sz="8" w:color="999999"/>
            </w:tcBorders>
            <w:shd w:val="clear" w:color="auto" w:fill="D8D8D8"/>
          </w:tcPr>
          <w:p>
            <w:pPr>
              <w:jc w:val="right"/>
              <w:ind w:right="240"/>
              <w:spacing w:after="0"/>
              <w:rPr>
                <w:sz w:val="20"/>
                <w:szCs w:val="20"/>
                <w:color w:val="auto"/>
              </w:rPr>
            </w:pPr>
            <w:r>
              <w:rPr>
                <w:rFonts w:ascii="Arial" w:cs="Arial" w:eastAsia="Arial" w:hAnsi="Arial"/>
                <w:sz w:val="16"/>
                <w:szCs w:val="16"/>
                <w:color w:val="auto"/>
              </w:rPr>
              <w:t>7,726,693</w:t>
            </w:r>
          </w:p>
        </w:tc>
        <w:tc>
          <w:tcPr>
            <w:tcW w:w="60" w:type="dxa"/>
            <w:vAlign w:val="bottom"/>
            <w:shd w:val="clear" w:color="auto" w:fill="D8D8D8"/>
          </w:tcPr>
          <w:p>
            <w:pPr>
              <w:spacing w:after="0"/>
              <w:rPr>
                <w:sz w:val="18"/>
                <w:szCs w:val="18"/>
                <w:color w:val="auto"/>
              </w:rPr>
            </w:pPr>
          </w:p>
        </w:tc>
        <w:tc>
          <w:tcPr>
            <w:tcW w:w="380" w:type="dxa"/>
            <w:vAlign w:val="bottom"/>
            <w:shd w:val="clear" w:color="auto" w:fill="D8D8D8"/>
          </w:tcPr>
          <w:p>
            <w:pPr>
              <w:spacing w:after="0"/>
              <w:rPr>
                <w:sz w:val="18"/>
                <w:szCs w:val="18"/>
                <w:color w:val="auto"/>
              </w:rPr>
            </w:pPr>
          </w:p>
        </w:tc>
        <w:tc>
          <w:tcPr>
            <w:tcW w:w="1360" w:type="dxa"/>
            <w:vAlign w:val="bottom"/>
            <w:shd w:val="clear" w:color="auto" w:fill="D8D8D8"/>
          </w:tcPr>
          <w:p>
            <w:pPr>
              <w:jc w:val="right"/>
              <w:ind w:right="140"/>
              <w:spacing w:after="0"/>
              <w:rPr>
                <w:sz w:val="20"/>
                <w:szCs w:val="20"/>
                <w:color w:val="auto"/>
              </w:rPr>
            </w:pPr>
            <w:r>
              <w:rPr>
                <w:rFonts w:ascii="Arial" w:cs="Arial" w:eastAsia="Arial" w:hAnsi="Arial"/>
                <w:sz w:val="16"/>
                <w:szCs w:val="16"/>
                <w:color w:val="auto"/>
              </w:rPr>
              <w:t>7,924,985</w:t>
            </w:r>
          </w:p>
        </w:tc>
        <w:tc>
          <w:tcPr>
            <w:tcW w:w="60" w:type="dxa"/>
            <w:vAlign w:val="bottom"/>
            <w:shd w:val="clear" w:color="auto" w:fill="D8D8D8"/>
          </w:tcPr>
          <w:p>
            <w:pPr>
              <w:spacing w:after="0"/>
              <w:rPr>
                <w:sz w:val="18"/>
                <w:szCs w:val="18"/>
                <w:color w:val="auto"/>
              </w:rPr>
            </w:pPr>
          </w:p>
        </w:tc>
      </w:tr>
      <w:tr>
        <w:trPr>
          <w:trHeight w:val="235"/>
        </w:trPr>
        <w:tc>
          <w:tcPr>
            <w:tcW w:w="4120" w:type="dxa"/>
            <w:vAlign w:val="bottom"/>
            <w:tcBorders>
              <w:bottom w:val="single" w:sz="8" w:color="021496"/>
              <w:right w:val="single" w:sz="8" w:color="999999"/>
            </w:tcBorders>
            <w:shd w:val="clear" w:color="auto" w:fill="D8D8D8"/>
          </w:tcPr>
          <w:p>
            <w:pPr>
              <w:spacing w:after="0"/>
              <w:rPr>
                <w:sz w:val="20"/>
                <w:szCs w:val="20"/>
                <w:color w:val="auto"/>
              </w:rPr>
            </w:pPr>
          </w:p>
        </w:tc>
        <w:tc>
          <w:tcPr>
            <w:tcW w:w="440" w:type="dxa"/>
            <w:vAlign w:val="bottom"/>
            <w:tcBorders>
              <w:bottom w:val="single" w:sz="8" w:color="021496"/>
            </w:tcBorders>
            <w:gridSpan w:val="2"/>
            <w:shd w:val="clear" w:color="auto" w:fill="D8D8D8"/>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021496"/>
              <w:right w:val="single" w:sz="8" w:color="999999"/>
            </w:tcBorders>
            <w:shd w:val="clear" w:color="auto" w:fill="D8D8D8"/>
          </w:tcPr>
          <w:p>
            <w:pPr>
              <w:spacing w:after="0"/>
              <w:rPr>
                <w:sz w:val="20"/>
                <w:szCs w:val="20"/>
                <w:color w:val="auto"/>
              </w:rPr>
            </w:pPr>
          </w:p>
        </w:tc>
        <w:tc>
          <w:tcPr>
            <w:tcW w:w="440" w:type="dxa"/>
            <w:vAlign w:val="bottom"/>
            <w:tcBorders>
              <w:bottom w:val="single" w:sz="8" w:color="021496"/>
            </w:tcBorders>
            <w:gridSpan w:val="2"/>
            <w:shd w:val="clear" w:color="auto" w:fill="D8D8D8"/>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021496"/>
            </w:tcBorders>
            <w:shd w:val="clear" w:color="auto" w:fill="D8D8D8"/>
          </w:tcPr>
          <w:p>
            <w:pPr>
              <w:spacing w:after="0"/>
              <w:rPr>
                <w:sz w:val="20"/>
                <w:szCs w:val="20"/>
                <w:color w:val="auto"/>
              </w:rPr>
            </w:pPr>
          </w:p>
        </w:tc>
        <w:tc>
          <w:tcPr>
            <w:tcW w:w="60" w:type="dxa"/>
            <w:vAlign w:val="bottom"/>
            <w:tcBorders>
              <w:bottom w:val="single" w:sz="8" w:color="021496"/>
            </w:tcBorders>
            <w:shd w:val="clear" w:color="auto" w:fill="D8D8D8"/>
          </w:tcPr>
          <w:p>
            <w:pPr>
              <w:spacing w:after="0"/>
              <w:rPr>
                <w:sz w:val="20"/>
                <w:szCs w:val="20"/>
                <w:color w:val="auto"/>
              </w:rPr>
            </w:pPr>
          </w:p>
        </w:tc>
      </w:tr>
    </w:tbl>
    <w:p>
      <w:pPr>
        <w:spacing w:after="0" w:line="173" w:lineRule="exact"/>
        <w:rPr>
          <w:sz w:val="20"/>
          <w:szCs w:val="20"/>
          <w:color w:val="auto"/>
        </w:rPr>
      </w:pPr>
    </w:p>
    <w:p>
      <w:pPr>
        <w:ind w:left="160" w:right="340"/>
        <w:spacing w:after="0" w:line="277"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Audit fees include fees for audit or review services in accordance with generally accepted auditing standards of our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internal control over financial reporting), statutory and subsidiary audits and review of documents filed with the SEC.</w:t>
      </w:r>
    </w:p>
    <w:p>
      <w:pPr>
        <w:spacing w:after="0" w:line="124" w:lineRule="exact"/>
        <w:rPr>
          <w:sz w:val="20"/>
          <w:szCs w:val="20"/>
          <w:color w:val="auto"/>
        </w:rPr>
      </w:pPr>
    </w:p>
    <w:p>
      <w:pPr>
        <w:ind w:left="160" w:right="40"/>
        <w:spacing w:after="0" w:line="277"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Audit-related fees include fees for assurance and related services that are reasonably related to the audit of our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system implementation assessments.</w:t>
      </w:r>
    </w:p>
    <w:p>
      <w:pPr>
        <w:spacing w:after="0" w:line="124" w:lineRule="exact"/>
        <w:rPr>
          <w:sz w:val="20"/>
          <w:szCs w:val="20"/>
          <w:color w:val="auto"/>
        </w:rPr>
      </w:pPr>
    </w:p>
    <w:p>
      <w:pPr>
        <w:ind w:left="160" w:right="240"/>
        <w:spacing w:after="0" w:line="277"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Tax fees include fees for services that are performed by professional tax staff other than in connection with the audit. These services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tax compliance, consulting and advisory services.</w:t>
      </w:r>
    </w:p>
    <w:p>
      <w:pPr>
        <w:spacing w:after="0" w:line="137" w:lineRule="exact"/>
        <w:rPr>
          <w:sz w:val="20"/>
          <w:szCs w:val="20"/>
          <w:color w:val="auto"/>
        </w:rPr>
      </w:pPr>
    </w:p>
    <w:p>
      <w:pPr>
        <w:ind w:left="160" w:right="200"/>
        <w:spacing w:after="0" w:line="277" w:lineRule="auto"/>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Other fees include fees for non-audit services not listed above that do not impair the independence of the auditor and are not prohibited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SEC or PCAOB.</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Pre-Approval of Services Provided by Independent Registered Public Accounting Firm</w:t>
      </w:r>
    </w:p>
    <w:p>
      <w:pPr>
        <w:spacing w:after="0" w:line="104" w:lineRule="exact"/>
        <w:rPr>
          <w:sz w:val="20"/>
          <w:szCs w:val="20"/>
          <w:color w:val="auto"/>
        </w:rPr>
      </w:pPr>
    </w:p>
    <w:p>
      <w:pPr>
        <w:ind w:left="160" w:right="140"/>
        <w:spacing w:after="0" w:line="247" w:lineRule="auto"/>
        <w:rPr>
          <w:sz w:val="20"/>
          <w:szCs w:val="20"/>
          <w:color w:val="auto"/>
        </w:rPr>
      </w:pPr>
      <w:r>
        <w:rPr>
          <w:rFonts w:ascii="Arial" w:cs="Arial" w:eastAsia="Arial" w:hAnsi="Arial"/>
          <w:sz w:val="16"/>
          <w:szCs w:val="16"/>
          <w:color w:val="auto"/>
        </w:rPr>
        <w:t>Consistent with its charter and applicable SEC rules, our Audit Committee pre-approves all audit and permissible non-audit services provided by PwC to us and our subsidiaries. With respect to certain services which PwC has traditionally provided, the Audit Committee has adopted specific pre-approval policies and procedures. In developing these policies and procedures, the Audit Committee considered the need to ensure the independence of PwC while recognizing that, in certain situations, PwC may possess the expertise and be in the best position to advise us and our subsidiaries on issues and matters other than accounting and auditing.</w:t>
      </w:r>
    </w:p>
    <w:p>
      <w:pPr>
        <w:spacing w:after="0" w:line="163" w:lineRule="exact"/>
        <w:rPr>
          <w:sz w:val="20"/>
          <w:szCs w:val="20"/>
          <w:color w:val="auto"/>
        </w:rPr>
      </w:pPr>
    </w:p>
    <w:p>
      <w:pPr>
        <w:ind w:left="160" w:right="20"/>
        <w:spacing w:after="0" w:line="245" w:lineRule="auto"/>
        <w:rPr>
          <w:sz w:val="20"/>
          <w:szCs w:val="20"/>
          <w:color w:val="auto"/>
        </w:rPr>
      </w:pPr>
      <w:r>
        <w:rPr>
          <w:rFonts w:ascii="Arial" w:cs="Arial" w:eastAsia="Arial" w:hAnsi="Arial"/>
          <w:sz w:val="16"/>
          <w:szCs w:val="16"/>
          <w:color w:val="auto"/>
        </w:rPr>
        <w:t>The policies and procedures adopted by the Audit Committee allow the pre-approval by the Audit Committee of permissible audit-related services, non-audit-related services and tax services. Under the policies and procedures, pre-approval is generally provided for up to one year and any general pre-approval is detailed as to the particular services or category of services and is subject to a specific budget for each of them. The policies and procedures require that any other services be expressly and separately approved by the Audit Committee prior to such services being performed by the independent auditors. In addition, pre-approved services which are expected to exceed the budgeted amount included in a general pre-approval require separate, specific pre-approval. For each proposed service, the independent auditors and management are required to provide detailed information to the Audit Committee at the time of approval. The Audit Committee considers whether each pre-approved service is consistent with the SEC’s rules and regulations on auditor independence.</w:t>
      </w:r>
    </w:p>
    <w:p>
      <w:pPr>
        <w:spacing w:after="0" w:line="102" w:lineRule="exact"/>
        <w:rPr>
          <w:sz w:val="20"/>
          <w:szCs w:val="20"/>
          <w:color w:val="auto"/>
        </w:rPr>
      </w:pPr>
    </w:p>
    <w:p>
      <w:pPr>
        <w:jc w:val="both"/>
        <w:ind w:left="160" w:right="280"/>
        <w:spacing w:after="0" w:line="250" w:lineRule="auto"/>
        <w:rPr>
          <w:sz w:val="20"/>
          <w:szCs w:val="20"/>
          <w:color w:val="auto"/>
        </w:rPr>
      </w:pPr>
      <w:r>
        <w:rPr>
          <w:rFonts w:ascii="Arial" w:cs="Arial" w:eastAsia="Arial" w:hAnsi="Arial"/>
          <w:sz w:val="16"/>
          <w:szCs w:val="16"/>
          <w:color w:val="auto"/>
        </w:rPr>
        <w:t>All audit-related and non-audit-related services of PwC during 2021 listed above under “Fees Paid to Independent Registered Public Accounting Firm” were pre-approved specifically or pursuant to the procedures outlined above. With respect to any tax services provided by PwC, PwC provided to the Audit Committee the communications required under PCAOB Rule 3524.</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39</w:t>
      </w:r>
    </w:p>
    <w:p>
      <w:pPr>
        <w:sectPr>
          <w:pgSz w:w="11900" w:h="16838" w:orient="portrait"/>
          <w:cols w:equalWidth="0" w:num="1">
            <w:col w:w="11080"/>
          </w:cols>
          <w:pgMar w:left="320" w:top="456"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Compensation Discussion and Analysis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This Compensation Discussion and Analysis (“CD&amp;A”) describes our compensation program and how it operates for our NEOs. Our NEOs for 2021 are:</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380" w:type="dxa"/>
            <w:vAlign w:val="bottom"/>
            <w:tcBorders>
              <w:top w:val="single" w:sz="8" w:color="021496"/>
              <w:bottom w:val="single" w:sz="8" w:color="021496"/>
            </w:tcBorders>
          </w:tcPr>
          <w:p>
            <w:pPr>
              <w:spacing w:after="0"/>
              <w:rPr>
                <w:sz w:val="18"/>
                <w:szCs w:val="18"/>
                <w:color w:val="auto"/>
              </w:rPr>
            </w:pPr>
          </w:p>
        </w:tc>
        <w:tc>
          <w:tcPr>
            <w:tcW w:w="8540" w:type="dxa"/>
            <w:vAlign w:val="bottom"/>
            <w:tcBorders>
              <w:top w:val="single" w:sz="8" w:color="021496"/>
              <w:bottom w:val="single" w:sz="8" w:color="021496"/>
            </w:tcBorders>
          </w:tcPr>
          <w:p>
            <w:pPr>
              <w:ind w:left="580"/>
              <w:spacing w:after="0"/>
              <w:rPr>
                <w:sz w:val="20"/>
                <w:szCs w:val="20"/>
                <w:color w:val="auto"/>
              </w:rPr>
            </w:pPr>
            <w:r>
              <w:rPr>
                <w:rFonts w:ascii="Arial" w:cs="Arial" w:eastAsia="Arial" w:hAnsi="Arial"/>
                <w:sz w:val="16"/>
                <w:szCs w:val="16"/>
                <w:b w:val="1"/>
                <w:bCs w:val="1"/>
                <w:color w:val="auto"/>
              </w:rPr>
              <w:t>NAMED EXECUTIVE OFFICERS</w:t>
            </w:r>
          </w:p>
        </w:tc>
      </w:tr>
      <w:tr>
        <w:trPr>
          <w:trHeight w:val="234"/>
        </w:trPr>
        <w:tc>
          <w:tcPr>
            <w:tcW w:w="2380" w:type="dxa"/>
            <w:vAlign w:val="bottom"/>
            <w:shd w:val="clear" w:color="auto" w:fill="D8D8D8"/>
          </w:tcPr>
          <w:p>
            <w:pPr>
              <w:ind w:left="100"/>
              <w:spacing w:after="0"/>
              <w:rPr>
                <w:sz w:val="20"/>
                <w:szCs w:val="20"/>
                <w:color w:val="auto"/>
              </w:rPr>
            </w:pPr>
            <w:r>
              <w:rPr>
                <w:rFonts w:ascii="Arial" w:cs="Arial" w:eastAsia="Arial" w:hAnsi="Arial"/>
                <w:sz w:val="16"/>
                <w:szCs w:val="16"/>
                <w:b w:val="1"/>
                <w:bCs w:val="1"/>
                <w:color w:val="auto"/>
              </w:rPr>
              <w:t>RICHARD J. TOBIN</w:t>
            </w:r>
          </w:p>
        </w:tc>
        <w:tc>
          <w:tcPr>
            <w:tcW w:w="8540" w:type="dxa"/>
            <w:vAlign w:val="bottom"/>
            <w:shd w:val="clear" w:color="auto" w:fill="D8D8D8"/>
          </w:tcPr>
          <w:p>
            <w:pPr>
              <w:ind w:left="580"/>
              <w:spacing w:after="0"/>
              <w:rPr>
                <w:sz w:val="20"/>
                <w:szCs w:val="20"/>
                <w:color w:val="auto"/>
              </w:rPr>
            </w:pPr>
            <w:r>
              <w:rPr>
                <w:rFonts w:ascii="Arial" w:cs="Arial" w:eastAsia="Arial" w:hAnsi="Arial"/>
                <w:sz w:val="16"/>
                <w:szCs w:val="16"/>
                <w:color w:val="auto"/>
              </w:rPr>
              <w:t>President &amp; CEO</w:t>
            </w:r>
          </w:p>
        </w:tc>
      </w:tr>
      <w:tr>
        <w:trPr>
          <w:trHeight w:val="231"/>
        </w:trPr>
        <w:tc>
          <w:tcPr>
            <w:tcW w:w="2380" w:type="dxa"/>
            <w:vAlign w:val="bottom"/>
          </w:tcPr>
          <w:p>
            <w:pPr>
              <w:ind w:left="100"/>
              <w:spacing w:after="0"/>
              <w:rPr>
                <w:sz w:val="20"/>
                <w:szCs w:val="20"/>
                <w:color w:val="auto"/>
              </w:rPr>
            </w:pPr>
            <w:r>
              <w:rPr>
                <w:rFonts w:ascii="Arial" w:cs="Arial" w:eastAsia="Arial" w:hAnsi="Arial"/>
                <w:sz w:val="16"/>
                <w:szCs w:val="16"/>
                <w:b w:val="1"/>
                <w:bCs w:val="1"/>
                <w:color w:val="auto"/>
              </w:rPr>
              <w:t>BRAD M. CEREPAK</w:t>
            </w:r>
          </w:p>
        </w:tc>
        <w:tc>
          <w:tcPr>
            <w:tcW w:w="8540" w:type="dxa"/>
            <w:vAlign w:val="bottom"/>
          </w:tcPr>
          <w:p>
            <w:pPr>
              <w:ind w:left="580"/>
              <w:spacing w:after="0"/>
              <w:rPr>
                <w:sz w:val="20"/>
                <w:szCs w:val="20"/>
                <w:color w:val="auto"/>
              </w:rPr>
            </w:pPr>
            <w:r>
              <w:rPr>
                <w:rFonts w:ascii="Arial" w:cs="Arial" w:eastAsia="Arial" w:hAnsi="Arial"/>
                <w:sz w:val="16"/>
                <w:szCs w:val="16"/>
                <w:color w:val="auto"/>
              </w:rPr>
              <w:t>Senior Vice President &amp; CFO</w:t>
            </w:r>
          </w:p>
        </w:tc>
      </w:tr>
      <w:tr>
        <w:trPr>
          <w:trHeight w:val="250"/>
        </w:trPr>
        <w:tc>
          <w:tcPr>
            <w:tcW w:w="2380" w:type="dxa"/>
            <w:vAlign w:val="bottom"/>
            <w:shd w:val="clear" w:color="auto" w:fill="D8D8D8"/>
          </w:tcPr>
          <w:p>
            <w:pPr>
              <w:ind w:left="100"/>
              <w:spacing w:after="0"/>
              <w:rPr>
                <w:sz w:val="20"/>
                <w:szCs w:val="20"/>
                <w:color w:val="auto"/>
              </w:rPr>
            </w:pPr>
            <w:r>
              <w:rPr>
                <w:rFonts w:ascii="Arial" w:cs="Arial" w:eastAsia="Arial" w:hAnsi="Arial"/>
                <w:sz w:val="16"/>
                <w:szCs w:val="16"/>
                <w:b w:val="1"/>
                <w:bCs w:val="1"/>
                <w:color w:val="auto"/>
              </w:rPr>
              <w:t>GIRISH JUNEJA</w:t>
            </w:r>
          </w:p>
        </w:tc>
        <w:tc>
          <w:tcPr>
            <w:tcW w:w="8540" w:type="dxa"/>
            <w:vAlign w:val="bottom"/>
            <w:shd w:val="clear" w:color="auto" w:fill="D8D8D8"/>
          </w:tcPr>
          <w:p>
            <w:pPr>
              <w:ind w:left="580"/>
              <w:spacing w:after="0"/>
              <w:rPr>
                <w:sz w:val="20"/>
                <w:szCs w:val="20"/>
                <w:color w:val="auto"/>
              </w:rPr>
            </w:pPr>
            <w:r>
              <w:rPr>
                <w:rFonts w:ascii="Arial" w:cs="Arial" w:eastAsia="Arial" w:hAnsi="Arial"/>
                <w:sz w:val="16"/>
                <w:szCs w:val="16"/>
                <w:color w:val="auto"/>
              </w:rPr>
              <w:t>Senior Vice President &amp; Chief Digital Officer</w:t>
            </w:r>
          </w:p>
        </w:tc>
      </w:tr>
      <w:tr>
        <w:trPr>
          <w:trHeight w:val="231"/>
        </w:trPr>
        <w:tc>
          <w:tcPr>
            <w:tcW w:w="2380" w:type="dxa"/>
            <w:vAlign w:val="bottom"/>
          </w:tcPr>
          <w:p>
            <w:pPr>
              <w:ind w:left="100"/>
              <w:spacing w:after="0"/>
              <w:rPr>
                <w:sz w:val="20"/>
                <w:szCs w:val="20"/>
                <w:color w:val="auto"/>
              </w:rPr>
            </w:pPr>
            <w:r>
              <w:rPr>
                <w:rFonts w:ascii="Arial" w:cs="Arial" w:eastAsia="Arial" w:hAnsi="Arial"/>
                <w:sz w:val="16"/>
                <w:szCs w:val="16"/>
                <w:b w:val="1"/>
                <w:bCs w:val="1"/>
                <w:color w:val="auto"/>
              </w:rPr>
              <w:t>IVONNE M. CABRERA</w:t>
            </w:r>
          </w:p>
        </w:tc>
        <w:tc>
          <w:tcPr>
            <w:tcW w:w="8540" w:type="dxa"/>
            <w:vAlign w:val="bottom"/>
          </w:tcPr>
          <w:p>
            <w:pPr>
              <w:ind w:left="580"/>
              <w:spacing w:after="0"/>
              <w:rPr>
                <w:sz w:val="20"/>
                <w:szCs w:val="20"/>
                <w:color w:val="auto"/>
              </w:rPr>
            </w:pPr>
            <w:r>
              <w:rPr>
                <w:rFonts w:ascii="Arial" w:cs="Arial" w:eastAsia="Arial" w:hAnsi="Arial"/>
                <w:sz w:val="16"/>
                <w:szCs w:val="16"/>
                <w:color w:val="auto"/>
              </w:rPr>
              <w:t>Senior Vice President &amp; General Counsel</w:t>
            </w:r>
          </w:p>
        </w:tc>
      </w:tr>
      <w:tr>
        <w:trPr>
          <w:trHeight w:val="244"/>
        </w:trPr>
        <w:tc>
          <w:tcPr>
            <w:tcW w:w="2380" w:type="dxa"/>
            <w:vAlign w:val="bottom"/>
            <w:tcBorders>
              <w:bottom w:val="single" w:sz="8" w:color="021496"/>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KIMBERLY K. BORS</w:t>
            </w:r>
          </w:p>
        </w:tc>
        <w:tc>
          <w:tcPr>
            <w:tcW w:w="8540" w:type="dxa"/>
            <w:vAlign w:val="bottom"/>
            <w:tcBorders>
              <w:bottom w:val="single" w:sz="8" w:color="021496"/>
            </w:tcBorders>
            <w:shd w:val="clear" w:color="auto" w:fill="D8D8D8"/>
          </w:tcPr>
          <w:p>
            <w:pPr>
              <w:ind w:left="580"/>
              <w:spacing w:after="0"/>
              <w:rPr>
                <w:sz w:val="20"/>
                <w:szCs w:val="20"/>
                <w:color w:val="auto"/>
              </w:rPr>
            </w:pPr>
            <w:r>
              <w:rPr>
                <w:rFonts w:ascii="Arial" w:cs="Arial" w:eastAsia="Arial" w:hAnsi="Arial"/>
                <w:sz w:val="16"/>
                <w:szCs w:val="16"/>
                <w:color w:val="auto"/>
              </w:rPr>
              <w:t>Senior Vice President &amp; Chief Human Resource Officer</w:t>
            </w:r>
          </w:p>
        </w:tc>
      </w:tr>
    </w:tbl>
    <w:p>
      <w:pPr>
        <w:spacing w:after="0" w:line="18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Executive Summary</w:t>
      </w:r>
    </w:p>
    <w:p>
      <w:pPr>
        <w:spacing w:after="0" w:line="144" w:lineRule="exact"/>
        <w:rPr>
          <w:sz w:val="20"/>
          <w:szCs w:val="20"/>
          <w:color w:val="auto"/>
        </w:rPr>
      </w:pPr>
    </w:p>
    <w:p>
      <w:pPr>
        <w:ind w:left="160" w:right="220"/>
        <w:spacing w:after="0" w:line="256" w:lineRule="auto"/>
        <w:rPr>
          <w:sz w:val="20"/>
          <w:szCs w:val="20"/>
          <w:color w:val="auto"/>
        </w:rPr>
      </w:pPr>
      <w:r>
        <w:rPr>
          <w:rFonts w:ascii="Arial" w:cs="Arial" w:eastAsia="Arial" w:hAnsi="Arial"/>
          <w:sz w:val="16"/>
          <w:szCs w:val="16"/>
          <w:color w:val="auto"/>
        </w:rPr>
        <w:t>Our compensation program is based on a pay-for-performance philosophy and is designed to incent executives to achieve financial and strategic goals that are aligned with the Company’s long-term business strategy and the creation of sustained, long-term value for our shareholders.</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2021 Performance &amp; Results</w:t>
      </w:r>
    </w:p>
    <w:p>
      <w:pPr>
        <w:spacing w:after="0" w:line="193" w:lineRule="exact"/>
        <w:rPr>
          <w:sz w:val="20"/>
          <w:szCs w:val="20"/>
          <w:color w:val="auto"/>
        </w:rPr>
      </w:pPr>
    </w:p>
    <w:p>
      <w:pPr>
        <w:jc w:val="both"/>
        <w:ind w:left="160" w:right="100"/>
        <w:spacing w:after="0" w:line="250" w:lineRule="auto"/>
        <w:rPr>
          <w:sz w:val="20"/>
          <w:szCs w:val="20"/>
          <w:color w:val="auto"/>
        </w:rPr>
      </w:pPr>
      <w:r>
        <w:rPr>
          <w:rFonts w:ascii="Arial" w:cs="Arial" w:eastAsia="Arial" w:hAnsi="Arial"/>
          <w:sz w:val="16"/>
          <w:szCs w:val="16"/>
          <w:color w:val="auto"/>
        </w:rPr>
        <w:t>In 2021, despite the COVID-related challenges we continued to face, including increased material, labor and logistics costs, we delivered strong financial results, made advancements in organic investments and productivity initiatives, and deployed capital in a disciplined manner, in keeping with our return-seeking strategic priorities.</w:t>
      </w:r>
    </w:p>
    <w:p>
      <w:pPr>
        <w:spacing w:after="0" w:line="201" w:lineRule="exact"/>
        <w:rPr>
          <w:sz w:val="20"/>
          <w:szCs w:val="20"/>
          <w:color w:val="auto"/>
        </w:rPr>
      </w:pPr>
    </w:p>
    <w:p>
      <w:pPr>
        <w:ind w:left="1020" w:hanging="425"/>
        <w:spacing w:after="0"/>
        <w:tabs>
          <w:tab w:leader="none" w:pos="1020" w:val="left"/>
        </w:tabs>
        <w:numPr>
          <w:ilvl w:val="0"/>
          <w:numId w:val="50"/>
        </w:numPr>
        <w:rPr>
          <w:rFonts w:ascii="MS PGothic" w:cs="MS PGothic" w:eastAsia="MS PGothic" w:hAnsi="MS PGothic"/>
          <w:sz w:val="16"/>
          <w:szCs w:val="16"/>
          <w:color w:val="021496"/>
        </w:rPr>
      </w:pPr>
      <w:r>
        <w:rPr>
          <w:rFonts w:ascii="Arial" w:cs="Arial" w:eastAsia="Arial" w:hAnsi="Arial"/>
          <w:sz w:val="16"/>
          <w:szCs w:val="16"/>
          <w:color w:val="auto"/>
        </w:rPr>
        <w:t>Generated revenue of $7.9 billion, up 18% (+15% organic) compared to the prior year</w:t>
      </w:r>
    </w:p>
    <w:p>
      <w:pPr>
        <w:spacing w:after="0" w:line="136"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50"/>
        </w:numPr>
        <w:rPr>
          <w:rFonts w:ascii="MS PGothic" w:cs="MS PGothic" w:eastAsia="MS PGothic" w:hAnsi="MS PGothic"/>
          <w:sz w:val="16"/>
          <w:szCs w:val="16"/>
          <w:color w:val="021496"/>
        </w:rPr>
      </w:pPr>
      <w:r>
        <w:rPr>
          <w:rFonts w:ascii="Arial" w:cs="Arial" w:eastAsia="Arial" w:hAnsi="Arial"/>
          <w:sz w:val="16"/>
          <w:szCs w:val="16"/>
          <w:color w:val="auto"/>
        </w:rPr>
        <w:t>Increased GAAP earnings by 64% and adjusted earnings by 35%</w:t>
      </w:r>
    </w:p>
    <w:p>
      <w:pPr>
        <w:spacing w:after="0" w:line="136"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50"/>
        </w:numPr>
        <w:rPr>
          <w:rFonts w:ascii="MS PGothic" w:cs="MS PGothic" w:eastAsia="MS PGothic" w:hAnsi="MS PGothic"/>
          <w:sz w:val="16"/>
          <w:szCs w:val="16"/>
          <w:color w:val="021496"/>
        </w:rPr>
      </w:pPr>
      <w:r>
        <w:rPr>
          <w:rFonts w:ascii="Arial" w:cs="Arial" w:eastAsia="Arial" w:hAnsi="Arial"/>
          <w:sz w:val="16"/>
          <w:szCs w:val="16"/>
          <w:color w:val="auto"/>
        </w:rPr>
        <w:t>Increased GAAP earnings per share by 65% and adjusted earnings per share by 35%</w:t>
      </w:r>
    </w:p>
    <w:p>
      <w:pPr>
        <w:spacing w:after="0" w:line="136" w:lineRule="exact"/>
        <w:rPr>
          <w:rFonts w:ascii="MS PGothic" w:cs="MS PGothic" w:eastAsia="MS PGothic" w:hAnsi="MS PGothic"/>
          <w:sz w:val="16"/>
          <w:szCs w:val="16"/>
          <w:color w:val="021496"/>
        </w:rPr>
      </w:pPr>
    </w:p>
    <w:p>
      <w:pPr>
        <w:ind w:left="1020" w:right="100" w:hanging="425"/>
        <w:spacing w:after="0" w:line="256" w:lineRule="auto"/>
        <w:tabs>
          <w:tab w:leader="none" w:pos="1020" w:val="left"/>
        </w:tabs>
        <w:numPr>
          <w:ilvl w:val="0"/>
          <w:numId w:val="50"/>
        </w:numPr>
        <w:rPr>
          <w:rFonts w:ascii="MS PGothic" w:cs="MS PGothic" w:eastAsia="MS PGothic" w:hAnsi="MS PGothic"/>
          <w:sz w:val="16"/>
          <w:szCs w:val="16"/>
          <w:color w:val="021496"/>
        </w:rPr>
      </w:pPr>
      <w:r>
        <w:rPr>
          <w:rFonts w:ascii="Arial" w:cs="Arial" w:eastAsia="Arial" w:hAnsi="Arial"/>
          <w:sz w:val="16"/>
          <w:szCs w:val="16"/>
          <w:color w:val="auto"/>
        </w:rPr>
        <w:t>Generated free cash flow of $944.4 million, an increase of $5.3 million compared to the prior year, representing 11.9% of revenue. Cash flow provided by operating activities was $1,115.9 million.</w:t>
      </w:r>
    </w:p>
    <w:p>
      <w:pPr>
        <w:spacing w:after="0" w:line="102" w:lineRule="exact"/>
        <w:rPr>
          <w:rFonts w:ascii="MS PGothic" w:cs="MS PGothic" w:eastAsia="MS PGothic" w:hAnsi="MS PGothic"/>
          <w:sz w:val="16"/>
          <w:szCs w:val="16"/>
          <w:color w:val="021496"/>
        </w:rPr>
      </w:pPr>
    </w:p>
    <w:p>
      <w:pPr>
        <w:ind w:left="1020" w:right="120" w:hanging="425"/>
        <w:spacing w:after="0" w:line="250" w:lineRule="auto"/>
        <w:tabs>
          <w:tab w:leader="none" w:pos="1020" w:val="left"/>
        </w:tabs>
        <w:numPr>
          <w:ilvl w:val="0"/>
          <w:numId w:val="50"/>
        </w:numPr>
        <w:rPr>
          <w:rFonts w:ascii="MS PGothic" w:cs="MS PGothic" w:eastAsia="MS PGothic" w:hAnsi="MS PGothic"/>
          <w:sz w:val="16"/>
          <w:szCs w:val="16"/>
          <w:color w:val="021496"/>
        </w:rPr>
      </w:pPr>
      <w:r>
        <w:rPr>
          <w:rFonts w:ascii="Arial" w:cs="Arial" w:eastAsia="Arial" w:hAnsi="Arial"/>
          <w:sz w:val="16"/>
          <w:szCs w:val="16"/>
          <w:color w:val="auto"/>
        </w:rPr>
        <w:t>Continued to evolve our operating model to include center-led value capture from digital opportunities, and continued to invest in growth and productivity initiatives, including automation, capacity expansion, and the implementation of common corporate systems and measurement tools.</w:t>
      </w:r>
    </w:p>
    <w:p>
      <w:pPr>
        <w:spacing w:after="0" w:line="107"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50"/>
        </w:numPr>
        <w:rPr>
          <w:rFonts w:ascii="MS PGothic" w:cs="MS PGothic" w:eastAsia="MS PGothic" w:hAnsi="MS PGothic"/>
          <w:sz w:val="16"/>
          <w:szCs w:val="16"/>
          <w:color w:val="021496"/>
        </w:rPr>
      </w:pPr>
      <w:r>
        <w:rPr>
          <w:rFonts w:ascii="Arial" w:cs="Arial" w:eastAsia="Arial" w:hAnsi="Arial"/>
          <w:sz w:val="16"/>
          <w:szCs w:val="16"/>
          <w:color w:val="auto"/>
        </w:rPr>
        <w:t>Increased our quarterly dividend, marking our 66th consecutive year of dividend increases</w:t>
      </w:r>
    </w:p>
    <w:p>
      <w:pPr>
        <w:spacing w:after="0" w:line="136"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50"/>
        </w:numPr>
        <w:rPr>
          <w:rFonts w:ascii="MS PGothic" w:cs="MS PGothic" w:eastAsia="MS PGothic" w:hAnsi="MS PGothic"/>
          <w:sz w:val="16"/>
          <w:szCs w:val="16"/>
          <w:color w:val="021496"/>
        </w:rPr>
      </w:pPr>
      <w:r>
        <w:rPr>
          <w:rFonts w:ascii="Arial" w:cs="Arial" w:eastAsia="Arial" w:hAnsi="Arial"/>
          <w:sz w:val="16"/>
          <w:szCs w:val="16"/>
          <w:color w:val="auto"/>
        </w:rPr>
        <w:t>Acquired nine businesses for total consideration of $1,125.1 million, net of cash acquired and including contingent consideration</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40</w:t>
      </w:r>
    </w:p>
    <w:p>
      <w:pPr>
        <w:sectPr>
          <w:pgSz w:w="11900" w:h="16838" w:orient="portrait"/>
          <w:cols w:equalWidth="0" w:num="1">
            <w:col w:w="11080"/>
          </w:cols>
          <w:pgMar w:left="320" w:top="456"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Success on Key Metrics (2019-2021)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146685</wp:posOffset>
            </wp:positionV>
            <wp:extent cx="5434965" cy="3354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34965" cy="335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80" w:hanging="213"/>
        <w:spacing w:after="0"/>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Definitions and reconciliations of non-GAAP measures are included at the end of this proxy statement.</w:t>
      </w:r>
    </w:p>
    <w:p>
      <w:pPr>
        <w:ind w:left="380" w:hanging="213"/>
        <w:spacing w:after="0"/>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Source: Capital IQ</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2021 Pay Decisions Align with Dover’s Performance</w:t>
      </w:r>
    </w:p>
    <w:p>
      <w:pPr>
        <w:spacing w:after="0" w:line="193" w:lineRule="exact"/>
        <w:rPr>
          <w:sz w:val="20"/>
          <w:szCs w:val="20"/>
          <w:color w:val="auto"/>
        </w:rPr>
      </w:pPr>
    </w:p>
    <w:p>
      <w:pPr>
        <w:ind w:left="160" w:right="280"/>
        <w:spacing w:after="0" w:line="256" w:lineRule="auto"/>
        <w:rPr>
          <w:sz w:val="20"/>
          <w:szCs w:val="20"/>
          <w:color w:val="auto"/>
        </w:rPr>
      </w:pPr>
      <w:r>
        <w:rPr>
          <w:rFonts w:ascii="Arial" w:cs="Arial" w:eastAsia="Arial" w:hAnsi="Arial"/>
          <w:sz w:val="16"/>
          <w:szCs w:val="16"/>
          <w:color w:val="auto"/>
        </w:rPr>
        <w:t>Our compensation program structure is designed to align pay outcomes with our shareholders’ experience by emphasizing variable, at-risk pay for our management team, including the NEOs, through our AIP and long-term incentive program.</w:t>
      </w:r>
    </w:p>
    <w:p>
      <w:pPr>
        <w:spacing w:after="0" w:line="196"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For 2021, our pay decisions and outcomes were consistent with our pay-for-performance philosophy. Our financial performance was strong in 2021, and we exceeded the financial performance target under our AIP. In addition, our NEOs made significant progress against their pre-defined individual strategic objectives as evaluated by our Compensation Committee under our AIP. Consistent with our value creation over the three-year performance period of 2019-2021, the performance shares for that period, which vested at the end of 2021 and were based on our historic internal TSR metric, had a payout percentage of 300% for our NEOs.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41</w:t>
      </w:r>
    </w:p>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Say on Pay Vote Results and Shareholder Engagement</w:t>
      </w: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3860" w:type="dxa"/>
            <w:vAlign w:val="bottom"/>
            <w:tcBorders>
              <w:right w:val="single" w:sz="8" w:color="auto"/>
            </w:tcBorders>
            <w:shd w:val="clear" w:color="auto" w:fill="D8D8D8"/>
          </w:tcPr>
          <w:p>
            <w:pPr>
              <w:ind w:left="1700"/>
              <w:spacing w:after="0"/>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color w:val="auto"/>
              </w:rPr>
              <w:t>Say on Pay support</w:t>
            </w:r>
          </w:p>
        </w:tc>
        <w:tc>
          <w:tcPr>
            <w:tcW w:w="3600" w:type="dxa"/>
            <w:vAlign w:val="bottom"/>
            <w:tcBorders>
              <w:right w:val="single" w:sz="8" w:color="auto"/>
            </w:tcBorders>
            <w:shd w:val="clear" w:color="auto" w:fill="D8D8D8"/>
          </w:tcPr>
          <w:p>
            <w:pPr>
              <w:ind w:left="660"/>
              <w:spacing w:after="0"/>
              <w:rPr>
                <w:sz w:val="20"/>
                <w:szCs w:val="20"/>
                <w:color w:val="auto"/>
              </w:rPr>
            </w:pPr>
            <w:r>
              <w:rPr>
                <w:rFonts w:ascii="Arial" w:cs="Arial" w:eastAsia="Arial" w:hAnsi="Arial"/>
                <w:sz w:val="16"/>
                <w:szCs w:val="16"/>
                <w:color w:val="auto"/>
              </w:rPr>
              <w:t>60% Shares Outstanding Contacted</w:t>
            </w:r>
          </w:p>
        </w:tc>
        <w:tc>
          <w:tcPr>
            <w:tcW w:w="3460" w:type="dxa"/>
            <w:vAlign w:val="bottom"/>
            <w:shd w:val="clear" w:color="auto" w:fill="D8D8D8"/>
          </w:tcPr>
          <w:p>
            <w:pPr>
              <w:ind w:left="100"/>
              <w:spacing w:after="0"/>
              <w:rPr>
                <w:sz w:val="20"/>
                <w:szCs w:val="20"/>
                <w:color w:val="auto"/>
              </w:rPr>
            </w:pPr>
            <w:r>
              <w:rPr>
                <w:rFonts w:ascii="Arial" w:cs="Arial" w:eastAsia="Arial" w:hAnsi="Arial"/>
                <w:sz w:val="16"/>
                <w:szCs w:val="16"/>
                <w:color w:val="auto"/>
              </w:rPr>
              <w:t>31% Shares Engaged</w:t>
            </w:r>
          </w:p>
        </w:tc>
      </w:tr>
    </w:tbl>
    <w:p>
      <w:pPr>
        <w:spacing w:after="0" w:line="189" w:lineRule="exact"/>
        <w:rPr>
          <w:sz w:val="20"/>
          <w:szCs w:val="20"/>
          <w:color w:val="auto"/>
        </w:rPr>
      </w:pPr>
    </w:p>
    <w:p>
      <w:pPr>
        <w:ind w:left="160" w:right="660"/>
        <w:spacing w:after="0" w:line="250" w:lineRule="auto"/>
        <w:rPr>
          <w:sz w:val="20"/>
          <w:szCs w:val="20"/>
          <w:color w:val="auto"/>
        </w:rPr>
      </w:pPr>
      <w:r>
        <w:rPr>
          <w:rFonts w:ascii="Arial" w:cs="Arial" w:eastAsia="Arial" w:hAnsi="Arial"/>
          <w:sz w:val="16"/>
          <w:szCs w:val="16"/>
          <w:color w:val="auto"/>
        </w:rPr>
        <w:t>Our Board has a strong history of engaging with shareholders and soliciting feedback on a range of topics, including our executive compensation program. Historically, our program has received strong shareholder support as expressed during our one-on-one engagement discussions with shareholders and through our Say on Pay vote levels.</w:t>
      </w:r>
    </w:p>
    <w:p>
      <w:pPr>
        <w:spacing w:after="0" w:line="161" w:lineRule="exact"/>
        <w:rPr>
          <w:sz w:val="20"/>
          <w:szCs w:val="20"/>
          <w:color w:val="auto"/>
        </w:rPr>
      </w:pPr>
    </w:p>
    <w:p>
      <w:pPr>
        <w:ind w:left="160" w:right="180"/>
        <w:spacing w:after="0" w:line="246" w:lineRule="auto"/>
        <w:rPr>
          <w:sz w:val="20"/>
          <w:szCs w:val="20"/>
          <w:color w:val="auto"/>
        </w:rPr>
      </w:pPr>
      <w:r>
        <w:rPr>
          <w:rFonts w:ascii="Arial" w:cs="Arial" w:eastAsia="Arial" w:hAnsi="Arial"/>
          <w:sz w:val="16"/>
          <w:szCs w:val="16"/>
          <w:color w:val="auto"/>
        </w:rPr>
        <w:t>At our 2021 annual meeting, approximately 93% of the voting shareholders approved the compensation of the NEOs. At our 2020 annual meeting, over approximately 96% of the voting shareholders approved the compensation of the NEOs. In 2021, we continued our shareholder engagement program. We reached out to holders of approximately 60% of our outstanding shares and engaged with governance professionals and/or portfolio managers of investors holding approximately 31% of our outstanding shares. In addition to the governance topics detailed earlier in this proxy statement, we had thoughtful discussions with our shareholders regarding our compensation program. Shareholders told us they believe our pay practices are aligned with our pay-for-performance philosophy. The Compensation Committee will continue to consider feedback from shareholders, as well as the results from future shareholder advisory votes, in its ongoing evaluation of executive compensation programs and practices at Dover.</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42</w:t>
      </w:r>
    </w:p>
    <w:p>
      <w:pPr>
        <w:sectPr>
          <w:pgSz w:w="11900" w:h="16838" w:orient="portrait"/>
          <w:cols w:equalWidth="0" w:num="1">
            <w:col w:w="11080"/>
          </w:cols>
          <w:pgMar w:left="320" w:top="456"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021496"/>
        </w:rPr>
        <w:t>Dover’s Alignment with Leading 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216535</wp:posOffset>
            </wp:positionV>
            <wp:extent cx="69297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0"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13335</wp:posOffset>
            </wp:positionV>
            <wp:extent cx="33204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137" w:lineRule="exact"/>
        <w:rPr>
          <w:sz w:val="20"/>
          <w:szCs w:val="20"/>
          <w:color w:val="auto"/>
        </w:rPr>
      </w:pPr>
    </w:p>
    <w:p>
      <w:pPr>
        <w:ind w:left="840" w:right="325" w:hanging="402"/>
        <w:spacing w:after="0" w:line="273" w:lineRule="auto"/>
        <w:tabs>
          <w:tab w:leader="none" w:pos="801" w:val="left"/>
        </w:tabs>
        <w:numPr>
          <w:ilvl w:val="0"/>
          <w:numId w:val="52"/>
        </w:numPr>
        <w:rPr>
          <w:rFonts w:ascii="MS PGothic" w:cs="MS PGothic" w:eastAsia="MS PGothic" w:hAnsi="MS PGothic"/>
          <w:sz w:val="16"/>
          <w:szCs w:val="16"/>
          <w:color w:val="auto"/>
        </w:rPr>
      </w:pPr>
      <w:r>
        <w:rPr>
          <w:rFonts w:ascii="Arial" w:cs="Arial" w:eastAsia="Arial" w:hAnsi="Arial"/>
          <w:sz w:val="16"/>
          <w:szCs w:val="16"/>
          <w:color w:val="auto"/>
        </w:rPr>
        <w:t>The majority of target NEO pay opportunity is performance based (74% for the CEO; 62% for the other NEOs)</w:t>
      </w:r>
    </w:p>
    <w:p>
      <w:pPr>
        <w:spacing w:after="0" w:line="169" w:lineRule="exact"/>
        <w:rPr>
          <w:rFonts w:ascii="MS PGothic" w:cs="MS PGothic" w:eastAsia="MS PGothic" w:hAnsi="MS PGothic"/>
          <w:sz w:val="16"/>
          <w:szCs w:val="16"/>
          <w:color w:val="auto"/>
        </w:rPr>
      </w:pPr>
    </w:p>
    <w:p>
      <w:pPr>
        <w:ind w:left="840" w:right="5" w:hanging="402"/>
        <w:spacing w:after="0" w:line="258" w:lineRule="auto"/>
        <w:tabs>
          <w:tab w:leader="none" w:pos="795" w:val="left"/>
        </w:tabs>
        <w:numPr>
          <w:ilvl w:val="0"/>
          <w:numId w:val="52"/>
        </w:numPr>
        <w:rPr>
          <w:rFonts w:ascii="MS PGothic" w:cs="MS PGothic" w:eastAsia="MS PGothic" w:hAnsi="MS PGothic"/>
          <w:sz w:val="16"/>
          <w:szCs w:val="16"/>
          <w:color w:val="auto"/>
        </w:rPr>
      </w:pPr>
      <w:r>
        <w:rPr>
          <w:rFonts w:ascii="Arial" w:cs="Arial" w:eastAsia="Arial" w:hAnsi="Arial"/>
          <w:sz w:val="16"/>
          <w:szCs w:val="16"/>
          <w:color w:val="auto"/>
        </w:rPr>
        <w:t>A significant portion of target NEO pay opportunity is tied to Dover stock performance (73% for the CEO; 50% for the other NEOs)</w:t>
      </w:r>
    </w:p>
    <w:p>
      <w:pPr>
        <w:spacing w:after="0" w:line="182" w:lineRule="exact"/>
        <w:rPr>
          <w:rFonts w:ascii="MS PGothic" w:cs="MS PGothic" w:eastAsia="MS PGothic" w:hAnsi="MS PGothic"/>
          <w:sz w:val="16"/>
          <w:szCs w:val="16"/>
          <w:color w:val="auto"/>
        </w:rPr>
      </w:pPr>
    </w:p>
    <w:p>
      <w:pPr>
        <w:ind w:left="840" w:right="245" w:hanging="402"/>
        <w:spacing w:after="0" w:line="273" w:lineRule="auto"/>
        <w:tabs>
          <w:tab w:leader="none" w:pos="804" w:val="left"/>
        </w:tabs>
        <w:numPr>
          <w:ilvl w:val="0"/>
          <w:numId w:val="52"/>
        </w:numPr>
        <w:rPr>
          <w:rFonts w:ascii="MS PGothic" w:cs="MS PGothic" w:eastAsia="MS PGothic" w:hAnsi="MS PGothic"/>
          <w:sz w:val="16"/>
          <w:szCs w:val="16"/>
          <w:color w:val="auto"/>
        </w:rPr>
      </w:pPr>
      <w:r>
        <w:rPr>
          <w:rFonts w:ascii="Arial" w:cs="Arial" w:eastAsia="Arial" w:hAnsi="Arial"/>
          <w:sz w:val="16"/>
          <w:szCs w:val="16"/>
          <w:color w:val="auto"/>
        </w:rPr>
        <w:t>Robust engagement with shareholders to seek feedback on executive compensation programs</w:t>
      </w:r>
    </w:p>
    <w:p>
      <w:pPr>
        <w:spacing w:after="0" w:line="169" w:lineRule="exact"/>
        <w:rPr>
          <w:rFonts w:ascii="MS PGothic" w:cs="MS PGothic" w:eastAsia="MS PGothic" w:hAnsi="MS PGothic"/>
          <w:sz w:val="16"/>
          <w:szCs w:val="16"/>
          <w:color w:val="auto"/>
        </w:rPr>
      </w:pPr>
    </w:p>
    <w:p>
      <w:pPr>
        <w:ind w:left="820" w:hanging="382"/>
        <w:spacing w:after="0"/>
        <w:tabs>
          <w:tab w:leader="none" w:pos="820" w:val="left"/>
        </w:tabs>
        <w:numPr>
          <w:ilvl w:val="0"/>
          <w:numId w:val="52"/>
        </w:numPr>
        <w:rPr>
          <w:rFonts w:ascii="MS PGothic" w:cs="MS PGothic" w:eastAsia="MS PGothic" w:hAnsi="MS PGothic"/>
          <w:sz w:val="16"/>
          <w:szCs w:val="16"/>
          <w:color w:val="auto"/>
        </w:rPr>
      </w:pPr>
      <w:r>
        <w:rPr>
          <w:rFonts w:ascii="Arial" w:cs="Arial" w:eastAsia="Arial" w:hAnsi="Arial"/>
          <w:sz w:val="16"/>
          <w:szCs w:val="16"/>
          <w:color w:val="auto"/>
        </w:rPr>
        <w:t>Compensation program includes ESG objectives</w:t>
      </w:r>
    </w:p>
    <w:p>
      <w:pPr>
        <w:spacing w:after="0" w:line="230" w:lineRule="exact"/>
        <w:rPr>
          <w:rFonts w:ascii="MS PGothic" w:cs="MS PGothic" w:eastAsia="MS PGothic" w:hAnsi="MS PGothic"/>
          <w:sz w:val="16"/>
          <w:szCs w:val="16"/>
          <w:color w:val="auto"/>
        </w:rPr>
      </w:pPr>
    </w:p>
    <w:p>
      <w:pPr>
        <w:ind w:left="800" w:hanging="362"/>
        <w:spacing w:after="0"/>
        <w:tabs>
          <w:tab w:leader="none" w:pos="800" w:val="left"/>
        </w:tabs>
        <w:numPr>
          <w:ilvl w:val="0"/>
          <w:numId w:val="52"/>
        </w:numPr>
        <w:rPr>
          <w:rFonts w:ascii="MS PGothic" w:cs="MS PGothic" w:eastAsia="MS PGothic" w:hAnsi="MS PGothic"/>
          <w:sz w:val="16"/>
          <w:szCs w:val="16"/>
          <w:color w:val="auto"/>
        </w:rPr>
      </w:pPr>
      <w:r>
        <w:rPr>
          <w:rFonts w:ascii="Arial" w:cs="Arial" w:eastAsia="Arial" w:hAnsi="Arial"/>
          <w:sz w:val="16"/>
          <w:szCs w:val="16"/>
          <w:color w:val="auto"/>
        </w:rPr>
        <w:t>All long-term incentives are paid in stock, not cash</w:t>
      </w:r>
    </w:p>
    <w:p>
      <w:pPr>
        <w:spacing w:after="0" w:line="217" w:lineRule="exact"/>
        <w:rPr>
          <w:rFonts w:ascii="MS PGothic" w:cs="MS PGothic" w:eastAsia="MS PGothic" w:hAnsi="MS PGothic"/>
          <w:sz w:val="16"/>
          <w:szCs w:val="16"/>
          <w:color w:val="auto"/>
        </w:rPr>
      </w:pPr>
    </w:p>
    <w:p>
      <w:pPr>
        <w:ind w:left="840" w:right="85" w:hanging="402"/>
        <w:spacing w:after="0" w:line="273" w:lineRule="auto"/>
        <w:tabs>
          <w:tab w:leader="none" w:pos="804" w:val="left"/>
        </w:tabs>
        <w:numPr>
          <w:ilvl w:val="0"/>
          <w:numId w:val="52"/>
        </w:numPr>
        <w:rPr>
          <w:rFonts w:ascii="MS PGothic" w:cs="MS PGothic" w:eastAsia="MS PGothic" w:hAnsi="MS PGothic"/>
          <w:sz w:val="16"/>
          <w:szCs w:val="16"/>
          <w:color w:val="auto"/>
        </w:rPr>
      </w:pPr>
      <w:r>
        <w:rPr>
          <w:rFonts w:ascii="Arial" w:cs="Arial" w:eastAsia="Arial" w:hAnsi="Arial"/>
          <w:sz w:val="16"/>
          <w:szCs w:val="16"/>
          <w:color w:val="auto"/>
        </w:rPr>
        <w:t>Executives must hold significant amounts of Dover stock: five-times salary for the CEO, three-times for other NEOs</w:t>
      </w:r>
    </w:p>
    <w:p>
      <w:pPr>
        <w:spacing w:after="0" w:line="169" w:lineRule="exact"/>
        <w:rPr>
          <w:rFonts w:ascii="MS PGothic" w:cs="MS PGothic" w:eastAsia="MS PGothic" w:hAnsi="MS PGothic"/>
          <w:sz w:val="16"/>
          <w:szCs w:val="16"/>
          <w:color w:val="auto"/>
        </w:rPr>
      </w:pPr>
    </w:p>
    <w:p>
      <w:pPr>
        <w:ind w:left="800" w:hanging="362"/>
        <w:spacing w:after="0"/>
        <w:tabs>
          <w:tab w:leader="none" w:pos="800" w:val="left"/>
        </w:tabs>
        <w:numPr>
          <w:ilvl w:val="0"/>
          <w:numId w:val="52"/>
        </w:numPr>
        <w:rPr>
          <w:rFonts w:ascii="MS PGothic" w:cs="MS PGothic" w:eastAsia="MS PGothic" w:hAnsi="MS PGothic"/>
          <w:sz w:val="16"/>
          <w:szCs w:val="16"/>
          <w:color w:val="auto"/>
        </w:rPr>
      </w:pPr>
      <w:r>
        <w:rPr>
          <w:rFonts w:ascii="Arial" w:cs="Arial" w:eastAsia="Arial" w:hAnsi="Arial"/>
          <w:sz w:val="16"/>
          <w:szCs w:val="16"/>
          <w:color w:val="auto"/>
        </w:rPr>
        <w:t>All long-term incentives are earned or vest over three years</w:t>
      </w:r>
    </w:p>
    <w:p>
      <w:pPr>
        <w:spacing w:after="0" w:line="217" w:lineRule="exact"/>
        <w:rPr>
          <w:rFonts w:ascii="MS PGothic" w:cs="MS PGothic" w:eastAsia="MS PGothic" w:hAnsi="MS PGothic"/>
          <w:sz w:val="16"/>
          <w:szCs w:val="16"/>
          <w:color w:val="auto"/>
        </w:rPr>
      </w:pPr>
    </w:p>
    <w:p>
      <w:pPr>
        <w:ind w:left="820" w:hanging="382"/>
        <w:spacing w:after="0"/>
        <w:tabs>
          <w:tab w:leader="none" w:pos="820" w:val="left"/>
        </w:tabs>
        <w:numPr>
          <w:ilvl w:val="0"/>
          <w:numId w:val="52"/>
        </w:numPr>
        <w:rPr>
          <w:rFonts w:ascii="MS PGothic" w:cs="MS PGothic" w:eastAsia="MS PGothic" w:hAnsi="MS PGothic"/>
          <w:sz w:val="16"/>
          <w:szCs w:val="16"/>
          <w:color w:val="auto"/>
        </w:rPr>
      </w:pPr>
      <w:r>
        <w:rPr>
          <w:rFonts w:ascii="Arial" w:cs="Arial" w:eastAsia="Arial" w:hAnsi="Arial"/>
          <w:sz w:val="16"/>
          <w:szCs w:val="16"/>
          <w:color w:val="auto"/>
        </w:rPr>
        <w:t>Change in control provisions require double trigger</w:t>
      </w:r>
    </w:p>
    <w:p>
      <w:pPr>
        <w:spacing w:after="0" w:line="217" w:lineRule="exact"/>
        <w:rPr>
          <w:rFonts w:ascii="MS PGothic" w:cs="MS PGothic" w:eastAsia="MS PGothic" w:hAnsi="MS PGothic"/>
          <w:sz w:val="16"/>
          <w:szCs w:val="16"/>
          <w:color w:val="auto"/>
        </w:rPr>
      </w:pPr>
    </w:p>
    <w:p>
      <w:pPr>
        <w:ind w:left="820" w:hanging="382"/>
        <w:spacing w:after="0"/>
        <w:tabs>
          <w:tab w:leader="none" w:pos="820" w:val="left"/>
        </w:tabs>
        <w:numPr>
          <w:ilvl w:val="0"/>
          <w:numId w:val="52"/>
        </w:numPr>
        <w:rPr>
          <w:rFonts w:ascii="MS PGothic" w:cs="MS PGothic" w:eastAsia="MS PGothic" w:hAnsi="MS PGothic"/>
          <w:sz w:val="16"/>
          <w:szCs w:val="16"/>
          <w:color w:val="auto"/>
        </w:rPr>
      </w:pPr>
      <w:r>
        <w:rPr>
          <w:rFonts w:ascii="Arial" w:cs="Arial" w:eastAsia="Arial" w:hAnsi="Arial"/>
          <w:sz w:val="16"/>
          <w:szCs w:val="16"/>
          <w:color w:val="auto"/>
        </w:rPr>
        <w:t>Comprehensive clawback policy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1655"/>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13335</wp:posOffset>
            </wp:positionV>
            <wp:extent cx="33883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37" w:lineRule="exact"/>
        <w:rPr>
          <w:sz w:val="20"/>
          <w:szCs w:val="20"/>
          <w:color w:val="auto"/>
        </w:rPr>
      </w:pPr>
    </w:p>
    <w:p>
      <w:pPr>
        <w:ind w:left="415" w:hanging="415"/>
        <w:spacing w:after="0"/>
        <w:tabs>
          <w:tab w:leader="none" w:pos="415"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No tax gross ups</w:t>
      </w:r>
    </w:p>
    <w:p>
      <w:pPr>
        <w:spacing w:after="0" w:line="217" w:lineRule="exact"/>
        <w:rPr>
          <w:rFonts w:ascii="MS PGothic" w:cs="MS PGothic" w:eastAsia="MS PGothic" w:hAnsi="MS PGothic"/>
          <w:sz w:val="16"/>
          <w:szCs w:val="16"/>
          <w:color w:val="auto"/>
        </w:rPr>
      </w:pPr>
    </w:p>
    <w:p>
      <w:pPr>
        <w:ind w:left="415" w:hanging="415"/>
        <w:spacing w:after="0"/>
        <w:tabs>
          <w:tab w:leader="none" w:pos="415"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No repricing, reloads, or exchanges of SSARs</w:t>
      </w:r>
    </w:p>
    <w:p>
      <w:pPr>
        <w:spacing w:after="0" w:line="217" w:lineRule="exact"/>
        <w:rPr>
          <w:rFonts w:ascii="MS PGothic" w:cs="MS PGothic" w:eastAsia="MS PGothic" w:hAnsi="MS PGothic"/>
          <w:sz w:val="16"/>
          <w:szCs w:val="16"/>
          <w:color w:val="auto"/>
        </w:rPr>
      </w:pPr>
    </w:p>
    <w:p>
      <w:pPr>
        <w:ind w:left="415" w:hanging="415"/>
        <w:spacing w:after="0"/>
        <w:tabs>
          <w:tab w:leader="none" w:pos="415"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No SSARs granted below fair market value</w:t>
      </w:r>
    </w:p>
    <w:p>
      <w:pPr>
        <w:spacing w:after="0" w:line="217" w:lineRule="exact"/>
        <w:rPr>
          <w:rFonts w:ascii="MS PGothic" w:cs="MS PGothic" w:eastAsia="MS PGothic" w:hAnsi="MS PGothic"/>
          <w:sz w:val="16"/>
          <w:szCs w:val="16"/>
          <w:color w:val="auto"/>
        </w:rPr>
      </w:pPr>
    </w:p>
    <w:p>
      <w:pPr>
        <w:ind w:left="415" w:right="580" w:hanging="415"/>
        <w:spacing w:after="0" w:line="273" w:lineRule="auto"/>
        <w:tabs>
          <w:tab w:leader="none" w:pos="411"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No hedging or pledging of Dover securities by executives, including margin loans</w:t>
      </w:r>
    </w:p>
    <w:p>
      <w:pPr>
        <w:spacing w:after="0" w:line="169" w:lineRule="exact"/>
        <w:rPr>
          <w:rFonts w:ascii="MS PGothic" w:cs="MS PGothic" w:eastAsia="MS PGothic" w:hAnsi="MS PGothic"/>
          <w:sz w:val="16"/>
          <w:szCs w:val="16"/>
          <w:color w:val="auto"/>
        </w:rPr>
      </w:pPr>
    </w:p>
    <w:p>
      <w:pPr>
        <w:ind w:left="415" w:right="20" w:hanging="415"/>
        <w:spacing w:after="0" w:line="258" w:lineRule="auto"/>
        <w:tabs>
          <w:tab w:leader="none" w:pos="411"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No dividends are paid on performance shares or RSUs during the earning or vesting period. Dividend equivalents are accrued on RSUs, but are only paid if the RSUs vest</w:t>
      </w:r>
    </w:p>
    <w:p>
      <w:pPr>
        <w:spacing w:after="0" w:line="182" w:lineRule="exact"/>
        <w:rPr>
          <w:rFonts w:ascii="MS PGothic" w:cs="MS PGothic" w:eastAsia="MS PGothic" w:hAnsi="MS PGothic"/>
          <w:sz w:val="16"/>
          <w:szCs w:val="16"/>
          <w:color w:val="auto"/>
        </w:rPr>
      </w:pPr>
    </w:p>
    <w:p>
      <w:pPr>
        <w:ind w:left="415" w:hanging="415"/>
        <w:spacing w:after="0"/>
        <w:tabs>
          <w:tab w:leader="none" w:pos="415"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No special executive retirement arrangements</w:t>
      </w:r>
    </w:p>
    <w:p>
      <w:pPr>
        <w:spacing w:after="0" w:line="217" w:lineRule="exact"/>
        <w:rPr>
          <w:rFonts w:ascii="MS PGothic" w:cs="MS PGothic" w:eastAsia="MS PGothic" w:hAnsi="MS PGothic"/>
          <w:sz w:val="16"/>
          <w:szCs w:val="16"/>
          <w:color w:val="auto"/>
        </w:rPr>
      </w:pPr>
    </w:p>
    <w:p>
      <w:pPr>
        <w:ind w:left="415" w:right="200" w:hanging="415"/>
        <w:spacing w:after="0" w:line="273" w:lineRule="auto"/>
        <w:tabs>
          <w:tab w:leader="none" w:pos="411"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No substantial executive perquisites, nor do we own or operate any corporate aircraft</w:t>
      </w:r>
    </w:p>
    <w:p>
      <w:pPr>
        <w:spacing w:after="0" w:line="1155" w:lineRule="exact"/>
        <w:rPr>
          <w:sz w:val="20"/>
          <w:szCs w:val="20"/>
          <w:color w:val="auto"/>
        </w:rPr>
      </w:pPr>
    </w:p>
    <w:p>
      <w:pPr>
        <w:sectPr>
          <w:pgSz w:w="11900" w:h="16838" w:orient="portrait"/>
          <w:cols w:equalWidth="0" w:num="2">
            <w:col w:w="5285" w:space="720"/>
            <w:col w:w="5075"/>
          </w:cols>
          <w:pgMar w:left="320" w:top="456" w:right="499" w:bottom="1440" w:gutter="0" w:footer="0" w:header="0"/>
          <w:type w:val="continuous"/>
        </w:sectPr>
      </w:pPr>
    </w:p>
    <w:p>
      <w:pPr>
        <w:spacing w:after="0" w:line="31" w:lineRule="exact"/>
        <w:rPr>
          <w:sz w:val="20"/>
          <w:szCs w:val="20"/>
          <w:color w:val="auto"/>
        </w:rPr>
      </w:pPr>
    </w:p>
    <w:p>
      <w:pPr>
        <w:ind w:left="840" w:right="5740" w:hanging="402"/>
        <w:spacing w:after="0" w:line="273" w:lineRule="auto"/>
        <w:tabs>
          <w:tab w:leader="none" w:pos="804" w:val="left"/>
        </w:tabs>
        <w:numPr>
          <w:ilvl w:val="0"/>
          <w:numId w:val="54"/>
        </w:numPr>
        <w:rPr>
          <w:rFonts w:ascii="MS PGothic" w:cs="MS PGothic" w:eastAsia="MS PGothic" w:hAnsi="MS PGothic"/>
          <w:sz w:val="16"/>
          <w:szCs w:val="16"/>
          <w:color w:val="auto"/>
        </w:rPr>
      </w:pPr>
      <w:r>
        <w:rPr>
          <w:rFonts w:ascii="Arial" w:cs="Arial" w:eastAsia="Arial" w:hAnsi="Arial"/>
          <w:sz w:val="16"/>
          <w:szCs w:val="16"/>
          <w:color w:val="auto"/>
        </w:rPr>
        <w:t>Executives participate in benefit and employee programs on the same basis as other Dover employees</w:t>
      </w:r>
    </w:p>
    <w:p>
      <w:pPr>
        <w:spacing w:after="0" w:line="169" w:lineRule="exact"/>
        <w:rPr>
          <w:rFonts w:ascii="MS PGothic" w:cs="MS PGothic" w:eastAsia="MS PGothic" w:hAnsi="MS PGothic"/>
          <w:sz w:val="16"/>
          <w:szCs w:val="16"/>
          <w:color w:val="auto"/>
        </w:rPr>
      </w:pPr>
    </w:p>
    <w:p>
      <w:pPr>
        <w:ind w:left="840" w:right="6100" w:hanging="402"/>
        <w:spacing w:after="0" w:line="273" w:lineRule="auto"/>
        <w:tabs>
          <w:tab w:leader="none" w:pos="804" w:val="left"/>
        </w:tabs>
        <w:numPr>
          <w:ilvl w:val="0"/>
          <w:numId w:val="54"/>
        </w:numPr>
        <w:rPr>
          <w:rFonts w:ascii="MS PGothic" w:cs="MS PGothic" w:eastAsia="MS PGothic" w:hAnsi="MS PGothic"/>
          <w:sz w:val="16"/>
          <w:szCs w:val="16"/>
          <w:color w:val="auto"/>
        </w:rPr>
      </w:pPr>
      <w:r>
        <w:rPr>
          <w:rFonts w:ascii="Arial" w:cs="Arial" w:eastAsia="Arial" w:hAnsi="Arial"/>
          <w:sz w:val="16"/>
          <w:szCs w:val="16"/>
          <w:color w:val="auto"/>
        </w:rPr>
        <w:t>Our Compensation Committee retains its own independent consultant</w:t>
      </w:r>
    </w:p>
    <w:p>
      <w:pPr>
        <w:spacing w:after="0" w:line="169" w:lineRule="exact"/>
        <w:rPr>
          <w:rFonts w:ascii="MS PGothic" w:cs="MS PGothic" w:eastAsia="MS PGothic" w:hAnsi="MS PGothic"/>
          <w:sz w:val="16"/>
          <w:szCs w:val="16"/>
          <w:color w:val="auto"/>
        </w:rPr>
      </w:pPr>
    </w:p>
    <w:p>
      <w:pPr>
        <w:ind w:left="800" w:hanging="362"/>
        <w:spacing w:after="0"/>
        <w:tabs>
          <w:tab w:leader="none" w:pos="800" w:val="left"/>
        </w:tabs>
        <w:numPr>
          <w:ilvl w:val="0"/>
          <w:numId w:val="54"/>
        </w:numPr>
        <w:rPr>
          <w:rFonts w:ascii="MS PGothic" w:cs="MS PGothic" w:eastAsia="MS PGothic" w:hAnsi="MS PGothic"/>
          <w:sz w:val="16"/>
          <w:szCs w:val="16"/>
          <w:color w:val="auto"/>
        </w:rPr>
      </w:pPr>
      <w:r>
        <w:rPr>
          <w:rFonts w:ascii="Arial" w:cs="Arial" w:eastAsia="Arial" w:hAnsi="Arial"/>
          <w:sz w:val="16"/>
          <w:szCs w:val="16"/>
          <w:color w:val="auto"/>
        </w:rPr>
        <w:t>Annual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145415</wp:posOffset>
            </wp:positionV>
            <wp:extent cx="33204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229870</wp:posOffset>
            </wp:positionV>
            <wp:extent cx="33883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43</w:t>
      </w:r>
    </w:p>
    <w:p>
      <w:pPr>
        <w:sectPr>
          <w:pgSz w:w="11900" w:h="16838" w:orient="portrait"/>
          <w:cols w:equalWidth="0" w:num="1">
            <w:col w:w="11080"/>
          </w:cols>
          <w:pgMar w:left="320" w:top="456" w:right="49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Compensation Principles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Guiding Principles for Dover’s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160020</wp:posOffset>
            </wp:positionV>
            <wp:extent cx="4993640" cy="14776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93640" cy="1477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Based on these principles, these were the key elements of our program in 2021:</w:t>
      </w:r>
    </w:p>
    <w:p>
      <w:pPr>
        <w:spacing w:after="0" w:line="124" w:lineRule="exact"/>
        <w:rPr>
          <w:sz w:val="20"/>
          <w:szCs w:val="20"/>
          <w:color w:val="auto"/>
        </w:rPr>
      </w:pPr>
    </w:p>
    <w:p>
      <w:pPr>
        <w:ind w:left="1020" w:hanging="425"/>
        <w:spacing w:after="0"/>
        <w:tabs>
          <w:tab w:leader="none" w:pos="1020" w:val="left"/>
        </w:tabs>
        <w:numPr>
          <w:ilvl w:val="0"/>
          <w:numId w:val="55"/>
        </w:numPr>
        <w:rPr>
          <w:rFonts w:ascii="MS PGothic" w:cs="MS PGothic" w:eastAsia="MS PGothic" w:hAnsi="MS PGothic"/>
          <w:sz w:val="16"/>
          <w:szCs w:val="16"/>
          <w:color w:val="021496"/>
        </w:rPr>
      </w:pPr>
      <w:r>
        <w:rPr>
          <w:rFonts w:ascii="Arial" w:cs="Arial" w:eastAsia="Arial" w:hAnsi="Arial"/>
          <w:sz w:val="16"/>
          <w:szCs w:val="16"/>
          <w:color w:val="auto"/>
        </w:rPr>
        <w:t>Financial metrics that are clearly linked to the creation of shareholder value: adjusted earnings and three-year relative TSR.</w:t>
      </w:r>
    </w:p>
    <w:p>
      <w:pPr>
        <w:spacing w:after="0" w:line="136" w:lineRule="exact"/>
        <w:rPr>
          <w:rFonts w:ascii="MS PGothic" w:cs="MS PGothic" w:eastAsia="MS PGothic" w:hAnsi="MS PGothic"/>
          <w:sz w:val="16"/>
          <w:szCs w:val="16"/>
          <w:color w:val="021496"/>
        </w:rPr>
      </w:pPr>
    </w:p>
    <w:p>
      <w:pPr>
        <w:ind w:left="1020" w:right="460" w:hanging="425"/>
        <w:spacing w:after="0" w:line="256" w:lineRule="auto"/>
        <w:tabs>
          <w:tab w:leader="none" w:pos="1020" w:val="left"/>
        </w:tabs>
        <w:numPr>
          <w:ilvl w:val="0"/>
          <w:numId w:val="55"/>
        </w:numPr>
        <w:rPr>
          <w:rFonts w:ascii="MS PGothic" w:cs="MS PGothic" w:eastAsia="MS PGothic" w:hAnsi="MS PGothic"/>
          <w:sz w:val="16"/>
          <w:szCs w:val="16"/>
          <w:color w:val="021496"/>
        </w:rPr>
      </w:pPr>
      <w:r>
        <w:rPr>
          <w:rFonts w:ascii="Arial" w:cs="Arial" w:eastAsia="Arial" w:hAnsi="Arial"/>
          <w:sz w:val="16"/>
          <w:szCs w:val="16"/>
          <w:color w:val="auto"/>
        </w:rPr>
        <w:t>A focus on our business strategy to ensure our long-term compensation program aligns the interests of our executives with those of our shareholders by placing an emphasis on performance-based stock compensation.</w:t>
      </w:r>
    </w:p>
    <w:p>
      <w:pPr>
        <w:spacing w:after="0" w:line="102"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55"/>
        </w:numPr>
        <w:rPr>
          <w:rFonts w:ascii="MS PGothic" w:cs="MS PGothic" w:eastAsia="MS PGothic" w:hAnsi="MS PGothic"/>
          <w:sz w:val="16"/>
          <w:szCs w:val="16"/>
          <w:color w:val="021496"/>
        </w:rPr>
      </w:pPr>
      <w:r>
        <w:rPr>
          <w:rFonts w:ascii="Arial" w:cs="Arial" w:eastAsia="Arial" w:hAnsi="Arial"/>
          <w:sz w:val="16"/>
          <w:szCs w:val="16"/>
          <w:color w:val="auto"/>
        </w:rPr>
        <w:t>An annual review by our Compensation Committee of executive compensation levels and the components of our program.</w:t>
      </w:r>
    </w:p>
    <w:p>
      <w:pPr>
        <w:spacing w:after="0" w:line="136" w:lineRule="exact"/>
        <w:rPr>
          <w:rFonts w:ascii="MS PGothic" w:cs="MS PGothic" w:eastAsia="MS PGothic" w:hAnsi="MS PGothic"/>
          <w:sz w:val="16"/>
          <w:szCs w:val="16"/>
          <w:color w:val="021496"/>
        </w:rPr>
      </w:pPr>
    </w:p>
    <w:p>
      <w:pPr>
        <w:ind w:left="1020" w:right="160" w:hanging="425"/>
        <w:spacing w:after="0" w:line="256" w:lineRule="auto"/>
        <w:tabs>
          <w:tab w:leader="none" w:pos="1020" w:val="left"/>
        </w:tabs>
        <w:numPr>
          <w:ilvl w:val="0"/>
          <w:numId w:val="55"/>
        </w:numPr>
        <w:rPr>
          <w:rFonts w:ascii="MS PGothic" w:cs="MS PGothic" w:eastAsia="MS PGothic" w:hAnsi="MS PGothic"/>
          <w:sz w:val="16"/>
          <w:szCs w:val="16"/>
          <w:color w:val="021496"/>
        </w:rPr>
      </w:pPr>
      <w:r>
        <w:rPr>
          <w:rFonts w:ascii="Arial" w:cs="Arial" w:eastAsia="Arial" w:hAnsi="Arial"/>
          <w:sz w:val="16"/>
          <w:szCs w:val="16"/>
          <w:color w:val="auto"/>
        </w:rPr>
        <w:t>A reference to the median of our peer group for total direct compensation, with consideration for internal pay equity, sustained performance, specific responsibilities, and experience with comparable market talent.</w:t>
      </w:r>
    </w:p>
    <w:p>
      <w:pPr>
        <w:spacing w:after="0" w:line="102" w:lineRule="exact"/>
        <w:rPr>
          <w:rFonts w:ascii="MS PGothic" w:cs="MS PGothic" w:eastAsia="MS PGothic" w:hAnsi="MS PGothic"/>
          <w:sz w:val="16"/>
          <w:szCs w:val="16"/>
          <w:color w:val="021496"/>
        </w:rPr>
      </w:pPr>
    </w:p>
    <w:p>
      <w:pPr>
        <w:ind w:left="1020" w:right="360" w:hanging="425"/>
        <w:spacing w:after="0" w:line="256" w:lineRule="auto"/>
        <w:tabs>
          <w:tab w:leader="none" w:pos="1020" w:val="left"/>
        </w:tabs>
        <w:numPr>
          <w:ilvl w:val="0"/>
          <w:numId w:val="55"/>
        </w:numPr>
        <w:rPr>
          <w:rFonts w:ascii="MS PGothic" w:cs="MS PGothic" w:eastAsia="MS PGothic" w:hAnsi="MS PGothic"/>
          <w:sz w:val="16"/>
          <w:szCs w:val="16"/>
          <w:color w:val="021496"/>
        </w:rPr>
      </w:pPr>
      <w:r>
        <w:rPr>
          <w:rFonts w:ascii="Arial" w:cs="Arial" w:eastAsia="Arial" w:hAnsi="Arial"/>
          <w:sz w:val="16"/>
          <w:szCs w:val="16"/>
          <w:color w:val="auto"/>
        </w:rPr>
        <w:t>Total compensation opportunities designed so that the large majority of compensation is variable and at-risk based on financial, strategic, operational, and share price performance.</w:t>
      </w:r>
    </w:p>
    <w:p>
      <w:pPr>
        <w:spacing w:after="0" w:line="102" w:lineRule="exact"/>
        <w:rPr>
          <w:rFonts w:ascii="MS PGothic" w:cs="MS PGothic" w:eastAsia="MS PGothic" w:hAnsi="MS PGothic"/>
          <w:sz w:val="16"/>
          <w:szCs w:val="16"/>
          <w:color w:val="021496"/>
        </w:rPr>
      </w:pPr>
    </w:p>
    <w:p>
      <w:pPr>
        <w:ind w:left="1020" w:right="60" w:hanging="425"/>
        <w:spacing w:after="0" w:line="256" w:lineRule="auto"/>
        <w:tabs>
          <w:tab w:leader="none" w:pos="1020" w:val="left"/>
        </w:tabs>
        <w:numPr>
          <w:ilvl w:val="0"/>
          <w:numId w:val="55"/>
        </w:numPr>
        <w:rPr>
          <w:rFonts w:ascii="MS PGothic" w:cs="MS PGothic" w:eastAsia="MS PGothic" w:hAnsi="MS PGothic"/>
          <w:sz w:val="16"/>
          <w:szCs w:val="16"/>
          <w:color w:val="021496"/>
        </w:rPr>
      </w:pPr>
      <w:r>
        <w:rPr>
          <w:rFonts w:ascii="Arial" w:cs="Arial" w:eastAsia="Arial" w:hAnsi="Arial"/>
          <w:sz w:val="16"/>
          <w:szCs w:val="16"/>
          <w:color w:val="auto"/>
        </w:rPr>
        <w:t>An annual cash bonus plan (the AIP) designed to reward annual financial performance and the attainment of well-defined strategic objectives that the Board believes will assure the long-term success of Dover.</w:t>
      </w:r>
    </w:p>
    <w:p>
      <w:pPr>
        <w:spacing w:after="0" w:line="102" w:lineRule="exact"/>
        <w:rPr>
          <w:rFonts w:ascii="MS PGothic" w:cs="MS PGothic" w:eastAsia="MS PGothic" w:hAnsi="MS PGothic"/>
          <w:sz w:val="16"/>
          <w:szCs w:val="16"/>
          <w:color w:val="021496"/>
        </w:rPr>
      </w:pPr>
    </w:p>
    <w:p>
      <w:pPr>
        <w:ind w:left="1020" w:hanging="425"/>
        <w:spacing w:after="0" w:line="256" w:lineRule="auto"/>
        <w:tabs>
          <w:tab w:leader="none" w:pos="1020" w:val="left"/>
        </w:tabs>
        <w:numPr>
          <w:ilvl w:val="0"/>
          <w:numId w:val="55"/>
        </w:numPr>
        <w:rPr>
          <w:rFonts w:ascii="MS PGothic" w:cs="MS PGothic" w:eastAsia="MS PGothic" w:hAnsi="MS PGothic"/>
          <w:sz w:val="16"/>
          <w:szCs w:val="16"/>
          <w:color w:val="021496"/>
        </w:rPr>
      </w:pPr>
      <w:r>
        <w:rPr>
          <w:rFonts w:ascii="Arial" w:cs="Arial" w:eastAsia="Arial" w:hAnsi="Arial"/>
          <w:sz w:val="16"/>
          <w:szCs w:val="16"/>
          <w:color w:val="auto"/>
        </w:rPr>
        <w:t>Executive benefits and programs that are consistent with those offered to other employees. We provide substantially no executive perquisites, nor do we own or operate any corporate aircraft.</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44</w:t>
      </w:r>
    </w:p>
    <w:p>
      <w:pPr>
        <w:sectPr>
          <w:pgSz w:w="11900" w:h="16838" w:orient="portrait"/>
          <w:cols w:equalWidth="0" w:num="1">
            <w:col w:w="11080"/>
          </w:cols>
          <w:pgMar w:left="320" w:top="45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Compensation Process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Setting Executive Compensation — Roles</w:t>
      </w:r>
    </w:p>
    <w:p>
      <w:pPr>
        <w:spacing w:after="0" w:line="94" w:lineRule="exact"/>
        <w:rPr>
          <w:sz w:val="20"/>
          <w:szCs w:val="20"/>
          <w:color w:val="auto"/>
        </w:rPr>
      </w:pPr>
    </w:p>
    <w:p>
      <w:pPr>
        <w:ind w:left="160" w:right="160"/>
        <w:spacing w:after="0" w:line="250" w:lineRule="auto"/>
        <w:rPr>
          <w:sz w:val="20"/>
          <w:szCs w:val="20"/>
          <w:color w:val="auto"/>
        </w:rPr>
      </w:pPr>
      <w:r>
        <w:rPr>
          <w:rFonts w:ascii="Arial" w:cs="Arial" w:eastAsia="Arial" w:hAnsi="Arial"/>
          <w:sz w:val="16"/>
          <w:szCs w:val="16"/>
          <w:color w:val="auto"/>
        </w:rPr>
        <w:t>The process for determining our compensation program structure and payouts involves the dedicated participation of our Compensation Committee, the independent directors of the Board, the CEO, and our Compensation Committee’s independent consultant. The roles of each in making compensation decisions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143510</wp:posOffset>
            </wp:positionV>
            <wp:extent cx="5172075" cy="57067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72075" cy="5706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45</w:t>
      </w:r>
    </w:p>
    <w:p>
      <w:pPr>
        <w:sectPr>
          <w:pgSz w:w="11900" w:h="16838" w:orient="portrait"/>
          <w:cols w:equalWidth="0" w:num="1">
            <w:col w:w="11080"/>
          </w:cols>
          <w:pgMar w:left="320" w:top="456"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Setting Executive Compensation – Timeline</w:t>
      </w:r>
    </w:p>
    <w:p>
      <w:pPr>
        <w:spacing w:after="0" w:line="94" w:lineRule="exact"/>
        <w:rPr>
          <w:sz w:val="20"/>
          <w:szCs w:val="20"/>
          <w:color w:val="auto"/>
        </w:rPr>
      </w:pPr>
    </w:p>
    <w:p>
      <w:pPr>
        <w:ind w:left="160" w:right="180"/>
        <w:spacing w:after="0" w:line="250" w:lineRule="auto"/>
        <w:rPr>
          <w:sz w:val="20"/>
          <w:szCs w:val="20"/>
          <w:color w:val="auto"/>
        </w:rPr>
      </w:pPr>
      <w:r>
        <w:rPr>
          <w:rFonts w:ascii="Arial" w:cs="Arial" w:eastAsia="Arial" w:hAnsi="Arial"/>
          <w:sz w:val="16"/>
          <w:szCs w:val="16"/>
          <w:color w:val="auto"/>
        </w:rPr>
        <w:t>The process for making executive compensation decisions for 2021 began with goal setting at the beginning of the year and concluded with the actual compensation payout decisions in early 2022. As described below, this year-long process integrates key factors, such as Dover’s business strategy, our annual budget, and market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5715635" cy="54267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15635" cy="542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46</w:t>
      </w:r>
    </w:p>
    <w:p>
      <w:pPr>
        <w:sectPr>
          <w:pgSz w:w="11900" w:h="16838" w:orient="portrait"/>
          <w:cols w:equalWidth="0" w:num="1">
            <w:col w:w="11080"/>
          </w:cols>
          <w:pgMar w:left="32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Executive Compensation Program Peer Group</w:t>
      </w:r>
    </w:p>
    <w:p>
      <w:pPr>
        <w:spacing w:after="0" w:line="94" w:lineRule="exact"/>
        <w:rPr>
          <w:sz w:val="20"/>
          <w:szCs w:val="20"/>
          <w:color w:val="auto"/>
        </w:rPr>
      </w:pPr>
    </w:p>
    <w:p>
      <w:pPr>
        <w:jc w:val="both"/>
        <w:ind w:left="160" w:right="60"/>
        <w:spacing w:after="0" w:line="250" w:lineRule="auto"/>
        <w:rPr>
          <w:sz w:val="20"/>
          <w:szCs w:val="20"/>
          <w:color w:val="auto"/>
        </w:rPr>
      </w:pPr>
      <w:r>
        <w:rPr>
          <w:rFonts w:ascii="Arial" w:cs="Arial" w:eastAsia="Arial" w:hAnsi="Arial"/>
          <w:sz w:val="16"/>
          <w:szCs w:val="16"/>
          <w:color w:val="auto"/>
        </w:rPr>
        <w:t>For assessing executive pay programs and levels, the Compensation Committee selected a group of companies that are similar to Dover in terms of end markets, complexity, revenues and market capitalization. In 2021, with the help of its independent consultant, the Compensation Committee reviewed the peer group and made no changes to the group.</w:t>
      </w: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FINANCIAL CONSIDERATIONS</w:t>
      </w:r>
    </w:p>
    <w:p>
      <w:pPr>
        <w:spacing w:after="0" w:line="23" w:lineRule="exact"/>
        <w:rPr>
          <w:sz w:val="20"/>
          <w:szCs w:val="20"/>
          <w:color w:val="auto"/>
        </w:rPr>
      </w:pPr>
    </w:p>
    <w:p>
      <w:pPr>
        <w:ind w:left="4920"/>
        <w:spacing w:after="0"/>
        <w:tabs>
          <w:tab w:leader="none" w:pos="7960" w:val="left"/>
        </w:tabs>
        <w:rPr>
          <w:sz w:val="20"/>
          <w:szCs w:val="20"/>
          <w:color w:val="auto"/>
        </w:rPr>
      </w:pPr>
      <w:r>
        <w:rPr>
          <w:rFonts w:ascii="Arial" w:cs="Arial" w:eastAsia="Arial" w:hAnsi="Arial"/>
          <w:sz w:val="16"/>
          <w:szCs w:val="16"/>
          <w:b w:val="1"/>
          <w:bCs w:val="1"/>
          <w:color w:val="auto"/>
        </w:rPr>
        <w:t>(IN USD MILLIONS)</w:t>
      </w:r>
      <w:r>
        <w:rPr>
          <w:sz w:val="20"/>
          <w:szCs w:val="20"/>
          <w:color w:val="auto"/>
        </w:rPr>
        <w:tab/>
      </w:r>
      <w:r>
        <w:rPr>
          <w:rFonts w:ascii="Arial" w:cs="Arial" w:eastAsia="Arial" w:hAnsi="Arial"/>
          <w:sz w:val="15"/>
          <w:szCs w:val="15"/>
          <w:b w:val="1"/>
          <w:bCs w:val="1"/>
          <w:color w:val="auto"/>
        </w:rPr>
        <w:t>QUALITATIVE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17780</wp:posOffset>
            </wp:positionV>
            <wp:extent cx="69297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98"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38735</wp:posOffset>
            </wp:positionV>
            <wp:extent cx="23526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52675" cy="8255"/>
                    </a:xfrm>
                    <a:prstGeom prst="rect">
                      <a:avLst/>
                    </a:prstGeom>
                    <a:noFill/>
                  </pic:spPr>
                </pic:pic>
              </a:graphicData>
            </a:graphic>
          </wp:anchor>
        </w:drawing>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CARLISLE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76200</wp:posOffset>
            </wp:positionV>
            <wp:extent cx="2360930" cy="2374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60930" cy="237490"/>
                    </a:xfrm>
                    <a:prstGeom prst="rect">
                      <a:avLst/>
                    </a:prstGeom>
                    <a:noFill/>
                  </pic:spPr>
                </pic:pic>
              </a:graphicData>
            </a:graphic>
          </wp:anchor>
        </w:drawing>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COLFAX CORPORATION</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CORNING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76200</wp:posOffset>
            </wp:positionV>
            <wp:extent cx="2360930" cy="2374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60930" cy="237490"/>
                    </a:xfrm>
                    <a:prstGeom prst="rect">
                      <a:avLst/>
                    </a:prstGeom>
                    <a:noFill/>
                  </pic:spPr>
                </pic:pic>
              </a:graphicData>
            </a:graphic>
          </wp:anchor>
        </w:drawing>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EATON CORPORATION</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EMERSON ELECTRIC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76200</wp:posOffset>
            </wp:positionV>
            <wp:extent cx="2360930" cy="2635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60930" cy="263525"/>
                    </a:xfrm>
                    <a:prstGeom prst="rect">
                      <a:avLst/>
                    </a:prstGeom>
                    <a:noFill/>
                  </pic:spPr>
                </pic:pic>
              </a:graphicData>
            </a:graphic>
          </wp:anchor>
        </w:drawing>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FLOWSERVE CORPORATION</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FORTIVE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76200</wp:posOffset>
            </wp:positionV>
            <wp:extent cx="2360930" cy="2635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60930" cy="263525"/>
                    </a:xfrm>
                    <a:prstGeom prst="rect">
                      <a:avLst/>
                    </a:prstGeom>
                    <a:noFill/>
                  </pic:spPr>
                </pic:pic>
              </a:graphicData>
            </a:graphic>
          </wp:anchor>
        </w:drawing>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ILLINOIS TOOL WORKS INC.</w:t>
      </w:r>
    </w:p>
    <w:p>
      <w:pPr>
        <w:spacing w:after="0" w:line="254"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INGERSOLL-RAND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2360930" cy="2635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60930" cy="263525"/>
                    </a:xfrm>
                    <a:prstGeom prst="rect">
                      <a:avLst/>
                    </a:prstGeom>
                    <a:noFill/>
                  </pic:spPr>
                </pic:pic>
              </a:graphicData>
            </a:graphic>
          </wp:anchor>
        </w:drawing>
      </w:r>
    </w:p>
    <w:p>
      <w:pPr>
        <w:spacing w:after="0" w:line="234"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PARKER-HANNIFIN CORPORATION</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ROCKWELL AUTOMATION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76200</wp:posOffset>
            </wp:positionV>
            <wp:extent cx="2360930" cy="2374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60930" cy="237490"/>
                    </a:xfrm>
                    <a:prstGeom prst="rect">
                      <a:avLst/>
                    </a:prstGeom>
                    <a:noFill/>
                  </pic:spPr>
                </pic:pic>
              </a:graphicData>
            </a:graphic>
          </wp:anchor>
        </w:drawing>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ROPER INDUSTRIES INC.</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SNAP-ON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76200</wp:posOffset>
            </wp:positionV>
            <wp:extent cx="2360930" cy="2374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60930" cy="237490"/>
                    </a:xfrm>
                    <a:prstGeom prst="rect">
                      <a:avLst/>
                    </a:prstGeom>
                    <a:noFill/>
                  </pic:spPr>
                </pic:pic>
              </a:graphicData>
            </a:graphic>
          </wp:anchor>
        </w:drawing>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STANLEY BLACK &amp; DECKER, INC.</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TEXTRON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76200</wp:posOffset>
            </wp:positionV>
            <wp:extent cx="2360930" cy="2374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360930" cy="237490"/>
                    </a:xfrm>
                    <a:prstGeom prst="rect">
                      <a:avLst/>
                    </a:prstGeom>
                    <a:noFill/>
                  </pic:spPr>
                </pic:pic>
              </a:graphicData>
            </a:graphic>
          </wp:anchor>
        </w:drawing>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XYLEM, INC.</w:t>
      </w:r>
    </w:p>
    <w:p>
      <w:pPr>
        <w:spacing w:after="0" w:line="227"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75TH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2360930" cy="2635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360930" cy="263525"/>
                    </a:xfrm>
                    <a:prstGeom prst="rect">
                      <a:avLst/>
                    </a:prstGeom>
                    <a:noFill/>
                  </pic:spPr>
                </pic:pic>
              </a:graphicData>
            </a:graphic>
          </wp:anchor>
        </w:drawing>
      </w:r>
    </w:p>
    <w:p>
      <w:pPr>
        <w:spacing w:after="0" w:line="234"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MEDIAN</w:t>
      </w:r>
    </w:p>
    <w:p>
      <w:pPr>
        <w:spacing w:after="0" w:line="254"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25TH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2360930" cy="2635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60930" cy="263525"/>
                    </a:xfrm>
                    <a:prstGeom prst="rect">
                      <a:avLst/>
                    </a:prstGeom>
                    <a:noFill/>
                  </pic:spPr>
                </pic:pic>
              </a:graphicData>
            </a:graphic>
          </wp:anchor>
        </w:drawing>
      </w:r>
    </w:p>
    <w:p>
      <w:pPr>
        <w:spacing w:after="0" w:line="234"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DOVER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5"/>
        </w:trPr>
        <w:tc>
          <w:tcPr>
            <w:tcW w:w="420" w:type="dxa"/>
            <w:vAlign w:val="bottom"/>
            <w:tcBorders>
              <w:left w:val="single" w:sz="8" w:color="8C8C8C"/>
            </w:tcBorders>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6"/>
                <w:szCs w:val="16"/>
                <w:b w:val="1"/>
                <w:bCs w:val="1"/>
                <w:color w:val="auto"/>
              </w:rPr>
              <w:t>2021</w:t>
            </w:r>
          </w:p>
        </w:tc>
        <w:tc>
          <w:tcPr>
            <w:tcW w:w="1200" w:type="dxa"/>
            <w:vAlign w:val="bottom"/>
          </w:tcPr>
          <w:p>
            <w:pPr>
              <w:spacing w:after="0"/>
              <w:rPr>
                <w:sz w:val="16"/>
                <w:szCs w:val="16"/>
                <w:color w:val="auto"/>
              </w:rPr>
            </w:pPr>
          </w:p>
        </w:tc>
        <w:tc>
          <w:tcPr>
            <w:tcW w:w="1160" w:type="dxa"/>
            <w:vAlign w:val="bottom"/>
          </w:tcPr>
          <w:p>
            <w:pPr>
              <w:jc w:val="right"/>
              <w:ind w:right="287"/>
              <w:spacing w:after="0"/>
              <w:rPr>
                <w:sz w:val="20"/>
                <w:szCs w:val="20"/>
                <w:color w:val="auto"/>
              </w:rPr>
            </w:pPr>
            <w:r>
              <w:rPr>
                <w:rFonts w:ascii="Arial" w:cs="Arial" w:eastAsia="Arial" w:hAnsi="Arial"/>
                <w:sz w:val="16"/>
                <w:szCs w:val="16"/>
                <w:b w:val="1"/>
                <w:bCs w:val="1"/>
                <w:color w:val="auto"/>
              </w:rPr>
              <w:t>&gt;20%</w:t>
            </w: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Borders>
              <w:left w:val="single" w:sz="8" w:color="8C8C8C"/>
            </w:tcBorders>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6"/>
                <w:szCs w:val="16"/>
                <w:b w:val="1"/>
                <w:bCs w:val="1"/>
                <w:color w:val="auto"/>
              </w:rPr>
              <w:t>2021</w:t>
            </w: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MARKET</w:t>
            </w: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INDUSTRY</w:t>
            </w:r>
          </w:p>
        </w:tc>
        <w:tc>
          <w:tcPr>
            <w:tcW w:w="1160" w:type="dxa"/>
            <w:vAlign w:val="bottom"/>
          </w:tcPr>
          <w:p>
            <w:pPr>
              <w:jc w:val="right"/>
              <w:ind w:right="167"/>
              <w:spacing w:after="0"/>
              <w:rPr>
                <w:sz w:val="20"/>
                <w:szCs w:val="20"/>
                <w:color w:val="auto"/>
              </w:rPr>
            </w:pPr>
            <w:r>
              <w:rPr>
                <w:rFonts w:ascii="Arial" w:cs="Arial" w:eastAsia="Arial" w:hAnsi="Arial"/>
                <w:sz w:val="16"/>
                <w:szCs w:val="16"/>
                <w:b w:val="1"/>
                <w:bCs w:val="1"/>
                <w:color w:val="auto"/>
              </w:rPr>
              <w:t>GLOBAL</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DOVER-LIKE</w:t>
            </w:r>
          </w:p>
        </w:tc>
        <w:tc>
          <w:tcPr>
            <w:tcW w:w="1380" w:type="dxa"/>
            <w:vAlign w:val="bottom"/>
          </w:tcPr>
          <w:p>
            <w:pPr>
              <w:ind w:left="120"/>
              <w:spacing w:after="0"/>
              <w:rPr>
                <w:sz w:val="20"/>
                <w:szCs w:val="20"/>
                <w:color w:val="auto"/>
              </w:rPr>
            </w:pPr>
            <w:r>
              <w:rPr>
                <w:rFonts w:ascii="Arial" w:cs="Arial" w:eastAsia="Arial" w:hAnsi="Arial"/>
                <w:sz w:val="16"/>
                <w:szCs w:val="16"/>
                <w:b w:val="1"/>
                <w:bCs w:val="1"/>
                <w:color w:val="auto"/>
                <w:w w:val="98"/>
              </w:rPr>
              <w:t>SAME ANALYST</w:t>
            </w:r>
          </w:p>
        </w:tc>
        <w:tc>
          <w:tcPr>
            <w:tcW w:w="0" w:type="dxa"/>
            <w:vAlign w:val="bottom"/>
          </w:tcPr>
          <w:p>
            <w:pPr>
              <w:spacing w:after="0"/>
              <w:rPr>
                <w:sz w:val="1"/>
                <w:szCs w:val="1"/>
                <w:color w:val="auto"/>
              </w:rPr>
            </w:pPr>
          </w:p>
        </w:tc>
      </w:tr>
      <w:tr>
        <w:trPr>
          <w:trHeight w:val="225"/>
        </w:trPr>
        <w:tc>
          <w:tcPr>
            <w:tcW w:w="1220" w:type="dxa"/>
            <w:vAlign w:val="bottom"/>
            <w:tcBorders>
              <w:left w:val="single" w:sz="8" w:color="8C8C8C"/>
              <w:bottom w:val="single" w:sz="8" w:color="021496"/>
            </w:tcBorders>
            <w:gridSpan w:val="2"/>
          </w:tcPr>
          <w:p>
            <w:pPr>
              <w:ind w:left="28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bottom w:val="single" w:sz="8" w:color="021496"/>
            </w:tcBorders>
          </w:tcPr>
          <w:p>
            <w:pPr>
              <w:spacing w:after="0"/>
              <w:rPr>
                <w:sz w:val="19"/>
                <w:szCs w:val="19"/>
                <w:color w:val="auto"/>
              </w:rPr>
            </w:pPr>
          </w:p>
        </w:tc>
        <w:tc>
          <w:tcPr>
            <w:tcW w:w="720" w:type="dxa"/>
            <w:vAlign w:val="bottom"/>
            <w:tcBorders>
              <w:bottom w:val="single" w:sz="8" w:color="021496"/>
            </w:tcBorders>
          </w:tcPr>
          <w:p>
            <w:pPr>
              <w:jc w:val="center"/>
              <w:ind w:right="108"/>
              <w:spacing w:after="0"/>
              <w:rPr>
                <w:sz w:val="20"/>
                <w:szCs w:val="20"/>
                <w:color w:val="auto"/>
              </w:rPr>
            </w:pPr>
            <w:r>
              <w:rPr>
                <w:rFonts w:ascii="Arial" w:cs="Arial" w:eastAsia="Arial" w:hAnsi="Arial"/>
                <w:sz w:val="16"/>
                <w:szCs w:val="16"/>
                <w:b w:val="1"/>
                <w:bCs w:val="1"/>
                <w:color w:val="auto"/>
              </w:rPr>
              <w:t>CAP(1)</w:t>
            </w:r>
          </w:p>
        </w:tc>
        <w:tc>
          <w:tcPr>
            <w:tcW w:w="1200" w:type="dxa"/>
            <w:vAlign w:val="bottom"/>
            <w:tcBorders>
              <w:bottom w:val="single" w:sz="8" w:color="021496"/>
            </w:tcBorders>
            <w:vMerge w:val="continue"/>
          </w:tcPr>
          <w:p>
            <w:pPr>
              <w:spacing w:after="0"/>
              <w:rPr>
                <w:sz w:val="19"/>
                <w:szCs w:val="19"/>
                <w:color w:val="auto"/>
              </w:rPr>
            </w:pPr>
          </w:p>
        </w:tc>
        <w:tc>
          <w:tcPr>
            <w:tcW w:w="1160" w:type="dxa"/>
            <w:vAlign w:val="bottom"/>
            <w:tcBorders>
              <w:bottom w:val="single" w:sz="8" w:color="021496"/>
            </w:tcBorders>
          </w:tcPr>
          <w:p>
            <w:pPr>
              <w:jc w:val="right"/>
              <w:ind w:right="47"/>
              <w:spacing w:after="0"/>
              <w:rPr>
                <w:sz w:val="20"/>
                <w:szCs w:val="20"/>
                <w:color w:val="auto"/>
              </w:rPr>
            </w:pPr>
            <w:r>
              <w:rPr>
                <w:rFonts w:ascii="Arial" w:cs="Arial" w:eastAsia="Arial" w:hAnsi="Arial"/>
                <w:sz w:val="16"/>
                <w:szCs w:val="16"/>
                <w:b w:val="1"/>
                <w:bCs w:val="1"/>
                <w:color w:val="auto"/>
              </w:rPr>
              <w:t>REVENUES</w:t>
            </w:r>
          </w:p>
        </w:tc>
        <w:tc>
          <w:tcPr>
            <w:tcW w:w="1280" w:type="dxa"/>
            <w:vAlign w:val="bottom"/>
            <w:tcBorders>
              <w:bottom w:val="single" w:sz="8" w:color="021496"/>
            </w:tcBorders>
          </w:tcPr>
          <w:p>
            <w:pPr>
              <w:jc w:val="center"/>
              <w:spacing w:after="0"/>
              <w:rPr>
                <w:sz w:val="20"/>
                <w:szCs w:val="20"/>
                <w:color w:val="auto"/>
              </w:rPr>
            </w:pPr>
            <w:r>
              <w:rPr>
                <w:rFonts w:ascii="Arial" w:cs="Arial" w:eastAsia="Arial" w:hAnsi="Arial"/>
                <w:sz w:val="16"/>
                <w:szCs w:val="16"/>
                <w:b w:val="1"/>
                <w:bCs w:val="1"/>
                <w:color w:val="auto"/>
              </w:rPr>
              <w:t>STRUCTURE</w:t>
            </w:r>
          </w:p>
        </w:tc>
        <w:tc>
          <w:tcPr>
            <w:tcW w:w="1380" w:type="dxa"/>
            <w:vAlign w:val="bottom"/>
            <w:tcBorders>
              <w:bottom w:val="single" w:sz="8" w:color="021496"/>
            </w:tcBorders>
          </w:tcPr>
          <w:p>
            <w:pPr>
              <w:jc w:val="center"/>
              <w:ind w:left="48"/>
              <w:spacing w:after="0"/>
              <w:rPr>
                <w:sz w:val="20"/>
                <w:szCs w:val="20"/>
                <w:color w:val="auto"/>
              </w:rPr>
            </w:pPr>
            <w:r>
              <w:rPr>
                <w:rFonts w:ascii="Arial" w:cs="Arial" w:eastAsia="Arial" w:hAnsi="Arial"/>
                <w:sz w:val="16"/>
                <w:szCs w:val="16"/>
                <w:b w:val="1"/>
                <w:bCs w:val="1"/>
                <w:color w:val="auto"/>
                <w:w w:val="98"/>
              </w:rPr>
              <w:t>COVERAGE(2)</w:t>
            </w:r>
          </w:p>
        </w:tc>
        <w:tc>
          <w:tcPr>
            <w:tcW w:w="0" w:type="dxa"/>
            <w:vAlign w:val="bottom"/>
          </w:tcPr>
          <w:p>
            <w:pPr>
              <w:spacing w:after="0"/>
              <w:rPr>
                <w:sz w:val="1"/>
                <w:szCs w:val="1"/>
                <w:color w:val="auto"/>
              </w:rPr>
            </w:pPr>
          </w:p>
        </w:tc>
      </w:tr>
      <w:tr>
        <w:trPr>
          <w:trHeight w:val="227"/>
        </w:trPr>
        <w:tc>
          <w:tcPr>
            <w:tcW w:w="420" w:type="dxa"/>
            <w:vAlign w:val="bottom"/>
            <w:tcBorders>
              <w:left w:val="single" w:sz="8" w:color="8C8C8C"/>
            </w:tcBorders>
          </w:tcPr>
          <w:p>
            <w:pPr>
              <w:ind w:left="2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4,810</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12,932</w:t>
            </w:r>
          </w:p>
        </w:tc>
        <w:tc>
          <w:tcPr>
            <w:tcW w:w="1200" w:type="dxa"/>
            <w:vAlign w:val="bottom"/>
          </w:tcPr>
          <w:p>
            <w:pPr>
              <w:jc w:val="center"/>
              <w:spacing w:after="0"/>
              <w:rPr>
                <w:sz w:val="20"/>
                <w:szCs w:val="20"/>
                <w:color w:val="auto"/>
              </w:rPr>
            </w:pPr>
            <w:r>
              <w:rPr>
                <w:rFonts w:ascii="Arial" w:cs="Arial" w:eastAsia="Arial" w:hAnsi="Arial"/>
                <w:sz w:val="14"/>
                <w:szCs w:val="14"/>
                <w:color w:val="auto"/>
              </w:rPr>
              <w:t>Industrial</w:t>
            </w:r>
          </w:p>
        </w:tc>
        <w:tc>
          <w:tcPr>
            <w:tcW w:w="1160" w:type="dxa"/>
            <w:vAlign w:val="bottom"/>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420" w:type="dxa"/>
            <w:vAlign w:val="bottom"/>
            <w:tcBorders>
              <w:left w:val="single" w:sz="8" w:color="8C8C8C"/>
            </w:tcBorders>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4"/>
                <w:szCs w:val="14"/>
                <w:color w:val="auto"/>
              </w:rPr>
              <w:t>Conglomerates</w:t>
            </w:r>
          </w:p>
        </w:tc>
        <w:tc>
          <w:tcPr>
            <w:tcW w:w="1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420" w:type="dxa"/>
            <w:vAlign w:val="bottom"/>
            <w:tcBorders>
              <w:left w:val="single" w:sz="8" w:color="8C8C8C"/>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3,854</w:t>
            </w:r>
          </w:p>
        </w:tc>
        <w:tc>
          <w:tcPr>
            <w:tcW w:w="240" w:type="dxa"/>
            <w:vAlign w:val="bottom"/>
            <w:shd w:val="clear" w:color="auto" w:fill="D8D8D8"/>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7,115</w:t>
            </w:r>
          </w:p>
        </w:tc>
        <w:tc>
          <w:tcPr>
            <w:tcW w:w="12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Industrial</w:t>
            </w:r>
          </w:p>
        </w:tc>
        <w:tc>
          <w:tcPr>
            <w:tcW w:w="1160" w:type="dxa"/>
            <w:vAlign w:val="bottom"/>
            <w:shd w:val="clear" w:color="auto" w:fill="D8D8D8"/>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80" w:type="dxa"/>
            <w:vAlign w:val="bottom"/>
            <w:shd w:val="clear" w:color="auto" w:fill="D8D8D8"/>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4"/>
        </w:trPr>
        <w:tc>
          <w:tcPr>
            <w:tcW w:w="420" w:type="dxa"/>
            <w:vAlign w:val="bottom"/>
            <w:tcBorders>
              <w:left w:val="single" w:sz="8" w:color="8C8C8C"/>
            </w:tcBorders>
            <w:shd w:val="clear" w:color="auto" w:fill="D8D8D8"/>
          </w:tcPr>
          <w:p>
            <w:pPr>
              <w:spacing w:after="0"/>
              <w:rPr>
                <w:sz w:val="11"/>
                <w:szCs w:val="11"/>
                <w:color w:val="auto"/>
              </w:rPr>
            </w:pPr>
          </w:p>
        </w:tc>
        <w:tc>
          <w:tcPr>
            <w:tcW w:w="80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1200" w:type="dxa"/>
            <w:vAlign w:val="bottom"/>
            <w:shd w:val="clear" w:color="auto" w:fill="D8D8D8"/>
          </w:tcPr>
          <w:p>
            <w:pPr>
              <w:jc w:val="center"/>
              <w:spacing w:after="0" w:line="134" w:lineRule="exact"/>
              <w:rPr>
                <w:sz w:val="20"/>
                <w:szCs w:val="20"/>
                <w:color w:val="auto"/>
              </w:rPr>
            </w:pPr>
            <w:r>
              <w:rPr>
                <w:rFonts w:ascii="Arial" w:cs="Arial" w:eastAsia="Arial" w:hAnsi="Arial"/>
                <w:sz w:val="14"/>
                <w:szCs w:val="14"/>
                <w:color w:val="auto"/>
              </w:rPr>
              <w:t>Machinery</w:t>
            </w:r>
          </w:p>
        </w:tc>
        <w:tc>
          <w:tcPr>
            <w:tcW w:w="1160" w:type="dxa"/>
            <w:vAlign w:val="bottom"/>
            <w:shd w:val="clear" w:color="auto" w:fill="D8D8D8"/>
          </w:tcPr>
          <w:p>
            <w:pPr>
              <w:spacing w:after="0"/>
              <w:rPr>
                <w:sz w:val="11"/>
                <w:szCs w:val="11"/>
                <w:color w:val="auto"/>
              </w:rPr>
            </w:pPr>
          </w:p>
        </w:tc>
        <w:tc>
          <w:tcPr>
            <w:tcW w:w="1280" w:type="dxa"/>
            <w:vAlign w:val="bottom"/>
            <w:shd w:val="clear" w:color="auto" w:fill="D8D8D8"/>
          </w:tcPr>
          <w:p>
            <w:pPr>
              <w:spacing w:after="0"/>
              <w:rPr>
                <w:sz w:val="11"/>
                <w:szCs w:val="11"/>
                <w:color w:val="auto"/>
              </w:rPr>
            </w:pPr>
          </w:p>
        </w:tc>
        <w:tc>
          <w:tcPr>
            <w:tcW w:w="138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420" w:type="dxa"/>
            <w:vAlign w:val="bottom"/>
            <w:tcBorders>
              <w:left w:val="single" w:sz="8" w:color="8C8C8C"/>
            </w:tcBorders>
          </w:tcPr>
          <w:p>
            <w:pPr>
              <w:ind w:left="2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14,082</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31,772</w:t>
            </w:r>
          </w:p>
        </w:tc>
        <w:tc>
          <w:tcPr>
            <w:tcW w:w="1200" w:type="dxa"/>
            <w:vAlign w:val="bottom"/>
          </w:tcPr>
          <w:p>
            <w:pPr>
              <w:jc w:val="center"/>
              <w:spacing w:after="0"/>
              <w:rPr>
                <w:sz w:val="20"/>
                <w:szCs w:val="20"/>
                <w:color w:val="auto"/>
              </w:rPr>
            </w:pPr>
            <w:r>
              <w:rPr>
                <w:rFonts w:ascii="Arial" w:cs="Arial" w:eastAsia="Arial" w:hAnsi="Arial"/>
                <w:sz w:val="14"/>
                <w:szCs w:val="14"/>
                <w:color w:val="auto"/>
              </w:rPr>
              <w:t>Electrical</w:t>
            </w:r>
          </w:p>
        </w:tc>
        <w:tc>
          <w:tcPr>
            <w:tcW w:w="1160" w:type="dxa"/>
            <w:vAlign w:val="bottom"/>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tcPr>
          <w:p>
            <w:pPr>
              <w:spacing w:after="0"/>
              <w:rPr>
                <w:sz w:val="20"/>
                <w:szCs w:val="20"/>
                <w:color w:val="auto"/>
              </w:rPr>
            </w:pPr>
          </w:p>
        </w:tc>
        <w:tc>
          <w:tcPr>
            <w:tcW w:w="138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4"/>
        </w:trPr>
        <w:tc>
          <w:tcPr>
            <w:tcW w:w="420" w:type="dxa"/>
            <w:vAlign w:val="bottom"/>
            <w:tcBorders>
              <w:left w:val="single" w:sz="8" w:color="8C8C8C"/>
            </w:tcBorders>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4"/>
                <w:szCs w:val="14"/>
                <w:color w:val="auto"/>
              </w:rPr>
              <w:t>Equipment</w:t>
            </w:r>
          </w:p>
        </w:tc>
        <w:tc>
          <w:tcPr>
            <w:tcW w:w="1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420" w:type="dxa"/>
            <w:vAlign w:val="bottom"/>
            <w:tcBorders>
              <w:left w:val="single" w:sz="8" w:color="8C8C8C"/>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19,628</w:t>
            </w:r>
          </w:p>
        </w:tc>
        <w:tc>
          <w:tcPr>
            <w:tcW w:w="240" w:type="dxa"/>
            <w:vAlign w:val="bottom"/>
            <w:shd w:val="clear" w:color="auto" w:fill="D8D8D8"/>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68,886</w:t>
            </w:r>
          </w:p>
        </w:tc>
        <w:tc>
          <w:tcPr>
            <w:tcW w:w="12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Electrical</w:t>
            </w:r>
          </w:p>
        </w:tc>
        <w:tc>
          <w:tcPr>
            <w:tcW w:w="1160" w:type="dxa"/>
            <w:vAlign w:val="bottom"/>
            <w:shd w:val="clear" w:color="auto" w:fill="D8D8D8"/>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80" w:type="dxa"/>
            <w:vAlign w:val="bottom"/>
            <w:shd w:val="clear" w:color="auto" w:fill="D8D8D8"/>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4"/>
        </w:trPr>
        <w:tc>
          <w:tcPr>
            <w:tcW w:w="420" w:type="dxa"/>
            <w:vAlign w:val="bottom"/>
            <w:tcBorders>
              <w:left w:val="single" w:sz="8" w:color="8C8C8C"/>
            </w:tcBorders>
            <w:shd w:val="clear" w:color="auto" w:fill="D8D8D8"/>
          </w:tcPr>
          <w:p>
            <w:pPr>
              <w:spacing w:after="0"/>
              <w:rPr>
                <w:sz w:val="11"/>
                <w:szCs w:val="11"/>
                <w:color w:val="auto"/>
              </w:rPr>
            </w:pPr>
          </w:p>
        </w:tc>
        <w:tc>
          <w:tcPr>
            <w:tcW w:w="80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1200" w:type="dxa"/>
            <w:vAlign w:val="bottom"/>
            <w:shd w:val="clear" w:color="auto" w:fill="D8D8D8"/>
          </w:tcPr>
          <w:p>
            <w:pPr>
              <w:jc w:val="center"/>
              <w:spacing w:after="0" w:line="134" w:lineRule="exact"/>
              <w:rPr>
                <w:sz w:val="20"/>
                <w:szCs w:val="20"/>
                <w:color w:val="auto"/>
              </w:rPr>
            </w:pPr>
            <w:r>
              <w:rPr>
                <w:rFonts w:ascii="Arial" w:cs="Arial" w:eastAsia="Arial" w:hAnsi="Arial"/>
                <w:sz w:val="14"/>
                <w:szCs w:val="14"/>
                <w:color w:val="auto"/>
              </w:rPr>
              <w:t>Equipment</w:t>
            </w:r>
          </w:p>
        </w:tc>
        <w:tc>
          <w:tcPr>
            <w:tcW w:w="1160" w:type="dxa"/>
            <w:vAlign w:val="bottom"/>
            <w:shd w:val="clear" w:color="auto" w:fill="D8D8D8"/>
          </w:tcPr>
          <w:p>
            <w:pPr>
              <w:spacing w:after="0"/>
              <w:rPr>
                <w:sz w:val="11"/>
                <w:szCs w:val="11"/>
                <w:color w:val="auto"/>
              </w:rPr>
            </w:pPr>
          </w:p>
        </w:tc>
        <w:tc>
          <w:tcPr>
            <w:tcW w:w="1280" w:type="dxa"/>
            <w:vAlign w:val="bottom"/>
            <w:shd w:val="clear" w:color="auto" w:fill="D8D8D8"/>
          </w:tcPr>
          <w:p>
            <w:pPr>
              <w:spacing w:after="0"/>
              <w:rPr>
                <w:sz w:val="11"/>
                <w:szCs w:val="11"/>
                <w:color w:val="auto"/>
              </w:rPr>
            </w:pPr>
          </w:p>
        </w:tc>
        <w:tc>
          <w:tcPr>
            <w:tcW w:w="138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420" w:type="dxa"/>
            <w:vAlign w:val="bottom"/>
            <w:tcBorders>
              <w:left w:val="single" w:sz="8" w:color="8C8C8C"/>
            </w:tcBorders>
          </w:tcPr>
          <w:p>
            <w:pPr>
              <w:ind w:left="2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18,236</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55,308</w:t>
            </w:r>
          </w:p>
        </w:tc>
        <w:tc>
          <w:tcPr>
            <w:tcW w:w="1200" w:type="dxa"/>
            <w:vAlign w:val="bottom"/>
          </w:tcPr>
          <w:p>
            <w:pPr>
              <w:jc w:val="center"/>
              <w:spacing w:after="0"/>
              <w:rPr>
                <w:sz w:val="20"/>
                <w:szCs w:val="20"/>
                <w:color w:val="auto"/>
              </w:rPr>
            </w:pPr>
            <w:r>
              <w:rPr>
                <w:rFonts w:ascii="Arial" w:cs="Arial" w:eastAsia="Arial" w:hAnsi="Arial"/>
                <w:sz w:val="14"/>
                <w:szCs w:val="14"/>
                <w:color w:val="auto"/>
              </w:rPr>
              <w:t>Electrical</w:t>
            </w:r>
          </w:p>
        </w:tc>
        <w:tc>
          <w:tcPr>
            <w:tcW w:w="1160" w:type="dxa"/>
            <w:vAlign w:val="bottom"/>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8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4"/>
        </w:trPr>
        <w:tc>
          <w:tcPr>
            <w:tcW w:w="420" w:type="dxa"/>
            <w:vAlign w:val="bottom"/>
            <w:tcBorders>
              <w:left w:val="single" w:sz="8" w:color="8C8C8C"/>
            </w:tcBorders>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4"/>
                <w:szCs w:val="14"/>
                <w:color w:val="auto"/>
              </w:rPr>
              <w:t>Equipment</w:t>
            </w:r>
          </w:p>
        </w:tc>
        <w:tc>
          <w:tcPr>
            <w:tcW w:w="1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20" w:type="dxa"/>
            <w:vAlign w:val="bottom"/>
            <w:tcBorders>
              <w:left w:val="single" w:sz="8" w:color="8C8C8C"/>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3,541</w:t>
            </w:r>
          </w:p>
        </w:tc>
        <w:tc>
          <w:tcPr>
            <w:tcW w:w="240" w:type="dxa"/>
            <w:vAlign w:val="bottom"/>
            <w:shd w:val="clear" w:color="auto" w:fill="D8D8D8"/>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3,986</w:t>
            </w:r>
          </w:p>
        </w:tc>
        <w:tc>
          <w:tcPr>
            <w:tcW w:w="12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Machinery</w:t>
            </w:r>
          </w:p>
        </w:tc>
        <w:tc>
          <w:tcPr>
            <w:tcW w:w="1160" w:type="dxa"/>
            <w:vAlign w:val="bottom"/>
            <w:shd w:val="clear" w:color="auto" w:fill="D8D8D8"/>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shd w:val="clear" w:color="auto" w:fill="D8D8D8"/>
          </w:tcPr>
          <w:p>
            <w:pPr>
              <w:spacing w:after="0"/>
              <w:rPr>
                <w:sz w:val="24"/>
                <w:szCs w:val="24"/>
                <w:color w:val="auto"/>
              </w:rPr>
            </w:pPr>
          </w:p>
        </w:tc>
        <w:tc>
          <w:tcPr>
            <w:tcW w:w="1380" w:type="dxa"/>
            <w:vAlign w:val="bottom"/>
            <w:shd w:val="clear" w:color="auto" w:fill="D8D8D8"/>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02"/>
        </w:trPr>
        <w:tc>
          <w:tcPr>
            <w:tcW w:w="420" w:type="dxa"/>
            <w:vAlign w:val="bottom"/>
            <w:tcBorders>
              <w:left w:val="single" w:sz="8" w:color="8C8C8C"/>
            </w:tcBorders>
            <w:shd w:val="clear" w:color="auto" w:fill="D8D8D8"/>
          </w:tcPr>
          <w:p>
            <w:pPr>
              <w:spacing w:after="0"/>
              <w:rPr>
                <w:sz w:val="8"/>
                <w:szCs w:val="8"/>
                <w:color w:val="auto"/>
              </w:rPr>
            </w:pPr>
          </w:p>
        </w:tc>
        <w:tc>
          <w:tcPr>
            <w:tcW w:w="800" w:type="dxa"/>
            <w:vAlign w:val="bottom"/>
            <w:shd w:val="clear" w:color="auto" w:fill="D8D8D8"/>
          </w:tcPr>
          <w:p>
            <w:pPr>
              <w:spacing w:after="0"/>
              <w:rPr>
                <w:sz w:val="8"/>
                <w:szCs w:val="8"/>
                <w:color w:val="auto"/>
              </w:rPr>
            </w:pPr>
          </w:p>
        </w:tc>
        <w:tc>
          <w:tcPr>
            <w:tcW w:w="240" w:type="dxa"/>
            <w:vAlign w:val="bottom"/>
            <w:shd w:val="clear" w:color="auto" w:fill="D8D8D8"/>
          </w:tcPr>
          <w:p>
            <w:pPr>
              <w:spacing w:after="0"/>
              <w:rPr>
                <w:sz w:val="8"/>
                <w:szCs w:val="8"/>
                <w:color w:val="auto"/>
              </w:rPr>
            </w:pPr>
          </w:p>
        </w:tc>
        <w:tc>
          <w:tcPr>
            <w:tcW w:w="720" w:type="dxa"/>
            <w:vAlign w:val="bottom"/>
            <w:shd w:val="clear" w:color="auto" w:fill="D8D8D8"/>
          </w:tcPr>
          <w:p>
            <w:pPr>
              <w:spacing w:after="0"/>
              <w:rPr>
                <w:sz w:val="8"/>
                <w:szCs w:val="8"/>
                <w:color w:val="auto"/>
              </w:rPr>
            </w:pPr>
          </w:p>
        </w:tc>
        <w:tc>
          <w:tcPr>
            <w:tcW w:w="1200" w:type="dxa"/>
            <w:vAlign w:val="bottom"/>
            <w:shd w:val="clear" w:color="auto" w:fill="D8D8D8"/>
          </w:tcPr>
          <w:p>
            <w:pPr>
              <w:spacing w:after="0"/>
              <w:rPr>
                <w:sz w:val="8"/>
                <w:szCs w:val="8"/>
                <w:color w:val="auto"/>
              </w:rPr>
            </w:pPr>
          </w:p>
        </w:tc>
        <w:tc>
          <w:tcPr>
            <w:tcW w:w="1160" w:type="dxa"/>
            <w:vAlign w:val="bottom"/>
            <w:shd w:val="clear" w:color="auto" w:fill="D8D8D8"/>
          </w:tcPr>
          <w:p>
            <w:pPr>
              <w:spacing w:after="0"/>
              <w:rPr>
                <w:sz w:val="8"/>
                <w:szCs w:val="8"/>
                <w:color w:val="auto"/>
              </w:rPr>
            </w:pPr>
          </w:p>
        </w:tc>
        <w:tc>
          <w:tcPr>
            <w:tcW w:w="1280" w:type="dxa"/>
            <w:vAlign w:val="bottom"/>
            <w:shd w:val="clear" w:color="auto" w:fill="D8D8D8"/>
          </w:tcPr>
          <w:p>
            <w:pPr>
              <w:spacing w:after="0"/>
              <w:rPr>
                <w:sz w:val="8"/>
                <w:szCs w:val="8"/>
                <w:color w:val="auto"/>
              </w:rPr>
            </w:pPr>
          </w:p>
        </w:tc>
        <w:tc>
          <w:tcPr>
            <w:tcW w:w="138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420" w:type="dxa"/>
            <w:vAlign w:val="bottom"/>
            <w:tcBorders>
              <w:left w:val="single" w:sz="8" w:color="8C8C8C"/>
            </w:tcBorders>
          </w:tcPr>
          <w:p>
            <w:pPr>
              <w:ind w:left="2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5,255</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27,356</w:t>
            </w:r>
          </w:p>
        </w:tc>
        <w:tc>
          <w:tcPr>
            <w:tcW w:w="1200" w:type="dxa"/>
            <w:vAlign w:val="bottom"/>
          </w:tcPr>
          <w:p>
            <w:pPr>
              <w:jc w:val="center"/>
              <w:spacing w:after="0"/>
              <w:rPr>
                <w:sz w:val="20"/>
                <w:szCs w:val="20"/>
                <w:color w:val="auto"/>
              </w:rPr>
            </w:pPr>
            <w:r>
              <w:rPr>
                <w:rFonts w:ascii="Arial" w:cs="Arial" w:eastAsia="Arial" w:hAnsi="Arial"/>
                <w:sz w:val="14"/>
                <w:szCs w:val="14"/>
                <w:color w:val="auto"/>
              </w:rPr>
              <w:t>Industrial</w:t>
            </w:r>
          </w:p>
        </w:tc>
        <w:tc>
          <w:tcPr>
            <w:tcW w:w="1160" w:type="dxa"/>
            <w:vAlign w:val="bottom"/>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8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4"/>
        </w:trPr>
        <w:tc>
          <w:tcPr>
            <w:tcW w:w="420" w:type="dxa"/>
            <w:vAlign w:val="bottom"/>
            <w:tcBorders>
              <w:left w:val="single" w:sz="8" w:color="8C8C8C"/>
            </w:tcBorders>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4"/>
                <w:szCs w:val="14"/>
                <w:color w:val="auto"/>
              </w:rPr>
              <w:t>Machinery</w:t>
            </w:r>
          </w:p>
        </w:tc>
        <w:tc>
          <w:tcPr>
            <w:tcW w:w="1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20" w:type="dxa"/>
            <w:vAlign w:val="bottom"/>
            <w:tcBorders>
              <w:left w:val="single" w:sz="8" w:color="8C8C8C"/>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14,455</w:t>
            </w:r>
          </w:p>
        </w:tc>
        <w:tc>
          <w:tcPr>
            <w:tcW w:w="240" w:type="dxa"/>
            <w:vAlign w:val="bottom"/>
            <w:shd w:val="clear" w:color="auto" w:fill="D8D8D8"/>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77,466</w:t>
            </w:r>
          </w:p>
        </w:tc>
        <w:tc>
          <w:tcPr>
            <w:tcW w:w="12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Machinery</w:t>
            </w:r>
          </w:p>
        </w:tc>
        <w:tc>
          <w:tcPr>
            <w:tcW w:w="1160" w:type="dxa"/>
            <w:vAlign w:val="bottom"/>
            <w:shd w:val="clear" w:color="auto" w:fill="D8D8D8"/>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80" w:type="dxa"/>
            <w:vAlign w:val="bottom"/>
            <w:shd w:val="clear" w:color="auto" w:fill="D8D8D8"/>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02"/>
        </w:trPr>
        <w:tc>
          <w:tcPr>
            <w:tcW w:w="420" w:type="dxa"/>
            <w:vAlign w:val="bottom"/>
            <w:tcBorders>
              <w:left w:val="single" w:sz="8" w:color="8C8C8C"/>
            </w:tcBorders>
            <w:shd w:val="clear" w:color="auto" w:fill="D8D8D8"/>
          </w:tcPr>
          <w:p>
            <w:pPr>
              <w:spacing w:after="0"/>
              <w:rPr>
                <w:sz w:val="8"/>
                <w:szCs w:val="8"/>
                <w:color w:val="auto"/>
              </w:rPr>
            </w:pPr>
          </w:p>
        </w:tc>
        <w:tc>
          <w:tcPr>
            <w:tcW w:w="800" w:type="dxa"/>
            <w:vAlign w:val="bottom"/>
            <w:shd w:val="clear" w:color="auto" w:fill="D8D8D8"/>
          </w:tcPr>
          <w:p>
            <w:pPr>
              <w:spacing w:after="0"/>
              <w:rPr>
                <w:sz w:val="8"/>
                <w:szCs w:val="8"/>
                <w:color w:val="auto"/>
              </w:rPr>
            </w:pPr>
          </w:p>
        </w:tc>
        <w:tc>
          <w:tcPr>
            <w:tcW w:w="240" w:type="dxa"/>
            <w:vAlign w:val="bottom"/>
            <w:shd w:val="clear" w:color="auto" w:fill="D8D8D8"/>
          </w:tcPr>
          <w:p>
            <w:pPr>
              <w:spacing w:after="0"/>
              <w:rPr>
                <w:sz w:val="8"/>
                <w:szCs w:val="8"/>
                <w:color w:val="auto"/>
              </w:rPr>
            </w:pPr>
          </w:p>
        </w:tc>
        <w:tc>
          <w:tcPr>
            <w:tcW w:w="720" w:type="dxa"/>
            <w:vAlign w:val="bottom"/>
            <w:shd w:val="clear" w:color="auto" w:fill="D8D8D8"/>
          </w:tcPr>
          <w:p>
            <w:pPr>
              <w:spacing w:after="0"/>
              <w:rPr>
                <w:sz w:val="8"/>
                <w:szCs w:val="8"/>
                <w:color w:val="auto"/>
              </w:rPr>
            </w:pPr>
          </w:p>
        </w:tc>
        <w:tc>
          <w:tcPr>
            <w:tcW w:w="1200" w:type="dxa"/>
            <w:vAlign w:val="bottom"/>
            <w:shd w:val="clear" w:color="auto" w:fill="D8D8D8"/>
          </w:tcPr>
          <w:p>
            <w:pPr>
              <w:spacing w:after="0"/>
              <w:rPr>
                <w:sz w:val="8"/>
                <w:szCs w:val="8"/>
                <w:color w:val="auto"/>
              </w:rPr>
            </w:pPr>
          </w:p>
        </w:tc>
        <w:tc>
          <w:tcPr>
            <w:tcW w:w="1160" w:type="dxa"/>
            <w:vAlign w:val="bottom"/>
            <w:shd w:val="clear" w:color="auto" w:fill="D8D8D8"/>
          </w:tcPr>
          <w:p>
            <w:pPr>
              <w:spacing w:after="0"/>
              <w:rPr>
                <w:sz w:val="8"/>
                <w:szCs w:val="8"/>
                <w:color w:val="auto"/>
              </w:rPr>
            </w:pPr>
          </w:p>
        </w:tc>
        <w:tc>
          <w:tcPr>
            <w:tcW w:w="1280" w:type="dxa"/>
            <w:vAlign w:val="bottom"/>
            <w:shd w:val="clear" w:color="auto" w:fill="D8D8D8"/>
          </w:tcPr>
          <w:p>
            <w:pPr>
              <w:spacing w:after="0"/>
              <w:rPr>
                <w:sz w:val="8"/>
                <w:szCs w:val="8"/>
                <w:color w:val="auto"/>
              </w:rPr>
            </w:pPr>
          </w:p>
        </w:tc>
        <w:tc>
          <w:tcPr>
            <w:tcW w:w="138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420" w:type="dxa"/>
            <w:vAlign w:val="bottom"/>
            <w:tcBorders>
              <w:left w:val="single" w:sz="8" w:color="8C8C8C"/>
            </w:tcBorders>
          </w:tcPr>
          <w:p>
            <w:pPr>
              <w:ind w:left="2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5,152</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25,217</w:t>
            </w:r>
          </w:p>
        </w:tc>
        <w:tc>
          <w:tcPr>
            <w:tcW w:w="1200" w:type="dxa"/>
            <w:vAlign w:val="bottom"/>
          </w:tcPr>
          <w:p>
            <w:pPr>
              <w:jc w:val="center"/>
              <w:spacing w:after="0"/>
              <w:rPr>
                <w:sz w:val="20"/>
                <w:szCs w:val="20"/>
                <w:color w:val="auto"/>
              </w:rPr>
            </w:pPr>
            <w:r>
              <w:rPr>
                <w:rFonts w:ascii="Arial" w:cs="Arial" w:eastAsia="Arial" w:hAnsi="Arial"/>
                <w:sz w:val="14"/>
                <w:szCs w:val="14"/>
                <w:color w:val="auto"/>
              </w:rPr>
              <w:t>Machinery</w:t>
            </w:r>
          </w:p>
        </w:tc>
        <w:tc>
          <w:tcPr>
            <w:tcW w:w="1160" w:type="dxa"/>
            <w:vAlign w:val="bottom"/>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8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02"/>
        </w:trPr>
        <w:tc>
          <w:tcPr>
            <w:tcW w:w="420" w:type="dxa"/>
            <w:vAlign w:val="bottom"/>
            <w:tcBorders>
              <w:left w:val="single" w:sz="8" w:color="8C8C8C"/>
            </w:tcBorders>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420" w:type="dxa"/>
            <w:vAlign w:val="bottom"/>
            <w:tcBorders>
              <w:left w:val="single" w:sz="8" w:color="8C8C8C"/>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14,348</w:t>
            </w:r>
          </w:p>
        </w:tc>
        <w:tc>
          <w:tcPr>
            <w:tcW w:w="240" w:type="dxa"/>
            <w:vAlign w:val="bottom"/>
            <w:shd w:val="clear" w:color="auto" w:fill="D8D8D8"/>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40,883</w:t>
            </w:r>
          </w:p>
        </w:tc>
        <w:tc>
          <w:tcPr>
            <w:tcW w:w="12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Machinery</w:t>
            </w:r>
          </w:p>
        </w:tc>
        <w:tc>
          <w:tcPr>
            <w:tcW w:w="1160" w:type="dxa"/>
            <w:vAlign w:val="bottom"/>
            <w:shd w:val="clear" w:color="auto" w:fill="D8D8D8"/>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shd w:val="clear" w:color="auto" w:fill="D8D8D8"/>
          </w:tcPr>
          <w:p>
            <w:pPr>
              <w:spacing w:after="0"/>
              <w:rPr>
                <w:sz w:val="24"/>
                <w:szCs w:val="24"/>
                <w:color w:val="auto"/>
              </w:rPr>
            </w:pPr>
          </w:p>
        </w:tc>
        <w:tc>
          <w:tcPr>
            <w:tcW w:w="1380" w:type="dxa"/>
            <w:vAlign w:val="bottom"/>
            <w:shd w:val="clear" w:color="auto" w:fill="D8D8D8"/>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02"/>
        </w:trPr>
        <w:tc>
          <w:tcPr>
            <w:tcW w:w="420" w:type="dxa"/>
            <w:vAlign w:val="bottom"/>
            <w:tcBorders>
              <w:left w:val="single" w:sz="8" w:color="8C8C8C"/>
            </w:tcBorders>
            <w:shd w:val="clear" w:color="auto" w:fill="D8D8D8"/>
          </w:tcPr>
          <w:p>
            <w:pPr>
              <w:spacing w:after="0"/>
              <w:rPr>
                <w:sz w:val="8"/>
                <w:szCs w:val="8"/>
                <w:color w:val="auto"/>
              </w:rPr>
            </w:pPr>
          </w:p>
        </w:tc>
        <w:tc>
          <w:tcPr>
            <w:tcW w:w="800" w:type="dxa"/>
            <w:vAlign w:val="bottom"/>
            <w:shd w:val="clear" w:color="auto" w:fill="D8D8D8"/>
          </w:tcPr>
          <w:p>
            <w:pPr>
              <w:spacing w:after="0"/>
              <w:rPr>
                <w:sz w:val="8"/>
                <w:szCs w:val="8"/>
                <w:color w:val="auto"/>
              </w:rPr>
            </w:pPr>
          </w:p>
        </w:tc>
        <w:tc>
          <w:tcPr>
            <w:tcW w:w="240" w:type="dxa"/>
            <w:vAlign w:val="bottom"/>
            <w:shd w:val="clear" w:color="auto" w:fill="D8D8D8"/>
          </w:tcPr>
          <w:p>
            <w:pPr>
              <w:spacing w:after="0"/>
              <w:rPr>
                <w:sz w:val="8"/>
                <w:szCs w:val="8"/>
                <w:color w:val="auto"/>
              </w:rPr>
            </w:pPr>
          </w:p>
        </w:tc>
        <w:tc>
          <w:tcPr>
            <w:tcW w:w="720" w:type="dxa"/>
            <w:vAlign w:val="bottom"/>
            <w:shd w:val="clear" w:color="auto" w:fill="D8D8D8"/>
          </w:tcPr>
          <w:p>
            <w:pPr>
              <w:spacing w:after="0"/>
              <w:rPr>
                <w:sz w:val="8"/>
                <w:szCs w:val="8"/>
                <w:color w:val="auto"/>
              </w:rPr>
            </w:pPr>
          </w:p>
        </w:tc>
        <w:tc>
          <w:tcPr>
            <w:tcW w:w="1200" w:type="dxa"/>
            <w:vAlign w:val="bottom"/>
            <w:shd w:val="clear" w:color="auto" w:fill="D8D8D8"/>
          </w:tcPr>
          <w:p>
            <w:pPr>
              <w:spacing w:after="0"/>
              <w:rPr>
                <w:sz w:val="8"/>
                <w:szCs w:val="8"/>
                <w:color w:val="auto"/>
              </w:rPr>
            </w:pPr>
          </w:p>
        </w:tc>
        <w:tc>
          <w:tcPr>
            <w:tcW w:w="1160" w:type="dxa"/>
            <w:vAlign w:val="bottom"/>
            <w:shd w:val="clear" w:color="auto" w:fill="D8D8D8"/>
          </w:tcPr>
          <w:p>
            <w:pPr>
              <w:spacing w:after="0"/>
              <w:rPr>
                <w:sz w:val="8"/>
                <w:szCs w:val="8"/>
                <w:color w:val="auto"/>
              </w:rPr>
            </w:pPr>
          </w:p>
        </w:tc>
        <w:tc>
          <w:tcPr>
            <w:tcW w:w="1280" w:type="dxa"/>
            <w:vAlign w:val="bottom"/>
            <w:shd w:val="clear" w:color="auto" w:fill="D8D8D8"/>
          </w:tcPr>
          <w:p>
            <w:pPr>
              <w:spacing w:after="0"/>
              <w:rPr>
                <w:sz w:val="8"/>
                <w:szCs w:val="8"/>
                <w:color w:val="auto"/>
              </w:rPr>
            </w:pPr>
          </w:p>
        </w:tc>
        <w:tc>
          <w:tcPr>
            <w:tcW w:w="138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420" w:type="dxa"/>
            <w:vAlign w:val="bottom"/>
            <w:tcBorders>
              <w:left w:val="single" w:sz="8" w:color="8C8C8C"/>
            </w:tcBorders>
          </w:tcPr>
          <w:p>
            <w:pPr>
              <w:ind w:left="2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6,997</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40,471</w:t>
            </w:r>
          </w:p>
        </w:tc>
        <w:tc>
          <w:tcPr>
            <w:tcW w:w="1200" w:type="dxa"/>
            <w:vAlign w:val="bottom"/>
          </w:tcPr>
          <w:p>
            <w:pPr>
              <w:jc w:val="center"/>
              <w:spacing w:after="0"/>
              <w:rPr>
                <w:sz w:val="20"/>
                <w:szCs w:val="20"/>
                <w:color w:val="auto"/>
              </w:rPr>
            </w:pPr>
            <w:r>
              <w:rPr>
                <w:rFonts w:ascii="Arial" w:cs="Arial" w:eastAsia="Arial" w:hAnsi="Arial"/>
                <w:sz w:val="14"/>
                <w:szCs w:val="14"/>
                <w:color w:val="auto"/>
              </w:rPr>
              <w:t>Electrical</w:t>
            </w:r>
          </w:p>
        </w:tc>
        <w:tc>
          <w:tcPr>
            <w:tcW w:w="1160" w:type="dxa"/>
            <w:vAlign w:val="bottom"/>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tcPr>
          <w:p>
            <w:pPr>
              <w:spacing w:after="0"/>
              <w:rPr>
                <w:sz w:val="20"/>
                <w:szCs w:val="20"/>
                <w:color w:val="auto"/>
              </w:rPr>
            </w:pPr>
          </w:p>
        </w:tc>
        <w:tc>
          <w:tcPr>
            <w:tcW w:w="138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4"/>
        </w:trPr>
        <w:tc>
          <w:tcPr>
            <w:tcW w:w="420" w:type="dxa"/>
            <w:vAlign w:val="bottom"/>
            <w:tcBorders>
              <w:left w:val="single" w:sz="8" w:color="8C8C8C"/>
            </w:tcBorders>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4"/>
                <w:szCs w:val="14"/>
                <w:color w:val="auto"/>
              </w:rPr>
              <w:t>Equipment</w:t>
            </w:r>
          </w:p>
        </w:tc>
        <w:tc>
          <w:tcPr>
            <w:tcW w:w="1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420" w:type="dxa"/>
            <w:vAlign w:val="bottom"/>
            <w:tcBorders>
              <w:left w:val="single" w:sz="8" w:color="8C8C8C"/>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5,778</w:t>
            </w:r>
          </w:p>
        </w:tc>
        <w:tc>
          <w:tcPr>
            <w:tcW w:w="240" w:type="dxa"/>
            <w:vAlign w:val="bottom"/>
            <w:shd w:val="clear" w:color="auto" w:fill="D8D8D8"/>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51,884</w:t>
            </w:r>
          </w:p>
        </w:tc>
        <w:tc>
          <w:tcPr>
            <w:tcW w:w="12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Industrial</w:t>
            </w:r>
          </w:p>
        </w:tc>
        <w:tc>
          <w:tcPr>
            <w:tcW w:w="1160" w:type="dxa"/>
            <w:vAlign w:val="bottom"/>
            <w:shd w:val="clear" w:color="auto" w:fill="D8D8D8"/>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80" w:type="dxa"/>
            <w:vAlign w:val="bottom"/>
            <w:shd w:val="clear" w:color="auto" w:fill="D8D8D8"/>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4"/>
        </w:trPr>
        <w:tc>
          <w:tcPr>
            <w:tcW w:w="420" w:type="dxa"/>
            <w:vAlign w:val="bottom"/>
            <w:tcBorders>
              <w:left w:val="single" w:sz="8" w:color="8C8C8C"/>
            </w:tcBorders>
            <w:shd w:val="clear" w:color="auto" w:fill="D8D8D8"/>
          </w:tcPr>
          <w:p>
            <w:pPr>
              <w:spacing w:after="0"/>
              <w:rPr>
                <w:sz w:val="11"/>
                <w:szCs w:val="11"/>
                <w:color w:val="auto"/>
              </w:rPr>
            </w:pPr>
          </w:p>
        </w:tc>
        <w:tc>
          <w:tcPr>
            <w:tcW w:w="80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1200" w:type="dxa"/>
            <w:vAlign w:val="bottom"/>
            <w:shd w:val="clear" w:color="auto" w:fill="D8D8D8"/>
          </w:tcPr>
          <w:p>
            <w:pPr>
              <w:jc w:val="center"/>
              <w:spacing w:after="0" w:line="134" w:lineRule="exact"/>
              <w:rPr>
                <w:sz w:val="20"/>
                <w:szCs w:val="20"/>
                <w:color w:val="auto"/>
              </w:rPr>
            </w:pPr>
            <w:r>
              <w:rPr>
                <w:rFonts w:ascii="Arial" w:cs="Arial" w:eastAsia="Arial" w:hAnsi="Arial"/>
                <w:sz w:val="14"/>
                <w:szCs w:val="14"/>
                <w:color w:val="auto"/>
              </w:rPr>
              <w:t>Conglomerates</w:t>
            </w:r>
          </w:p>
        </w:tc>
        <w:tc>
          <w:tcPr>
            <w:tcW w:w="1160" w:type="dxa"/>
            <w:vAlign w:val="bottom"/>
            <w:shd w:val="clear" w:color="auto" w:fill="D8D8D8"/>
          </w:tcPr>
          <w:p>
            <w:pPr>
              <w:spacing w:after="0"/>
              <w:rPr>
                <w:sz w:val="11"/>
                <w:szCs w:val="11"/>
                <w:color w:val="auto"/>
              </w:rPr>
            </w:pPr>
          </w:p>
        </w:tc>
        <w:tc>
          <w:tcPr>
            <w:tcW w:w="1280" w:type="dxa"/>
            <w:vAlign w:val="bottom"/>
            <w:shd w:val="clear" w:color="auto" w:fill="D8D8D8"/>
          </w:tcPr>
          <w:p>
            <w:pPr>
              <w:spacing w:after="0"/>
              <w:rPr>
                <w:sz w:val="11"/>
                <w:szCs w:val="11"/>
                <w:color w:val="auto"/>
              </w:rPr>
            </w:pPr>
          </w:p>
        </w:tc>
        <w:tc>
          <w:tcPr>
            <w:tcW w:w="138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420" w:type="dxa"/>
            <w:vAlign w:val="bottom"/>
            <w:tcBorders>
              <w:left w:val="single" w:sz="8" w:color="8C8C8C"/>
            </w:tcBorders>
          </w:tcPr>
          <w:p>
            <w:pPr>
              <w:ind w:left="2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4,602</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11,530</w:t>
            </w:r>
          </w:p>
        </w:tc>
        <w:tc>
          <w:tcPr>
            <w:tcW w:w="1200" w:type="dxa"/>
            <w:vAlign w:val="bottom"/>
          </w:tcPr>
          <w:p>
            <w:pPr>
              <w:jc w:val="center"/>
              <w:spacing w:after="0"/>
              <w:rPr>
                <w:sz w:val="20"/>
                <w:szCs w:val="20"/>
                <w:color w:val="auto"/>
              </w:rPr>
            </w:pPr>
            <w:r>
              <w:rPr>
                <w:rFonts w:ascii="Arial" w:cs="Arial" w:eastAsia="Arial" w:hAnsi="Arial"/>
                <w:sz w:val="14"/>
                <w:szCs w:val="14"/>
                <w:color w:val="auto"/>
              </w:rPr>
              <w:t>Industrial</w:t>
            </w:r>
          </w:p>
        </w:tc>
        <w:tc>
          <w:tcPr>
            <w:tcW w:w="1160" w:type="dxa"/>
            <w:vAlign w:val="bottom"/>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420" w:type="dxa"/>
            <w:vAlign w:val="bottom"/>
            <w:tcBorders>
              <w:left w:val="single" w:sz="8" w:color="8C8C8C"/>
            </w:tcBorders>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4"/>
                <w:szCs w:val="14"/>
                <w:color w:val="auto"/>
              </w:rPr>
              <w:t>Machinery</w:t>
            </w:r>
          </w:p>
        </w:tc>
        <w:tc>
          <w:tcPr>
            <w:tcW w:w="1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420" w:type="dxa"/>
            <w:vAlign w:val="bottom"/>
            <w:tcBorders>
              <w:left w:val="single" w:sz="8" w:color="8C8C8C"/>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15,617</w:t>
            </w:r>
          </w:p>
        </w:tc>
        <w:tc>
          <w:tcPr>
            <w:tcW w:w="240" w:type="dxa"/>
            <w:vAlign w:val="bottom"/>
            <w:shd w:val="clear" w:color="auto" w:fill="D8D8D8"/>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30,751</w:t>
            </w:r>
          </w:p>
        </w:tc>
        <w:tc>
          <w:tcPr>
            <w:tcW w:w="12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Industrial</w:t>
            </w:r>
          </w:p>
        </w:tc>
        <w:tc>
          <w:tcPr>
            <w:tcW w:w="1160" w:type="dxa"/>
            <w:vAlign w:val="bottom"/>
            <w:shd w:val="clear" w:color="auto" w:fill="D8D8D8"/>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shd w:val="clear" w:color="auto" w:fill="D8D8D8"/>
          </w:tcPr>
          <w:p>
            <w:pPr>
              <w:spacing w:after="0"/>
              <w:rPr>
                <w:sz w:val="20"/>
                <w:szCs w:val="20"/>
                <w:color w:val="auto"/>
              </w:rPr>
            </w:pPr>
          </w:p>
        </w:tc>
        <w:tc>
          <w:tcPr>
            <w:tcW w:w="1380" w:type="dxa"/>
            <w:vAlign w:val="bottom"/>
            <w:shd w:val="clear" w:color="auto" w:fill="D8D8D8"/>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4"/>
        </w:trPr>
        <w:tc>
          <w:tcPr>
            <w:tcW w:w="420" w:type="dxa"/>
            <w:vAlign w:val="bottom"/>
            <w:tcBorders>
              <w:left w:val="single" w:sz="8" w:color="8C8C8C"/>
            </w:tcBorders>
            <w:shd w:val="clear" w:color="auto" w:fill="D8D8D8"/>
          </w:tcPr>
          <w:p>
            <w:pPr>
              <w:spacing w:after="0"/>
              <w:rPr>
                <w:sz w:val="11"/>
                <w:szCs w:val="11"/>
                <w:color w:val="auto"/>
              </w:rPr>
            </w:pPr>
          </w:p>
        </w:tc>
        <w:tc>
          <w:tcPr>
            <w:tcW w:w="80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1200" w:type="dxa"/>
            <w:vAlign w:val="bottom"/>
            <w:shd w:val="clear" w:color="auto" w:fill="D8D8D8"/>
          </w:tcPr>
          <w:p>
            <w:pPr>
              <w:jc w:val="center"/>
              <w:spacing w:after="0" w:line="134" w:lineRule="exact"/>
              <w:rPr>
                <w:sz w:val="20"/>
                <w:szCs w:val="20"/>
                <w:color w:val="auto"/>
              </w:rPr>
            </w:pPr>
            <w:r>
              <w:rPr>
                <w:rFonts w:ascii="Arial" w:cs="Arial" w:eastAsia="Arial" w:hAnsi="Arial"/>
                <w:sz w:val="14"/>
                <w:szCs w:val="14"/>
                <w:color w:val="auto"/>
              </w:rPr>
              <w:t>Machinery</w:t>
            </w:r>
          </w:p>
        </w:tc>
        <w:tc>
          <w:tcPr>
            <w:tcW w:w="1160" w:type="dxa"/>
            <w:vAlign w:val="bottom"/>
            <w:shd w:val="clear" w:color="auto" w:fill="D8D8D8"/>
          </w:tcPr>
          <w:p>
            <w:pPr>
              <w:spacing w:after="0"/>
              <w:rPr>
                <w:sz w:val="11"/>
                <w:szCs w:val="11"/>
                <w:color w:val="auto"/>
              </w:rPr>
            </w:pPr>
          </w:p>
        </w:tc>
        <w:tc>
          <w:tcPr>
            <w:tcW w:w="1280" w:type="dxa"/>
            <w:vAlign w:val="bottom"/>
            <w:shd w:val="clear" w:color="auto" w:fill="D8D8D8"/>
          </w:tcPr>
          <w:p>
            <w:pPr>
              <w:spacing w:after="0"/>
              <w:rPr>
                <w:sz w:val="11"/>
                <w:szCs w:val="11"/>
                <w:color w:val="auto"/>
              </w:rPr>
            </w:pPr>
          </w:p>
        </w:tc>
        <w:tc>
          <w:tcPr>
            <w:tcW w:w="138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420" w:type="dxa"/>
            <w:vAlign w:val="bottom"/>
            <w:tcBorders>
              <w:left w:val="single" w:sz="8" w:color="8C8C8C"/>
            </w:tcBorders>
          </w:tcPr>
          <w:p>
            <w:pPr>
              <w:ind w:left="2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12,382</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17,017</w:t>
            </w:r>
          </w:p>
        </w:tc>
        <w:tc>
          <w:tcPr>
            <w:tcW w:w="1200" w:type="dxa"/>
            <w:vAlign w:val="bottom"/>
          </w:tcPr>
          <w:p>
            <w:pPr>
              <w:jc w:val="center"/>
              <w:spacing w:after="0"/>
              <w:rPr>
                <w:sz w:val="20"/>
                <w:szCs w:val="20"/>
                <w:color w:val="auto"/>
              </w:rPr>
            </w:pPr>
            <w:r>
              <w:rPr>
                <w:rFonts w:ascii="Arial" w:cs="Arial" w:eastAsia="Arial" w:hAnsi="Arial"/>
                <w:sz w:val="14"/>
                <w:szCs w:val="14"/>
                <w:color w:val="auto"/>
              </w:rPr>
              <w:t>Aerospace &amp;</w:t>
            </w:r>
          </w:p>
        </w:tc>
        <w:tc>
          <w:tcPr>
            <w:tcW w:w="1160" w:type="dxa"/>
            <w:vAlign w:val="bottom"/>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420" w:type="dxa"/>
            <w:vAlign w:val="bottom"/>
            <w:tcBorders>
              <w:left w:val="single" w:sz="8" w:color="8C8C8C"/>
            </w:tcBorders>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4"/>
                <w:szCs w:val="14"/>
                <w:color w:val="auto"/>
              </w:rPr>
              <w:t>Defense</w:t>
            </w:r>
          </w:p>
        </w:tc>
        <w:tc>
          <w:tcPr>
            <w:tcW w:w="1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420" w:type="dxa"/>
            <w:vAlign w:val="bottom"/>
            <w:tcBorders>
              <w:left w:val="single" w:sz="8" w:color="8C8C8C"/>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5,195</w:t>
            </w:r>
          </w:p>
        </w:tc>
        <w:tc>
          <w:tcPr>
            <w:tcW w:w="240" w:type="dxa"/>
            <w:vAlign w:val="bottom"/>
            <w:shd w:val="clear" w:color="auto" w:fill="D8D8D8"/>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21,625</w:t>
            </w:r>
          </w:p>
        </w:tc>
        <w:tc>
          <w:tcPr>
            <w:tcW w:w="120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Industrial</w:t>
            </w:r>
          </w:p>
        </w:tc>
        <w:tc>
          <w:tcPr>
            <w:tcW w:w="1160" w:type="dxa"/>
            <w:vAlign w:val="bottom"/>
            <w:shd w:val="clear" w:color="auto" w:fill="D8D8D8"/>
          </w:tcPr>
          <w:p>
            <w:pPr>
              <w:jc w:val="right"/>
              <w:ind w:right="427"/>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shd w:val="clear" w:color="auto" w:fill="D8D8D8"/>
          </w:tcPr>
          <w:p>
            <w:pPr>
              <w:spacing w:after="0"/>
              <w:rPr>
                <w:sz w:val="20"/>
                <w:szCs w:val="20"/>
                <w:color w:val="auto"/>
              </w:rPr>
            </w:pPr>
          </w:p>
        </w:tc>
        <w:tc>
          <w:tcPr>
            <w:tcW w:w="1380" w:type="dxa"/>
            <w:vAlign w:val="bottom"/>
            <w:shd w:val="clear" w:color="auto" w:fill="D8D8D8"/>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4"/>
        </w:trPr>
        <w:tc>
          <w:tcPr>
            <w:tcW w:w="420" w:type="dxa"/>
            <w:vAlign w:val="bottom"/>
            <w:tcBorders>
              <w:left w:val="single" w:sz="8" w:color="8C8C8C"/>
            </w:tcBorders>
            <w:shd w:val="clear" w:color="auto" w:fill="D8D8D8"/>
          </w:tcPr>
          <w:p>
            <w:pPr>
              <w:spacing w:after="0"/>
              <w:rPr>
                <w:sz w:val="11"/>
                <w:szCs w:val="11"/>
                <w:color w:val="auto"/>
              </w:rPr>
            </w:pPr>
          </w:p>
        </w:tc>
        <w:tc>
          <w:tcPr>
            <w:tcW w:w="80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1200" w:type="dxa"/>
            <w:vAlign w:val="bottom"/>
            <w:shd w:val="clear" w:color="auto" w:fill="D8D8D8"/>
          </w:tcPr>
          <w:p>
            <w:pPr>
              <w:jc w:val="center"/>
              <w:spacing w:after="0" w:line="134" w:lineRule="exact"/>
              <w:rPr>
                <w:sz w:val="20"/>
                <w:szCs w:val="20"/>
                <w:color w:val="auto"/>
              </w:rPr>
            </w:pPr>
            <w:r>
              <w:rPr>
                <w:rFonts w:ascii="Arial" w:cs="Arial" w:eastAsia="Arial" w:hAnsi="Arial"/>
                <w:sz w:val="14"/>
                <w:szCs w:val="14"/>
                <w:color w:val="auto"/>
              </w:rPr>
              <w:t>Machinery</w:t>
            </w:r>
          </w:p>
        </w:tc>
        <w:tc>
          <w:tcPr>
            <w:tcW w:w="1160" w:type="dxa"/>
            <w:vAlign w:val="bottom"/>
            <w:shd w:val="clear" w:color="auto" w:fill="D8D8D8"/>
          </w:tcPr>
          <w:p>
            <w:pPr>
              <w:spacing w:after="0"/>
              <w:rPr>
                <w:sz w:val="11"/>
                <w:szCs w:val="11"/>
                <w:color w:val="auto"/>
              </w:rPr>
            </w:pPr>
          </w:p>
        </w:tc>
        <w:tc>
          <w:tcPr>
            <w:tcW w:w="1280" w:type="dxa"/>
            <w:vAlign w:val="bottom"/>
            <w:shd w:val="clear" w:color="auto" w:fill="D8D8D8"/>
          </w:tcPr>
          <w:p>
            <w:pPr>
              <w:spacing w:after="0"/>
              <w:rPr>
                <w:sz w:val="11"/>
                <w:szCs w:val="11"/>
                <w:color w:val="auto"/>
              </w:rPr>
            </w:pPr>
          </w:p>
        </w:tc>
        <w:tc>
          <w:tcPr>
            <w:tcW w:w="138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420" w:type="dxa"/>
            <w:vAlign w:val="bottom"/>
            <w:tcBorders>
              <w:left w:val="single" w:sz="8" w:color="8C8C8C"/>
            </w:tcBorders>
          </w:tcPr>
          <w:p>
            <w:pPr>
              <w:ind w:left="2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14,374</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43,633</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20" w:type="dxa"/>
            <w:vAlign w:val="bottom"/>
            <w:tcBorders>
              <w:left w:val="single" w:sz="8" w:color="8C8C8C"/>
            </w:tcBorders>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420" w:type="dxa"/>
            <w:vAlign w:val="bottom"/>
            <w:tcBorders>
              <w:left w:val="single" w:sz="8" w:color="8C8C8C"/>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6,388</w:t>
            </w:r>
          </w:p>
        </w:tc>
        <w:tc>
          <w:tcPr>
            <w:tcW w:w="240" w:type="dxa"/>
            <w:vAlign w:val="bottom"/>
            <w:shd w:val="clear" w:color="auto" w:fill="D8D8D8"/>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29,054</w:t>
            </w:r>
          </w:p>
        </w:tc>
        <w:tc>
          <w:tcPr>
            <w:tcW w:w="1200" w:type="dxa"/>
            <w:vAlign w:val="bottom"/>
            <w:shd w:val="clear" w:color="auto" w:fill="D8D8D8"/>
          </w:tcPr>
          <w:p>
            <w:pPr>
              <w:spacing w:after="0"/>
              <w:rPr>
                <w:sz w:val="24"/>
                <w:szCs w:val="24"/>
                <w:color w:val="auto"/>
              </w:rPr>
            </w:pPr>
          </w:p>
        </w:tc>
        <w:tc>
          <w:tcPr>
            <w:tcW w:w="1160" w:type="dxa"/>
            <w:vAlign w:val="bottom"/>
            <w:shd w:val="clear" w:color="auto" w:fill="D8D8D8"/>
          </w:tcPr>
          <w:p>
            <w:pPr>
              <w:spacing w:after="0"/>
              <w:rPr>
                <w:sz w:val="24"/>
                <w:szCs w:val="24"/>
                <w:color w:val="auto"/>
              </w:rPr>
            </w:pPr>
          </w:p>
        </w:tc>
        <w:tc>
          <w:tcPr>
            <w:tcW w:w="1280" w:type="dxa"/>
            <w:vAlign w:val="bottom"/>
            <w:shd w:val="clear" w:color="auto" w:fill="D8D8D8"/>
          </w:tcPr>
          <w:p>
            <w:pPr>
              <w:spacing w:after="0"/>
              <w:rPr>
                <w:sz w:val="24"/>
                <w:szCs w:val="24"/>
                <w:color w:val="auto"/>
              </w:rPr>
            </w:pPr>
          </w:p>
        </w:tc>
        <w:tc>
          <w:tcPr>
            <w:tcW w:w="13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20" w:type="dxa"/>
            <w:vAlign w:val="bottom"/>
            <w:tcBorders>
              <w:left w:val="single" w:sz="8" w:color="8C8C8C"/>
            </w:tcBorders>
            <w:shd w:val="clear" w:color="auto" w:fill="D8D8D8"/>
          </w:tcPr>
          <w:p>
            <w:pPr>
              <w:spacing w:after="0"/>
              <w:rPr>
                <w:sz w:val="10"/>
                <w:szCs w:val="10"/>
                <w:color w:val="auto"/>
              </w:rPr>
            </w:pPr>
          </w:p>
        </w:tc>
        <w:tc>
          <w:tcPr>
            <w:tcW w:w="800" w:type="dxa"/>
            <w:vAlign w:val="bottom"/>
            <w:shd w:val="clear" w:color="auto" w:fill="D8D8D8"/>
          </w:tcPr>
          <w:p>
            <w:pPr>
              <w:spacing w:after="0"/>
              <w:rPr>
                <w:sz w:val="10"/>
                <w:szCs w:val="10"/>
                <w:color w:val="auto"/>
              </w:rPr>
            </w:pPr>
          </w:p>
        </w:tc>
        <w:tc>
          <w:tcPr>
            <w:tcW w:w="240" w:type="dxa"/>
            <w:vAlign w:val="bottom"/>
            <w:shd w:val="clear" w:color="auto" w:fill="D8D8D8"/>
          </w:tcPr>
          <w:p>
            <w:pPr>
              <w:spacing w:after="0"/>
              <w:rPr>
                <w:sz w:val="10"/>
                <w:szCs w:val="10"/>
                <w:color w:val="auto"/>
              </w:rPr>
            </w:pPr>
          </w:p>
        </w:tc>
        <w:tc>
          <w:tcPr>
            <w:tcW w:w="720" w:type="dxa"/>
            <w:vAlign w:val="bottom"/>
            <w:shd w:val="clear" w:color="auto" w:fill="D8D8D8"/>
          </w:tcPr>
          <w:p>
            <w:pPr>
              <w:spacing w:after="0"/>
              <w:rPr>
                <w:sz w:val="10"/>
                <w:szCs w:val="10"/>
                <w:color w:val="auto"/>
              </w:rPr>
            </w:pPr>
          </w:p>
        </w:tc>
        <w:tc>
          <w:tcPr>
            <w:tcW w:w="1200" w:type="dxa"/>
            <w:vAlign w:val="bottom"/>
            <w:shd w:val="clear" w:color="auto" w:fill="D8D8D8"/>
          </w:tcPr>
          <w:p>
            <w:pPr>
              <w:spacing w:after="0"/>
              <w:rPr>
                <w:sz w:val="10"/>
                <w:szCs w:val="10"/>
                <w:color w:val="auto"/>
              </w:rPr>
            </w:pPr>
          </w:p>
        </w:tc>
        <w:tc>
          <w:tcPr>
            <w:tcW w:w="1160" w:type="dxa"/>
            <w:vAlign w:val="bottom"/>
            <w:shd w:val="clear" w:color="auto" w:fill="D8D8D8"/>
          </w:tcPr>
          <w:p>
            <w:pPr>
              <w:spacing w:after="0"/>
              <w:rPr>
                <w:sz w:val="10"/>
                <w:szCs w:val="10"/>
                <w:color w:val="auto"/>
              </w:rPr>
            </w:pPr>
          </w:p>
        </w:tc>
        <w:tc>
          <w:tcPr>
            <w:tcW w:w="1280" w:type="dxa"/>
            <w:vAlign w:val="bottom"/>
            <w:shd w:val="clear" w:color="auto" w:fill="D8D8D8"/>
          </w:tcPr>
          <w:p>
            <w:pPr>
              <w:spacing w:after="0"/>
              <w:rPr>
                <w:sz w:val="10"/>
                <w:szCs w:val="10"/>
                <w:color w:val="auto"/>
              </w:rPr>
            </w:pPr>
          </w:p>
        </w:tc>
        <w:tc>
          <w:tcPr>
            <w:tcW w:w="138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420" w:type="dxa"/>
            <w:vAlign w:val="bottom"/>
            <w:tcBorders>
              <w:left w:val="single" w:sz="8" w:color="8C8C8C"/>
            </w:tcBorders>
          </w:tcPr>
          <w:p>
            <w:pPr>
              <w:ind w:left="2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5,067</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15,996</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20" w:type="dxa"/>
            <w:vAlign w:val="bottom"/>
            <w:tcBorders>
              <w:left w:val="single" w:sz="8" w:color="8C8C8C"/>
            </w:tcBorders>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420" w:type="dxa"/>
            <w:vAlign w:val="bottom"/>
            <w:tcBorders>
              <w:left w:val="single" w:sz="8" w:color="8C8C8C"/>
            </w:tcBorders>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8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7,907</w:t>
            </w:r>
          </w:p>
        </w:tc>
        <w:tc>
          <w:tcPr>
            <w:tcW w:w="240" w:type="dxa"/>
            <w:vAlign w:val="bottom"/>
            <w:shd w:val="clear" w:color="auto" w:fill="D8D8D8"/>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26,148</w:t>
            </w:r>
          </w:p>
        </w:tc>
        <w:tc>
          <w:tcPr>
            <w:tcW w:w="1200" w:type="dxa"/>
            <w:vAlign w:val="bottom"/>
            <w:shd w:val="clear" w:color="auto" w:fill="D8D8D8"/>
          </w:tcPr>
          <w:p>
            <w:pPr>
              <w:spacing w:after="0"/>
              <w:rPr>
                <w:sz w:val="24"/>
                <w:szCs w:val="24"/>
                <w:color w:val="auto"/>
              </w:rPr>
            </w:pPr>
          </w:p>
        </w:tc>
        <w:tc>
          <w:tcPr>
            <w:tcW w:w="1160" w:type="dxa"/>
            <w:vAlign w:val="bottom"/>
            <w:shd w:val="clear" w:color="auto" w:fill="D8D8D8"/>
          </w:tcPr>
          <w:p>
            <w:pPr>
              <w:spacing w:after="0"/>
              <w:rPr>
                <w:sz w:val="24"/>
                <w:szCs w:val="24"/>
                <w:color w:val="auto"/>
              </w:rPr>
            </w:pPr>
          </w:p>
        </w:tc>
        <w:tc>
          <w:tcPr>
            <w:tcW w:w="1280" w:type="dxa"/>
            <w:vAlign w:val="bottom"/>
            <w:shd w:val="clear" w:color="auto" w:fill="D8D8D8"/>
          </w:tcPr>
          <w:p>
            <w:pPr>
              <w:spacing w:after="0"/>
              <w:rPr>
                <w:sz w:val="24"/>
                <w:szCs w:val="24"/>
                <w:color w:val="auto"/>
              </w:rPr>
            </w:pPr>
          </w:p>
        </w:tc>
        <w:tc>
          <w:tcPr>
            <w:tcW w:w="13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left w:val="single" w:sz="8" w:color="8C8C8C"/>
            </w:tcBorders>
            <w:shd w:val="clear" w:color="auto" w:fill="D8D8D8"/>
          </w:tcPr>
          <w:p>
            <w:pPr>
              <w:spacing w:after="0"/>
              <w:rPr>
                <w:sz w:val="11"/>
                <w:szCs w:val="11"/>
                <w:color w:val="auto"/>
              </w:rPr>
            </w:pPr>
          </w:p>
        </w:tc>
        <w:tc>
          <w:tcPr>
            <w:tcW w:w="80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1200" w:type="dxa"/>
            <w:vAlign w:val="bottom"/>
            <w:shd w:val="clear" w:color="auto" w:fill="D8D8D8"/>
          </w:tcPr>
          <w:p>
            <w:pPr>
              <w:spacing w:after="0"/>
              <w:rPr>
                <w:sz w:val="11"/>
                <w:szCs w:val="11"/>
                <w:color w:val="auto"/>
              </w:rPr>
            </w:pPr>
          </w:p>
        </w:tc>
        <w:tc>
          <w:tcPr>
            <w:tcW w:w="1160" w:type="dxa"/>
            <w:vAlign w:val="bottom"/>
            <w:shd w:val="clear" w:color="auto" w:fill="D8D8D8"/>
          </w:tcPr>
          <w:p>
            <w:pPr>
              <w:spacing w:after="0"/>
              <w:rPr>
                <w:sz w:val="11"/>
                <w:szCs w:val="11"/>
                <w:color w:val="auto"/>
              </w:rPr>
            </w:pPr>
          </w:p>
        </w:tc>
        <w:tc>
          <w:tcPr>
            <w:tcW w:w="1280" w:type="dxa"/>
            <w:vAlign w:val="bottom"/>
            <w:shd w:val="clear" w:color="auto" w:fill="D8D8D8"/>
          </w:tcPr>
          <w:p>
            <w:pPr>
              <w:spacing w:after="0"/>
              <w:rPr>
                <w:sz w:val="11"/>
                <w:szCs w:val="11"/>
                <w:color w:val="auto"/>
              </w:rPr>
            </w:pPr>
          </w:p>
        </w:tc>
        <w:tc>
          <w:tcPr>
            <w:tcW w:w="138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-7620</wp:posOffset>
            </wp:positionV>
            <wp:extent cx="69297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3160" w:space="720"/>
            <w:col w:w="7200"/>
          </w:cols>
          <w:pgMar w:left="320" w:top="456" w:right="499" w:bottom="1440" w:gutter="0" w:footer="0" w:header="0"/>
          <w:type w:val="continuous"/>
        </w:sectPr>
      </w:pPr>
    </w:p>
    <w:p>
      <w:pPr>
        <w:ind w:left="700" w:hanging="426"/>
        <w:spacing w:after="0"/>
        <w:tabs>
          <w:tab w:leader="none" w:pos="70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As of 12/31/2021.</w:t>
      </w:r>
    </w:p>
    <w:p>
      <w:pPr>
        <w:spacing w:after="0" w:line="13" w:lineRule="exact"/>
        <w:rPr>
          <w:rFonts w:ascii="Arial" w:cs="Arial" w:eastAsia="Arial" w:hAnsi="Arial"/>
          <w:sz w:val="14"/>
          <w:szCs w:val="14"/>
          <w:i w:val="1"/>
          <w:iCs w:val="1"/>
          <w:color w:val="auto"/>
        </w:rPr>
      </w:pPr>
    </w:p>
    <w:p>
      <w:pPr>
        <w:ind w:left="700" w:hanging="426"/>
        <w:spacing w:after="0"/>
        <w:tabs>
          <w:tab w:leader="none" w:pos="70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“Same analyst coverage” means company is covered by at least five of the analysts that cover Dover.</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47</w:t>
      </w:r>
    </w:p>
    <w:p>
      <w:pPr>
        <w:sectPr>
          <w:pgSz w:w="11900" w:h="16838" w:orient="portrait"/>
          <w:cols w:equalWidth="0" w:num="1">
            <w:col w:w="11080"/>
          </w:cols>
          <w:pgMar w:left="320" w:top="456" w:right="49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Role of Internal Equity in Setting Executive Compensation</w:t>
      </w:r>
    </w:p>
    <w:p>
      <w:pPr>
        <w:spacing w:after="0" w:line="94"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Management and our Compensation Committee consider both market benchmarks (i.e., external competitiveness), as well as the impact each executive role has relative to internal peers (i.e., internal equity), in establishing the executive pay structures used to govern pay.</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Role of the Independent Compensation Consultant</w:t>
      </w:r>
    </w:p>
    <w:p>
      <w:pPr>
        <w:spacing w:after="0" w:line="80" w:lineRule="exact"/>
        <w:rPr>
          <w:sz w:val="20"/>
          <w:szCs w:val="20"/>
          <w:color w:val="auto"/>
        </w:rPr>
      </w:pPr>
    </w:p>
    <w:p>
      <w:pPr>
        <w:ind w:left="160" w:right="120"/>
        <w:spacing w:after="0" w:line="246" w:lineRule="auto"/>
        <w:rPr>
          <w:sz w:val="20"/>
          <w:szCs w:val="20"/>
          <w:color w:val="auto"/>
        </w:rPr>
      </w:pPr>
      <w:r>
        <w:rPr>
          <w:rFonts w:ascii="Arial" w:cs="Arial" w:eastAsia="Arial" w:hAnsi="Arial"/>
          <w:sz w:val="16"/>
          <w:szCs w:val="16"/>
          <w:color w:val="auto"/>
        </w:rPr>
        <w:t>Our Compensation Committee has the authority and discretion to retain external compensation consultants as it deems appropriate. Our Compensation Committee has adopted a policy to ensure the continuing independence and accountability to the committee of any advisor hired to assist the committee in the discharge of its duties. The policy formalizes the independent relationship between the Compensation Committee’s advisor and Dover, while permitting management limited ability to access the advisor’s knowledge of Dover for compensation matters. Under the policy, our Compensation Committee will annually review and pre-approve the services that may be provided to management by the independent advisor without further Compensation Committee approval. Compensation Committee approval is required prior to Dover retaining the independent advisor for any executive compensation services or other consulting services or products above an aggregate annual limit of $50,000.</w:t>
      </w:r>
    </w:p>
    <w:p>
      <w:pPr>
        <w:spacing w:after="0" w:line="164"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Since September 2020, our Compensation Committee has retained Meridian Compensation Partners, LLC (“Meridian”) to serve as its independent compensation consultant. Meridian does no other work for and has no other relationships with Dover. Meridian is focused on executive compensation and does not have departments, groups, or affiliates that provide services other than those related to executive compensation and benefits.</w:t>
      </w:r>
    </w:p>
    <w:p>
      <w:pPr>
        <w:spacing w:after="0" w:line="174" w:lineRule="exact"/>
        <w:rPr>
          <w:sz w:val="20"/>
          <w:szCs w:val="20"/>
          <w:color w:val="auto"/>
        </w:rPr>
      </w:pPr>
    </w:p>
    <w:p>
      <w:pPr>
        <w:ind w:left="160" w:right="160"/>
        <w:spacing w:after="0" w:line="248" w:lineRule="auto"/>
        <w:rPr>
          <w:sz w:val="20"/>
          <w:szCs w:val="20"/>
          <w:color w:val="auto"/>
        </w:rPr>
      </w:pPr>
      <w:r>
        <w:rPr>
          <w:rFonts w:ascii="Arial" w:cs="Arial" w:eastAsia="Arial" w:hAnsi="Arial"/>
          <w:sz w:val="16"/>
          <w:szCs w:val="16"/>
          <w:color w:val="auto"/>
        </w:rPr>
        <w:t>Our Compensation Committee looks to its consultant to periodically review and advise regarding the adequacy and appropriateness of our overall executive compensation plans, programs, and practices and, from time to time, to answer specific questions raised by our Compensation Committee or management. Compensation decisions are made by, and are the responsibility of, our Compensation Committee and our Board, and may reflect factors and considerations other than the information and recommendations provided by our Compensation Committee’s consultant.</w:t>
      </w:r>
    </w:p>
    <w:p>
      <w:pPr>
        <w:spacing w:after="0" w:line="162" w:lineRule="exact"/>
        <w:rPr>
          <w:sz w:val="20"/>
          <w:szCs w:val="20"/>
          <w:color w:val="auto"/>
        </w:rPr>
      </w:pPr>
    </w:p>
    <w:p>
      <w:pPr>
        <w:ind w:left="160" w:right="700"/>
        <w:spacing w:after="0" w:line="256" w:lineRule="auto"/>
        <w:rPr>
          <w:sz w:val="20"/>
          <w:szCs w:val="20"/>
          <w:color w:val="auto"/>
        </w:rPr>
      </w:pPr>
      <w:r>
        <w:rPr>
          <w:rFonts w:ascii="Arial" w:cs="Arial" w:eastAsia="Arial" w:hAnsi="Arial"/>
          <w:sz w:val="16"/>
          <w:szCs w:val="16"/>
          <w:color w:val="auto"/>
        </w:rPr>
        <w:t>To ensure independence of the compensation consultant, the consultant reports directly to the Chair of our Compensation Committee and works specifically for the Compensation Committee solely on compensation and benefits.</w:t>
      </w:r>
    </w:p>
    <w:p>
      <w:pPr>
        <w:spacing w:after="0" w:line="156" w:lineRule="exact"/>
        <w:rPr>
          <w:sz w:val="20"/>
          <w:szCs w:val="20"/>
          <w:color w:val="auto"/>
        </w:rPr>
      </w:pPr>
    </w:p>
    <w:p>
      <w:pPr>
        <w:ind w:left="160" w:right="580"/>
        <w:spacing w:after="0" w:line="256" w:lineRule="auto"/>
        <w:rPr>
          <w:sz w:val="20"/>
          <w:szCs w:val="20"/>
          <w:color w:val="auto"/>
        </w:rPr>
      </w:pPr>
      <w:r>
        <w:rPr>
          <w:rFonts w:ascii="Arial" w:cs="Arial" w:eastAsia="Arial" w:hAnsi="Arial"/>
          <w:sz w:val="16"/>
          <w:szCs w:val="16"/>
          <w:color w:val="auto"/>
        </w:rPr>
        <w:t>Meridian did not engage in any projects for management in 2021. Our Compensation Committee has assessed the independence of Meridian and concluded that its work for the Compensation Committee does not raise any conflict of interest.</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48</w:t>
      </w:r>
    </w:p>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Elements of Executive Compensation</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Variable, Performance-Based Compensation Program Structure Drives Pay-For-Performance Alignment</w:t>
      </w:r>
    </w:p>
    <w:p>
      <w:pPr>
        <w:spacing w:after="0" w:line="94" w:lineRule="exact"/>
        <w:rPr>
          <w:sz w:val="20"/>
          <w:szCs w:val="20"/>
          <w:color w:val="auto"/>
        </w:rPr>
      </w:pPr>
    </w:p>
    <w:p>
      <w:pPr>
        <w:ind w:left="160" w:right="80"/>
        <w:spacing w:after="0" w:line="250" w:lineRule="auto"/>
        <w:rPr>
          <w:sz w:val="20"/>
          <w:szCs w:val="20"/>
          <w:color w:val="auto"/>
        </w:rPr>
      </w:pPr>
      <w:r>
        <w:rPr>
          <w:rFonts w:ascii="Arial" w:cs="Arial" w:eastAsia="Arial" w:hAnsi="Arial"/>
          <w:sz w:val="16"/>
          <w:szCs w:val="16"/>
          <w:color w:val="auto"/>
        </w:rPr>
        <w:t>The pay packages of Dover executives consist predominantly of incentive-based pay, both annual and long-term. Each of the compensation components has a specific role in the overall design of our executive pay program. While the components are designed to be mutually reinforcing, care is taken to minimize overlap between them. The following table provides an overview of the 2021 compensation program structure.</w:t>
      </w:r>
    </w:p>
    <w:p>
      <w:pPr>
        <w:spacing w:after="0" w:line="10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420" w:type="dxa"/>
            <w:vAlign w:val="bottom"/>
            <w:shd w:val="clear" w:color="auto" w:fill="050F70"/>
          </w:tcPr>
          <w:p>
            <w:pPr>
              <w:ind w:left="100"/>
              <w:spacing w:after="0"/>
              <w:rPr>
                <w:sz w:val="20"/>
                <w:szCs w:val="20"/>
                <w:color w:val="auto"/>
              </w:rPr>
            </w:pPr>
            <w:r>
              <w:rPr>
                <w:rFonts w:ascii="Arial" w:cs="Arial" w:eastAsia="Arial" w:hAnsi="Arial"/>
                <w:sz w:val="14"/>
                <w:szCs w:val="14"/>
                <w:b w:val="1"/>
                <w:bCs w:val="1"/>
                <w:color w:val="FFFFFF"/>
              </w:rPr>
              <w:t>Component</w:t>
            </w:r>
          </w:p>
        </w:tc>
        <w:tc>
          <w:tcPr>
            <w:tcW w:w="1660" w:type="dxa"/>
            <w:vAlign w:val="bottom"/>
            <w:tcBorders>
              <w:right w:val="single" w:sz="8" w:color="050F70"/>
            </w:tcBorders>
            <w:shd w:val="clear" w:color="auto" w:fill="050F70"/>
          </w:tcPr>
          <w:p>
            <w:pPr>
              <w:ind w:left="120"/>
              <w:spacing w:after="0"/>
              <w:rPr>
                <w:sz w:val="20"/>
                <w:szCs w:val="20"/>
                <w:color w:val="auto"/>
              </w:rPr>
            </w:pPr>
            <w:r>
              <w:rPr>
                <w:rFonts w:ascii="Arial" w:cs="Arial" w:eastAsia="Arial" w:hAnsi="Arial"/>
                <w:sz w:val="14"/>
                <w:szCs w:val="14"/>
                <w:b w:val="1"/>
                <w:bCs w:val="1"/>
                <w:color w:val="FFFFFF"/>
              </w:rPr>
              <w:t>Pay Element</w:t>
            </w:r>
          </w:p>
        </w:tc>
        <w:tc>
          <w:tcPr>
            <w:tcW w:w="3920" w:type="dxa"/>
            <w:vAlign w:val="bottom"/>
            <w:tcBorders>
              <w:right w:val="single" w:sz="8" w:color="050F70"/>
            </w:tcBorders>
            <w:shd w:val="clear" w:color="auto" w:fill="050F70"/>
          </w:tcPr>
          <w:p>
            <w:pPr>
              <w:jc w:val="right"/>
              <w:ind w:right="1870"/>
              <w:spacing w:after="0"/>
              <w:rPr>
                <w:sz w:val="20"/>
                <w:szCs w:val="20"/>
                <w:color w:val="auto"/>
              </w:rPr>
            </w:pPr>
            <w:r>
              <w:rPr>
                <w:rFonts w:ascii="Arial" w:cs="Arial" w:eastAsia="Arial" w:hAnsi="Arial"/>
                <w:sz w:val="14"/>
                <w:szCs w:val="14"/>
                <w:b w:val="1"/>
                <w:bCs w:val="1"/>
                <w:color w:val="FFFFFF"/>
              </w:rPr>
              <w:t>2021 Metrics &amp; Weighting</w:t>
            </w:r>
          </w:p>
        </w:tc>
        <w:tc>
          <w:tcPr>
            <w:tcW w:w="3920" w:type="dxa"/>
            <w:vAlign w:val="bottom"/>
            <w:shd w:val="clear" w:color="auto" w:fill="050F70"/>
          </w:tcPr>
          <w:p>
            <w:pPr>
              <w:ind w:left="260"/>
              <w:spacing w:after="0"/>
              <w:rPr>
                <w:sz w:val="20"/>
                <w:szCs w:val="20"/>
                <w:color w:val="auto"/>
              </w:rPr>
            </w:pPr>
            <w:r>
              <w:rPr>
                <w:rFonts w:ascii="Arial" w:cs="Arial" w:eastAsia="Arial" w:hAnsi="Arial"/>
                <w:sz w:val="14"/>
                <w:szCs w:val="14"/>
                <w:b w:val="1"/>
                <w:bCs w:val="1"/>
                <w:color w:val="FFFFFF"/>
              </w:rPr>
              <w:t>Objectives</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1660" w:type="dxa"/>
            <w:vAlign w:val="bottom"/>
            <w:tcBorders>
              <w:right w:val="single" w:sz="8" w:color="7F7F7F"/>
            </w:tcBorders>
          </w:tcPr>
          <w:p>
            <w:pPr>
              <w:spacing w:after="0"/>
              <w:rPr>
                <w:sz w:val="24"/>
                <w:szCs w:val="24"/>
                <w:color w:val="auto"/>
              </w:rPr>
            </w:pPr>
          </w:p>
        </w:tc>
        <w:tc>
          <w:tcPr>
            <w:tcW w:w="3920" w:type="dxa"/>
            <w:vAlign w:val="bottom"/>
            <w:tcBorders>
              <w:right w:val="single" w:sz="8" w:color="7F7F7F"/>
            </w:tcBorders>
          </w:tcPr>
          <w:p>
            <w:pPr>
              <w:spacing w:after="0"/>
              <w:rPr>
                <w:sz w:val="24"/>
                <w:szCs w:val="24"/>
                <w:color w:val="auto"/>
              </w:rPr>
            </w:pPr>
          </w:p>
        </w:tc>
        <w:tc>
          <w:tcPr>
            <w:tcW w:w="3920" w:type="dxa"/>
            <w:vAlign w:val="bottom"/>
          </w:tcPr>
          <w:p>
            <w:pPr>
              <w:ind w:left="280"/>
              <w:spacing w:after="0"/>
              <w:rPr>
                <w:sz w:val="20"/>
                <w:szCs w:val="20"/>
                <w:color w:val="auto"/>
              </w:rPr>
            </w:pPr>
            <w:r>
              <w:rPr>
                <w:rFonts w:ascii="Arial" w:cs="Arial" w:eastAsia="Arial" w:hAnsi="Arial"/>
                <w:sz w:val="14"/>
                <w:szCs w:val="14"/>
                <w:color w:val="auto"/>
              </w:rPr>
              <w:t>Attract and retain qualified executives</w:t>
            </w:r>
          </w:p>
        </w:tc>
        <w:tc>
          <w:tcPr>
            <w:tcW w:w="0" w:type="dxa"/>
            <w:vAlign w:val="bottom"/>
          </w:tcPr>
          <w:p>
            <w:pPr>
              <w:spacing w:after="0"/>
              <w:rPr>
                <w:sz w:val="1"/>
                <w:szCs w:val="1"/>
                <w:color w:val="auto"/>
              </w:rPr>
            </w:pPr>
          </w:p>
        </w:tc>
      </w:tr>
      <w:tr>
        <w:trPr>
          <w:trHeight w:val="244"/>
        </w:trPr>
        <w:tc>
          <w:tcPr>
            <w:tcW w:w="1420" w:type="dxa"/>
            <w:vAlign w:val="bottom"/>
          </w:tcPr>
          <w:p>
            <w:pPr>
              <w:ind w:left="100"/>
              <w:spacing w:after="0"/>
              <w:rPr>
                <w:sz w:val="20"/>
                <w:szCs w:val="20"/>
                <w:color w:val="auto"/>
              </w:rPr>
            </w:pPr>
            <w:r>
              <w:rPr>
                <w:rFonts w:ascii="Arial" w:cs="Arial" w:eastAsia="Arial" w:hAnsi="Arial"/>
                <w:sz w:val="14"/>
                <w:szCs w:val="14"/>
                <w:b w:val="1"/>
                <w:bCs w:val="1"/>
                <w:color w:val="auto"/>
              </w:rPr>
              <w:t>Base Salary</w:t>
            </w:r>
          </w:p>
        </w:tc>
        <w:tc>
          <w:tcPr>
            <w:tcW w:w="1660" w:type="dxa"/>
            <w:vAlign w:val="bottom"/>
            <w:tcBorders>
              <w:right w:val="single" w:sz="8" w:color="7F7F7F"/>
            </w:tcBorders>
          </w:tcPr>
          <w:p>
            <w:pPr>
              <w:ind w:left="120"/>
              <w:spacing w:after="0"/>
              <w:rPr>
                <w:sz w:val="20"/>
                <w:szCs w:val="20"/>
                <w:color w:val="auto"/>
              </w:rPr>
            </w:pPr>
            <w:r>
              <w:rPr>
                <w:rFonts w:ascii="Arial" w:cs="Arial" w:eastAsia="Arial" w:hAnsi="Arial"/>
                <w:sz w:val="14"/>
                <w:szCs w:val="14"/>
                <w:b w:val="1"/>
                <w:bCs w:val="1"/>
                <w:color w:val="auto"/>
              </w:rPr>
              <w:t>Cash</w:t>
            </w:r>
          </w:p>
        </w:tc>
        <w:tc>
          <w:tcPr>
            <w:tcW w:w="3920" w:type="dxa"/>
            <w:vAlign w:val="bottom"/>
            <w:tcBorders>
              <w:right w:val="single" w:sz="8" w:color="7F7F7F"/>
            </w:tcBorders>
          </w:tcPr>
          <w:p>
            <w:pPr>
              <w:ind w:left="280"/>
              <w:spacing w:after="0"/>
              <w:rPr>
                <w:sz w:val="20"/>
                <w:szCs w:val="20"/>
                <w:color w:val="auto"/>
              </w:rPr>
            </w:pPr>
            <w:r>
              <w:rPr>
                <w:rFonts w:ascii="Arial" w:cs="Arial" w:eastAsia="Arial" w:hAnsi="Arial"/>
                <w:sz w:val="14"/>
                <w:szCs w:val="14"/>
                <w:color w:val="auto"/>
              </w:rPr>
              <w:t>n/a</w:t>
            </w:r>
          </w:p>
        </w:tc>
        <w:tc>
          <w:tcPr>
            <w:tcW w:w="3920" w:type="dxa"/>
            <w:vAlign w:val="bottom"/>
          </w:tcPr>
          <w:p>
            <w:pPr>
              <w:ind w:left="280"/>
              <w:spacing w:after="0"/>
              <w:rPr>
                <w:sz w:val="20"/>
                <w:szCs w:val="20"/>
                <w:color w:val="auto"/>
              </w:rPr>
            </w:pPr>
            <w:r>
              <w:rPr>
                <w:rFonts w:ascii="Arial" w:cs="Arial" w:eastAsia="Arial" w:hAnsi="Arial"/>
                <w:sz w:val="14"/>
                <w:szCs w:val="14"/>
                <w:color w:val="auto"/>
              </w:rPr>
              <w:t>Benchmarked to peer group median while also</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1660" w:type="dxa"/>
            <w:vAlign w:val="bottom"/>
            <w:tcBorders>
              <w:right w:val="single" w:sz="8" w:color="7F7F7F"/>
            </w:tcBorders>
          </w:tcPr>
          <w:p>
            <w:pPr>
              <w:spacing w:after="0"/>
              <w:rPr>
                <w:sz w:val="13"/>
                <w:szCs w:val="13"/>
                <w:color w:val="auto"/>
              </w:rPr>
            </w:pPr>
          </w:p>
        </w:tc>
        <w:tc>
          <w:tcPr>
            <w:tcW w:w="3920" w:type="dxa"/>
            <w:vAlign w:val="bottom"/>
            <w:tcBorders>
              <w:right w:val="single" w:sz="8" w:color="7F7F7F"/>
            </w:tcBorders>
          </w:tcPr>
          <w:p>
            <w:pPr>
              <w:spacing w:after="0"/>
              <w:rPr>
                <w:sz w:val="13"/>
                <w:szCs w:val="13"/>
                <w:color w:val="auto"/>
              </w:rPr>
            </w:pPr>
          </w:p>
        </w:tc>
        <w:tc>
          <w:tcPr>
            <w:tcW w:w="3920" w:type="dxa"/>
            <w:vAlign w:val="bottom"/>
          </w:tcPr>
          <w:p>
            <w:pPr>
              <w:ind w:left="440"/>
              <w:spacing w:after="0"/>
              <w:rPr>
                <w:sz w:val="20"/>
                <w:szCs w:val="20"/>
                <w:color w:val="auto"/>
              </w:rPr>
            </w:pPr>
            <w:r>
              <w:rPr>
                <w:rFonts w:ascii="Arial" w:cs="Arial" w:eastAsia="Arial" w:hAnsi="Arial"/>
                <w:sz w:val="14"/>
                <w:szCs w:val="14"/>
                <w:color w:val="auto"/>
              </w:rPr>
              <w:t>considering additional factors such as experience and</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1660" w:type="dxa"/>
            <w:vAlign w:val="bottom"/>
            <w:tcBorders>
              <w:right w:val="single" w:sz="8" w:color="7F7F7F"/>
            </w:tcBorders>
          </w:tcPr>
          <w:p>
            <w:pPr>
              <w:spacing w:after="0"/>
              <w:rPr>
                <w:sz w:val="14"/>
                <w:szCs w:val="14"/>
                <w:color w:val="auto"/>
              </w:rPr>
            </w:pPr>
          </w:p>
        </w:tc>
        <w:tc>
          <w:tcPr>
            <w:tcW w:w="3920" w:type="dxa"/>
            <w:vAlign w:val="bottom"/>
            <w:tcBorders>
              <w:right w:val="single" w:sz="8" w:color="7F7F7F"/>
            </w:tcBorders>
          </w:tcPr>
          <w:p>
            <w:pPr>
              <w:spacing w:after="0"/>
              <w:rPr>
                <w:sz w:val="14"/>
                <w:szCs w:val="14"/>
                <w:color w:val="auto"/>
              </w:rPr>
            </w:pPr>
          </w:p>
        </w:tc>
        <w:tc>
          <w:tcPr>
            <w:tcW w:w="3920" w:type="dxa"/>
            <w:vAlign w:val="bottom"/>
          </w:tcPr>
          <w:p>
            <w:pPr>
              <w:ind w:left="440"/>
              <w:spacing w:after="0"/>
              <w:rPr>
                <w:sz w:val="20"/>
                <w:szCs w:val="20"/>
                <w:color w:val="auto"/>
              </w:rPr>
            </w:pPr>
            <w:r>
              <w:rPr>
                <w:rFonts w:ascii="Arial" w:cs="Arial" w:eastAsia="Arial" w:hAnsi="Arial"/>
                <w:sz w:val="14"/>
                <w:szCs w:val="14"/>
                <w:color w:val="auto"/>
              </w:rPr>
              <w:t>performance in role</w:t>
            </w:r>
          </w:p>
        </w:tc>
        <w:tc>
          <w:tcPr>
            <w:tcW w:w="0" w:type="dxa"/>
            <w:vAlign w:val="bottom"/>
          </w:tcPr>
          <w:p>
            <w:pPr>
              <w:spacing w:after="0"/>
              <w:rPr>
                <w:sz w:val="1"/>
                <w:szCs w:val="1"/>
                <w:color w:val="auto"/>
              </w:rPr>
            </w:pPr>
          </w:p>
        </w:tc>
      </w:tr>
      <w:tr>
        <w:trPr>
          <w:trHeight w:val="118"/>
        </w:trPr>
        <w:tc>
          <w:tcPr>
            <w:tcW w:w="1420" w:type="dxa"/>
            <w:vAlign w:val="bottom"/>
            <w:tcBorders>
              <w:bottom w:val="single" w:sz="8" w:color="7F7F7F"/>
            </w:tcBorders>
          </w:tcPr>
          <w:p>
            <w:pPr>
              <w:spacing w:after="0"/>
              <w:rPr>
                <w:sz w:val="10"/>
                <w:szCs w:val="10"/>
                <w:color w:val="auto"/>
              </w:rPr>
            </w:pPr>
          </w:p>
        </w:tc>
        <w:tc>
          <w:tcPr>
            <w:tcW w:w="1660" w:type="dxa"/>
            <w:vAlign w:val="bottom"/>
            <w:tcBorders>
              <w:bottom w:val="single" w:sz="8" w:color="7F7F7F"/>
              <w:right w:val="single" w:sz="8" w:color="7F7F7F"/>
            </w:tcBorders>
          </w:tcPr>
          <w:p>
            <w:pPr>
              <w:spacing w:after="0"/>
              <w:rPr>
                <w:sz w:val="10"/>
                <w:szCs w:val="10"/>
                <w:color w:val="auto"/>
              </w:rPr>
            </w:pPr>
          </w:p>
        </w:tc>
        <w:tc>
          <w:tcPr>
            <w:tcW w:w="3920" w:type="dxa"/>
            <w:vAlign w:val="bottom"/>
            <w:tcBorders>
              <w:bottom w:val="single" w:sz="8" w:color="7F7F7F"/>
              <w:right w:val="single" w:sz="8" w:color="7F7F7F"/>
            </w:tcBorders>
          </w:tcPr>
          <w:p>
            <w:pPr>
              <w:spacing w:after="0"/>
              <w:rPr>
                <w:sz w:val="10"/>
                <w:szCs w:val="10"/>
                <w:color w:val="auto"/>
              </w:rPr>
            </w:pPr>
          </w:p>
        </w:tc>
        <w:tc>
          <w:tcPr>
            <w:tcW w:w="392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420" w:type="dxa"/>
            <w:vAlign w:val="bottom"/>
            <w:shd w:val="clear" w:color="auto" w:fill="EAEFED"/>
          </w:tcPr>
          <w:p>
            <w:pPr>
              <w:spacing w:after="0"/>
              <w:rPr>
                <w:sz w:val="14"/>
                <w:szCs w:val="14"/>
                <w:color w:val="auto"/>
              </w:rPr>
            </w:pPr>
          </w:p>
        </w:tc>
        <w:tc>
          <w:tcPr>
            <w:tcW w:w="1660" w:type="dxa"/>
            <w:vAlign w:val="bottom"/>
            <w:tcBorders>
              <w:right w:val="single" w:sz="8" w:color="7F7F7F"/>
            </w:tcBorders>
            <w:shd w:val="clear" w:color="auto" w:fill="EAEFED"/>
          </w:tcPr>
          <w:p>
            <w:pPr>
              <w:spacing w:after="0"/>
              <w:rPr>
                <w:sz w:val="14"/>
                <w:szCs w:val="14"/>
                <w:color w:val="auto"/>
              </w:rPr>
            </w:pPr>
          </w:p>
        </w:tc>
        <w:tc>
          <w:tcPr>
            <w:tcW w:w="3920" w:type="dxa"/>
            <w:vAlign w:val="bottom"/>
            <w:tcBorders>
              <w:right w:val="single" w:sz="8" w:color="7F7F7F"/>
            </w:tcBorders>
            <w:shd w:val="clear" w:color="auto" w:fill="EAEFED"/>
          </w:tcPr>
          <w:p>
            <w:pPr>
              <w:spacing w:after="0"/>
              <w:rPr>
                <w:sz w:val="14"/>
                <w:szCs w:val="14"/>
                <w:color w:val="auto"/>
              </w:rPr>
            </w:pPr>
          </w:p>
        </w:tc>
        <w:tc>
          <w:tcPr>
            <w:tcW w:w="3920" w:type="dxa"/>
            <w:vAlign w:val="bottom"/>
            <w:shd w:val="clear" w:color="auto" w:fill="EAEFED"/>
          </w:tcPr>
          <w:p>
            <w:pPr>
              <w:ind w:left="280"/>
              <w:spacing w:after="0"/>
              <w:rPr>
                <w:sz w:val="20"/>
                <w:szCs w:val="20"/>
                <w:color w:val="auto"/>
              </w:rPr>
            </w:pPr>
            <w:r>
              <w:rPr>
                <w:rFonts w:ascii="Arial" w:cs="Arial" w:eastAsia="Arial" w:hAnsi="Arial"/>
                <w:sz w:val="14"/>
                <w:szCs w:val="14"/>
                <w:color w:val="auto"/>
              </w:rPr>
              <w:t>Intended to drive profitability, growth, and progress</w:t>
            </w:r>
          </w:p>
        </w:tc>
        <w:tc>
          <w:tcPr>
            <w:tcW w:w="0" w:type="dxa"/>
            <w:vAlign w:val="bottom"/>
          </w:tcPr>
          <w:p>
            <w:pPr>
              <w:spacing w:after="0"/>
              <w:rPr>
                <w:sz w:val="1"/>
                <w:szCs w:val="1"/>
                <w:color w:val="auto"/>
              </w:rPr>
            </w:pPr>
          </w:p>
        </w:tc>
      </w:tr>
      <w:tr>
        <w:trPr>
          <w:trHeight w:val="174"/>
        </w:trPr>
        <w:tc>
          <w:tcPr>
            <w:tcW w:w="1420" w:type="dxa"/>
            <w:vAlign w:val="bottom"/>
            <w:shd w:val="clear" w:color="auto" w:fill="EAEFED"/>
          </w:tcPr>
          <w:p>
            <w:pPr>
              <w:spacing w:after="0"/>
              <w:rPr>
                <w:sz w:val="15"/>
                <w:szCs w:val="15"/>
                <w:color w:val="auto"/>
              </w:rPr>
            </w:pPr>
          </w:p>
        </w:tc>
        <w:tc>
          <w:tcPr>
            <w:tcW w:w="1660" w:type="dxa"/>
            <w:vAlign w:val="bottom"/>
            <w:tcBorders>
              <w:right w:val="single" w:sz="8" w:color="7F7F7F"/>
            </w:tcBorders>
            <w:shd w:val="clear" w:color="auto" w:fill="EAEFED"/>
          </w:tcPr>
          <w:p>
            <w:pPr>
              <w:spacing w:after="0"/>
              <w:rPr>
                <w:sz w:val="15"/>
                <w:szCs w:val="15"/>
                <w:color w:val="auto"/>
              </w:rPr>
            </w:pPr>
          </w:p>
        </w:tc>
        <w:tc>
          <w:tcPr>
            <w:tcW w:w="3920" w:type="dxa"/>
            <w:vAlign w:val="bottom"/>
            <w:tcBorders>
              <w:right w:val="single" w:sz="8" w:color="7F7F7F"/>
            </w:tcBorders>
            <w:vMerge w:val="restart"/>
            <w:shd w:val="clear" w:color="auto" w:fill="EAEFED"/>
          </w:tcPr>
          <w:p>
            <w:pPr>
              <w:ind w:left="280"/>
              <w:spacing w:after="0"/>
              <w:rPr>
                <w:sz w:val="20"/>
                <w:szCs w:val="20"/>
                <w:color w:val="auto"/>
              </w:rPr>
            </w:pPr>
            <w:r>
              <w:rPr>
                <w:rFonts w:ascii="Arial" w:cs="Arial" w:eastAsia="Arial" w:hAnsi="Arial"/>
                <w:sz w:val="14"/>
                <w:szCs w:val="14"/>
                <w:color w:val="auto"/>
              </w:rPr>
              <w:t>60% Financial Results:</w:t>
            </w:r>
          </w:p>
        </w:tc>
        <w:tc>
          <w:tcPr>
            <w:tcW w:w="3920" w:type="dxa"/>
            <w:vAlign w:val="bottom"/>
            <w:shd w:val="clear" w:color="auto" w:fill="EAEFED"/>
          </w:tcPr>
          <w:p>
            <w:pPr>
              <w:ind w:left="440"/>
              <w:spacing w:after="0"/>
              <w:rPr>
                <w:sz w:val="20"/>
                <w:szCs w:val="20"/>
                <w:color w:val="auto"/>
              </w:rPr>
            </w:pPr>
            <w:r>
              <w:rPr>
                <w:rFonts w:ascii="Arial" w:cs="Arial" w:eastAsia="Arial" w:hAnsi="Arial"/>
                <w:sz w:val="14"/>
                <w:szCs w:val="14"/>
                <w:color w:val="auto"/>
              </w:rPr>
              <w:t>against strategy</w:t>
            </w:r>
          </w:p>
        </w:tc>
        <w:tc>
          <w:tcPr>
            <w:tcW w:w="0" w:type="dxa"/>
            <w:vAlign w:val="bottom"/>
          </w:tcPr>
          <w:p>
            <w:pPr>
              <w:spacing w:after="0"/>
              <w:rPr>
                <w:sz w:val="1"/>
                <w:szCs w:val="1"/>
                <w:color w:val="auto"/>
              </w:rPr>
            </w:pPr>
          </w:p>
        </w:tc>
      </w:tr>
      <w:tr>
        <w:trPr>
          <w:trHeight w:val="94"/>
        </w:trPr>
        <w:tc>
          <w:tcPr>
            <w:tcW w:w="1420" w:type="dxa"/>
            <w:vAlign w:val="bottom"/>
            <w:shd w:val="clear" w:color="auto" w:fill="EAEFED"/>
          </w:tcPr>
          <w:p>
            <w:pPr>
              <w:spacing w:after="0"/>
              <w:rPr>
                <w:sz w:val="8"/>
                <w:szCs w:val="8"/>
                <w:color w:val="auto"/>
              </w:rPr>
            </w:pPr>
          </w:p>
        </w:tc>
        <w:tc>
          <w:tcPr>
            <w:tcW w:w="1660" w:type="dxa"/>
            <w:vAlign w:val="bottom"/>
            <w:tcBorders>
              <w:right w:val="single" w:sz="8" w:color="7F7F7F"/>
            </w:tcBorders>
            <w:shd w:val="clear" w:color="auto" w:fill="EAEFED"/>
          </w:tcPr>
          <w:p>
            <w:pPr>
              <w:spacing w:after="0"/>
              <w:rPr>
                <w:sz w:val="8"/>
                <w:szCs w:val="8"/>
                <w:color w:val="auto"/>
              </w:rPr>
            </w:pPr>
          </w:p>
        </w:tc>
        <w:tc>
          <w:tcPr>
            <w:tcW w:w="3920" w:type="dxa"/>
            <w:vAlign w:val="bottom"/>
            <w:tcBorders>
              <w:right w:val="single" w:sz="8" w:color="7F7F7F"/>
            </w:tcBorders>
            <w:vMerge w:val="continue"/>
            <w:shd w:val="clear" w:color="auto" w:fill="EAEFED"/>
          </w:tcPr>
          <w:p>
            <w:pPr>
              <w:spacing w:after="0"/>
              <w:rPr>
                <w:sz w:val="8"/>
                <w:szCs w:val="8"/>
                <w:color w:val="auto"/>
              </w:rPr>
            </w:pPr>
          </w:p>
        </w:tc>
        <w:tc>
          <w:tcPr>
            <w:tcW w:w="3920" w:type="dxa"/>
            <w:vAlign w:val="bottom"/>
            <w:vMerge w:val="restart"/>
            <w:shd w:val="clear" w:color="auto" w:fill="EAEFED"/>
          </w:tcPr>
          <w:p>
            <w:pPr>
              <w:ind w:left="280"/>
              <w:spacing w:after="0"/>
              <w:rPr>
                <w:sz w:val="20"/>
                <w:szCs w:val="20"/>
                <w:color w:val="auto"/>
              </w:rPr>
            </w:pPr>
            <w:r>
              <w:rPr>
                <w:rFonts w:ascii="Arial" w:cs="Arial" w:eastAsia="Arial" w:hAnsi="Arial"/>
                <w:sz w:val="14"/>
                <w:szCs w:val="14"/>
                <w:color w:val="auto"/>
              </w:rPr>
              <w:t>Individual objectives are focused on a limited and</w:t>
            </w:r>
          </w:p>
        </w:tc>
        <w:tc>
          <w:tcPr>
            <w:tcW w:w="0" w:type="dxa"/>
            <w:vAlign w:val="bottom"/>
          </w:tcPr>
          <w:p>
            <w:pPr>
              <w:spacing w:after="0"/>
              <w:rPr>
                <w:sz w:val="1"/>
                <w:szCs w:val="1"/>
                <w:color w:val="auto"/>
              </w:rPr>
            </w:pPr>
          </w:p>
        </w:tc>
      </w:tr>
      <w:tr>
        <w:trPr>
          <w:trHeight w:val="134"/>
        </w:trPr>
        <w:tc>
          <w:tcPr>
            <w:tcW w:w="1420" w:type="dxa"/>
            <w:vAlign w:val="bottom"/>
            <w:vMerge w:val="restart"/>
            <w:shd w:val="clear" w:color="auto" w:fill="EAEFED"/>
          </w:tcPr>
          <w:p>
            <w:pPr>
              <w:ind w:left="100"/>
              <w:spacing w:after="0"/>
              <w:rPr>
                <w:sz w:val="20"/>
                <w:szCs w:val="20"/>
                <w:color w:val="auto"/>
              </w:rPr>
            </w:pPr>
            <w:r>
              <w:rPr>
                <w:rFonts w:ascii="Arial" w:cs="Arial" w:eastAsia="Arial" w:hAnsi="Arial"/>
                <w:sz w:val="14"/>
                <w:szCs w:val="14"/>
                <w:b w:val="1"/>
                <w:bCs w:val="1"/>
                <w:color w:val="auto"/>
              </w:rPr>
              <w:t>Annual Incentive</w:t>
            </w:r>
          </w:p>
        </w:tc>
        <w:tc>
          <w:tcPr>
            <w:tcW w:w="1660" w:type="dxa"/>
            <w:vAlign w:val="bottom"/>
            <w:tcBorders>
              <w:right w:val="single" w:sz="8" w:color="7F7F7F"/>
            </w:tcBorders>
            <w:shd w:val="clear" w:color="auto" w:fill="EAEFED"/>
          </w:tcPr>
          <w:p>
            <w:pPr>
              <w:spacing w:after="0"/>
              <w:rPr>
                <w:sz w:val="11"/>
                <w:szCs w:val="11"/>
                <w:color w:val="auto"/>
              </w:rPr>
            </w:pPr>
          </w:p>
        </w:tc>
        <w:tc>
          <w:tcPr>
            <w:tcW w:w="3920" w:type="dxa"/>
            <w:vAlign w:val="bottom"/>
            <w:tcBorders>
              <w:right w:val="single" w:sz="8" w:color="7F7F7F"/>
            </w:tcBorders>
            <w:vMerge w:val="restart"/>
            <w:shd w:val="clear" w:color="auto" w:fill="EAEFED"/>
          </w:tcPr>
          <w:p>
            <w:pPr>
              <w:ind w:left="56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Adj. Earnings (100%)</w:t>
            </w:r>
          </w:p>
        </w:tc>
        <w:tc>
          <w:tcPr>
            <w:tcW w:w="3920" w:type="dxa"/>
            <w:vAlign w:val="bottom"/>
            <w:vMerge w:val="continue"/>
            <w:shd w:val="clear" w:color="auto" w:fill="EAEFED"/>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420" w:type="dxa"/>
            <w:vAlign w:val="bottom"/>
            <w:vMerge w:val="continue"/>
            <w:shd w:val="clear" w:color="auto" w:fill="EAEFED"/>
          </w:tcPr>
          <w:p>
            <w:pPr>
              <w:spacing w:after="0"/>
              <w:rPr>
                <w:sz w:val="9"/>
                <w:szCs w:val="9"/>
                <w:color w:val="auto"/>
              </w:rPr>
            </w:pPr>
          </w:p>
        </w:tc>
        <w:tc>
          <w:tcPr>
            <w:tcW w:w="1660" w:type="dxa"/>
            <w:vAlign w:val="bottom"/>
            <w:tcBorders>
              <w:right w:val="single" w:sz="8" w:color="7F7F7F"/>
            </w:tcBorders>
            <w:vMerge w:val="restart"/>
            <w:shd w:val="clear" w:color="auto" w:fill="EAEFED"/>
          </w:tcPr>
          <w:p>
            <w:pPr>
              <w:ind w:left="120"/>
              <w:spacing w:after="0" w:line="137" w:lineRule="exact"/>
              <w:rPr>
                <w:sz w:val="20"/>
                <w:szCs w:val="20"/>
                <w:color w:val="auto"/>
              </w:rPr>
            </w:pPr>
            <w:r>
              <w:rPr>
                <w:rFonts w:ascii="Arial" w:cs="Arial" w:eastAsia="Arial" w:hAnsi="Arial"/>
                <w:sz w:val="14"/>
                <w:szCs w:val="14"/>
                <w:b w:val="1"/>
                <w:bCs w:val="1"/>
                <w:color w:val="auto"/>
              </w:rPr>
              <w:t>Cash</w:t>
            </w:r>
          </w:p>
        </w:tc>
        <w:tc>
          <w:tcPr>
            <w:tcW w:w="3920" w:type="dxa"/>
            <w:vAlign w:val="bottom"/>
            <w:tcBorders>
              <w:right w:val="single" w:sz="8" w:color="7F7F7F"/>
            </w:tcBorders>
            <w:vMerge w:val="continue"/>
            <w:shd w:val="clear" w:color="auto" w:fill="EAEFED"/>
          </w:tcPr>
          <w:p>
            <w:pPr>
              <w:spacing w:after="0"/>
              <w:rPr>
                <w:sz w:val="9"/>
                <w:szCs w:val="9"/>
                <w:color w:val="auto"/>
              </w:rPr>
            </w:pPr>
          </w:p>
        </w:tc>
        <w:tc>
          <w:tcPr>
            <w:tcW w:w="3920" w:type="dxa"/>
            <w:vAlign w:val="bottom"/>
            <w:vMerge w:val="restart"/>
            <w:shd w:val="clear" w:color="auto" w:fill="EAEFED"/>
          </w:tcPr>
          <w:p>
            <w:pPr>
              <w:ind w:left="440"/>
              <w:spacing w:after="0" w:line="137" w:lineRule="exact"/>
              <w:rPr>
                <w:sz w:val="20"/>
                <w:szCs w:val="20"/>
                <w:color w:val="auto"/>
              </w:rPr>
            </w:pPr>
            <w:r>
              <w:rPr>
                <w:rFonts w:ascii="Arial" w:cs="Arial" w:eastAsia="Arial" w:hAnsi="Arial"/>
                <w:sz w:val="14"/>
                <w:szCs w:val="14"/>
                <w:color w:val="auto"/>
              </w:rPr>
              <w:t>measurable set of goals to benefit shareholders over</w:t>
            </w:r>
          </w:p>
        </w:tc>
        <w:tc>
          <w:tcPr>
            <w:tcW w:w="0" w:type="dxa"/>
            <w:vAlign w:val="bottom"/>
          </w:tcPr>
          <w:p>
            <w:pPr>
              <w:spacing w:after="0"/>
              <w:rPr>
                <w:sz w:val="1"/>
                <w:szCs w:val="1"/>
                <w:color w:val="auto"/>
              </w:rPr>
            </w:pPr>
          </w:p>
        </w:tc>
      </w:tr>
      <w:tr>
        <w:trPr>
          <w:trHeight w:val="30"/>
        </w:trPr>
        <w:tc>
          <w:tcPr>
            <w:tcW w:w="1420" w:type="dxa"/>
            <w:vAlign w:val="bottom"/>
            <w:vMerge w:val="continue"/>
            <w:shd w:val="clear" w:color="auto" w:fill="EAEFED"/>
          </w:tcPr>
          <w:p>
            <w:pPr>
              <w:spacing w:after="0"/>
              <w:rPr>
                <w:sz w:val="2"/>
                <w:szCs w:val="2"/>
                <w:color w:val="auto"/>
              </w:rPr>
            </w:pPr>
          </w:p>
        </w:tc>
        <w:tc>
          <w:tcPr>
            <w:tcW w:w="1660" w:type="dxa"/>
            <w:vAlign w:val="bottom"/>
            <w:tcBorders>
              <w:right w:val="single" w:sz="8" w:color="7F7F7F"/>
            </w:tcBorders>
            <w:vMerge w:val="continue"/>
            <w:shd w:val="clear" w:color="auto" w:fill="EAEFED"/>
          </w:tcPr>
          <w:p>
            <w:pPr>
              <w:spacing w:after="0"/>
              <w:rPr>
                <w:sz w:val="2"/>
                <w:szCs w:val="2"/>
                <w:color w:val="auto"/>
              </w:rPr>
            </w:pPr>
          </w:p>
        </w:tc>
        <w:tc>
          <w:tcPr>
            <w:tcW w:w="3920" w:type="dxa"/>
            <w:vAlign w:val="bottom"/>
            <w:tcBorders>
              <w:right w:val="single" w:sz="8" w:color="7F7F7F"/>
            </w:tcBorders>
            <w:shd w:val="clear" w:color="auto" w:fill="EAEFED"/>
          </w:tcPr>
          <w:p>
            <w:pPr>
              <w:spacing w:after="0"/>
              <w:rPr>
                <w:sz w:val="2"/>
                <w:szCs w:val="2"/>
                <w:color w:val="auto"/>
              </w:rPr>
            </w:pPr>
          </w:p>
        </w:tc>
        <w:tc>
          <w:tcPr>
            <w:tcW w:w="3920" w:type="dxa"/>
            <w:vAlign w:val="bottom"/>
            <w:vMerge w:val="continue"/>
            <w:shd w:val="clear" w:color="auto" w:fill="EAEFED"/>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420" w:type="dxa"/>
            <w:vAlign w:val="bottom"/>
            <w:shd w:val="clear" w:color="auto" w:fill="EAEFED"/>
          </w:tcPr>
          <w:p>
            <w:pPr>
              <w:ind w:left="100"/>
              <w:spacing w:after="0"/>
              <w:rPr>
                <w:sz w:val="20"/>
                <w:szCs w:val="20"/>
                <w:color w:val="auto"/>
              </w:rPr>
            </w:pPr>
            <w:r>
              <w:rPr>
                <w:rFonts w:ascii="Arial" w:cs="Arial" w:eastAsia="Arial" w:hAnsi="Arial"/>
                <w:sz w:val="14"/>
                <w:szCs w:val="14"/>
                <w:b w:val="1"/>
                <w:bCs w:val="1"/>
                <w:color w:val="auto"/>
              </w:rPr>
              <w:t>Plan (AIP)</w:t>
            </w:r>
          </w:p>
        </w:tc>
        <w:tc>
          <w:tcPr>
            <w:tcW w:w="1660" w:type="dxa"/>
            <w:vAlign w:val="bottom"/>
            <w:tcBorders>
              <w:right w:val="single" w:sz="8" w:color="7F7F7F"/>
            </w:tcBorders>
            <w:shd w:val="clear" w:color="auto" w:fill="EAEFED"/>
          </w:tcPr>
          <w:p>
            <w:pPr>
              <w:spacing w:after="0"/>
              <w:rPr>
                <w:sz w:val="17"/>
                <w:szCs w:val="17"/>
                <w:color w:val="auto"/>
              </w:rPr>
            </w:pPr>
          </w:p>
        </w:tc>
        <w:tc>
          <w:tcPr>
            <w:tcW w:w="3920" w:type="dxa"/>
            <w:vAlign w:val="bottom"/>
            <w:tcBorders>
              <w:right w:val="single" w:sz="8" w:color="7F7F7F"/>
            </w:tcBorders>
            <w:shd w:val="clear" w:color="auto" w:fill="EAEFED"/>
          </w:tcPr>
          <w:p>
            <w:pPr>
              <w:ind w:left="280"/>
              <w:spacing w:after="0"/>
              <w:rPr>
                <w:sz w:val="20"/>
                <w:szCs w:val="20"/>
                <w:color w:val="auto"/>
              </w:rPr>
            </w:pPr>
            <w:r>
              <w:rPr>
                <w:rFonts w:ascii="Arial" w:cs="Arial" w:eastAsia="Arial" w:hAnsi="Arial"/>
                <w:sz w:val="14"/>
                <w:szCs w:val="14"/>
                <w:color w:val="auto"/>
              </w:rPr>
              <w:t>40% Individual Strategic Objectives</w:t>
            </w:r>
          </w:p>
        </w:tc>
        <w:tc>
          <w:tcPr>
            <w:tcW w:w="3920" w:type="dxa"/>
            <w:vAlign w:val="bottom"/>
            <w:shd w:val="clear" w:color="auto" w:fill="EAEFED"/>
          </w:tcPr>
          <w:p>
            <w:pPr>
              <w:ind w:left="440"/>
              <w:spacing w:after="0"/>
              <w:rPr>
                <w:sz w:val="20"/>
                <w:szCs w:val="20"/>
                <w:color w:val="auto"/>
              </w:rPr>
            </w:pPr>
            <w:r>
              <w:rPr>
                <w:rFonts w:ascii="Arial" w:cs="Arial" w:eastAsia="Arial" w:hAnsi="Arial"/>
                <w:sz w:val="14"/>
                <w:szCs w:val="14"/>
                <w:color w:val="auto"/>
              </w:rPr>
              <w:t>the long-term</w:t>
            </w:r>
          </w:p>
        </w:tc>
        <w:tc>
          <w:tcPr>
            <w:tcW w:w="0" w:type="dxa"/>
            <w:vAlign w:val="bottom"/>
          </w:tcPr>
          <w:p>
            <w:pPr>
              <w:spacing w:after="0"/>
              <w:rPr>
                <w:sz w:val="1"/>
                <w:szCs w:val="1"/>
                <w:color w:val="auto"/>
              </w:rPr>
            </w:pPr>
          </w:p>
        </w:tc>
      </w:tr>
      <w:tr>
        <w:trPr>
          <w:trHeight w:val="230"/>
        </w:trPr>
        <w:tc>
          <w:tcPr>
            <w:tcW w:w="1420" w:type="dxa"/>
            <w:vAlign w:val="bottom"/>
            <w:shd w:val="clear" w:color="auto" w:fill="EAEFED"/>
          </w:tcPr>
          <w:p>
            <w:pPr>
              <w:spacing w:after="0"/>
              <w:rPr>
                <w:sz w:val="20"/>
                <w:szCs w:val="20"/>
                <w:color w:val="auto"/>
              </w:rPr>
            </w:pPr>
          </w:p>
        </w:tc>
        <w:tc>
          <w:tcPr>
            <w:tcW w:w="1660" w:type="dxa"/>
            <w:vAlign w:val="bottom"/>
            <w:tcBorders>
              <w:right w:val="single" w:sz="8" w:color="7F7F7F"/>
            </w:tcBorders>
            <w:shd w:val="clear" w:color="auto" w:fill="EAEFED"/>
          </w:tcPr>
          <w:p>
            <w:pPr>
              <w:spacing w:after="0"/>
              <w:rPr>
                <w:sz w:val="20"/>
                <w:szCs w:val="20"/>
                <w:color w:val="auto"/>
              </w:rPr>
            </w:pPr>
          </w:p>
        </w:tc>
        <w:tc>
          <w:tcPr>
            <w:tcW w:w="3920" w:type="dxa"/>
            <w:vAlign w:val="bottom"/>
            <w:tcBorders>
              <w:right w:val="single" w:sz="8" w:color="7F7F7F"/>
            </w:tcBorders>
            <w:shd w:val="clear" w:color="auto" w:fill="EAEFED"/>
          </w:tcPr>
          <w:p>
            <w:pPr>
              <w:ind w:left="56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ESG oversight included in CEO and select NEO</w:t>
            </w:r>
          </w:p>
        </w:tc>
        <w:tc>
          <w:tcPr>
            <w:tcW w:w="3920" w:type="dxa"/>
            <w:vAlign w:val="bottom"/>
            <w:shd w:val="clear" w:color="auto" w:fill="EAEFED"/>
          </w:tcPr>
          <w:p>
            <w:pPr>
              <w:ind w:left="280"/>
              <w:spacing w:after="0"/>
              <w:rPr>
                <w:sz w:val="20"/>
                <w:szCs w:val="20"/>
                <w:color w:val="auto"/>
              </w:rPr>
            </w:pPr>
            <w:r>
              <w:rPr>
                <w:rFonts w:ascii="Arial" w:cs="Arial" w:eastAsia="Arial" w:hAnsi="Arial"/>
                <w:sz w:val="14"/>
                <w:szCs w:val="14"/>
                <w:color w:val="auto"/>
              </w:rPr>
              <w:t>Including ESG oversight in objectives establishes</w:t>
            </w:r>
          </w:p>
        </w:tc>
        <w:tc>
          <w:tcPr>
            <w:tcW w:w="0" w:type="dxa"/>
            <w:vAlign w:val="bottom"/>
          </w:tcPr>
          <w:p>
            <w:pPr>
              <w:spacing w:after="0"/>
              <w:rPr>
                <w:sz w:val="1"/>
                <w:szCs w:val="1"/>
                <w:color w:val="auto"/>
              </w:rPr>
            </w:pPr>
          </w:p>
        </w:tc>
      </w:tr>
      <w:tr>
        <w:trPr>
          <w:trHeight w:val="171"/>
        </w:trPr>
        <w:tc>
          <w:tcPr>
            <w:tcW w:w="1420" w:type="dxa"/>
            <w:vAlign w:val="bottom"/>
            <w:shd w:val="clear" w:color="auto" w:fill="EAEFED"/>
          </w:tcPr>
          <w:p>
            <w:pPr>
              <w:spacing w:after="0"/>
              <w:rPr>
                <w:sz w:val="14"/>
                <w:szCs w:val="14"/>
                <w:color w:val="auto"/>
              </w:rPr>
            </w:pPr>
          </w:p>
        </w:tc>
        <w:tc>
          <w:tcPr>
            <w:tcW w:w="1660" w:type="dxa"/>
            <w:vAlign w:val="bottom"/>
            <w:tcBorders>
              <w:right w:val="single" w:sz="8" w:color="7F7F7F"/>
            </w:tcBorders>
            <w:shd w:val="clear" w:color="auto" w:fill="EAEFED"/>
          </w:tcPr>
          <w:p>
            <w:pPr>
              <w:spacing w:after="0"/>
              <w:rPr>
                <w:sz w:val="14"/>
                <w:szCs w:val="14"/>
                <w:color w:val="auto"/>
              </w:rPr>
            </w:pPr>
          </w:p>
        </w:tc>
        <w:tc>
          <w:tcPr>
            <w:tcW w:w="3920" w:type="dxa"/>
            <w:vAlign w:val="bottom"/>
            <w:tcBorders>
              <w:right w:val="single" w:sz="8" w:color="7F7F7F"/>
            </w:tcBorders>
            <w:shd w:val="clear" w:color="auto" w:fill="EAEFED"/>
          </w:tcPr>
          <w:p>
            <w:pPr>
              <w:ind w:left="700"/>
              <w:spacing w:after="0"/>
              <w:rPr>
                <w:sz w:val="20"/>
                <w:szCs w:val="20"/>
                <w:color w:val="auto"/>
              </w:rPr>
            </w:pPr>
            <w:r>
              <w:rPr>
                <w:rFonts w:ascii="Arial" w:cs="Arial" w:eastAsia="Arial" w:hAnsi="Arial"/>
                <w:sz w:val="14"/>
                <w:szCs w:val="14"/>
                <w:color w:val="auto"/>
              </w:rPr>
              <w:t>individual strategic objectives</w:t>
            </w:r>
          </w:p>
        </w:tc>
        <w:tc>
          <w:tcPr>
            <w:tcW w:w="3920" w:type="dxa"/>
            <w:vAlign w:val="bottom"/>
            <w:shd w:val="clear" w:color="auto" w:fill="EAEFED"/>
          </w:tcPr>
          <w:p>
            <w:pPr>
              <w:ind w:left="440"/>
              <w:spacing w:after="0"/>
              <w:rPr>
                <w:sz w:val="20"/>
                <w:szCs w:val="20"/>
                <w:color w:val="auto"/>
              </w:rPr>
            </w:pPr>
            <w:r>
              <w:rPr>
                <w:rFonts w:ascii="Arial" w:cs="Arial" w:eastAsia="Arial" w:hAnsi="Arial"/>
                <w:sz w:val="14"/>
                <w:szCs w:val="14"/>
                <w:color w:val="auto"/>
              </w:rPr>
              <w:t>clear tone at the top regarding the importance of ESG</w:t>
            </w:r>
          </w:p>
        </w:tc>
        <w:tc>
          <w:tcPr>
            <w:tcW w:w="0" w:type="dxa"/>
            <w:vAlign w:val="bottom"/>
          </w:tcPr>
          <w:p>
            <w:pPr>
              <w:spacing w:after="0"/>
              <w:rPr>
                <w:sz w:val="1"/>
                <w:szCs w:val="1"/>
                <w:color w:val="auto"/>
              </w:rPr>
            </w:pPr>
          </w:p>
        </w:tc>
      </w:tr>
      <w:tr>
        <w:trPr>
          <w:trHeight w:val="118"/>
        </w:trPr>
        <w:tc>
          <w:tcPr>
            <w:tcW w:w="1420" w:type="dxa"/>
            <w:vAlign w:val="bottom"/>
            <w:tcBorders>
              <w:bottom w:val="single" w:sz="8" w:color="7F7F7F"/>
            </w:tcBorders>
            <w:shd w:val="clear" w:color="auto" w:fill="EAEFED"/>
          </w:tcPr>
          <w:p>
            <w:pPr>
              <w:spacing w:after="0"/>
              <w:rPr>
                <w:sz w:val="10"/>
                <w:szCs w:val="10"/>
                <w:color w:val="auto"/>
              </w:rPr>
            </w:pPr>
          </w:p>
        </w:tc>
        <w:tc>
          <w:tcPr>
            <w:tcW w:w="1660" w:type="dxa"/>
            <w:vAlign w:val="bottom"/>
            <w:tcBorders>
              <w:bottom w:val="single" w:sz="8" w:color="7F7F7F"/>
              <w:right w:val="single" w:sz="8" w:color="7F7F7F"/>
            </w:tcBorders>
            <w:shd w:val="clear" w:color="auto" w:fill="EAEFED"/>
          </w:tcPr>
          <w:p>
            <w:pPr>
              <w:spacing w:after="0"/>
              <w:rPr>
                <w:sz w:val="10"/>
                <w:szCs w:val="10"/>
                <w:color w:val="auto"/>
              </w:rPr>
            </w:pPr>
          </w:p>
        </w:tc>
        <w:tc>
          <w:tcPr>
            <w:tcW w:w="3920" w:type="dxa"/>
            <w:vAlign w:val="bottom"/>
            <w:tcBorders>
              <w:bottom w:val="single" w:sz="8" w:color="7F7F7F"/>
              <w:right w:val="single" w:sz="8" w:color="7F7F7F"/>
            </w:tcBorders>
            <w:shd w:val="clear" w:color="auto" w:fill="EAEFED"/>
          </w:tcPr>
          <w:p>
            <w:pPr>
              <w:spacing w:after="0"/>
              <w:rPr>
                <w:sz w:val="10"/>
                <w:szCs w:val="10"/>
                <w:color w:val="auto"/>
              </w:rPr>
            </w:pPr>
          </w:p>
        </w:tc>
        <w:tc>
          <w:tcPr>
            <w:tcW w:w="3920" w:type="dxa"/>
            <w:vAlign w:val="bottom"/>
            <w:tcBorders>
              <w:bottom w:val="single" w:sz="8" w:color="7F7F7F"/>
            </w:tcBorders>
            <w:shd w:val="clear" w:color="auto" w:fill="EAEFED"/>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18"/>
                <w:szCs w:val="18"/>
                <w:color w:val="auto"/>
              </w:rPr>
            </w:pPr>
          </w:p>
        </w:tc>
        <w:tc>
          <w:tcPr>
            <w:tcW w:w="1660" w:type="dxa"/>
            <w:vAlign w:val="bottom"/>
            <w:tcBorders>
              <w:right w:val="single" w:sz="8" w:color="7F7F7F"/>
            </w:tcBorders>
          </w:tcPr>
          <w:p>
            <w:pPr>
              <w:spacing w:after="0"/>
              <w:rPr>
                <w:sz w:val="18"/>
                <w:szCs w:val="18"/>
                <w:color w:val="auto"/>
              </w:rPr>
            </w:pPr>
          </w:p>
        </w:tc>
        <w:tc>
          <w:tcPr>
            <w:tcW w:w="3920" w:type="dxa"/>
            <w:vAlign w:val="bottom"/>
            <w:tcBorders>
              <w:right w:val="single" w:sz="8" w:color="7F7F7F"/>
            </w:tcBorders>
            <w:vMerge w:val="restart"/>
          </w:tcPr>
          <w:p>
            <w:pPr>
              <w:ind w:left="280"/>
              <w:spacing w:after="0"/>
              <w:rPr>
                <w:sz w:val="20"/>
                <w:szCs w:val="20"/>
                <w:color w:val="auto"/>
              </w:rPr>
            </w:pPr>
            <w:r>
              <w:rPr>
                <w:rFonts w:ascii="Arial" w:cs="Arial" w:eastAsia="Arial" w:hAnsi="Arial"/>
                <w:sz w:val="14"/>
                <w:szCs w:val="14"/>
                <w:color w:val="auto"/>
              </w:rPr>
              <w:t>40% LTIP weighting</w:t>
            </w:r>
          </w:p>
        </w:tc>
        <w:tc>
          <w:tcPr>
            <w:tcW w:w="3920" w:type="dxa"/>
            <w:vAlign w:val="bottom"/>
          </w:tcPr>
          <w:p>
            <w:pPr>
              <w:ind w:left="280"/>
              <w:spacing w:after="0"/>
              <w:rPr>
                <w:sz w:val="20"/>
                <w:szCs w:val="20"/>
                <w:color w:val="auto"/>
              </w:rPr>
            </w:pPr>
            <w:r>
              <w:rPr>
                <w:rFonts w:ascii="Arial" w:cs="Arial" w:eastAsia="Arial" w:hAnsi="Arial"/>
                <w:sz w:val="14"/>
                <w:szCs w:val="14"/>
                <w:color w:val="auto"/>
              </w:rPr>
              <w:t>Focus executives on shareholder value creation</w:t>
            </w:r>
          </w:p>
        </w:tc>
        <w:tc>
          <w:tcPr>
            <w:tcW w:w="0" w:type="dxa"/>
            <w:vAlign w:val="bottom"/>
          </w:tcPr>
          <w:p>
            <w:pPr>
              <w:spacing w:after="0"/>
              <w:rPr>
                <w:sz w:val="1"/>
                <w:szCs w:val="1"/>
                <w:color w:val="auto"/>
              </w:rPr>
            </w:pPr>
          </w:p>
        </w:tc>
      </w:tr>
      <w:tr>
        <w:trPr>
          <w:trHeight w:val="80"/>
        </w:trPr>
        <w:tc>
          <w:tcPr>
            <w:tcW w:w="1420" w:type="dxa"/>
            <w:vAlign w:val="bottom"/>
          </w:tcPr>
          <w:p>
            <w:pPr>
              <w:spacing w:after="0"/>
              <w:rPr>
                <w:sz w:val="6"/>
                <w:szCs w:val="6"/>
                <w:color w:val="auto"/>
              </w:rPr>
            </w:pPr>
          </w:p>
        </w:tc>
        <w:tc>
          <w:tcPr>
            <w:tcW w:w="1660" w:type="dxa"/>
            <w:vAlign w:val="bottom"/>
            <w:tcBorders>
              <w:right w:val="single" w:sz="8" w:color="7F7F7F"/>
            </w:tcBorders>
          </w:tcPr>
          <w:p>
            <w:pPr>
              <w:spacing w:after="0"/>
              <w:rPr>
                <w:sz w:val="6"/>
                <w:szCs w:val="6"/>
                <w:color w:val="auto"/>
              </w:rPr>
            </w:pPr>
          </w:p>
        </w:tc>
        <w:tc>
          <w:tcPr>
            <w:tcW w:w="3920" w:type="dxa"/>
            <w:vAlign w:val="bottom"/>
            <w:tcBorders>
              <w:right w:val="single" w:sz="8" w:color="7F7F7F"/>
            </w:tcBorders>
            <w:vMerge w:val="continue"/>
          </w:tcPr>
          <w:p>
            <w:pPr>
              <w:spacing w:after="0"/>
              <w:rPr>
                <w:sz w:val="6"/>
                <w:szCs w:val="6"/>
                <w:color w:val="auto"/>
              </w:rPr>
            </w:pPr>
          </w:p>
        </w:tc>
        <w:tc>
          <w:tcPr>
            <w:tcW w:w="3920" w:type="dxa"/>
            <w:vAlign w:val="bottom"/>
            <w:vMerge w:val="restart"/>
          </w:tcPr>
          <w:p>
            <w:pPr>
              <w:ind w:left="280"/>
              <w:spacing w:after="0"/>
              <w:rPr>
                <w:sz w:val="20"/>
                <w:szCs w:val="20"/>
                <w:color w:val="auto"/>
              </w:rPr>
            </w:pPr>
            <w:r>
              <w:rPr>
                <w:rFonts w:ascii="Arial" w:cs="Arial" w:eastAsia="Arial" w:hAnsi="Arial"/>
                <w:sz w:val="14"/>
                <w:szCs w:val="14"/>
                <w:color w:val="auto"/>
              </w:rPr>
              <w:t>Relative TSR closely aligns our executive-level</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166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4"/>
                <w:szCs w:val="14"/>
                <w:b w:val="1"/>
                <w:bCs w:val="1"/>
                <w:color w:val="auto"/>
              </w:rPr>
              <w:t>Performance Shares</w:t>
            </w:r>
          </w:p>
        </w:tc>
        <w:tc>
          <w:tcPr>
            <w:tcW w:w="3920" w:type="dxa"/>
            <w:vAlign w:val="bottom"/>
            <w:tcBorders>
              <w:right w:val="single" w:sz="8" w:color="7F7F7F"/>
            </w:tcBorders>
            <w:vMerge w:val="restart"/>
          </w:tcPr>
          <w:p>
            <w:pPr>
              <w:ind w:left="280"/>
              <w:spacing w:after="0"/>
              <w:rPr>
                <w:sz w:val="20"/>
                <w:szCs w:val="20"/>
                <w:color w:val="auto"/>
              </w:rPr>
            </w:pPr>
            <w:r>
              <w:rPr>
                <w:rFonts w:ascii="Arial" w:cs="Arial" w:eastAsia="Arial" w:hAnsi="Arial"/>
                <w:sz w:val="14"/>
                <w:szCs w:val="14"/>
                <w:color w:val="auto"/>
              </w:rPr>
              <w:t>Performance Criteria: 3-Year relative TSR with the</w:t>
            </w:r>
          </w:p>
        </w:tc>
        <w:tc>
          <w:tcPr>
            <w:tcW w:w="3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420" w:type="dxa"/>
            <w:vAlign w:val="bottom"/>
          </w:tcPr>
          <w:p>
            <w:pPr>
              <w:spacing w:after="0"/>
              <w:rPr>
                <w:sz w:val="7"/>
                <w:szCs w:val="7"/>
                <w:color w:val="auto"/>
              </w:rPr>
            </w:pPr>
          </w:p>
        </w:tc>
        <w:tc>
          <w:tcPr>
            <w:tcW w:w="1660" w:type="dxa"/>
            <w:vAlign w:val="bottom"/>
            <w:tcBorders>
              <w:right w:val="single" w:sz="8" w:color="7F7F7F"/>
            </w:tcBorders>
            <w:vMerge w:val="continue"/>
          </w:tcPr>
          <w:p>
            <w:pPr>
              <w:spacing w:after="0"/>
              <w:rPr>
                <w:sz w:val="7"/>
                <w:szCs w:val="7"/>
                <w:color w:val="auto"/>
              </w:rPr>
            </w:pPr>
          </w:p>
        </w:tc>
        <w:tc>
          <w:tcPr>
            <w:tcW w:w="3920" w:type="dxa"/>
            <w:vAlign w:val="bottom"/>
            <w:tcBorders>
              <w:right w:val="single" w:sz="8" w:color="7F7F7F"/>
            </w:tcBorders>
            <w:vMerge w:val="continue"/>
          </w:tcPr>
          <w:p>
            <w:pPr>
              <w:spacing w:after="0"/>
              <w:rPr>
                <w:sz w:val="7"/>
                <w:szCs w:val="7"/>
                <w:color w:val="auto"/>
              </w:rPr>
            </w:pPr>
          </w:p>
        </w:tc>
        <w:tc>
          <w:tcPr>
            <w:tcW w:w="3920" w:type="dxa"/>
            <w:vAlign w:val="bottom"/>
            <w:vMerge w:val="restart"/>
          </w:tcPr>
          <w:p>
            <w:pPr>
              <w:ind w:left="440"/>
              <w:spacing w:after="0"/>
              <w:rPr>
                <w:sz w:val="20"/>
                <w:szCs w:val="20"/>
                <w:color w:val="auto"/>
              </w:rPr>
            </w:pPr>
            <w:r>
              <w:rPr>
                <w:rFonts w:ascii="Arial" w:cs="Arial" w:eastAsia="Arial" w:hAnsi="Arial"/>
                <w:sz w:val="14"/>
                <w:szCs w:val="14"/>
                <w:color w:val="auto"/>
              </w:rPr>
              <w:t>measurement system with the experience of</w:t>
            </w:r>
          </w:p>
        </w:tc>
        <w:tc>
          <w:tcPr>
            <w:tcW w:w="0" w:type="dxa"/>
            <w:vAlign w:val="bottom"/>
          </w:tcPr>
          <w:p>
            <w:pPr>
              <w:spacing w:after="0"/>
              <w:rPr>
                <w:sz w:val="1"/>
                <w:szCs w:val="1"/>
                <w:color w:val="auto"/>
              </w:rPr>
            </w:pPr>
          </w:p>
        </w:tc>
      </w:tr>
      <w:tr>
        <w:trPr>
          <w:trHeight w:val="80"/>
        </w:trPr>
        <w:tc>
          <w:tcPr>
            <w:tcW w:w="1420" w:type="dxa"/>
            <w:vAlign w:val="bottom"/>
          </w:tcPr>
          <w:p>
            <w:pPr>
              <w:spacing w:after="0"/>
              <w:rPr>
                <w:sz w:val="6"/>
                <w:szCs w:val="6"/>
                <w:color w:val="auto"/>
              </w:rPr>
            </w:pPr>
          </w:p>
        </w:tc>
        <w:tc>
          <w:tcPr>
            <w:tcW w:w="1660" w:type="dxa"/>
            <w:vAlign w:val="bottom"/>
            <w:tcBorders>
              <w:right w:val="single" w:sz="8" w:color="7F7F7F"/>
            </w:tcBorders>
          </w:tcPr>
          <w:p>
            <w:pPr>
              <w:spacing w:after="0"/>
              <w:rPr>
                <w:sz w:val="6"/>
                <w:szCs w:val="6"/>
                <w:color w:val="auto"/>
              </w:rPr>
            </w:pPr>
          </w:p>
        </w:tc>
        <w:tc>
          <w:tcPr>
            <w:tcW w:w="3920" w:type="dxa"/>
            <w:vAlign w:val="bottom"/>
            <w:tcBorders>
              <w:right w:val="single" w:sz="8" w:color="7F7F7F"/>
            </w:tcBorders>
            <w:vMerge w:val="restart"/>
          </w:tcPr>
          <w:p>
            <w:pPr>
              <w:ind w:left="420"/>
              <w:spacing w:after="0"/>
              <w:rPr>
                <w:sz w:val="20"/>
                <w:szCs w:val="20"/>
                <w:color w:val="auto"/>
              </w:rPr>
            </w:pPr>
            <w:r>
              <w:rPr>
                <w:rFonts w:ascii="Arial" w:cs="Arial" w:eastAsia="Arial" w:hAnsi="Arial"/>
                <w:sz w:val="14"/>
                <w:szCs w:val="14"/>
                <w:color w:val="auto"/>
              </w:rPr>
              <w:t>S&amp;P 500 Industrials index companies as the</w:t>
            </w:r>
          </w:p>
        </w:tc>
        <w:tc>
          <w:tcPr>
            <w:tcW w:w="3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420" w:type="dxa"/>
            <w:vAlign w:val="bottom"/>
          </w:tcPr>
          <w:p>
            <w:pPr>
              <w:spacing w:after="0"/>
              <w:rPr>
                <w:sz w:val="6"/>
                <w:szCs w:val="6"/>
                <w:color w:val="auto"/>
              </w:rPr>
            </w:pPr>
          </w:p>
        </w:tc>
        <w:tc>
          <w:tcPr>
            <w:tcW w:w="1660" w:type="dxa"/>
            <w:vAlign w:val="bottom"/>
            <w:tcBorders>
              <w:right w:val="single" w:sz="8" w:color="7F7F7F"/>
            </w:tcBorders>
          </w:tcPr>
          <w:p>
            <w:pPr>
              <w:spacing w:after="0"/>
              <w:rPr>
                <w:sz w:val="6"/>
                <w:szCs w:val="6"/>
                <w:color w:val="auto"/>
              </w:rPr>
            </w:pPr>
          </w:p>
        </w:tc>
        <w:tc>
          <w:tcPr>
            <w:tcW w:w="3920" w:type="dxa"/>
            <w:vAlign w:val="bottom"/>
            <w:tcBorders>
              <w:right w:val="single" w:sz="8" w:color="7F7F7F"/>
            </w:tcBorders>
            <w:vMerge w:val="continue"/>
          </w:tcPr>
          <w:p>
            <w:pPr>
              <w:spacing w:after="0"/>
              <w:rPr>
                <w:sz w:val="6"/>
                <w:szCs w:val="6"/>
                <w:color w:val="auto"/>
              </w:rPr>
            </w:pPr>
          </w:p>
        </w:tc>
        <w:tc>
          <w:tcPr>
            <w:tcW w:w="3920" w:type="dxa"/>
            <w:vAlign w:val="bottom"/>
            <w:vMerge w:val="restart"/>
          </w:tcPr>
          <w:p>
            <w:pPr>
              <w:ind w:left="440"/>
              <w:spacing w:after="0"/>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91"/>
        </w:trPr>
        <w:tc>
          <w:tcPr>
            <w:tcW w:w="1420" w:type="dxa"/>
            <w:vAlign w:val="bottom"/>
          </w:tcPr>
          <w:p>
            <w:pPr>
              <w:spacing w:after="0"/>
              <w:rPr>
                <w:sz w:val="7"/>
                <w:szCs w:val="7"/>
                <w:color w:val="auto"/>
              </w:rPr>
            </w:pPr>
          </w:p>
        </w:tc>
        <w:tc>
          <w:tcPr>
            <w:tcW w:w="1660" w:type="dxa"/>
            <w:vAlign w:val="bottom"/>
            <w:tcBorders>
              <w:right w:val="single" w:sz="8" w:color="7F7F7F"/>
            </w:tcBorders>
          </w:tcPr>
          <w:p>
            <w:pPr>
              <w:spacing w:after="0"/>
              <w:rPr>
                <w:sz w:val="7"/>
                <w:szCs w:val="7"/>
                <w:color w:val="auto"/>
              </w:rPr>
            </w:pPr>
          </w:p>
        </w:tc>
        <w:tc>
          <w:tcPr>
            <w:tcW w:w="3920" w:type="dxa"/>
            <w:vAlign w:val="bottom"/>
            <w:tcBorders>
              <w:right w:val="single" w:sz="8" w:color="7F7F7F"/>
            </w:tcBorders>
            <w:vMerge w:val="restart"/>
          </w:tcPr>
          <w:p>
            <w:pPr>
              <w:ind w:left="420"/>
              <w:spacing w:after="0"/>
              <w:rPr>
                <w:sz w:val="20"/>
                <w:szCs w:val="20"/>
                <w:color w:val="auto"/>
              </w:rPr>
            </w:pPr>
            <w:r>
              <w:rPr>
                <w:rFonts w:ascii="Arial" w:cs="Arial" w:eastAsia="Arial" w:hAnsi="Arial"/>
                <w:sz w:val="14"/>
                <w:szCs w:val="14"/>
                <w:color w:val="auto"/>
              </w:rPr>
              <w:t>comparator group</w:t>
            </w:r>
          </w:p>
        </w:tc>
        <w:tc>
          <w:tcPr>
            <w:tcW w:w="3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420" w:type="dxa"/>
            <w:vAlign w:val="bottom"/>
          </w:tcPr>
          <w:p>
            <w:pPr>
              <w:spacing w:after="0"/>
              <w:rPr>
                <w:sz w:val="6"/>
                <w:szCs w:val="6"/>
                <w:color w:val="auto"/>
              </w:rPr>
            </w:pPr>
          </w:p>
        </w:tc>
        <w:tc>
          <w:tcPr>
            <w:tcW w:w="1660" w:type="dxa"/>
            <w:vAlign w:val="bottom"/>
            <w:tcBorders>
              <w:right w:val="single" w:sz="8" w:color="7F7F7F"/>
            </w:tcBorders>
          </w:tcPr>
          <w:p>
            <w:pPr>
              <w:spacing w:after="0"/>
              <w:rPr>
                <w:sz w:val="6"/>
                <w:szCs w:val="6"/>
                <w:color w:val="auto"/>
              </w:rPr>
            </w:pPr>
          </w:p>
        </w:tc>
        <w:tc>
          <w:tcPr>
            <w:tcW w:w="3920" w:type="dxa"/>
            <w:vAlign w:val="bottom"/>
            <w:tcBorders>
              <w:right w:val="single" w:sz="8" w:color="7F7F7F"/>
            </w:tcBorders>
            <w:vMerge w:val="continue"/>
          </w:tcPr>
          <w:p>
            <w:pPr>
              <w:spacing w:after="0"/>
              <w:rPr>
                <w:sz w:val="6"/>
                <w:szCs w:val="6"/>
                <w:color w:val="auto"/>
              </w:rPr>
            </w:pPr>
          </w:p>
        </w:tc>
        <w:tc>
          <w:tcPr>
            <w:tcW w:w="3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420" w:type="dxa"/>
            <w:vAlign w:val="bottom"/>
          </w:tcPr>
          <w:p>
            <w:pPr>
              <w:spacing w:after="0"/>
              <w:rPr>
                <w:sz w:val="6"/>
                <w:szCs w:val="6"/>
                <w:color w:val="auto"/>
              </w:rPr>
            </w:pPr>
          </w:p>
        </w:tc>
        <w:tc>
          <w:tcPr>
            <w:tcW w:w="1660" w:type="dxa"/>
            <w:vAlign w:val="bottom"/>
            <w:tcBorders>
              <w:bottom w:val="single" w:sz="8" w:color="7F7F7F"/>
              <w:right w:val="single" w:sz="8" w:color="7F7F7F"/>
            </w:tcBorders>
          </w:tcPr>
          <w:p>
            <w:pPr>
              <w:spacing w:after="0"/>
              <w:rPr>
                <w:sz w:val="6"/>
                <w:szCs w:val="6"/>
                <w:color w:val="auto"/>
              </w:rPr>
            </w:pPr>
          </w:p>
        </w:tc>
        <w:tc>
          <w:tcPr>
            <w:tcW w:w="3920" w:type="dxa"/>
            <w:vAlign w:val="bottom"/>
            <w:tcBorders>
              <w:bottom w:val="single" w:sz="8" w:color="7F7F7F"/>
              <w:right w:val="single" w:sz="8" w:color="7F7F7F"/>
            </w:tcBorders>
          </w:tcPr>
          <w:p>
            <w:pPr>
              <w:spacing w:after="0"/>
              <w:rPr>
                <w:sz w:val="6"/>
                <w:szCs w:val="6"/>
                <w:color w:val="auto"/>
              </w:rPr>
            </w:pPr>
          </w:p>
        </w:tc>
        <w:tc>
          <w:tcPr>
            <w:tcW w:w="392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1660" w:type="dxa"/>
            <w:vAlign w:val="bottom"/>
            <w:tcBorders>
              <w:right w:val="single" w:sz="8" w:color="7F7F7F"/>
            </w:tcBorders>
          </w:tcPr>
          <w:p>
            <w:pPr>
              <w:spacing w:after="0"/>
              <w:rPr>
                <w:sz w:val="19"/>
                <w:szCs w:val="19"/>
                <w:color w:val="auto"/>
              </w:rPr>
            </w:pPr>
          </w:p>
        </w:tc>
        <w:tc>
          <w:tcPr>
            <w:tcW w:w="3920" w:type="dxa"/>
            <w:vAlign w:val="bottom"/>
            <w:tcBorders>
              <w:right w:val="single" w:sz="8" w:color="7F7F7F"/>
            </w:tcBorders>
            <w:vMerge w:val="restart"/>
          </w:tcPr>
          <w:p>
            <w:pPr>
              <w:ind w:left="280"/>
              <w:spacing w:after="0"/>
              <w:rPr>
                <w:sz w:val="20"/>
                <w:szCs w:val="20"/>
                <w:color w:val="auto"/>
              </w:rPr>
            </w:pPr>
            <w:r>
              <w:rPr>
                <w:rFonts w:ascii="Arial" w:cs="Arial" w:eastAsia="Arial" w:hAnsi="Arial"/>
                <w:sz w:val="14"/>
                <w:szCs w:val="14"/>
                <w:color w:val="auto"/>
              </w:rPr>
              <w:t>40% LTIP Weighting</w:t>
            </w:r>
          </w:p>
        </w:tc>
        <w:tc>
          <w:tcPr>
            <w:tcW w:w="3920" w:type="dxa"/>
            <w:vAlign w:val="bottom"/>
          </w:tcPr>
          <w:p>
            <w:pPr>
              <w:ind w:left="280"/>
              <w:spacing w:after="0"/>
              <w:rPr>
                <w:sz w:val="20"/>
                <w:szCs w:val="20"/>
                <w:color w:val="auto"/>
              </w:rPr>
            </w:pPr>
            <w:r>
              <w:rPr>
                <w:rFonts w:ascii="Arial" w:cs="Arial" w:eastAsia="Arial" w:hAnsi="Arial"/>
                <w:sz w:val="14"/>
                <w:szCs w:val="14"/>
                <w:color w:val="auto"/>
              </w:rPr>
              <w:t>Focus executives on share price appreciation</w:t>
            </w:r>
          </w:p>
        </w:tc>
        <w:tc>
          <w:tcPr>
            <w:tcW w:w="0" w:type="dxa"/>
            <w:vAlign w:val="bottom"/>
          </w:tcPr>
          <w:p>
            <w:pPr>
              <w:spacing w:after="0"/>
              <w:rPr>
                <w:sz w:val="1"/>
                <w:szCs w:val="1"/>
                <w:color w:val="auto"/>
              </w:rPr>
            </w:pPr>
          </w:p>
        </w:tc>
      </w:tr>
      <w:tr>
        <w:trPr>
          <w:trHeight w:val="67"/>
        </w:trPr>
        <w:tc>
          <w:tcPr>
            <w:tcW w:w="14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Long-Term</w:t>
            </w:r>
          </w:p>
        </w:tc>
        <w:tc>
          <w:tcPr>
            <w:tcW w:w="1660" w:type="dxa"/>
            <w:vAlign w:val="bottom"/>
            <w:tcBorders>
              <w:right w:val="single" w:sz="8" w:color="7F7F7F"/>
            </w:tcBorders>
          </w:tcPr>
          <w:p>
            <w:pPr>
              <w:spacing w:after="0"/>
              <w:rPr>
                <w:sz w:val="5"/>
                <w:szCs w:val="5"/>
                <w:color w:val="auto"/>
              </w:rPr>
            </w:pPr>
          </w:p>
        </w:tc>
        <w:tc>
          <w:tcPr>
            <w:tcW w:w="3920" w:type="dxa"/>
            <w:vAlign w:val="bottom"/>
            <w:tcBorders>
              <w:right w:val="single" w:sz="8" w:color="7F7F7F"/>
            </w:tcBorders>
            <w:vMerge w:val="continue"/>
          </w:tcPr>
          <w:p>
            <w:pPr>
              <w:spacing w:after="0"/>
              <w:rPr>
                <w:sz w:val="5"/>
                <w:szCs w:val="5"/>
                <w:color w:val="auto"/>
              </w:rPr>
            </w:pPr>
          </w:p>
        </w:tc>
        <w:tc>
          <w:tcPr>
            <w:tcW w:w="3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420" w:type="dxa"/>
            <w:vAlign w:val="bottom"/>
            <w:vMerge w:val="continue"/>
          </w:tcPr>
          <w:p>
            <w:pPr>
              <w:spacing w:after="0"/>
              <w:rPr>
                <w:sz w:val="11"/>
                <w:szCs w:val="11"/>
                <w:color w:val="auto"/>
              </w:rPr>
            </w:pPr>
          </w:p>
        </w:tc>
        <w:tc>
          <w:tcPr>
            <w:tcW w:w="1660" w:type="dxa"/>
            <w:vAlign w:val="bottom"/>
            <w:tcBorders>
              <w:right w:val="single" w:sz="8" w:color="7F7F7F"/>
            </w:tcBorders>
          </w:tcPr>
          <w:p>
            <w:pPr>
              <w:spacing w:after="0"/>
              <w:rPr>
                <w:sz w:val="11"/>
                <w:szCs w:val="11"/>
                <w:color w:val="auto"/>
              </w:rPr>
            </w:pPr>
          </w:p>
        </w:tc>
        <w:tc>
          <w:tcPr>
            <w:tcW w:w="3920" w:type="dxa"/>
            <w:vAlign w:val="bottom"/>
            <w:tcBorders>
              <w:right w:val="single" w:sz="8" w:color="7F7F7F"/>
            </w:tcBorders>
            <w:vMerge w:val="restart"/>
          </w:tcPr>
          <w:p>
            <w:pPr>
              <w:ind w:left="280"/>
              <w:spacing w:after="0"/>
              <w:rPr>
                <w:sz w:val="20"/>
                <w:szCs w:val="20"/>
                <w:color w:val="auto"/>
              </w:rPr>
            </w:pPr>
            <w:r>
              <w:rPr>
                <w:rFonts w:ascii="Arial" w:cs="Arial" w:eastAsia="Arial" w:hAnsi="Arial"/>
                <w:sz w:val="14"/>
                <w:szCs w:val="14"/>
                <w:color w:val="auto"/>
              </w:rPr>
              <w:t>Performance Criteria: Dover stock price, exercisable</w:t>
            </w:r>
          </w:p>
        </w:tc>
        <w:tc>
          <w:tcPr>
            <w:tcW w:w="3920" w:type="dxa"/>
            <w:vAlign w:val="bottom"/>
          </w:tcPr>
          <w:p>
            <w:pPr>
              <w:ind w:left="280"/>
              <w:spacing w:after="0" w:line="132" w:lineRule="exact"/>
              <w:rPr>
                <w:sz w:val="20"/>
                <w:szCs w:val="20"/>
                <w:color w:val="auto"/>
              </w:rPr>
            </w:pPr>
            <w:r>
              <w:rPr>
                <w:rFonts w:ascii="Arial" w:cs="Arial" w:eastAsia="Arial" w:hAnsi="Arial"/>
                <w:sz w:val="14"/>
                <w:szCs w:val="14"/>
                <w:color w:val="auto"/>
              </w:rPr>
              <w:t>SSARs are an important component of our program,</w:t>
            </w:r>
          </w:p>
        </w:tc>
        <w:tc>
          <w:tcPr>
            <w:tcW w:w="0" w:type="dxa"/>
            <w:vAlign w:val="bottom"/>
          </w:tcPr>
          <w:p>
            <w:pPr>
              <w:spacing w:after="0"/>
              <w:rPr>
                <w:sz w:val="1"/>
                <w:szCs w:val="1"/>
                <w:color w:val="auto"/>
              </w:rPr>
            </w:pPr>
          </w:p>
        </w:tc>
      </w:tr>
      <w:tr>
        <w:trPr>
          <w:trHeight w:val="109"/>
        </w:trPr>
        <w:tc>
          <w:tcPr>
            <w:tcW w:w="1420" w:type="dxa"/>
            <w:vAlign w:val="bottom"/>
            <w:vMerge w:val="restart"/>
          </w:tcPr>
          <w:p>
            <w:pPr>
              <w:ind w:left="100"/>
              <w:spacing w:after="0" w:line="147" w:lineRule="exact"/>
              <w:rPr>
                <w:sz w:val="20"/>
                <w:szCs w:val="20"/>
                <w:color w:val="auto"/>
              </w:rPr>
            </w:pPr>
            <w:r>
              <w:rPr>
                <w:rFonts w:ascii="Arial" w:cs="Arial" w:eastAsia="Arial" w:hAnsi="Arial"/>
                <w:sz w:val="14"/>
                <w:szCs w:val="14"/>
                <w:b w:val="1"/>
                <w:bCs w:val="1"/>
                <w:color w:val="auto"/>
              </w:rPr>
              <w:t>Incentive</w:t>
            </w:r>
          </w:p>
        </w:tc>
        <w:tc>
          <w:tcPr>
            <w:tcW w:w="166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4"/>
                <w:szCs w:val="14"/>
                <w:b w:val="1"/>
                <w:bCs w:val="1"/>
                <w:color w:val="auto"/>
              </w:rPr>
              <w:t>SSARs</w:t>
            </w:r>
          </w:p>
        </w:tc>
        <w:tc>
          <w:tcPr>
            <w:tcW w:w="3920" w:type="dxa"/>
            <w:vAlign w:val="bottom"/>
            <w:tcBorders>
              <w:right w:val="single" w:sz="8" w:color="7F7F7F"/>
            </w:tcBorders>
            <w:vMerge w:val="continue"/>
          </w:tcPr>
          <w:p>
            <w:pPr>
              <w:spacing w:after="0"/>
              <w:rPr>
                <w:sz w:val="9"/>
                <w:szCs w:val="9"/>
                <w:color w:val="auto"/>
              </w:rPr>
            </w:pPr>
          </w:p>
        </w:tc>
        <w:tc>
          <w:tcPr>
            <w:tcW w:w="3920" w:type="dxa"/>
            <w:vAlign w:val="bottom"/>
            <w:vMerge w:val="restart"/>
          </w:tcPr>
          <w:p>
            <w:pPr>
              <w:ind w:left="440"/>
              <w:spacing w:after="0"/>
              <w:rPr>
                <w:sz w:val="20"/>
                <w:szCs w:val="20"/>
                <w:color w:val="auto"/>
              </w:rPr>
            </w:pPr>
            <w:r>
              <w:rPr>
                <w:rFonts w:ascii="Arial" w:cs="Arial" w:eastAsia="Arial" w:hAnsi="Arial"/>
                <w:sz w:val="14"/>
                <w:szCs w:val="14"/>
                <w:color w:val="auto"/>
              </w:rPr>
              <w:t>reflecting input from investors, many of whom</w:t>
            </w:r>
          </w:p>
        </w:tc>
        <w:tc>
          <w:tcPr>
            <w:tcW w:w="0" w:type="dxa"/>
            <w:vAlign w:val="bottom"/>
          </w:tcPr>
          <w:p>
            <w:pPr>
              <w:spacing w:after="0"/>
              <w:rPr>
                <w:sz w:val="1"/>
                <w:szCs w:val="1"/>
                <w:color w:val="auto"/>
              </w:rPr>
            </w:pPr>
          </w:p>
        </w:tc>
      </w:tr>
      <w:tr>
        <w:trPr>
          <w:trHeight w:val="38"/>
        </w:trPr>
        <w:tc>
          <w:tcPr>
            <w:tcW w:w="1420" w:type="dxa"/>
            <w:vAlign w:val="bottom"/>
            <w:vMerge w:val="continue"/>
          </w:tcPr>
          <w:p>
            <w:pPr>
              <w:spacing w:after="0"/>
              <w:rPr>
                <w:sz w:val="3"/>
                <w:szCs w:val="3"/>
                <w:color w:val="auto"/>
              </w:rPr>
            </w:pPr>
          </w:p>
        </w:tc>
        <w:tc>
          <w:tcPr>
            <w:tcW w:w="1660" w:type="dxa"/>
            <w:vAlign w:val="bottom"/>
            <w:tcBorders>
              <w:right w:val="single" w:sz="8" w:color="7F7F7F"/>
            </w:tcBorders>
            <w:vMerge w:val="continue"/>
          </w:tcPr>
          <w:p>
            <w:pPr>
              <w:spacing w:after="0"/>
              <w:rPr>
                <w:sz w:val="3"/>
                <w:szCs w:val="3"/>
                <w:color w:val="auto"/>
              </w:rPr>
            </w:pPr>
          </w:p>
        </w:tc>
        <w:tc>
          <w:tcPr>
            <w:tcW w:w="3920" w:type="dxa"/>
            <w:vAlign w:val="bottom"/>
            <w:tcBorders>
              <w:right w:val="single" w:sz="8" w:color="7F7F7F"/>
            </w:tcBorders>
            <w:vMerge w:val="restart"/>
          </w:tcPr>
          <w:p>
            <w:pPr>
              <w:ind w:left="420"/>
              <w:spacing w:after="0" w:line="132" w:lineRule="exact"/>
              <w:rPr>
                <w:sz w:val="20"/>
                <w:szCs w:val="20"/>
                <w:color w:val="auto"/>
              </w:rPr>
            </w:pPr>
            <w:r>
              <w:rPr>
                <w:rFonts w:ascii="Arial" w:cs="Arial" w:eastAsia="Arial" w:hAnsi="Arial"/>
                <w:sz w:val="14"/>
                <w:szCs w:val="14"/>
                <w:color w:val="auto"/>
              </w:rPr>
              <w:t>three years after grant date and remain exercisable for</w:t>
            </w:r>
          </w:p>
        </w:tc>
        <w:tc>
          <w:tcPr>
            <w:tcW w:w="3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4"/>
        </w:trPr>
        <w:tc>
          <w:tcPr>
            <w:tcW w:w="14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Plan</w:t>
            </w:r>
          </w:p>
        </w:tc>
        <w:tc>
          <w:tcPr>
            <w:tcW w:w="1660" w:type="dxa"/>
            <w:vAlign w:val="bottom"/>
            <w:tcBorders>
              <w:right w:val="single" w:sz="8" w:color="7F7F7F"/>
            </w:tcBorders>
            <w:vMerge w:val="continue"/>
          </w:tcPr>
          <w:p>
            <w:pPr>
              <w:spacing w:after="0"/>
              <w:rPr>
                <w:sz w:val="8"/>
                <w:szCs w:val="8"/>
                <w:color w:val="auto"/>
              </w:rPr>
            </w:pPr>
          </w:p>
        </w:tc>
        <w:tc>
          <w:tcPr>
            <w:tcW w:w="3920" w:type="dxa"/>
            <w:vAlign w:val="bottom"/>
            <w:tcBorders>
              <w:right w:val="single" w:sz="8" w:color="7F7F7F"/>
            </w:tcBorders>
            <w:vMerge w:val="continue"/>
          </w:tcPr>
          <w:p>
            <w:pPr>
              <w:spacing w:after="0"/>
              <w:rPr>
                <w:sz w:val="8"/>
                <w:szCs w:val="8"/>
                <w:color w:val="auto"/>
              </w:rPr>
            </w:pPr>
          </w:p>
        </w:tc>
        <w:tc>
          <w:tcPr>
            <w:tcW w:w="3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420" w:type="dxa"/>
            <w:vAlign w:val="bottom"/>
            <w:vMerge w:val="continue"/>
          </w:tcPr>
          <w:p>
            <w:pPr>
              <w:spacing w:after="0"/>
              <w:rPr>
                <w:sz w:val="10"/>
                <w:szCs w:val="10"/>
                <w:color w:val="auto"/>
              </w:rPr>
            </w:pPr>
          </w:p>
        </w:tc>
        <w:tc>
          <w:tcPr>
            <w:tcW w:w="1660" w:type="dxa"/>
            <w:vAlign w:val="bottom"/>
            <w:tcBorders>
              <w:right w:val="single" w:sz="8" w:color="7F7F7F"/>
            </w:tcBorders>
          </w:tcPr>
          <w:p>
            <w:pPr>
              <w:spacing w:after="0"/>
              <w:rPr>
                <w:sz w:val="10"/>
                <w:szCs w:val="10"/>
                <w:color w:val="auto"/>
              </w:rPr>
            </w:pPr>
          </w:p>
        </w:tc>
        <w:tc>
          <w:tcPr>
            <w:tcW w:w="3920" w:type="dxa"/>
            <w:vAlign w:val="bottom"/>
            <w:tcBorders>
              <w:right w:val="single" w:sz="8" w:color="7F7F7F"/>
            </w:tcBorders>
            <w:vMerge w:val="restart"/>
          </w:tcPr>
          <w:p>
            <w:pPr>
              <w:ind w:left="420"/>
              <w:spacing w:after="0"/>
              <w:rPr>
                <w:sz w:val="20"/>
                <w:szCs w:val="20"/>
                <w:color w:val="auto"/>
              </w:rPr>
            </w:pPr>
            <w:r>
              <w:rPr>
                <w:rFonts w:ascii="Arial" w:cs="Arial" w:eastAsia="Arial" w:hAnsi="Arial"/>
                <w:sz w:val="14"/>
                <w:szCs w:val="14"/>
                <w:color w:val="auto"/>
              </w:rPr>
              <w:t>another seven years (subject to 10-year stock price</w:t>
            </w:r>
          </w:p>
        </w:tc>
        <w:tc>
          <w:tcPr>
            <w:tcW w:w="3920" w:type="dxa"/>
            <w:vAlign w:val="bottom"/>
          </w:tcPr>
          <w:p>
            <w:pPr>
              <w:ind w:left="440"/>
              <w:spacing w:after="0" w:line="125" w:lineRule="exact"/>
              <w:rPr>
                <w:sz w:val="20"/>
                <w:szCs w:val="20"/>
                <w:color w:val="auto"/>
              </w:rPr>
            </w:pPr>
            <w:r>
              <w:rPr>
                <w:rFonts w:ascii="Arial" w:cs="Arial" w:eastAsia="Arial" w:hAnsi="Arial"/>
                <w:sz w:val="14"/>
                <w:szCs w:val="14"/>
                <w:color w:val="auto"/>
              </w:rPr>
              <w:t>acknowledge the role SSARs play in emphasizing</w:t>
            </w:r>
          </w:p>
        </w:tc>
        <w:tc>
          <w:tcPr>
            <w:tcW w:w="0" w:type="dxa"/>
            <w:vAlign w:val="bottom"/>
          </w:tcPr>
          <w:p>
            <w:pPr>
              <w:spacing w:after="0"/>
              <w:rPr>
                <w:sz w:val="1"/>
                <w:szCs w:val="1"/>
                <w:color w:val="auto"/>
              </w:rPr>
            </w:pPr>
          </w:p>
        </w:tc>
      </w:tr>
      <w:tr>
        <w:trPr>
          <w:trHeight w:val="67"/>
        </w:trPr>
        <w:tc>
          <w:tcPr>
            <w:tcW w:w="1420" w:type="dxa"/>
            <w:vAlign w:val="bottom"/>
          </w:tcPr>
          <w:p>
            <w:pPr>
              <w:spacing w:after="0"/>
              <w:rPr>
                <w:sz w:val="5"/>
                <w:szCs w:val="5"/>
                <w:color w:val="auto"/>
              </w:rPr>
            </w:pPr>
          </w:p>
        </w:tc>
        <w:tc>
          <w:tcPr>
            <w:tcW w:w="1660" w:type="dxa"/>
            <w:vAlign w:val="bottom"/>
            <w:tcBorders>
              <w:right w:val="single" w:sz="8" w:color="7F7F7F"/>
            </w:tcBorders>
          </w:tcPr>
          <w:p>
            <w:pPr>
              <w:spacing w:after="0"/>
              <w:rPr>
                <w:sz w:val="5"/>
                <w:szCs w:val="5"/>
                <w:color w:val="auto"/>
              </w:rPr>
            </w:pPr>
          </w:p>
        </w:tc>
        <w:tc>
          <w:tcPr>
            <w:tcW w:w="3920" w:type="dxa"/>
            <w:vAlign w:val="bottom"/>
            <w:tcBorders>
              <w:right w:val="single" w:sz="8" w:color="7F7F7F"/>
            </w:tcBorders>
            <w:vMerge w:val="continue"/>
          </w:tcPr>
          <w:p>
            <w:pPr>
              <w:spacing w:after="0"/>
              <w:rPr>
                <w:sz w:val="5"/>
                <w:szCs w:val="5"/>
                <w:color w:val="auto"/>
              </w:rPr>
            </w:pPr>
          </w:p>
        </w:tc>
        <w:tc>
          <w:tcPr>
            <w:tcW w:w="3920" w:type="dxa"/>
            <w:vAlign w:val="bottom"/>
            <w:vMerge w:val="restart"/>
          </w:tcPr>
          <w:p>
            <w:pPr>
              <w:ind w:left="440"/>
              <w:spacing w:after="0"/>
              <w:rPr>
                <w:sz w:val="20"/>
                <w:szCs w:val="20"/>
                <w:color w:val="auto"/>
              </w:rPr>
            </w:pPr>
            <w:r>
              <w:rPr>
                <w:rFonts w:ascii="Arial" w:cs="Arial" w:eastAsia="Arial" w:hAnsi="Arial"/>
                <w:sz w:val="14"/>
                <w:szCs w:val="14"/>
                <w:color w:val="auto"/>
              </w:rPr>
              <w:t>growth and go-forward value creation</w:t>
            </w:r>
          </w:p>
        </w:tc>
        <w:tc>
          <w:tcPr>
            <w:tcW w:w="0" w:type="dxa"/>
            <w:vAlign w:val="bottom"/>
          </w:tcPr>
          <w:p>
            <w:pPr>
              <w:spacing w:after="0"/>
              <w:rPr>
                <w:sz w:val="1"/>
                <w:szCs w:val="1"/>
                <w:color w:val="auto"/>
              </w:rPr>
            </w:pPr>
          </w:p>
        </w:tc>
      </w:tr>
      <w:tr>
        <w:trPr>
          <w:trHeight w:val="104"/>
        </w:trPr>
        <w:tc>
          <w:tcPr>
            <w:tcW w:w="1420" w:type="dxa"/>
            <w:vAlign w:val="bottom"/>
          </w:tcPr>
          <w:p>
            <w:pPr>
              <w:spacing w:after="0"/>
              <w:rPr>
                <w:sz w:val="9"/>
                <w:szCs w:val="9"/>
                <w:color w:val="auto"/>
              </w:rPr>
            </w:pPr>
          </w:p>
        </w:tc>
        <w:tc>
          <w:tcPr>
            <w:tcW w:w="1660" w:type="dxa"/>
            <w:vAlign w:val="bottom"/>
            <w:tcBorders>
              <w:right w:val="single" w:sz="8" w:color="7F7F7F"/>
            </w:tcBorders>
          </w:tcPr>
          <w:p>
            <w:pPr>
              <w:spacing w:after="0"/>
              <w:rPr>
                <w:sz w:val="9"/>
                <w:szCs w:val="9"/>
                <w:color w:val="auto"/>
              </w:rPr>
            </w:pPr>
          </w:p>
        </w:tc>
        <w:tc>
          <w:tcPr>
            <w:tcW w:w="3920" w:type="dxa"/>
            <w:vAlign w:val="bottom"/>
            <w:tcBorders>
              <w:right w:val="single" w:sz="8" w:color="7F7F7F"/>
            </w:tcBorders>
            <w:vMerge w:val="restart"/>
          </w:tcPr>
          <w:p>
            <w:pPr>
              <w:ind w:left="420"/>
              <w:spacing w:after="0"/>
              <w:rPr>
                <w:sz w:val="20"/>
                <w:szCs w:val="20"/>
                <w:color w:val="auto"/>
              </w:rPr>
            </w:pPr>
            <w:r>
              <w:rPr>
                <w:rFonts w:ascii="Arial" w:cs="Arial" w:eastAsia="Arial" w:hAnsi="Arial"/>
                <w:sz w:val="14"/>
                <w:szCs w:val="14"/>
                <w:color w:val="auto"/>
              </w:rPr>
              <w:t>movement)</w:t>
            </w:r>
          </w:p>
        </w:tc>
        <w:tc>
          <w:tcPr>
            <w:tcW w:w="3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420" w:type="dxa"/>
            <w:vAlign w:val="bottom"/>
          </w:tcPr>
          <w:p>
            <w:pPr>
              <w:spacing w:after="0"/>
              <w:rPr>
                <w:sz w:val="5"/>
                <w:szCs w:val="5"/>
                <w:color w:val="auto"/>
              </w:rPr>
            </w:pPr>
          </w:p>
        </w:tc>
        <w:tc>
          <w:tcPr>
            <w:tcW w:w="1660" w:type="dxa"/>
            <w:vAlign w:val="bottom"/>
            <w:tcBorders>
              <w:right w:val="single" w:sz="8" w:color="7F7F7F"/>
            </w:tcBorders>
          </w:tcPr>
          <w:p>
            <w:pPr>
              <w:spacing w:after="0"/>
              <w:rPr>
                <w:sz w:val="5"/>
                <w:szCs w:val="5"/>
                <w:color w:val="auto"/>
              </w:rPr>
            </w:pPr>
          </w:p>
        </w:tc>
        <w:tc>
          <w:tcPr>
            <w:tcW w:w="3920" w:type="dxa"/>
            <w:vAlign w:val="bottom"/>
            <w:tcBorders>
              <w:right w:val="single" w:sz="8" w:color="7F7F7F"/>
            </w:tcBorders>
            <w:vMerge w:val="continue"/>
          </w:tcPr>
          <w:p>
            <w:pPr>
              <w:spacing w:after="0"/>
              <w:rPr>
                <w:sz w:val="5"/>
                <w:szCs w:val="5"/>
                <w:color w:val="auto"/>
              </w:rPr>
            </w:pPr>
          </w:p>
        </w:tc>
        <w:tc>
          <w:tcPr>
            <w:tcW w:w="3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420" w:type="dxa"/>
            <w:vAlign w:val="bottom"/>
          </w:tcPr>
          <w:p>
            <w:pPr>
              <w:spacing w:after="0"/>
              <w:rPr>
                <w:sz w:val="10"/>
                <w:szCs w:val="10"/>
                <w:color w:val="auto"/>
              </w:rPr>
            </w:pPr>
          </w:p>
        </w:tc>
        <w:tc>
          <w:tcPr>
            <w:tcW w:w="1660" w:type="dxa"/>
            <w:vAlign w:val="bottom"/>
            <w:tcBorders>
              <w:bottom w:val="single" w:sz="8" w:color="7F7F7F"/>
              <w:right w:val="single" w:sz="8" w:color="7F7F7F"/>
            </w:tcBorders>
          </w:tcPr>
          <w:p>
            <w:pPr>
              <w:spacing w:after="0"/>
              <w:rPr>
                <w:sz w:val="10"/>
                <w:szCs w:val="10"/>
                <w:color w:val="auto"/>
              </w:rPr>
            </w:pPr>
          </w:p>
        </w:tc>
        <w:tc>
          <w:tcPr>
            <w:tcW w:w="3920" w:type="dxa"/>
            <w:vAlign w:val="bottom"/>
            <w:tcBorders>
              <w:bottom w:val="single" w:sz="8" w:color="7F7F7F"/>
              <w:right w:val="single" w:sz="8" w:color="7F7F7F"/>
            </w:tcBorders>
          </w:tcPr>
          <w:p>
            <w:pPr>
              <w:spacing w:after="0"/>
              <w:rPr>
                <w:sz w:val="10"/>
                <w:szCs w:val="10"/>
                <w:color w:val="auto"/>
              </w:rPr>
            </w:pPr>
          </w:p>
        </w:tc>
        <w:tc>
          <w:tcPr>
            <w:tcW w:w="392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289"/>
        </w:trPr>
        <w:tc>
          <w:tcPr>
            <w:tcW w:w="1420" w:type="dxa"/>
            <w:vAlign w:val="bottom"/>
          </w:tcPr>
          <w:p>
            <w:pPr>
              <w:spacing w:after="0"/>
              <w:rPr>
                <w:sz w:val="24"/>
                <w:szCs w:val="24"/>
                <w:color w:val="auto"/>
              </w:rPr>
            </w:pPr>
          </w:p>
        </w:tc>
        <w:tc>
          <w:tcPr>
            <w:tcW w:w="1660" w:type="dxa"/>
            <w:vAlign w:val="bottom"/>
            <w:tcBorders>
              <w:right w:val="single" w:sz="8" w:color="7F7F7F"/>
            </w:tcBorders>
          </w:tcPr>
          <w:p>
            <w:pPr>
              <w:spacing w:after="0"/>
              <w:rPr>
                <w:sz w:val="24"/>
                <w:szCs w:val="24"/>
                <w:color w:val="auto"/>
              </w:rPr>
            </w:pPr>
          </w:p>
        </w:tc>
        <w:tc>
          <w:tcPr>
            <w:tcW w:w="3920" w:type="dxa"/>
            <w:vAlign w:val="bottom"/>
            <w:tcBorders>
              <w:right w:val="single" w:sz="8" w:color="7F7F7F"/>
            </w:tcBorders>
          </w:tcPr>
          <w:p>
            <w:pPr>
              <w:ind w:left="280"/>
              <w:spacing w:after="0"/>
              <w:rPr>
                <w:sz w:val="20"/>
                <w:szCs w:val="20"/>
                <w:color w:val="auto"/>
              </w:rPr>
            </w:pPr>
            <w:r>
              <w:rPr>
                <w:rFonts w:ascii="Arial" w:cs="Arial" w:eastAsia="Arial" w:hAnsi="Arial"/>
                <w:sz w:val="14"/>
                <w:szCs w:val="14"/>
                <w:color w:val="auto"/>
              </w:rPr>
              <w:t>20% LTIP weighting</w:t>
            </w:r>
          </w:p>
        </w:tc>
        <w:tc>
          <w:tcPr>
            <w:tcW w:w="3920" w:type="dxa"/>
            <w:vAlign w:val="bottom"/>
            <w:vMerge w:val="restart"/>
          </w:tcPr>
          <w:p>
            <w:pPr>
              <w:ind w:left="280"/>
              <w:spacing w:after="0"/>
              <w:rPr>
                <w:sz w:val="20"/>
                <w:szCs w:val="20"/>
                <w:color w:val="auto"/>
              </w:rPr>
            </w:pPr>
            <w:r>
              <w:rPr>
                <w:rFonts w:ascii="Arial" w:cs="Arial" w:eastAsia="Arial" w:hAnsi="Arial"/>
                <w:sz w:val="14"/>
                <w:szCs w:val="14"/>
                <w:color w:val="auto"/>
              </w:rPr>
              <w:t>Retention, ownership, and full alignment with the</w:t>
            </w:r>
          </w:p>
        </w:tc>
        <w:tc>
          <w:tcPr>
            <w:tcW w:w="0" w:type="dxa"/>
            <w:vAlign w:val="bottom"/>
          </w:tcPr>
          <w:p>
            <w:pPr>
              <w:spacing w:after="0"/>
              <w:rPr>
                <w:sz w:val="1"/>
                <w:szCs w:val="1"/>
                <w:color w:val="auto"/>
              </w:rPr>
            </w:pPr>
          </w:p>
        </w:tc>
      </w:tr>
      <w:tr>
        <w:trPr>
          <w:trHeight w:val="120"/>
        </w:trPr>
        <w:tc>
          <w:tcPr>
            <w:tcW w:w="1420" w:type="dxa"/>
            <w:vAlign w:val="bottom"/>
          </w:tcPr>
          <w:p>
            <w:pPr>
              <w:spacing w:after="0"/>
              <w:rPr>
                <w:sz w:val="10"/>
                <w:szCs w:val="10"/>
                <w:color w:val="auto"/>
              </w:rPr>
            </w:pPr>
          </w:p>
        </w:tc>
        <w:tc>
          <w:tcPr>
            <w:tcW w:w="166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4"/>
                <w:szCs w:val="14"/>
                <w:b w:val="1"/>
                <w:bCs w:val="1"/>
                <w:color w:val="auto"/>
              </w:rPr>
              <w:t>RSUs</w:t>
            </w:r>
          </w:p>
        </w:tc>
        <w:tc>
          <w:tcPr>
            <w:tcW w:w="3920" w:type="dxa"/>
            <w:vAlign w:val="bottom"/>
            <w:tcBorders>
              <w:right w:val="single" w:sz="8" w:color="7F7F7F"/>
            </w:tcBorders>
            <w:vMerge w:val="restart"/>
          </w:tcPr>
          <w:p>
            <w:pPr>
              <w:ind w:left="280"/>
              <w:spacing w:after="0"/>
              <w:rPr>
                <w:sz w:val="20"/>
                <w:szCs w:val="20"/>
                <w:color w:val="auto"/>
              </w:rPr>
            </w:pPr>
            <w:r>
              <w:rPr>
                <w:rFonts w:ascii="Arial" w:cs="Arial" w:eastAsia="Arial" w:hAnsi="Arial"/>
                <w:sz w:val="14"/>
                <w:szCs w:val="14"/>
                <w:color w:val="auto"/>
              </w:rPr>
              <w:t>Performance Criteria: Dover stock price; awards vest</w:t>
            </w:r>
          </w:p>
        </w:tc>
        <w:tc>
          <w:tcPr>
            <w:tcW w:w="3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420" w:type="dxa"/>
            <w:vAlign w:val="bottom"/>
          </w:tcPr>
          <w:p>
            <w:pPr>
              <w:spacing w:after="0"/>
              <w:rPr>
                <w:sz w:val="10"/>
                <w:szCs w:val="10"/>
                <w:color w:val="auto"/>
              </w:rPr>
            </w:pPr>
          </w:p>
        </w:tc>
        <w:tc>
          <w:tcPr>
            <w:tcW w:w="1660" w:type="dxa"/>
            <w:vAlign w:val="bottom"/>
            <w:tcBorders>
              <w:right w:val="single" w:sz="8" w:color="7F7F7F"/>
            </w:tcBorders>
            <w:vMerge w:val="continue"/>
          </w:tcPr>
          <w:p>
            <w:pPr>
              <w:spacing w:after="0"/>
              <w:rPr>
                <w:sz w:val="10"/>
                <w:szCs w:val="10"/>
                <w:color w:val="auto"/>
              </w:rPr>
            </w:pPr>
          </w:p>
        </w:tc>
        <w:tc>
          <w:tcPr>
            <w:tcW w:w="3920" w:type="dxa"/>
            <w:vAlign w:val="bottom"/>
            <w:tcBorders>
              <w:right w:val="single" w:sz="8" w:color="7F7F7F"/>
            </w:tcBorders>
            <w:vMerge w:val="continue"/>
          </w:tcPr>
          <w:p>
            <w:pPr>
              <w:spacing w:after="0"/>
              <w:rPr>
                <w:sz w:val="10"/>
                <w:szCs w:val="10"/>
                <w:color w:val="auto"/>
              </w:rPr>
            </w:pPr>
          </w:p>
        </w:tc>
        <w:tc>
          <w:tcPr>
            <w:tcW w:w="3920" w:type="dxa"/>
            <w:vAlign w:val="bottom"/>
            <w:vMerge w:val="restart"/>
          </w:tcPr>
          <w:p>
            <w:pPr>
              <w:ind w:left="440"/>
              <w:spacing w:after="0"/>
              <w:rPr>
                <w:sz w:val="20"/>
                <w:szCs w:val="20"/>
                <w:color w:val="auto"/>
              </w:rPr>
            </w:pPr>
            <w:r>
              <w:rPr>
                <w:rFonts w:ascii="Arial" w:cs="Arial" w:eastAsia="Arial" w:hAnsi="Arial"/>
                <w:sz w:val="14"/>
                <w:szCs w:val="14"/>
                <w:color w:val="auto"/>
              </w:rPr>
              <w:t>shareholder experience</w:t>
            </w:r>
          </w:p>
        </w:tc>
        <w:tc>
          <w:tcPr>
            <w:tcW w:w="0" w:type="dxa"/>
            <w:vAlign w:val="bottom"/>
          </w:tcPr>
          <w:p>
            <w:pPr>
              <w:spacing w:after="0"/>
              <w:rPr>
                <w:sz w:val="1"/>
                <w:szCs w:val="1"/>
                <w:color w:val="auto"/>
              </w:rPr>
            </w:pPr>
          </w:p>
        </w:tc>
      </w:tr>
      <w:tr>
        <w:trPr>
          <w:trHeight w:val="53"/>
        </w:trPr>
        <w:tc>
          <w:tcPr>
            <w:tcW w:w="1420" w:type="dxa"/>
            <w:vAlign w:val="bottom"/>
          </w:tcPr>
          <w:p>
            <w:pPr>
              <w:spacing w:after="0"/>
              <w:rPr>
                <w:sz w:val="4"/>
                <w:szCs w:val="4"/>
                <w:color w:val="auto"/>
              </w:rPr>
            </w:pPr>
          </w:p>
        </w:tc>
        <w:tc>
          <w:tcPr>
            <w:tcW w:w="1660" w:type="dxa"/>
            <w:vAlign w:val="bottom"/>
            <w:tcBorders>
              <w:right w:val="single" w:sz="8" w:color="7F7F7F"/>
            </w:tcBorders>
          </w:tcPr>
          <w:p>
            <w:pPr>
              <w:spacing w:after="0"/>
              <w:rPr>
                <w:sz w:val="4"/>
                <w:szCs w:val="4"/>
                <w:color w:val="auto"/>
              </w:rPr>
            </w:pPr>
          </w:p>
        </w:tc>
        <w:tc>
          <w:tcPr>
            <w:tcW w:w="3920" w:type="dxa"/>
            <w:vAlign w:val="bottom"/>
            <w:tcBorders>
              <w:right w:val="single" w:sz="8" w:color="7F7F7F"/>
            </w:tcBorders>
            <w:vMerge w:val="restart"/>
          </w:tcPr>
          <w:p>
            <w:pPr>
              <w:ind w:left="420"/>
              <w:spacing w:after="0"/>
              <w:rPr>
                <w:sz w:val="20"/>
                <w:szCs w:val="20"/>
                <w:color w:val="auto"/>
              </w:rPr>
            </w:pPr>
            <w:r>
              <w:rPr>
                <w:rFonts w:ascii="Arial" w:cs="Arial" w:eastAsia="Arial" w:hAnsi="Arial"/>
                <w:sz w:val="14"/>
                <w:szCs w:val="14"/>
                <w:color w:val="auto"/>
              </w:rPr>
              <w:t>ratably over three years</w:t>
            </w:r>
          </w:p>
        </w:tc>
        <w:tc>
          <w:tcPr>
            <w:tcW w:w="3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420" w:type="dxa"/>
            <w:vAlign w:val="bottom"/>
          </w:tcPr>
          <w:p>
            <w:pPr>
              <w:spacing w:after="0"/>
              <w:rPr>
                <w:sz w:val="10"/>
                <w:szCs w:val="10"/>
                <w:color w:val="auto"/>
              </w:rPr>
            </w:pPr>
          </w:p>
        </w:tc>
        <w:tc>
          <w:tcPr>
            <w:tcW w:w="1660" w:type="dxa"/>
            <w:vAlign w:val="bottom"/>
            <w:tcBorders>
              <w:right w:val="single" w:sz="8" w:color="7F7F7F"/>
            </w:tcBorders>
          </w:tcPr>
          <w:p>
            <w:pPr>
              <w:spacing w:after="0"/>
              <w:rPr>
                <w:sz w:val="10"/>
                <w:szCs w:val="10"/>
                <w:color w:val="auto"/>
              </w:rPr>
            </w:pPr>
          </w:p>
        </w:tc>
        <w:tc>
          <w:tcPr>
            <w:tcW w:w="3920" w:type="dxa"/>
            <w:vAlign w:val="bottom"/>
            <w:tcBorders>
              <w:right w:val="single" w:sz="8" w:color="7F7F7F"/>
            </w:tcBorders>
            <w:vMerge w:val="continue"/>
          </w:tcPr>
          <w:p>
            <w:pPr>
              <w:spacing w:after="0"/>
              <w:rPr>
                <w:sz w:val="10"/>
                <w:szCs w:val="10"/>
                <w:color w:val="auto"/>
              </w:rPr>
            </w:pPr>
          </w:p>
        </w:tc>
        <w:tc>
          <w:tcPr>
            <w:tcW w:w="3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20" w:type="dxa"/>
            <w:vAlign w:val="bottom"/>
            <w:tcBorders>
              <w:bottom w:val="single" w:sz="8" w:color="7F7F7F"/>
            </w:tcBorders>
          </w:tcPr>
          <w:p>
            <w:pPr>
              <w:spacing w:after="0"/>
              <w:rPr>
                <w:sz w:val="10"/>
                <w:szCs w:val="10"/>
                <w:color w:val="auto"/>
              </w:rPr>
            </w:pPr>
          </w:p>
        </w:tc>
        <w:tc>
          <w:tcPr>
            <w:tcW w:w="1660" w:type="dxa"/>
            <w:vAlign w:val="bottom"/>
            <w:tcBorders>
              <w:bottom w:val="single" w:sz="8" w:color="7F7F7F"/>
              <w:right w:val="single" w:sz="8" w:color="7F7F7F"/>
            </w:tcBorders>
          </w:tcPr>
          <w:p>
            <w:pPr>
              <w:spacing w:after="0"/>
              <w:rPr>
                <w:sz w:val="10"/>
                <w:szCs w:val="10"/>
                <w:color w:val="auto"/>
              </w:rPr>
            </w:pPr>
          </w:p>
        </w:tc>
        <w:tc>
          <w:tcPr>
            <w:tcW w:w="3920" w:type="dxa"/>
            <w:vAlign w:val="bottom"/>
            <w:tcBorders>
              <w:bottom w:val="single" w:sz="8" w:color="7F7F7F"/>
              <w:right w:val="single" w:sz="8" w:color="7F7F7F"/>
            </w:tcBorders>
          </w:tcPr>
          <w:p>
            <w:pPr>
              <w:spacing w:after="0"/>
              <w:rPr>
                <w:sz w:val="10"/>
                <w:szCs w:val="10"/>
                <w:color w:val="auto"/>
              </w:rPr>
            </w:pPr>
          </w:p>
        </w:tc>
        <w:tc>
          <w:tcPr>
            <w:tcW w:w="392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289"/>
        </w:trPr>
        <w:tc>
          <w:tcPr>
            <w:tcW w:w="1420" w:type="dxa"/>
            <w:vAlign w:val="bottom"/>
            <w:shd w:val="clear" w:color="auto" w:fill="EAEFED"/>
          </w:tcPr>
          <w:p>
            <w:pPr>
              <w:ind w:left="100"/>
              <w:spacing w:after="0"/>
              <w:rPr>
                <w:sz w:val="20"/>
                <w:szCs w:val="20"/>
                <w:color w:val="auto"/>
              </w:rPr>
            </w:pPr>
            <w:r>
              <w:rPr>
                <w:rFonts w:ascii="Arial" w:cs="Arial" w:eastAsia="Arial" w:hAnsi="Arial"/>
                <w:sz w:val="14"/>
                <w:szCs w:val="14"/>
                <w:b w:val="1"/>
                <w:bCs w:val="1"/>
                <w:color w:val="auto"/>
              </w:rPr>
              <w:t>Benefits</w:t>
            </w:r>
          </w:p>
        </w:tc>
        <w:tc>
          <w:tcPr>
            <w:tcW w:w="5580" w:type="dxa"/>
            <w:vAlign w:val="bottom"/>
            <w:tcBorders>
              <w:right w:val="single" w:sz="8" w:color="EAEFED"/>
            </w:tcBorders>
            <w:gridSpan w:val="2"/>
            <w:shd w:val="clear" w:color="auto" w:fill="EAEFED"/>
          </w:tcPr>
          <w:p>
            <w:pPr>
              <w:jc w:val="right"/>
              <w:ind w:right="1870"/>
              <w:spacing w:after="0"/>
              <w:rPr>
                <w:sz w:val="20"/>
                <w:szCs w:val="20"/>
                <w:color w:val="auto"/>
              </w:rPr>
            </w:pPr>
            <w:r>
              <w:rPr>
                <w:rFonts w:ascii="Arial" w:cs="Arial" w:eastAsia="Arial" w:hAnsi="Arial"/>
                <w:sz w:val="14"/>
                <w:szCs w:val="14"/>
                <w:b w:val="1"/>
                <w:bCs w:val="1"/>
                <w:color w:val="auto"/>
              </w:rPr>
              <w:t>Consistent with other similarly situated employees</w:t>
            </w:r>
          </w:p>
        </w:tc>
        <w:tc>
          <w:tcPr>
            <w:tcW w:w="3920" w:type="dxa"/>
            <w:vAlign w:val="bottom"/>
            <w:shd w:val="clear" w:color="auto" w:fill="EAEFED"/>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420" w:type="dxa"/>
            <w:vAlign w:val="bottom"/>
            <w:tcBorders>
              <w:bottom w:val="single" w:sz="8" w:color="050F70"/>
            </w:tcBorders>
            <w:shd w:val="clear" w:color="auto" w:fill="EAEFED"/>
          </w:tcPr>
          <w:p>
            <w:pPr>
              <w:spacing w:after="0"/>
              <w:rPr>
                <w:sz w:val="10"/>
                <w:szCs w:val="10"/>
                <w:color w:val="auto"/>
              </w:rPr>
            </w:pPr>
          </w:p>
        </w:tc>
        <w:tc>
          <w:tcPr>
            <w:tcW w:w="1660" w:type="dxa"/>
            <w:vAlign w:val="bottom"/>
            <w:tcBorders>
              <w:bottom w:val="single" w:sz="8" w:color="050F70"/>
              <w:right w:val="single" w:sz="8" w:color="EAEFED"/>
            </w:tcBorders>
            <w:shd w:val="clear" w:color="auto" w:fill="EAEFED"/>
          </w:tcPr>
          <w:p>
            <w:pPr>
              <w:spacing w:after="0"/>
              <w:rPr>
                <w:sz w:val="10"/>
                <w:szCs w:val="10"/>
                <w:color w:val="auto"/>
              </w:rPr>
            </w:pPr>
          </w:p>
        </w:tc>
        <w:tc>
          <w:tcPr>
            <w:tcW w:w="3920" w:type="dxa"/>
            <w:vAlign w:val="bottom"/>
            <w:tcBorders>
              <w:bottom w:val="single" w:sz="8" w:color="050F70"/>
              <w:right w:val="single" w:sz="8" w:color="EAEFED"/>
            </w:tcBorders>
            <w:shd w:val="clear" w:color="auto" w:fill="EAEFED"/>
          </w:tcPr>
          <w:p>
            <w:pPr>
              <w:spacing w:after="0"/>
              <w:rPr>
                <w:sz w:val="10"/>
                <w:szCs w:val="10"/>
                <w:color w:val="auto"/>
              </w:rPr>
            </w:pPr>
          </w:p>
        </w:tc>
        <w:tc>
          <w:tcPr>
            <w:tcW w:w="3920" w:type="dxa"/>
            <w:vAlign w:val="bottom"/>
            <w:tcBorders>
              <w:bottom w:val="single" w:sz="8" w:color="050F70"/>
            </w:tcBorders>
            <w:shd w:val="clear" w:color="auto" w:fill="EAEFED"/>
          </w:tcPr>
          <w:p>
            <w:pPr>
              <w:spacing w:after="0"/>
              <w:rPr>
                <w:sz w:val="10"/>
                <w:szCs w:val="10"/>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49</w:t>
      </w:r>
    </w:p>
    <w:p>
      <w:pPr>
        <w:sectPr>
          <w:pgSz w:w="11900" w:h="16838" w:orient="portrait"/>
          <w:cols w:equalWidth="0" w:num="1">
            <w:col w:w="11080"/>
          </w:cols>
          <w:pgMar w:left="320" w:top="45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2021 Target Pay Mix</w:t>
      </w:r>
    </w:p>
    <w:p>
      <w:pPr>
        <w:spacing w:after="0" w:line="120"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The ratio between fixed and variable pay varies by executive level, but for the CEO and his direct reports, including the NEOs, we believe it is appropriate that the vast majority of the compensation should be “at risk” incentive-based pay as shown in the chart below. Additionally, we believe that incentive pay should be heavily weighted toward long-term performance and tied to share performance, with the annual incentives focused on key short-term drivers and progress 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144145</wp:posOffset>
            </wp:positionV>
            <wp:extent cx="5154930" cy="19958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54930" cy="199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50</w:t>
      </w:r>
    </w:p>
    <w:p>
      <w:pPr>
        <w:sectPr>
          <w:pgSz w:w="11900" w:h="16838" w:orient="portrait"/>
          <w:cols w:equalWidth="0" w:num="1">
            <w:col w:w="1108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Pay-for-Performance Philosophy</w:t>
      </w:r>
    </w:p>
    <w:p>
      <w:pPr>
        <w:spacing w:after="0" w:line="94"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Our Compensation Committee remains fully committed to its pay-for-performance philosophy. Dover’s record of long-term value creation is shown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140335</wp:posOffset>
            </wp:positionV>
            <wp:extent cx="4874895" cy="178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74895" cy="178435"/>
                    </a:xfrm>
                    <a:prstGeom prst="rect">
                      <a:avLst/>
                    </a:prstGeom>
                    <a:noFill/>
                  </pic:spPr>
                </pic:pic>
              </a:graphicData>
            </a:graphic>
          </wp:anchor>
        </w:drawing>
      </w: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FFFFFF"/>
        </w:rPr>
        <w:t>Total Shareholder Return</w:t>
      </w:r>
      <w:r>
        <w:rPr>
          <w:rFonts w:ascii="Arial" w:cs="Arial" w:eastAsia="Arial" w:hAnsi="Arial"/>
          <w:sz w:val="27"/>
          <w:szCs w:val="27"/>
          <w:b w:val="1"/>
          <w:bCs w:val="1"/>
          <w:color w:val="FFFFFF"/>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120650</wp:posOffset>
            </wp:positionV>
            <wp:extent cx="4874895" cy="25984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74895"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780"/>
        <w:spacing w:after="0"/>
        <w:rPr>
          <w:sz w:val="20"/>
          <w:szCs w:val="20"/>
          <w:color w:val="auto"/>
        </w:rPr>
      </w:pPr>
      <w:r>
        <w:rPr>
          <w:rFonts w:ascii="Arial" w:cs="Arial" w:eastAsia="Arial" w:hAnsi="Arial"/>
          <w:sz w:val="12"/>
          <w:szCs w:val="12"/>
          <w:b w:val="1"/>
          <w:bCs w:val="1"/>
          <w:color w:val="auto"/>
        </w:rPr>
        <w:t>Note: These figures are annualized returns.</w:t>
      </w:r>
    </w:p>
    <w:p>
      <w:pPr>
        <w:spacing w:after="0" w:line="5" w:lineRule="exact"/>
        <w:rPr>
          <w:sz w:val="20"/>
          <w:szCs w:val="20"/>
          <w:color w:val="auto"/>
        </w:rPr>
      </w:pPr>
    </w:p>
    <w:p>
      <w:pPr>
        <w:ind w:left="2320" w:hanging="320"/>
        <w:spacing w:after="0"/>
        <w:tabs>
          <w:tab w:leader="none" w:pos="23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End date for returns period is December 31, 2021.</w:t>
      </w:r>
    </w:p>
    <w:p>
      <w:pPr>
        <w:ind w:left="2320" w:right="1660" w:hanging="320"/>
        <w:spacing w:after="0" w:line="242" w:lineRule="auto"/>
        <w:tabs>
          <w:tab w:leader="none" w:pos="2302" w:val="left"/>
        </w:tabs>
        <w:numPr>
          <w:ilvl w:val="0"/>
          <w:numId w:val="57"/>
        </w:numPr>
        <w:rPr>
          <w:rFonts w:ascii="Arial" w:cs="Arial" w:eastAsia="Arial" w:hAnsi="Arial"/>
          <w:sz w:val="12"/>
          <w:szCs w:val="12"/>
          <w:color w:val="auto"/>
        </w:rPr>
      </w:pPr>
      <w:r>
        <w:rPr>
          <w:rFonts w:ascii="Arial" w:cs="Arial" w:eastAsia="Arial" w:hAnsi="Arial"/>
          <w:sz w:val="12"/>
          <w:szCs w:val="12"/>
          <w:color w:val="auto"/>
        </w:rPr>
        <w:t xml:space="preserve">Annualized Total Shareholder Return including dividends and spin-offs. Fortive Corporation went public in July 2016 and Ingersoll Rand merged with Gardner Denver in March 2020. Both stocks are excluded from periods prior to go public / merger dates. </w:t>
      </w:r>
      <w:r>
        <w:rPr>
          <w:rFonts w:ascii="Arial" w:cs="Arial" w:eastAsia="Arial" w:hAnsi="Arial"/>
          <w:sz w:val="12"/>
          <w:szCs w:val="12"/>
          <w:b w:val="1"/>
          <w:bCs w:val="1"/>
          <w:color w:val="auto"/>
        </w:rPr>
        <w:t>Source</w:t>
      </w:r>
      <w:r>
        <w:rPr>
          <w:rFonts w:ascii="Arial" w:cs="Arial" w:eastAsia="Arial" w:hAnsi="Arial"/>
          <w:sz w:val="12"/>
          <w:szCs w:val="12"/>
          <w:color w:val="auto"/>
        </w:rPr>
        <w:t>: Capital IQ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154940</wp:posOffset>
            </wp:positionV>
            <wp:extent cx="3872230" cy="1784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2230" cy="178435"/>
                    </a:xfrm>
                    <a:prstGeom prst="rect">
                      <a:avLst/>
                    </a:prstGeom>
                    <a:noFill/>
                  </pic:spPr>
                </pic:pic>
              </a:graphicData>
            </a:graphic>
          </wp:anchor>
        </w:drawing>
      </w: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FFFFFF"/>
        </w:rPr>
        <w:t>DOV TSR vs. Proxy Peer Group (12/31/18 – 12/31/21)</w:t>
      </w:r>
      <w:r>
        <w:rPr>
          <w:rFonts w:ascii="Arial" w:cs="Arial" w:eastAsia="Arial" w:hAnsi="Arial"/>
          <w:sz w:val="27"/>
          <w:szCs w:val="27"/>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120650</wp:posOffset>
            </wp:positionV>
            <wp:extent cx="3498850" cy="16732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98850" cy="167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580"/>
        <w:spacing w:after="0"/>
        <w:rPr>
          <w:sz w:val="20"/>
          <w:szCs w:val="20"/>
          <w:color w:val="auto"/>
        </w:rPr>
      </w:pPr>
      <w:r>
        <w:rPr>
          <w:rFonts w:ascii="Arial" w:cs="Arial" w:eastAsia="Arial" w:hAnsi="Arial"/>
          <w:sz w:val="12"/>
          <w:szCs w:val="12"/>
          <w:b w:val="1"/>
          <w:bCs w:val="1"/>
          <w:color w:val="auto"/>
        </w:rPr>
        <w:t>Note: These figures are annualized returns. Source: Capital IQ.</w:t>
      </w:r>
    </w:p>
    <w:p>
      <w:pPr>
        <w:spacing w:after="0" w:line="10" w:lineRule="exact"/>
        <w:rPr>
          <w:sz w:val="20"/>
          <w:szCs w:val="20"/>
          <w:color w:val="auto"/>
        </w:rPr>
      </w:pPr>
    </w:p>
    <w:p>
      <w:pPr>
        <w:ind w:left="2880" w:hanging="305"/>
        <w:spacing w:after="0"/>
        <w:tabs>
          <w:tab w:leader="none" w:pos="28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Ingersoll Rand merged with Gardner Denver in March 2020 and is excluded from this analysis.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51</w:t>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Annual Incentive Plan Compensation</w:t>
      </w:r>
    </w:p>
    <w:p>
      <w:pPr>
        <w:spacing w:after="0" w:line="94" w:lineRule="exact"/>
        <w:rPr>
          <w:sz w:val="20"/>
          <w:szCs w:val="20"/>
          <w:color w:val="auto"/>
        </w:rPr>
      </w:pPr>
    </w:p>
    <w:p>
      <w:pPr>
        <w:ind w:left="160" w:right="200"/>
        <w:spacing w:after="0" w:line="247" w:lineRule="auto"/>
        <w:rPr>
          <w:sz w:val="20"/>
          <w:szCs w:val="20"/>
          <w:color w:val="auto"/>
        </w:rPr>
      </w:pPr>
      <w:r>
        <w:rPr>
          <w:rFonts w:ascii="Arial" w:cs="Arial" w:eastAsia="Arial" w:hAnsi="Arial"/>
          <w:sz w:val="16"/>
          <w:szCs w:val="16"/>
          <w:color w:val="auto"/>
        </w:rPr>
        <w:t>An annual bonus may be earned each year based on an NEO’s performance against objectives tied to our financial performance as well as individual strategic goals. Each NEO’s bonus target amount is determined in reference to market benchmarking and according to the scope and complexity of the NEO’s functional responsibilities, overall impact on our results, strategic leadership, and managerial responsibility. We believe that balancing the measurement of performance for the annual bonus between financial and strategic objectives is important in mitigating risk and executing on our long-term strategy for value creation.</w:t>
      </w:r>
    </w:p>
    <w:p>
      <w:pPr>
        <w:spacing w:after="0" w:line="163" w:lineRule="exact"/>
        <w:rPr>
          <w:sz w:val="20"/>
          <w:szCs w:val="20"/>
          <w:color w:val="auto"/>
        </w:rPr>
      </w:pPr>
    </w:p>
    <w:p>
      <w:pPr>
        <w:ind w:left="160" w:right="400"/>
        <w:spacing w:after="0" w:line="256" w:lineRule="auto"/>
        <w:rPr>
          <w:sz w:val="20"/>
          <w:szCs w:val="20"/>
          <w:color w:val="auto"/>
        </w:rPr>
      </w:pPr>
      <w:r>
        <w:rPr>
          <w:rFonts w:ascii="Arial" w:cs="Arial" w:eastAsia="Arial" w:hAnsi="Arial"/>
          <w:sz w:val="16"/>
          <w:szCs w:val="16"/>
          <w:color w:val="auto"/>
        </w:rPr>
        <w:t>Each executive officer is eligible for a bonus equal to his or her base salary multiplied by his or her target award percentage multiplied by the Overall Payout Factor (which is the sum of the Financial Objective Factor (weighted 60%) and the Strategic Objectives Factor (weighted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140335</wp:posOffset>
            </wp:positionV>
            <wp:extent cx="4008120" cy="11722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08120" cy="117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2021 AIP Financial Objective Factor – Target</w:t>
      </w:r>
    </w:p>
    <w:p>
      <w:pPr>
        <w:spacing w:after="0" w:line="206"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The Financial Objective Factor in the 2021 AIP was calculated based on Adjusted Earnings. In setting the financial objective, our Compensation Committee considered our annual budget, operational priorities, plans for capital allocation, historical performance, and external factors, among other items. The target performance level for the financial objective was established at the beginning of the fiscal year and provided for appropriate adjustments for acquisitions and dispositions occurring during the year. For this measure, our Compensation Committee established threshold, target, and maximum levels of performance, as well as a payout percentage curve that relates each level of performance to a payout percentage.</w:t>
      </w:r>
    </w:p>
    <w:p>
      <w:pPr>
        <w:spacing w:after="0" w:line="163" w:lineRule="exact"/>
        <w:rPr>
          <w:sz w:val="20"/>
          <w:szCs w:val="20"/>
          <w:color w:val="auto"/>
        </w:rPr>
      </w:pPr>
    </w:p>
    <w:p>
      <w:pPr>
        <w:ind w:left="160" w:right="120"/>
        <w:spacing w:after="0" w:line="248" w:lineRule="auto"/>
        <w:rPr>
          <w:sz w:val="20"/>
          <w:szCs w:val="20"/>
          <w:color w:val="auto"/>
        </w:rPr>
      </w:pPr>
      <w:r>
        <w:rPr>
          <w:rFonts w:ascii="Arial" w:cs="Arial" w:eastAsia="Arial" w:hAnsi="Arial"/>
          <w:sz w:val="16"/>
          <w:szCs w:val="16"/>
          <w:color w:val="auto"/>
        </w:rPr>
        <w:t>Threshold and maximum performance levels are set at 85% and 107%, respectively, of target. The threshold and maximum performance levels were narrowed around target in 2021 to increase the performance sensitivity of the AIP. There is no payout on the Financial Objective Factor if performance is below the threshold. At threshold, the payout percentage curve begins at 50%. If performance is at the target level, the payout percentage is 100%. For performance at or above the maximum level of achievement, the payout percentage is capped at 200%.</w:t>
      </w:r>
    </w:p>
    <w:p>
      <w:pPr>
        <w:spacing w:after="0" w:line="162" w:lineRule="exact"/>
        <w:rPr>
          <w:sz w:val="20"/>
          <w:szCs w:val="20"/>
          <w:color w:val="auto"/>
        </w:rPr>
      </w:pPr>
    </w:p>
    <w:p>
      <w:pPr>
        <w:ind w:left="160" w:right="100"/>
        <w:spacing w:after="0" w:line="247" w:lineRule="auto"/>
        <w:rPr>
          <w:sz w:val="20"/>
          <w:szCs w:val="20"/>
          <w:color w:val="auto"/>
        </w:rPr>
      </w:pPr>
      <w:r>
        <w:rPr>
          <w:rFonts w:ascii="Arial" w:cs="Arial" w:eastAsia="Arial" w:hAnsi="Arial"/>
          <w:sz w:val="16"/>
          <w:szCs w:val="16"/>
          <w:color w:val="auto"/>
        </w:rPr>
        <w:t>The financial objective measure as originally established was adjusted to exclude forecasted performance contributions from Unified Brands following its sale on December 1, 2021, and to include forecasted contributions from the acquisitions of Innovative Control Systems, Inc. on December 30, 2020, AvaLAN Wireless Systems, Incorporated on April 19, 2021, Quantex Arc Limited on June 23, 2021, Blue Bite LLC on June 24, 2021, CDS Visual, Inc. on July 23, 2021, The Espy Corporation on September 15, 2021, LIQAL B.V. on October 15, 2021, Acme Cryogenics, Inc. on December 16, 2021, and Engineered Controls International, LLC on December 28, 2021.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52</w:t>
      </w:r>
    </w:p>
    <w:p>
      <w:pPr>
        <w:sectPr>
          <w:pgSz w:w="11900" w:h="16838" w:orient="portrait"/>
          <w:cols w:equalWidth="0" w:num="1">
            <w:col w:w="11080"/>
          </w:cols>
          <w:pgMar w:left="320" w:top="456"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2021 AIP Financial Objective Factor – Results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Following the end of 2021, we calculated the Financial Objective Factor as follows: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225"/>
        </w:trPr>
        <w:tc>
          <w:tcPr>
            <w:tcW w:w="29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2021 AIP FINANCIAL OBJECTIVE RESULTS (in millions)</w:t>
            </w:r>
          </w:p>
        </w:tc>
        <w:tc>
          <w:tcPr>
            <w:tcW w:w="1400" w:type="dxa"/>
            <w:vAlign w:val="bottom"/>
            <w:tcBorders>
              <w:bottom w:val="single" w:sz="8" w:color="auto"/>
            </w:tcBorders>
          </w:tcPr>
          <w:p>
            <w:pPr>
              <w:spacing w:after="0"/>
              <w:rPr>
                <w:sz w:val="19"/>
                <w:szCs w:val="19"/>
                <w:color w:val="auto"/>
              </w:rPr>
            </w:pPr>
          </w:p>
        </w:tc>
      </w:tr>
      <w:tr>
        <w:trPr>
          <w:trHeight w:val="182"/>
        </w:trPr>
        <w:tc>
          <w:tcPr>
            <w:tcW w:w="2900" w:type="dxa"/>
            <w:vAlign w:val="bottom"/>
          </w:tcPr>
          <w:p>
            <w:pPr>
              <w:spacing w:after="0"/>
              <w:rPr>
                <w:sz w:val="15"/>
                <w:szCs w:val="15"/>
                <w:color w:val="auto"/>
              </w:rPr>
            </w:pPr>
          </w:p>
        </w:tc>
        <w:tc>
          <w:tcPr>
            <w:tcW w:w="1880" w:type="dxa"/>
            <w:vAlign w:val="bottom"/>
          </w:tcPr>
          <w:p>
            <w:pPr>
              <w:jc w:val="center"/>
              <w:ind w:left="140"/>
              <w:spacing w:after="0" w:line="183" w:lineRule="exact"/>
              <w:rPr>
                <w:sz w:val="20"/>
                <w:szCs w:val="20"/>
                <w:color w:val="auto"/>
              </w:rPr>
            </w:pPr>
            <w:r>
              <w:rPr>
                <w:rFonts w:ascii="Arial" w:cs="Arial" w:eastAsia="Arial" w:hAnsi="Arial"/>
                <w:sz w:val="16"/>
                <w:szCs w:val="16"/>
                <w:b w:val="1"/>
                <w:bCs w:val="1"/>
                <w:color w:val="auto"/>
              </w:rPr>
              <w:t>TARGET</w:t>
            </w:r>
          </w:p>
        </w:tc>
        <w:tc>
          <w:tcPr>
            <w:tcW w:w="1560" w:type="dxa"/>
            <w:vAlign w:val="bottom"/>
          </w:tcPr>
          <w:p>
            <w:pPr>
              <w:jc w:val="center"/>
              <w:ind w:left="20"/>
              <w:spacing w:after="0" w:line="183" w:lineRule="exact"/>
              <w:rPr>
                <w:sz w:val="20"/>
                <w:szCs w:val="20"/>
                <w:color w:val="auto"/>
              </w:rPr>
            </w:pPr>
            <w:r>
              <w:rPr>
                <w:rFonts w:ascii="Arial" w:cs="Arial" w:eastAsia="Arial" w:hAnsi="Arial"/>
                <w:sz w:val="16"/>
                <w:szCs w:val="16"/>
                <w:b w:val="1"/>
                <w:bCs w:val="1"/>
                <w:color w:val="auto"/>
              </w:rPr>
              <w:t>ACTUAL</w:t>
            </w:r>
          </w:p>
        </w:tc>
        <w:tc>
          <w:tcPr>
            <w:tcW w:w="1500" w:type="dxa"/>
            <w:vAlign w:val="bottom"/>
          </w:tcPr>
          <w:p>
            <w:pPr>
              <w:jc w:val="center"/>
              <w:ind w:left="40"/>
              <w:spacing w:after="0" w:line="183" w:lineRule="exact"/>
              <w:rPr>
                <w:sz w:val="20"/>
                <w:szCs w:val="20"/>
                <w:color w:val="auto"/>
              </w:rPr>
            </w:pPr>
            <w:r>
              <w:rPr>
                <w:rFonts w:ascii="Arial" w:cs="Arial" w:eastAsia="Arial" w:hAnsi="Arial"/>
                <w:sz w:val="16"/>
                <w:szCs w:val="16"/>
                <w:b w:val="1"/>
                <w:bCs w:val="1"/>
                <w:color w:val="auto"/>
                <w:w w:val="96"/>
              </w:rPr>
              <w:t>PAYOUT%</w:t>
            </w:r>
          </w:p>
        </w:tc>
        <w:tc>
          <w:tcPr>
            <w:tcW w:w="16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9"/>
              </w:rPr>
              <w:t>WEIGHTING</w:t>
            </w:r>
          </w:p>
        </w:tc>
        <w:tc>
          <w:tcPr>
            <w:tcW w:w="1400" w:type="dxa"/>
            <w:vAlign w:val="bottom"/>
          </w:tcPr>
          <w:p>
            <w:pPr>
              <w:jc w:val="center"/>
              <w:ind w:left="120"/>
              <w:spacing w:after="0" w:line="183" w:lineRule="exact"/>
              <w:rPr>
                <w:sz w:val="20"/>
                <w:szCs w:val="20"/>
                <w:color w:val="auto"/>
              </w:rPr>
            </w:pPr>
            <w:r>
              <w:rPr>
                <w:rFonts w:ascii="Arial" w:cs="Arial" w:eastAsia="Arial" w:hAnsi="Arial"/>
                <w:sz w:val="16"/>
                <w:szCs w:val="16"/>
                <w:b w:val="1"/>
                <w:bCs w:val="1"/>
                <w:color w:val="auto"/>
              </w:rPr>
              <w:t>WEIGHTED</w:t>
            </w:r>
          </w:p>
        </w:tc>
      </w:tr>
      <w:tr>
        <w:trPr>
          <w:trHeight w:val="187"/>
        </w:trPr>
        <w:tc>
          <w:tcPr>
            <w:tcW w:w="2900" w:type="dxa"/>
            <w:vAlign w:val="bottom"/>
          </w:tcPr>
          <w:p>
            <w:pPr>
              <w:spacing w:after="0"/>
              <w:rPr>
                <w:sz w:val="16"/>
                <w:szCs w:val="16"/>
                <w:color w:val="auto"/>
              </w:rPr>
            </w:pPr>
          </w:p>
        </w:tc>
        <w:tc>
          <w:tcPr>
            <w:tcW w:w="1880" w:type="dxa"/>
            <w:vAlign w:val="bottom"/>
          </w:tcPr>
          <w:p>
            <w:pPr>
              <w:jc w:val="center"/>
              <w:ind w:left="140"/>
              <w:spacing w:after="0"/>
              <w:rPr>
                <w:sz w:val="20"/>
                <w:szCs w:val="20"/>
                <w:color w:val="auto"/>
              </w:rPr>
            </w:pPr>
            <w:r>
              <w:rPr>
                <w:rFonts w:ascii="Arial" w:cs="Arial" w:eastAsia="Arial" w:hAnsi="Arial"/>
                <w:sz w:val="16"/>
                <w:szCs w:val="16"/>
                <w:b w:val="1"/>
                <w:bCs w:val="1"/>
                <w:color w:val="auto"/>
              </w:rPr>
              <w:t>PERFORMANCE</w:t>
            </w:r>
          </w:p>
        </w:tc>
        <w:tc>
          <w:tcPr>
            <w:tcW w:w="1560" w:type="dxa"/>
            <w:vAlign w:val="bottom"/>
          </w:tcPr>
          <w:p>
            <w:pPr>
              <w:jc w:val="center"/>
              <w:ind w:left="20"/>
              <w:spacing w:after="0"/>
              <w:rPr>
                <w:sz w:val="20"/>
                <w:szCs w:val="20"/>
                <w:color w:val="auto"/>
              </w:rPr>
            </w:pPr>
            <w:r>
              <w:rPr>
                <w:rFonts w:ascii="Arial" w:cs="Arial" w:eastAsia="Arial" w:hAnsi="Arial"/>
                <w:sz w:val="16"/>
                <w:szCs w:val="16"/>
                <w:b w:val="1"/>
                <w:bCs w:val="1"/>
                <w:color w:val="auto"/>
              </w:rPr>
              <w:t>PERFORMANCE</w:t>
            </w:r>
          </w:p>
        </w:tc>
        <w:tc>
          <w:tcPr>
            <w:tcW w:w="1500" w:type="dxa"/>
            <w:vAlign w:val="bottom"/>
          </w:tcPr>
          <w:p>
            <w:pPr>
              <w:jc w:val="center"/>
              <w:ind w:left="40"/>
              <w:spacing w:after="0"/>
              <w:rPr>
                <w:sz w:val="20"/>
                <w:szCs w:val="20"/>
                <w:color w:val="auto"/>
              </w:rPr>
            </w:pPr>
            <w:r>
              <w:rPr>
                <w:rFonts w:ascii="Arial" w:cs="Arial" w:eastAsia="Arial" w:hAnsi="Arial"/>
                <w:sz w:val="16"/>
                <w:szCs w:val="16"/>
                <w:b w:val="1"/>
                <w:bCs w:val="1"/>
                <w:color w:val="auto"/>
              </w:rPr>
              <w:t>(BEFORE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OF MEASURE</w:t>
            </w:r>
          </w:p>
        </w:tc>
        <w:tc>
          <w:tcPr>
            <w:tcW w:w="1400" w:type="dxa"/>
            <w:vAlign w:val="bottom"/>
          </w:tcPr>
          <w:p>
            <w:pPr>
              <w:jc w:val="center"/>
              <w:ind w:left="120"/>
              <w:spacing w:after="0"/>
              <w:rPr>
                <w:sz w:val="20"/>
                <w:szCs w:val="20"/>
                <w:color w:val="auto"/>
              </w:rPr>
            </w:pPr>
            <w:r>
              <w:rPr>
                <w:rFonts w:ascii="Arial" w:cs="Arial" w:eastAsia="Arial" w:hAnsi="Arial"/>
                <w:sz w:val="16"/>
                <w:szCs w:val="16"/>
                <w:b w:val="1"/>
                <w:bCs w:val="1"/>
                <w:color w:val="auto"/>
                <w:w w:val="98"/>
              </w:rPr>
              <w:t>PAYOUT%</w:t>
            </w:r>
          </w:p>
        </w:tc>
      </w:tr>
      <w:tr>
        <w:trPr>
          <w:trHeight w:val="225"/>
        </w:trPr>
        <w:tc>
          <w:tcPr>
            <w:tcW w:w="29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b w:val="1"/>
                <w:bCs w:val="1"/>
                <w:color w:val="auto"/>
              </w:rPr>
              <w:t>LEVEL</w:t>
            </w:r>
          </w:p>
        </w:tc>
        <w:tc>
          <w:tcPr>
            <w:tcW w:w="156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rPr>
              <w:t>LEVEL</w:t>
            </w:r>
          </w:p>
        </w:tc>
        <w:tc>
          <w:tcPr>
            <w:tcW w:w="150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rPr>
              <w:t>WEIGHTING)</w:t>
            </w:r>
          </w:p>
        </w:tc>
        <w:tc>
          <w:tcPr>
            <w:tcW w:w="16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41"/>
        </w:trPr>
        <w:tc>
          <w:tcPr>
            <w:tcW w:w="2900" w:type="dxa"/>
            <w:vAlign w:val="bottom"/>
            <w:tcBorders>
              <w:bottom w:val="single" w:sz="8" w:color="auto"/>
            </w:tcBorders>
          </w:tcPr>
          <w:p>
            <w:pPr>
              <w:ind w:left="100"/>
              <w:spacing w:after="0" w:line="241" w:lineRule="exact"/>
              <w:rPr>
                <w:sz w:val="20"/>
                <w:szCs w:val="20"/>
                <w:color w:val="auto"/>
              </w:rPr>
            </w:pPr>
            <w:r>
              <w:rPr>
                <w:rFonts w:ascii="Arial" w:cs="Arial" w:eastAsia="Arial" w:hAnsi="Arial"/>
                <w:sz w:val="16"/>
                <w:szCs w:val="16"/>
                <w:color w:val="auto"/>
              </w:rPr>
              <w:t>Adjusted Earnings</w:t>
            </w:r>
            <w:r>
              <w:rPr>
                <w:rFonts w:ascii="Arial" w:cs="Arial" w:eastAsia="Arial" w:hAnsi="Arial"/>
                <w:sz w:val="27"/>
                <w:szCs w:val="27"/>
                <w:color w:val="auto"/>
                <w:vertAlign w:val="superscript"/>
              </w:rPr>
              <w:t>(1)</w:t>
            </w:r>
          </w:p>
        </w:tc>
        <w:tc>
          <w:tcPr>
            <w:tcW w:w="188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color w:val="auto"/>
              </w:rPr>
              <w:t>$902</w:t>
            </w:r>
          </w:p>
        </w:tc>
        <w:tc>
          <w:tcPr>
            <w:tcW w:w="156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color w:val="auto"/>
                <w:w w:val="98"/>
              </w:rPr>
              <w:t>$1,109</w:t>
            </w:r>
          </w:p>
        </w:tc>
        <w:tc>
          <w:tcPr>
            <w:tcW w:w="1500" w:type="dxa"/>
            <w:vAlign w:val="bottom"/>
            <w:tcBorders>
              <w:bottom w:val="single" w:sz="8" w:color="auto"/>
            </w:tcBorders>
          </w:tcPr>
          <w:p>
            <w:pPr>
              <w:jc w:val="center"/>
              <w:ind w:left="40"/>
              <w:spacing w:after="0" w:line="241" w:lineRule="exact"/>
              <w:rPr>
                <w:sz w:val="20"/>
                <w:szCs w:val="20"/>
                <w:color w:val="auto"/>
              </w:rPr>
            </w:pPr>
            <w:r>
              <w:rPr>
                <w:rFonts w:ascii="Arial" w:cs="Arial" w:eastAsia="Arial" w:hAnsi="Arial"/>
                <w:sz w:val="16"/>
                <w:szCs w:val="16"/>
                <w:color w:val="auto"/>
                <w:w w:val="92"/>
              </w:rPr>
              <w:t>200%</w:t>
            </w:r>
            <w:r>
              <w:rPr>
                <w:rFonts w:ascii="Arial" w:cs="Arial" w:eastAsia="Arial" w:hAnsi="Arial"/>
                <w:sz w:val="27"/>
                <w:szCs w:val="27"/>
                <w:color w:val="auto"/>
                <w:w w:val="92"/>
                <w:vertAlign w:val="superscript"/>
              </w:rPr>
              <w:t>(2)</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60%</w:t>
            </w:r>
          </w:p>
        </w:tc>
        <w:tc>
          <w:tcPr>
            <w:tcW w:w="1400" w:type="dxa"/>
            <w:vAlign w:val="bottom"/>
            <w:tcBorders>
              <w:bottom w:val="single" w:sz="8" w:color="auto"/>
            </w:tcBorders>
          </w:tcPr>
          <w:p>
            <w:pPr>
              <w:jc w:val="center"/>
              <w:ind w:left="160"/>
              <w:spacing w:after="0"/>
              <w:rPr>
                <w:sz w:val="20"/>
                <w:szCs w:val="20"/>
                <w:color w:val="auto"/>
              </w:rPr>
            </w:pPr>
            <w:r>
              <w:rPr>
                <w:rFonts w:ascii="Arial" w:cs="Arial" w:eastAsia="Arial" w:hAnsi="Arial"/>
                <w:sz w:val="16"/>
                <w:szCs w:val="16"/>
                <w:color w:val="auto"/>
                <w:w w:val="97"/>
              </w:rPr>
              <w:t>120%</w:t>
            </w:r>
          </w:p>
        </w:tc>
      </w:tr>
      <w:tr>
        <w:trPr>
          <w:trHeight w:val="227"/>
        </w:trPr>
        <w:tc>
          <w:tcPr>
            <w:tcW w:w="29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i w:val="1"/>
                <w:iCs w:val="1"/>
                <w:color w:val="auto"/>
              </w:rPr>
              <w:t>Financial Objective Factor</w:t>
            </w:r>
          </w:p>
        </w:tc>
        <w:tc>
          <w:tcPr>
            <w:tcW w:w="140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color w:val="021496"/>
                <w:w w:val="97"/>
              </w:rPr>
              <w:t>120%</w:t>
            </w:r>
          </w:p>
        </w:tc>
      </w:tr>
      <w:tr>
        <w:trPr>
          <w:trHeight w:val="221"/>
        </w:trPr>
        <w:tc>
          <w:tcPr>
            <w:tcW w:w="2900" w:type="dxa"/>
            <w:vAlign w:val="bottom"/>
            <w:tcBorders>
              <w:bottom w:val="single" w:sz="8" w:color="auto"/>
            </w:tcBorders>
            <w:shd w:val="clear" w:color="auto" w:fill="021496"/>
          </w:tcPr>
          <w:p>
            <w:pPr>
              <w:ind w:left="100"/>
              <w:spacing w:after="0"/>
              <w:rPr>
                <w:sz w:val="20"/>
                <w:szCs w:val="20"/>
                <w:color w:val="auto"/>
              </w:rPr>
            </w:pPr>
            <w:r>
              <w:rPr>
                <w:rFonts w:ascii="Arial" w:cs="Arial" w:eastAsia="Arial" w:hAnsi="Arial"/>
                <w:sz w:val="16"/>
                <w:szCs w:val="16"/>
                <w:b w:val="1"/>
                <w:bCs w:val="1"/>
                <w:i w:val="1"/>
                <w:iCs w:val="1"/>
                <w:color w:val="FFFFFF"/>
              </w:rPr>
              <w:t>Performance Payout Curve</w:t>
            </w:r>
          </w:p>
        </w:tc>
        <w:tc>
          <w:tcPr>
            <w:tcW w:w="1880" w:type="dxa"/>
            <w:vAlign w:val="bottom"/>
            <w:tcBorders>
              <w:bottom w:val="single" w:sz="8" w:color="auto"/>
            </w:tcBorders>
            <w:shd w:val="clear" w:color="auto" w:fill="021496"/>
          </w:tcPr>
          <w:p>
            <w:pPr>
              <w:spacing w:after="0"/>
              <w:rPr>
                <w:sz w:val="19"/>
                <w:szCs w:val="19"/>
                <w:color w:val="auto"/>
              </w:rPr>
            </w:pPr>
          </w:p>
        </w:tc>
        <w:tc>
          <w:tcPr>
            <w:tcW w:w="1560" w:type="dxa"/>
            <w:vAlign w:val="bottom"/>
            <w:tcBorders>
              <w:bottom w:val="single" w:sz="8" w:color="auto"/>
            </w:tcBorders>
            <w:shd w:val="clear" w:color="auto" w:fill="021496"/>
          </w:tcPr>
          <w:p>
            <w:pPr>
              <w:spacing w:after="0"/>
              <w:rPr>
                <w:sz w:val="19"/>
                <w:szCs w:val="19"/>
                <w:color w:val="auto"/>
              </w:rPr>
            </w:pPr>
          </w:p>
        </w:tc>
        <w:tc>
          <w:tcPr>
            <w:tcW w:w="1500" w:type="dxa"/>
            <w:vAlign w:val="bottom"/>
            <w:tcBorders>
              <w:bottom w:val="single" w:sz="8" w:color="auto"/>
            </w:tcBorders>
            <w:shd w:val="clear" w:color="auto" w:fill="021496"/>
          </w:tcPr>
          <w:p>
            <w:pPr>
              <w:spacing w:after="0"/>
              <w:rPr>
                <w:sz w:val="19"/>
                <w:szCs w:val="19"/>
                <w:color w:val="auto"/>
              </w:rPr>
            </w:pPr>
          </w:p>
        </w:tc>
        <w:tc>
          <w:tcPr>
            <w:tcW w:w="1680" w:type="dxa"/>
            <w:vAlign w:val="bottom"/>
            <w:tcBorders>
              <w:bottom w:val="single" w:sz="8" w:color="auto"/>
            </w:tcBorders>
            <w:shd w:val="clear" w:color="auto" w:fill="021496"/>
          </w:tcPr>
          <w:p>
            <w:pPr>
              <w:spacing w:after="0"/>
              <w:rPr>
                <w:sz w:val="19"/>
                <w:szCs w:val="19"/>
                <w:color w:val="auto"/>
              </w:rPr>
            </w:pPr>
          </w:p>
        </w:tc>
        <w:tc>
          <w:tcPr>
            <w:tcW w:w="1400" w:type="dxa"/>
            <w:vAlign w:val="bottom"/>
            <w:tcBorders>
              <w:bottom w:val="single" w:sz="8" w:color="auto"/>
            </w:tcBorders>
            <w:shd w:val="clear" w:color="auto" w:fill="021496"/>
          </w:tcPr>
          <w:p>
            <w:pPr>
              <w:spacing w:after="0"/>
              <w:rPr>
                <w:sz w:val="19"/>
                <w:szCs w:val="19"/>
                <w:color w:val="auto"/>
              </w:rPr>
            </w:pPr>
          </w:p>
        </w:tc>
      </w:tr>
      <w:tr>
        <w:trPr>
          <w:trHeight w:val="182"/>
        </w:trPr>
        <w:tc>
          <w:tcPr>
            <w:tcW w:w="2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8"/>
              </w:rPr>
              <w:t>PERFORMANCE</w:t>
            </w:r>
          </w:p>
        </w:tc>
        <w:tc>
          <w:tcPr>
            <w:tcW w:w="1400" w:type="dxa"/>
            <w:vAlign w:val="bottom"/>
          </w:tcPr>
          <w:p>
            <w:pPr>
              <w:jc w:val="center"/>
              <w:ind w:left="120"/>
              <w:spacing w:after="0" w:line="183" w:lineRule="exact"/>
              <w:rPr>
                <w:sz w:val="20"/>
                <w:szCs w:val="20"/>
                <w:color w:val="auto"/>
              </w:rPr>
            </w:pPr>
            <w:r>
              <w:rPr>
                <w:rFonts w:ascii="Arial" w:cs="Arial" w:eastAsia="Arial" w:hAnsi="Arial"/>
                <w:sz w:val="16"/>
                <w:szCs w:val="16"/>
                <w:b w:val="1"/>
                <w:bCs w:val="1"/>
                <w:color w:val="auto"/>
                <w:w w:val="95"/>
              </w:rPr>
              <w:t>PAYOUT</w:t>
            </w:r>
          </w:p>
        </w:tc>
      </w:tr>
      <w:tr>
        <w:trPr>
          <w:trHeight w:val="239"/>
        </w:trPr>
        <w:tc>
          <w:tcPr>
            <w:tcW w:w="29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w:t>
            </w:r>
          </w:p>
        </w:tc>
        <w:tc>
          <w:tcPr>
            <w:tcW w:w="14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PERCENTAGE</w:t>
            </w:r>
          </w:p>
        </w:tc>
      </w:tr>
      <w:tr>
        <w:trPr>
          <w:trHeight w:val="234"/>
        </w:trPr>
        <w:tc>
          <w:tcPr>
            <w:tcW w:w="29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color w:val="auto"/>
                <w:w w:val="98"/>
              </w:rPr>
              <w:t>Threshold</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85%</w:t>
            </w:r>
          </w:p>
        </w:tc>
        <w:tc>
          <w:tcPr>
            <w:tcW w:w="140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color w:val="auto"/>
                <w:w w:val="99"/>
              </w:rPr>
              <w:t>50%</w:t>
            </w:r>
          </w:p>
        </w:tc>
      </w:tr>
      <w:tr>
        <w:trPr>
          <w:trHeight w:val="234"/>
        </w:trPr>
        <w:tc>
          <w:tcPr>
            <w:tcW w:w="29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color w:val="auto"/>
                <w:w w:val="99"/>
              </w:rPr>
              <w:t>Target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140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color w:val="auto"/>
                <w:w w:val="97"/>
              </w:rPr>
              <w:t>100%</w:t>
            </w:r>
          </w:p>
        </w:tc>
      </w:tr>
      <w:tr>
        <w:trPr>
          <w:trHeight w:val="234"/>
        </w:trPr>
        <w:tc>
          <w:tcPr>
            <w:tcW w:w="29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color w:val="auto"/>
              </w:rPr>
              <w:t>Maximum</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107%</w:t>
            </w:r>
          </w:p>
        </w:tc>
        <w:tc>
          <w:tcPr>
            <w:tcW w:w="140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color w:val="auto"/>
                <w:w w:val="97"/>
              </w:rPr>
              <w:t>200%</w:t>
            </w:r>
          </w:p>
        </w:tc>
      </w:tr>
    </w:tbl>
    <w:p>
      <w:pPr>
        <w:spacing w:after="0" w:line="66" w:lineRule="exact"/>
        <w:rPr>
          <w:sz w:val="20"/>
          <w:szCs w:val="20"/>
          <w:color w:val="auto"/>
        </w:rPr>
      </w:pPr>
    </w:p>
    <w:p>
      <w:pPr>
        <w:ind w:left="1020" w:hanging="425"/>
        <w:spacing w:after="0"/>
        <w:tabs>
          <w:tab w:leader="none" w:pos="102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Definitions and reconciliations of non-GAAP measures are included at the end of this proxy statement.</w:t>
      </w:r>
    </w:p>
    <w:p>
      <w:pPr>
        <w:spacing w:after="0" w:line="123" w:lineRule="exact"/>
        <w:rPr>
          <w:rFonts w:ascii="Arial" w:cs="Arial" w:eastAsia="Arial" w:hAnsi="Arial"/>
          <w:sz w:val="16"/>
          <w:szCs w:val="16"/>
          <w:i w:val="1"/>
          <w:iCs w:val="1"/>
          <w:color w:val="auto"/>
        </w:rPr>
      </w:pPr>
    </w:p>
    <w:p>
      <w:pPr>
        <w:ind w:left="1020" w:right="120" w:hanging="425"/>
        <w:spacing w:after="0" w:line="277" w:lineRule="auto"/>
        <w:tabs>
          <w:tab w:leader="none" w:pos="102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The payout percentage for the Adjusted Earnings Financial Objective Factor would also have been at the maximum performance level using the performance levels in effect in 2020.</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2021 AIP Individual Strategic Objectives Factor</w:t>
      </w:r>
    </w:p>
    <w:p>
      <w:pPr>
        <w:spacing w:after="0" w:line="193" w:lineRule="exact"/>
        <w:rPr>
          <w:sz w:val="20"/>
          <w:szCs w:val="20"/>
          <w:color w:val="auto"/>
        </w:rPr>
      </w:pPr>
    </w:p>
    <w:p>
      <w:pPr>
        <w:ind w:left="160" w:right="240"/>
        <w:spacing w:after="0" w:line="246" w:lineRule="auto"/>
        <w:rPr>
          <w:sz w:val="20"/>
          <w:szCs w:val="20"/>
          <w:color w:val="auto"/>
        </w:rPr>
      </w:pPr>
      <w:r>
        <w:rPr>
          <w:rFonts w:ascii="Arial" w:cs="Arial" w:eastAsia="Arial" w:hAnsi="Arial"/>
          <w:sz w:val="16"/>
          <w:szCs w:val="16"/>
          <w:color w:val="auto"/>
        </w:rPr>
        <w:t>The Strategic Objectives Factor is based on the achievement of individual strategic objectives designed to create long-term value for our shareholders. The strategic objectives for the CEO were developed by our Compensation Committee at the beginning of the year, approved by our independent directors, and communicated to the CEO in February. The individual strategic objectives were based on specific strategic initiatives that the Board and management agreed were important to achieve in 2021. These objectives were cascaded to the CEO’s direct reports, as appropriate, based on their responsibilities or business portfolio. The Board monitored progress on the CEO’s strategic objectives and, following the end of the year, reviewed the CEO’s performance against these objectives when determining his annual bonus.</w:t>
      </w:r>
    </w:p>
    <w:p>
      <w:pPr>
        <w:spacing w:after="0" w:line="179" w:lineRule="exact"/>
        <w:rPr>
          <w:sz w:val="20"/>
          <w:szCs w:val="20"/>
          <w:color w:val="auto"/>
        </w:rPr>
      </w:pPr>
    </w:p>
    <w:p>
      <w:pPr>
        <w:ind w:left="160" w:right="240"/>
        <w:spacing w:after="0" w:line="248" w:lineRule="auto"/>
        <w:rPr>
          <w:sz w:val="20"/>
          <w:szCs w:val="20"/>
          <w:color w:val="auto"/>
        </w:rPr>
      </w:pPr>
      <w:r>
        <w:rPr>
          <w:rFonts w:ascii="Arial" w:cs="Arial" w:eastAsia="Arial" w:hAnsi="Arial"/>
          <w:sz w:val="16"/>
          <w:szCs w:val="16"/>
          <w:color w:val="auto"/>
        </w:rPr>
        <w:t>Following the end of 2021, our Compensation Committee determined for each NEO a Strategic Objectives Factor between 0% and 200%. Our Compensation Committee believes such judgment is an important risk-mitigating element to our compensation program and provides an opportunity to further align executive compensation with long-term value creation. To make this determination, our Compensation Committee took into account each executive’s execution against his or her personal strategic objectives for the year and the executive’s overall performance for the year.</w:t>
      </w:r>
    </w:p>
    <w:p>
      <w:pPr>
        <w:spacing w:after="0" w:line="116"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53</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Strategic Objectives Factor — CEO</w:t>
      </w:r>
    </w:p>
    <w:p>
      <w:pPr>
        <w:spacing w:after="0" w:line="206" w:lineRule="exact"/>
        <w:rPr>
          <w:sz w:val="20"/>
          <w:szCs w:val="20"/>
          <w:color w:val="auto"/>
        </w:rPr>
      </w:pPr>
    </w:p>
    <w:p>
      <w:pPr>
        <w:ind w:left="160" w:right="700"/>
        <w:spacing w:after="0" w:line="256" w:lineRule="auto"/>
        <w:rPr>
          <w:sz w:val="20"/>
          <w:szCs w:val="20"/>
          <w:color w:val="auto"/>
        </w:rPr>
      </w:pPr>
      <w:r>
        <w:rPr>
          <w:rFonts w:ascii="Arial" w:cs="Arial" w:eastAsia="Arial" w:hAnsi="Arial"/>
          <w:sz w:val="16"/>
          <w:szCs w:val="16"/>
          <w:color w:val="auto"/>
        </w:rPr>
        <w:t>The table below summarizes the individual strategic objectives, weightings, and results the Compensation Committee considered for our CEO in determining his Strategic Objectives Factor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123190</wp:posOffset>
            </wp:positionV>
            <wp:extent cx="6938010" cy="44418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38010" cy="4441825"/>
                    </a:xfrm>
                    <a:prstGeom prst="rect">
                      <a:avLst/>
                    </a:prstGeom>
                    <a:noFill/>
                  </pic:spPr>
                </pic:pic>
              </a:graphicData>
            </a:graphic>
          </wp:anchor>
        </w:drawing>
      </w:r>
    </w:p>
    <w:p>
      <w:pPr>
        <w:spacing w:after="0" w:line="215" w:lineRule="exact"/>
        <w:rPr>
          <w:sz w:val="20"/>
          <w:szCs w:val="20"/>
          <w:color w:val="auto"/>
        </w:rPr>
      </w:pPr>
    </w:p>
    <w:p>
      <w:pPr>
        <w:ind w:left="2540"/>
        <w:spacing w:after="0"/>
        <w:rPr>
          <w:sz w:val="20"/>
          <w:szCs w:val="20"/>
          <w:color w:val="auto"/>
        </w:rPr>
      </w:pPr>
      <w:r>
        <w:rPr>
          <w:rFonts w:ascii="Arial" w:cs="Arial" w:eastAsia="Arial" w:hAnsi="Arial"/>
          <w:sz w:val="17"/>
          <w:szCs w:val="17"/>
          <w:b w:val="1"/>
          <w:bCs w:val="1"/>
          <w:i w:val="1"/>
          <w:iCs w:val="1"/>
          <w:color w:val="FFFFFF"/>
        </w:rPr>
        <w:t>Strategic Objectives &amp; Accomplishments – Richard J. Tobin (President &amp; CEO)</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Capital Markets (16.67%)</w:t>
      </w:r>
    </w:p>
    <w:p>
      <w:pPr>
        <w:spacing w:after="0" w:line="157" w:lineRule="exact"/>
        <w:rPr>
          <w:sz w:val="20"/>
          <w:szCs w:val="20"/>
          <w:color w:val="auto"/>
        </w:rPr>
      </w:pPr>
    </w:p>
    <w:p>
      <w:pPr>
        <w:ind w:left="640" w:hanging="317"/>
        <w:spacing w:after="0"/>
        <w:tabs>
          <w:tab w:leader="none" w:pos="640" w:val="left"/>
        </w:tabs>
        <w:numPr>
          <w:ilvl w:val="0"/>
          <w:numId w:val="60"/>
        </w:numPr>
        <w:rPr>
          <w:rFonts w:ascii="MS PGothic" w:cs="MS PGothic" w:eastAsia="MS PGothic" w:hAnsi="MS PGothic"/>
          <w:sz w:val="17"/>
          <w:szCs w:val="17"/>
          <w:color w:val="auto"/>
        </w:rPr>
      </w:pPr>
      <w:r>
        <w:rPr>
          <w:rFonts w:ascii="Arial" w:cs="Arial" w:eastAsia="Arial" w:hAnsi="Arial"/>
          <w:sz w:val="17"/>
          <w:szCs w:val="17"/>
          <w:color w:val="auto"/>
        </w:rPr>
        <w:t>Pursued active engagement with investors regarding our long-term strategy execution and value-creation priorities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Portfolio Management (16.67%)</w:t>
      </w:r>
    </w:p>
    <w:p>
      <w:pPr>
        <w:spacing w:after="0" w:line="278" w:lineRule="exact"/>
        <w:rPr>
          <w:sz w:val="20"/>
          <w:szCs w:val="20"/>
          <w:color w:val="auto"/>
        </w:rPr>
      </w:pPr>
    </w:p>
    <w:p>
      <w:pPr>
        <w:ind w:left="660" w:right="540" w:hanging="337"/>
        <w:spacing w:after="0" w:line="246" w:lineRule="auto"/>
        <w:tabs>
          <w:tab w:leader="none" w:pos="638" w:val="left"/>
        </w:tabs>
        <w:numPr>
          <w:ilvl w:val="0"/>
          <w:numId w:val="61"/>
        </w:numPr>
        <w:rPr>
          <w:rFonts w:ascii="MS PGothic" w:cs="MS PGothic" w:eastAsia="MS PGothic" w:hAnsi="MS PGothic"/>
          <w:sz w:val="17"/>
          <w:szCs w:val="17"/>
          <w:color w:val="auto"/>
        </w:rPr>
      </w:pPr>
      <w:r>
        <w:rPr>
          <w:rFonts w:ascii="Arial" w:cs="Arial" w:eastAsia="Arial" w:hAnsi="Arial"/>
          <w:sz w:val="17"/>
          <w:szCs w:val="17"/>
          <w:color w:val="auto"/>
        </w:rPr>
        <w:t>Continued to effectively deploy capital to increase the value of our portfolio including through acquisitions and investments in organic growth</w:t>
      </w:r>
    </w:p>
    <w:p>
      <w:pPr>
        <w:ind w:left="640" w:hanging="317"/>
        <w:spacing w:after="0"/>
        <w:tabs>
          <w:tab w:leader="none" w:pos="640" w:val="left"/>
        </w:tabs>
        <w:numPr>
          <w:ilvl w:val="0"/>
          <w:numId w:val="61"/>
        </w:numPr>
        <w:rPr>
          <w:rFonts w:ascii="MS PGothic" w:cs="MS PGothic" w:eastAsia="MS PGothic" w:hAnsi="MS PGothic"/>
          <w:sz w:val="17"/>
          <w:szCs w:val="17"/>
          <w:color w:val="auto"/>
        </w:rPr>
      </w:pPr>
      <w:r>
        <w:rPr>
          <w:rFonts w:ascii="Arial" w:cs="Arial" w:eastAsia="Arial" w:hAnsi="Arial"/>
          <w:sz w:val="17"/>
          <w:szCs w:val="17"/>
          <w:color w:val="auto"/>
        </w:rPr>
        <w:t>Successfully oversaw the integration of several recent acquisitions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Organic Investment and Capital Spending Program (16.67%)</w:t>
      </w:r>
    </w:p>
    <w:p>
      <w:pPr>
        <w:spacing w:after="0" w:line="278" w:lineRule="exact"/>
        <w:rPr>
          <w:sz w:val="20"/>
          <w:szCs w:val="20"/>
          <w:color w:val="auto"/>
        </w:rPr>
      </w:pPr>
    </w:p>
    <w:p>
      <w:pPr>
        <w:ind w:left="660" w:right="140" w:hanging="337"/>
        <w:spacing w:after="0" w:line="242" w:lineRule="auto"/>
        <w:tabs>
          <w:tab w:leader="none" w:pos="638" w:val="left"/>
        </w:tabs>
        <w:numPr>
          <w:ilvl w:val="0"/>
          <w:numId w:val="62"/>
        </w:numPr>
        <w:rPr>
          <w:rFonts w:ascii="MS PGothic" w:cs="MS PGothic" w:eastAsia="MS PGothic" w:hAnsi="MS PGothic"/>
          <w:sz w:val="17"/>
          <w:szCs w:val="17"/>
          <w:color w:val="auto"/>
        </w:rPr>
      </w:pPr>
      <w:r>
        <w:rPr>
          <w:rFonts w:ascii="Arial" w:cs="Arial" w:eastAsia="Arial" w:hAnsi="Arial"/>
          <w:sz w:val="17"/>
          <w:szCs w:val="17"/>
          <w:color w:val="auto"/>
        </w:rPr>
        <w:t>Made progress on three-year capital structure plan to support our capital allocation priorities (organic investments, strategic acquisitions, and the return of capital to our shareholders) including in presentations to investors regarding our long-term strategy execution and value-creation priorities</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Talent, Succession Planning &amp; Workforce Diversity (16.67%)</w:t>
      </w:r>
    </w:p>
    <w:p>
      <w:pPr>
        <w:spacing w:after="0" w:line="278" w:lineRule="exact"/>
        <w:rPr>
          <w:sz w:val="20"/>
          <w:szCs w:val="20"/>
          <w:color w:val="auto"/>
        </w:rPr>
      </w:pPr>
    </w:p>
    <w:p>
      <w:pPr>
        <w:ind w:left="660" w:right="160" w:hanging="337"/>
        <w:spacing w:after="0" w:line="246" w:lineRule="auto"/>
        <w:tabs>
          <w:tab w:leader="none" w:pos="638" w:val="left"/>
        </w:tabs>
        <w:numPr>
          <w:ilvl w:val="0"/>
          <w:numId w:val="63"/>
        </w:numPr>
        <w:rPr>
          <w:rFonts w:ascii="MS PGothic" w:cs="MS PGothic" w:eastAsia="MS PGothic" w:hAnsi="MS PGothic"/>
          <w:sz w:val="17"/>
          <w:szCs w:val="17"/>
          <w:color w:val="auto"/>
        </w:rPr>
      </w:pPr>
      <w:r>
        <w:rPr>
          <w:rFonts w:ascii="Arial" w:cs="Arial" w:eastAsia="Arial" w:hAnsi="Arial"/>
          <w:sz w:val="17"/>
          <w:szCs w:val="17"/>
          <w:color w:val="auto"/>
        </w:rPr>
        <w:t>Completed several objectives in the multi-year strategy to help ensure that our culture continues to take an inclusive approach that values diversity</w:t>
      </w:r>
    </w:p>
    <w:p>
      <w:pPr>
        <w:ind w:left="640" w:hanging="317"/>
        <w:spacing w:after="0"/>
        <w:tabs>
          <w:tab w:leader="none" w:pos="640" w:val="left"/>
        </w:tabs>
        <w:numPr>
          <w:ilvl w:val="0"/>
          <w:numId w:val="63"/>
        </w:numPr>
        <w:rPr>
          <w:rFonts w:ascii="MS PGothic" w:cs="MS PGothic" w:eastAsia="MS PGothic" w:hAnsi="MS PGothic"/>
          <w:sz w:val="17"/>
          <w:szCs w:val="17"/>
          <w:color w:val="auto"/>
        </w:rPr>
      </w:pPr>
      <w:r>
        <w:rPr>
          <w:rFonts w:ascii="Arial" w:cs="Arial" w:eastAsia="Arial" w:hAnsi="Arial"/>
          <w:sz w:val="17"/>
          <w:szCs w:val="17"/>
          <w:color w:val="auto"/>
        </w:rPr>
        <w:t>Completed talent and succession planning review</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ESG (16.67%)</w:t>
      </w:r>
    </w:p>
    <w:p>
      <w:pPr>
        <w:spacing w:after="0" w:line="278" w:lineRule="exact"/>
        <w:rPr>
          <w:sz w:val="20"/>
          <w:szCs w:val="20"/>
          <w:color w:val="auto"/>
        </w:rPr>
      </w:pPr>
    </w:p>
    <w:p>
      <w:pPr>
        <w:ind w:left="660" w:right="220" w:hanging="337"/>
        <w:spacing w:after="0" w:line="255" w:lineRule="auto"/>
        <w:tabs>
          <w:tab w:leader="none" w:pos="638" w:val="left"/>
        </w:tabs>
        <w:numPr>
          <w:ilvl w:val="0"/>
          <w:numId w:val="64"/>
        </w:numPr>
        <w:rPr>
          <w:rFonts w:ascii="MS PGothic" w:cs="MS PGothic" w:eastAsia="MS PGothic" w:hAnsi="MS PGothic"/>
          <w:sz w:val="17"/>
          <w:szCs w:val="17"/>
          <w:color w:val="auto"/>
        </w:rPr>
      </w:pPr>
      <w:r>
        <w:rPr>
          <w:rFonts w:ascii="Arial" w:cs="Arial" w:eastAsia="Arial" w:hAnsi="Arial"/>
          <w:sz w:val="17"/>
          <w:szCs w:val="17"/>
          <w:color w:val="auto"/>
        </w:rPr>
        <w:t>Successfully implemented the second year of a multi-year ESG strategic plan by further improving transparency and setting public facing goals on ESG topics, including GHG emissions.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Three Pillars Progression (16.67%)</w:t>
      </w:r>
    </w:p>
    <w:p>
      <w:pPr>
        <w:spacing w:after="0" w:line="278" w:lineRule="exact"/>
        <w:rPr>
          <w:sz w:val="20"/>
          <w:szCs w:val="20"/>
          <w:color w:val="auto"/>
        </w:rPr>
      </w:pPr>
    </w:p>
    <w:p>
      <w:pPr>
        <w:ind w:left="640" w:hanging="317"/>
        <w:spacing w:after="0"/>
        <w:tabs>
          <w:tab w:leader="none" w:pos="640" w:val="left"/>
        </w:tabs>
        <w:numPr>
          <w:ilvl w:val="0"/>
          <w:numId w:val="65"/>
        </w:numPr>
        <w:rPr>
          <w:rFonts w:ascii="MS PGothic" w:cs="MS PGothic" w:eastAsia="MS PGothic" w:hAnsi="MS PGothic"/>
          <w:sz w:val="17"/>
          <w:szCs w:val="17"/>
          <w:color w:val="auto"/>
        </w:rPr>
      </w:pPr>
      <w:r>
        <w:rPr>
          <w:rFonts w:ascii="Arial" w:cs="Arial" w:eastAsia="Arial" w:hAnsi="Arial"/>
          <w:sz w:val="17"/>
          <w:szCs w:val="17"/>
          <w:color w:val="auto"/>
        </w:rPr>
        <w:t>Continued to make progress on margin expansion initiatives.</w:t>
      </w:r>
    </w:p>
    <w:p>
      <w:pPr>
        <w:spacing w:after="0" w:line="200" w:lineRule="exact"/>
        <w:rPr>
          <w:sz w:val="20"/>
          <w:szCs w:val="20"/>
          <w:color w:val="auto"/>
        </w:rPr>
      </w:pPr>
    </w:p>
    <w:p>
      <w:pPr>
        <w:spacing w:after="0" w:line="254" w:lineRule="exact"/>
        <w:rPr>
          <w:sz w:val="20"/>
          <w:szCs w:val="20"/>
          <w:color w:val="auto"/>
        </w:rPr>
      </w:pPr>
    </w:p>
    <w:p>
      <w:pPr>
        <w:ind w:left="160" w:right="360"/>
        <w:spacing w:after="0" w:line="256" w:lineRule="auto"/>
        <w:rPr>
          <w:sz w:val="20"/>
          <w:szCs w:val="20"/>
          <w:color w:val="auto"/>
        </w:rPr>
      </w:pPr>
      <w:r>
        <w:rPr>
          <w:rFonts w:ascii="Arial" w:cs="Arial" w:eastAsia="Arial" w:hAnsi="Arial"/>
          <w:sz w:val="16"/>
          <w:szCs w:val="16"/>
          <w:color w:val="auto"/>
        </w:rPr>
        <w:t>Our Compensation Committee evaluated Mr. Tobin’s achievements against his strategic objectives and assigned him a Strategic Objectives Factor of 100%.</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54</w:t>
      </w:r>
    </w:p>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Strategic Objectives Factor — Other NEOs</w:t>
      </w:r>
    </w:p>
    <w:p>
      <w:pPr>
        <w:spacing w:after="0" w:line="206" w:lineRule="exact"/>
        <w:rPr>
          <w:sz w:val="20"/>
          <w:szCs w:val="20"/>
          <w:color w:val="auto"/>
        </w:rPr>
      </w:pPr>
    </w:p>
    <w:p>
      <w:pPr>
        <w:ind w:left="160" w:right="480"/>
        <w:spacing w:after="0" w:line="256" w:lineRule="auto"/>
        <w:rPr>
          <w:sz w:val="20"/>
          <w:szCs w:val="20"/>
          <w:color w:val="auto"/>
        </w:rPr>
      </w:pPr>
      <w:r>
        <w:rPr>
          <w:rFonts w:ascii="Arial" w:cs="Arial" w:eastAsia="Arial" w:hAnsi="Arial"/>
          <w:sz w:val="16"/>
          <w:szCs w:val="16"/>
          <w:color w:val="auto"/>
        </w:rPr>
        <w:t>The following table summarizes the individual strategic objectives the Compensation Committee considered for our other NEOs in determining their respective Strategic Objectives Factors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123190</wp:posOffset>
            </wp:positionV>
            <wp:extent cx="6938010" cy="58000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38010" cy="5800090"/>
                    </a:xfrm>
                    <a:prstGeom prst="rect">
                      <a:avLst/>
                    </a:prstGeom>
                    <a:noFill/>
                  </pic:spPr>
                </pic:pic>
              </a:graphicData>
            </a:graphic>
          </wp:anchor>
        </w:drawing>
      </w:r>
    </w:p>
    <w:p>
      <w:pPr>
        <w:spacing w:after="0" w:line="263"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Brad M. Cerepak (Senior Vice President &amp; CFO)</w:t>
      </w:r>
    </w:p>
    <w:p>
      <w:pPr>
        <w:spacing w:after="0" w:line="398" w:lineRule="exact"/>
        <w:rPr>
          <w:sz w:val="20"/>
          <w:szCs w:val="20"/>
          <w:color w:val="auto"/>
        </w:rPr>
      </w:pPr>
    </w:p>
    <w:p>
      <w:pPr>
        <w:ind w:left="440" w:right="180"/>
        <w:spacing w:after="0" w:line="246" w:lineRule="auto"/>
        <w:rPr>
          <w:sz w:val="20"/>
          <w:szCs w:val="20"/>
          <w:color w:val="auto"/>
        </w:rPr>
      </w:pPr>
      <w:r>
        <w:rPr>
          <w:rFonts w:ascii="Arial" w:cs="Arial" w:eastAsia="Arial" w:hAnsi="Arial"/>
          <w:sz w:val="16"/>
          <w:szCs w:val="16"/>
          <w:color w:val="auto"/>
        </w:rPr>
        <w:t>Mr. Cerepak’s strategic objectives were focused on corporate strategy (25% weighting), capital structure analysis (25%), finance transformation and control environment (25% weighting), and audit plan initiatives (25% weighting). Our Compensation Committee considered his: (1) role in assessing our portfolio of businesses and evaluating options for capital deployment; (2) support on aligning key metrics and market positions to drive shareholder communications; (3) efforts to support the preparation of our three-year capital structure plan; (4) continued commitment to optimizing the structure of our finance team and improving process efficiency of shared services; and (5) enhancements to our internal controls environment; and (6) role in improving our audit plan structure.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Girish Juneja (Senior Vice President &amp; Chief Digital Officer)</w:t>
      </w:r>
    </w:p>
    <w:p>
      <w:pPr>
        <w:spacing w:after="0" w:line="398" w:lineRule="exact"/>
        <w:rPr>
          <w:sz w:val="20"/>
          <w:szCs w:val="20"/>
          <w:color w:val="auto"/>
        </w:rPr>
      </w:pPr>
    </w:p>
    <w:p>
      <w:pPr>
        <w:ind w:left="440" w:right="300"/>
        <w:spacing w:after="0" w:line="246" w:lineRule="auto"/>
        <w:rPr>
          <w:sz w:val="20"/>
          <w:szCs w:val="20"/>
          <w:color w:val="auto"/>
        </w:rPr>
      </w:pPr>
      <w:r>
        <w:rPr>
          <w:rFonts w:ascii="Arial" w:cs="Arial" w:eastAsia="Arial" w:hAnsi="Arial"/>
          <w:sz w:val="16"/>
          <w:szCs w:val="16"/>
          <w:color w:val="auto"/>
        </w:rPr>
        <w:t>Mr. Juneja’s strategic objectives were focused on strategic digital initiatives (35% weighting), digital customer experience (25% weighting), data security (25% weighting), and product development (15% weighting). Our Compensation Committee considered his: (1) role in supporting our strategic initiatives and priorities by assessing the digital capabilities of acquisition targets and driving adoption of shared services; (2) continued support in building common platforms to enhance the customer experience and in delivering efficiencies by enabling automated transactions; (3) efforts related to our enterprise-wide strategy to improve data and identity security; (4) progress on our information technology centralization initiatives; and (5) expansion of connected software and machine learning augmented solutions built to integrate and work with our equipment and component offerings.</w:t>
      </w:r>
    </w:p>
    <w:p>
      <w:pPr>
        <w:spacing w:after="0" w:line="332"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Ivonne M. Cabrera (Senior Vice President, General Counsel &amp; Secretary)</w:t>
      </w:r>
    </w:p>
    <w:p>
      <w:pPr>
        <w:spacing w:after="0" w:line="398" w:lineRule="exact"/>
        <w:rPr>
          <w:sz w:val="20"/>
          <w:szCs w:val="20"/>
          <w:color w:val="auto"/>
        </w:rPr>
      </w:pPr>
    </w:p>
    <w:p>
      <w:pPr>
        <w:ind w:left="440" w:right="220"/>
        <w:spacing w:after="0" w:line="246" w:lineRule="auto"/>
        <w:rPr>
          <w:sz w:val="20"/>
          <w:szCs w:val="20"/>
          <w:color w:val="auto"/>
        </w:rPr>
      </w:pPr>
      <w:r>
        <w:rPr>
          <w:rFonts w:ascii="Arial" w:cs="Arial" w:eastAsia="Arial" w:hAnsi="Arial"/>
          <w:sz w:val="16"/>
          <w:szCs w:val="16"/>
          <w:color w:val="auto"/>
        </w:rPr>
        <w:t>Ms. Cabrera’s strategic objectives were focused on ESG (34% weighting), legal spend optimization (33% weighting), and intellectual property (33% weighting). Our Compensation Committee considered her: (1) participation on our Sustainability Steering Committee and key role in driving initiatives and communications aligned with our three-year plan to expand the scope of our ESG practices and disclosures; (2) continuing guidance on legal issues related to the COVID-19 pandemic, including regulatory and legislative developments, government relief measures, and matters impacting our employees and customers; (3) progress in expanding the use of technology to collect and leverage data to drive optimization initiatives and maximize the value of strategic legal advice and counseling provided to the business; and (4) efforts to improve how we capture and protect intellectual property across the enterprise.</w:t>
      </w:r>
    </w:p>
    <w:p>
      <w:pPr>
        <w:spacing w:after="0" w:line="332"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Kimberly K. Bors (Senior Vice President &amp; Chief Human Resource Officer)</w:t>
      </w:r>
    </w:p>
    <w:p>
      <w:pPr>
        <w:spacing w:after="0" w:line="398" w:lineRule="exact"/>
        <w:rPr>
          <w:sz w:val="20"/>
          <w:szCs w:val="20"/>
          <w:color w:val="auto"/>
        </w:rPr>
      </w:pPr>
    </w:p>
    <w:p>
      <w:pPr>
        <w:ind w:left="440" w:right="320"/>
        <w:spacing w:after="0" w:line="245" w:lineRule="auto"/>
        <w:rPr>
          <w:sz w:val="20"/>
          <w:szCs w:val="20"/>
          <w:color w:val="auto"/>
        </w:rPr>
      </w:pPr>
      <w:r>
        <w:rPr>
          <w:rFonts w:ascii="Arial" w:cs="Arial" w:eastAsia="Arial" w:hAnsi="Arial"/>
          <w:sz w:val="16"/>
          <w:szCs w:val="16"/>
          <w:color w:val="auto"/>
        </w:rPr>
        <w:t>Ms. Bors’ strategic objectives were focused on the global HR operating model (25% weighting), enterprise talent management (25% weighting), strategic HR project initiatives (25% weighting), and ESG/Diversity &amp; Inclusion (25%). Our Compensation Committee considered her: (1) role in developing the global operating model designed to expand shared services and centers of expertise, and improve operational effectiveness of the human resources function; (2) continuing progress to enhance talent management processes, capabilities and succession depth across the enterprise; (3) efforts to develop and launch a global career architecture and compensation structure, and a comprehensive Diversity &amp; Inclusion roadmap; (4) successfully streamlining, outsourcing, and offshoring several HR processes to achieve cost reductions; (5) continuing role in the COVID-19 pandemic response and guidance for employee protocols; and (6) membership on the Sustainability Steering Committee and, in connection therewith, role in establishing goals and execution plans related to both an employee engagement survey with inclusivity index and unconscious bias training for employees with direct reports.</w:t>
      </w: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Compensation Committee assigned an average Strategic Objectives Factor of 100% to the non-CEO NEOs.</w:t>
      </w:r>
    </w:p>
    <w:p>
      <w:pPr>
        <w:spacing w:after="0" w:line="217"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The Overall Payout Factors resulting from the above Financial Objective Factors and the Strategic Objectives Factors resulted in the payouts set forth in the 2021 Summary Compensation Table.</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55</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Long-Term Incentive Compensation</w:t>
      </w:r>
    </w:p>
    <w:p>
      <w:pPr>
        <w:spacing w:after="0" w:line="94"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The following table summarizes the components of awards under our LTIP and the related performance criteria for awards granted in 2021. Note that all components are paid in stock rather than cash to encourage shareholder alignment through stock ownership.</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299"/>
        </w:trPr>
        <w:tc>
          <w:tcPr>
            <w:tcW w:w="2640" w:type="dxa"/>
            <w:vAlign w:val="bottom"/>
            <w:tcBorders>
              <w:top w:val="single" w:sz="8" w:color="021496"/>
              <w:bottom w:val="single" w:sz="8" w:color="021496"/>
              <w:right w:val="single" w:sz="8" w:color="8C8C8C"/>
            </w:tcBorders>
            <w:shd w:val="clear" w:color="auto" w:fill="021496"/>
          </w:tcPr>
          <w:p>
            <w:pPr>
              <w:ind w:left="900"/>
              <w:spacing w:after="0"/>
              <w:rPr>
                <w:sz w:val="20"/>
                <w:szCs w:val="20"/>
                <w:color w:val="auto"/>
              </w:rPr>
            </w:pPr>
            <w:r>
              <w:rPr>
                <w:rFonts w:ascii="Arial" w:cs="Arial" w:eastAsia="Arial" w:hAnsi="Arial"/>
                <w:sz w:val="14"/>
                <w:szCs w:val="14"/>
                <w:b w:val="1"/>
                <w:bCs w:val="1"/>
                <w:color w:val="FFFFFF"/>
              </w:rPr>
              <w:t>Pay Element</w:t>
            </w:r>
          </w:p>
        </w:tc>
        <w:tc>
          <w:tcPr>
            <w:tcW w:w="5040" w:type="dxa"/>
            <w:vAlign w:val="bottom"/>
            <w:tcBorders>
              <w:top w:val="single" w:sz="8" w:color="021496"/>
              <w:bottom w:val="single" w:sz="8" w:color="021496"/>
              <w:right w:val="single" w:sz="8" w:color="8C8C8C"/>
            </w:tcBorders>
            <w:shd w:val="clear" w:color="auto" w:fill="021496"/>
          </w:tcPr>
          <w:p>
            <w:pPr>
              <w:ind w:left="1240"/>
              <w:spacing w:after="0"/>
              <w:rPr>
                <w:sz w:val="20"/>
                <w:szCs w:val="20"/>
                <w:color w:val="auto"/>
              </w:rPr>
            </w:pPr>
            <w:r>
              <w:rPr>
                <w:rFonts w:ascii="Arial" w:cs="Arial" w:eastAsia="Arial" w:hAnsi="Arial"/>
                <w:sz w:val="14"/>
                <w:szCs w:val="14"/>
                <w:b w:val="1"/>
                <w:bCs w:val="1"/>
                <w:color w:val="FFFFFF"/>
              </w:rPr>
              <w:t>2021 Weighting &amp; Performance Criteria</w:t>
            </w:r>
          </w:p>
        </w:tc>
        <w:tc>
          <w:tcPr>
            <w:tcW w:w="3240" w:type="dxa"/>
            <w:vAlign w:val="bottom"/>
            <w:tcBorders>
              <w:top w:val="single" w:sz="8" w:color="021496"/>
              <w:bottom w:val="single" w:sz="8" w:color="021496"/>
            </w:tcBorders>
            <w:shd w:val="clear" w:color="auto" w:fill="021496"/>
          </w:tcPr>
          <w:p>
            <w:pPr>
              <w:ind w:left="1300"/>
              <w:spacing w:after="0"/>
              <w:rPr>
                <w:sz w:val="20"/>
                <w:szCs w:val="20"/>
                <w:color w:val="auto"/>
              </w:rPr>
            </w:pPr>
            <w:r>
              <w:rPr>
                <w:rFonts w:ascii="Arial" w:cs="Arial" w:eastAsia="Arial" w:hAnsi="Arial"/>
                <w:sz w:val="14"/>
                <w:szCs w:val="14"/>
                <w:b w:val="1"/>
                <w:bCs w:val="1"/>
                <w:color w:val="FFFFFF"/>
              </w:rPr>
              <w:t>Objectives</w:t>
            </w:r>
          </w:p>
        </w:tc>
        <w:tc>
          <w:tcPr>
            <w:tcW w:w="0" w:type="dxa"/>
            <w:vAlign w:val="bottom"/>
          </w:tcPr>
          <w:p>
            <w:pPr>
              <w:spacing w:after="0"/>
              <w:rPr>
                <w:sz w:val="1"/>
                <w:szCs w:val="1"/>
                <w:color w:val="auto"/>
              </w:rPr>
            </w:pPr>
          </w:p>
        </w:tc>
      </w:tr>
      <w:tr>
        <w:trPr>
          <w:trHeight w:val="303"/>
        </w:trPr>
        <w:tc>
          <w:tcPr>
            <w:tcW w:w="2640" w:type="dxa"/>
            <w:vAlign w:val="bottom"/>
            <w:tcBorders>
              <w:top w:val="single" w:sz="8" w:color="8C8C8C"/>
              <w:right w:val="single" w:sz="8" w:color="8C8C8C"/>
            </w:tcBorders>
            <w:vMerge w:val="restart"/>
            <w:shd w:val="clear" w:color="auto" w:fill="D8D8D8"/>
          </w:tcPr>
          <w:p>
            <w:pPr>
              <w:ind w:left="180"/>
              <w:spacing w:after="0"/>
              <w:rPr>
                <w:sz w:val="20"/>
                <w:szCs w:val="20"/>
                <w:color w:val="auto"/>
              </w:rPr>
            </w:pPr>
            <w:r>
              <w:rPr>
                <w:rFonts w:ascii="Arial" w:cs="Arial" w:eastAsia="Arial" w:hAnsi="Arial"/>
                <w:sz w:val="14"/>
                <w:szCs w:val="14"/>
                <w:b w:val="1"/>
                <w:bCs w:val="1"/>
                <w:color w:val="auto"/>
              </w:rPr>
              <w:t>Performance Shares</w:t>
            </w:r>
          </w:p>
        </w:tc>
        <w:tc>
          <w:tcPr>
            <w:tcW w:w="5040" w:type="dxa"/>
            <w:vAlign w:val="bottom"/>
            <w:tcBorders>
              <w:top w:val="single" w:sz="8" w:color="8C8C8C"/>
              <w:right w:val="single" w:sz="8" w:color="8C8C8C"/>
            </w:tcBorders>
            <w:shd w:val="clear" w:color="auto" w:fill="D8D8D8"/>
          </w:tcPr>
          <w:p>
            <w:pPr>
              <w:ind w:left="100"/>
              <w:spacing w:after="0"/>
              <w:rPr>
                <w:sz w:val="20"/>
                <w:szCs w:val="20"/>
                <w:color w:val="auto"/>
              </w:rPr>
            </w:pPr>
            <w:r>
              <w:rPr>
                <w:rFonts w:ascii="Arial" w:cs="Arial" w:eastAsia="Arial" w:hAnsi="Arial"/>
                <w:sz w:val="14"/>
                <w:szCs w:val="14"/>
                <w:color w:val="auto"/>
              </w:rPr>
              <w:t>40% LTIP weighting</w:t>
            </w:r>
          </w:p>
        </w:tc>
        <w:tc>
          <w:tcPr>
            <w:tcW w:w="3240" w:type="dxa"/>
            <w:vAlign w:val="bottom"/>
            <w:tcBorders>
              <w:top w:val="single" w:sz="8" w:color="8C8C8C"/>
            </w:tcBorders>
            <w:vMerge w:val="restart"/>
            <w:shd w:val="clear" w:color="auto" w:fill="D8D8D8"/>
          </w:tcPr>
          <w:p>
            <w:pPr>
              <w:ind w:left="80"/>
              <w:spacing w:after="0"/>
              <w:rPr>
                <w:sz w:val="20"/>
                <w:szCs w:val="20"/>
                <w:color w:val="auto"/>
              </w:rPr>
            </w:pPr>
            <w:r>
              <w:rPr>
                <w:rFonts w:ascii="Arial" w:cs="Arial" w:eastAsia="Arial" w:hAnsi="Arial"/>
                <w:sz w:val="14"/>
                <w:szCs w:val="14"/>
                <w:color w:val="auto"/>
              </w:rPr>
              <w:t>Focus executives on shareholder value</w:t>
            </w:r>
          </w:p>
        </w:tc>
        <w:tc>
          <w:tcPr>
            <w:tcW w:w="0" w:type="dxa"/>
            <w:vAlign w:val="bottom"/>
          </w:tcPr>
          <w:p>
            <w:pPr>
              <w:spacing w:after="0"/>
              <w:rPr>
                <w:sz w:val="1"/>
                <w:szCs w:val="1"/>
                <w:color w:val="auto"/>
              </w:rPr>
            </w:pPr>
          </w:p>
        </w:tc>
      </w:tr>
      <w:tr>
        <w:trPr>
          <w:trHeight w:val="107"/>
        </w:trPr>
        <w:tc>
          <w:tcPr>
            <w:tcW w:w="2640" w:type="dxa"/>
            <w:vAlign w:val="bottom"/>
            <w:tcBorders>
              <w:right w:val="single" w:sz="8" w:color="8C8C8C"/>
            </w:tcBorders>
            <w:vMerge w:val="continue"/>
            <w:shd w:val="clear" w:color="auto" w:fill="D8D8D8"/>
          </w:tcPr>
          <w:p>
            <w:pPr>
              <w:spacing w:after="0"/>
              <w:rPr>
                <w:sz w:val="9"/>
                <w:szCs w:val="9"/>
                <w:color w:val="auto"/>
              </w:rPr>
            </w:pPr>
          </w:p>
        </w:tc>
        <w:tc>
          <w:tcPr>
            <w:tcW w:w="5040" w:type="dxa"/>
            <w:vAlign w:val="bottom"/>
            <w:tcBorders>
              <w:right w:val="single" w:sz="8" w:color="8C8C8C"/>
            </w:tcBorders>
            <w:vMerge w:val="restart"/>
            <w:shd w:val="clear" w:color="auto" w:fill="D8D8D8"/>
          </w:tcPr>
          <w:p>
            <w:pPr>
              <w:ind w:left="100"/>
              <w:spacing w:after="0"/>
              <w:rPr>
                <w:sz w:val="20"/>
                <w:szCs w:val="20"/>
                <w:color w:val="auto"/>
              </w:rPr>
            </w:pPr>
            <w:r>
              <w:rPr>
                <w:rFonts w:ascii="Arial" w:cs="Arial" w:eastAsia="Arial" w:hAnsi="Arial"/>
                <w:sz w:val="14"/>
                <w:szCs w:val="14"/>
                <w:color w:val="auto"/>
              </w:rPr>
              <w:t>Performance Criteria: 3-Year relative TSR with the S&amp;P 500 Industrials</w:t>
            </w:r>
          </w:p>
        </w:tc>
        <w:tc>
          <w:tcPr>
            <w:tcW w:w="324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640" w:type="dxa"/>
            <w:vAlign w:val="bottom"/>
            <w:tcBorders>
              <w:right w:val="single" w:sz="8" w:color="8C8C8C"/>
            </w:tcBorders>
            <w:vMerge w:val="continue"/>
            <w:shd w:val="clear" w:color="auto" w:fill="D8D8D8"/>
          </w:tcPr>
          <w:p>
            <w:pPr>
              <w:spacing w:after="0"/>
              <w:rPr>
                <w:sz w:val="6"/>
                <w:szCs w:val="6"/>
                <w:color w:val="auto"/>
              </w:rPr>
            </w:pPr>
          </w:p>
        </w:tc>
        <w:tc>
          <w:tcPr>
            <w:tcW w:w="5040" w:type="dxa"/>
            <w:vAlign w:val="bottom"/>
            <w:tcBorders>
              <w:right w:val="single" w:sz="8" w:color="8C8C8C"/>
            </w:tcBorders>
            <w:vMerge w:val="continue"/>
            <w:shd w:val="clear" w:color="auto" w:fill="D8D8D8"/>
          </w:tcPr>
          <w:p>
            <w:pPr>
              <w:spacing w:after="0"/>
              <w:rPr>
                <w:sz w:val="6"/>
                <w:szCs w:val="6"/>
                <w:color w:val="auto"/>
              </w:rPr>
            </w:pPr>
          </w:p>
        </w:tc>
        <w:tc>
          <w:tcPr>
            <w:tcW w:w="3240" w:type="dxa"/>
            <w:vAlign w:val="bottom"/>
            <w:vMerge w:val="restart"/>
            <w:shd w:val="clear" w:color="auto" w:fill="D8D8D8"/>
          </w:tcPr>
          <w:p>
            <w:pPr>
              <w:ind w:left="240"/>
              <w:spacing w:after="0" w:line="137" w:lineRule="exact"/>
              <w:rPr>
                <w:sz w:val="20"/>
                <w:szCs w:val="20"/>
                <w:color w:val="auto"/>
              </w:rPr>
            </w:pPr>
            <w:r>
              <w:rPr>
                <w:rFonts w:ascii="Arial" w:cs="Arial" w:eastAsia="Arial" w:hAnsi="Arial"/>
                <w:sz w:val="14"/>
                <w:szCs w:val="14"/>
                <w:color w:val="auto"/>
              </w:rPr>
              <w:t>creation</w:t>
            </w:r>
          </w:p>
        </w:tc>
        <w:tc>
          <w:tcPr>
            <w:tcW w:w="0" w:type="dxa"/>
            <w:vAlign w:val="bottom"/>
          </w:tcPr>
          <w:p>
            <w:pPr>
              <w:spacing w:after="0"/>
              <w:rPr>
                <w:sz w:val="1"/>
                <w:szCs w:val="1"/>
                <w:color w:val="auto"/>
              </w:rPr>
            </w:pPr>
          </w:p>
        </w:tc>
      </w:tr>
      <w:tr>
        <w:trPr>
          <w:trHeight w:val="56"/>
        </w:trPr>
        <w:tc>
          <w:tcPr>
            <w:tcW w:w="2640" w:type="dxa"/>
            <w:vAlign w:val="bottom"/>
            <w:tcBorders>
              <w:right w:val="single" w:sz="8" w:color="8C8C8C"/>
            </w:tcBorders>
            <w:shd w:val="clear" w:color="auto" w:fill="D8D8D8"/>
          </w:tcPr>
          <w:p>
            <w:pPr>
              <w:spacing w:after="0"/>
              <w:rPr>
                <w:sz w:val="4"/>
                <w:szCs w:val="4"/>
                <w:color w:val="auto"/>
              </w:rPr>
            </w:pPr>
          </w:p>
        </w:tc>
        <w:tc>
          <w:tcPr>
            <w:tcW w:w="5040" w:type="dxa"/>
            <w:vAlign w:val="bottom"/>
            <w:tcBorders>
              <w:right w:val="single" w:sz="8" w:color="8C8C8C"/>
            </w:tcBorders>
            <w:vMerge w:val="continue"/>
            <w:shd w:val="clear" w:color="auto" w:fill="D8D8D8"/>
          </w:tcPr>
          <w:p>
            <w:pPr>
              <w:spacing w:after="0"/>
              <w:rPr>
                <w:sz w:val="4"/>
                <w:szCs w:val="4"/>
                <w:color w:val="auto"/>
              </w:rPr>
            </w:pPr>
          </w:p>
        </w:tc>
        <w:tc>
          <w:tcPr>
            <w:tcW w:w="3240" w:type="dxa"/>
            <w:vAlign w:val="bottom"/>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640" w:type="dxa"/>
            <w:vAlign w:val="bottom"/>
            <w:tcBorders>
              <w:bottom w:val="single" w:sz="8" w:color="D8D8D8"/>
              <w:right w:val="single" w:sz="8" w:color="8C8C8C"/>
            </w:tcBorders>
            <w:shd w:val="clear" w:color="auto" w:fill="D8D8D8"/>
          </w:tcPr>
          <w:p>
            <w:pPr>
              <w:spacing w:after="0"/>
              <w:rPr>
                <w:sz w:val="17"/>
                <w:szCs w:val="17"/>
                <w:color w:val="auto"/>
              </w:rPr>
            </w:pPr>
          </w:p>
        </w:tc>
        <w:tc>
          <w:tcPr>
            <w:tcW w:w="5040" w:type="dxa"/>
            <w:vAlign w:val="bottom"/>
            <w:tcBorders>
              <w:bottom w:val="single" w:sz="8" w:color="D8D8D8"/>
              <w:right w:val="single" w:sz="8" w:color="8C8C8C"/>
            </w:tcBorders>
            <w:shd w:val="clear" w:color="auto" w:fill="D8D8D8"/>
          </w:tcPr>
          <w:p>
            <w:pPr>
              <w:ind w:left="260"/>
              <w:spacing w:after="0"/>
              <w:rPr>
                <w:sz w:val="20"/>
                <w:szCs w:val="20"/>
                <w:color w:val="auto"/>
              </w:rPr>
            </w:pPr>
            <w:r>
              <w:rPr>
                <w:rFonts w:ascii="Arial" w:cs="Arial" w:eastAsia="Arial" w:hAnsi="Arial"/>
                <w:sz w:val="14"/>
                <w:szCs w:val="14"/>
                <w:color w:val="auto"/>
              </w:rPr>
              <w:t>index companies as the comparator group</w:t>
            </w:r>
          </w:p>
        </w:tc>
        <w:tc>
          <w:tcPr>
            <w:tcW w:w="3240" w:type="dxa"/>
            <w:vAlign w:val="bottom"/>
            <w:tcBorders>
              <w:bottom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640" w:type="dxa"/>
            <w:vAlign w:val="bottom"/>
            <w:tcBorders>
              <w:top w:val="single" w:sz="8" w:color="8C8C8C"/>
              <w:right w:val="single" w:sz="8" w:color="8C8C8C"/>
            </w:tcBorders>
            <w:vMerge w:val="restart"/>
          </w:tcPr>
          <w:p>
            <w:pPr>
              <w:ind w:left="180"/>
              <w:spacing w:after="0"/>
              <w:rPr>
                <w:sz w:val="20"/>
                <w:szCs w:val="20"/>
                <w:color w:val="auto"/>
              </w:rPr>
            </w:pPr>
            <w:r>
              <w:rPr>
                <w:rFonts w:ascii="Arial" w:cs="Arial" w:eastAsia="Arial" w:hAnsi="Arial"/>
                <w:sz w:val="14"/>
                <w:szCs w:val="14"/>
                <w:b w:val="1"/>
                <w:bCs w:val="1"/>
                <w:color w:val="auto"/>
              </w:rPr>
              <w:t>Stock Settled Stock Appreciation</w:t>
            </w:r>
          </w:p>
        </w:tc>
        <w:tc>
          <w:tcPr>
            <w:tcW w:w="5040" w:type="dxa"/>
            <w:vAlign w:val="bottom"/>
            <w:tcBorders>
              <w:top w:val="single" w:sz="8" w:color="8C8C8C"/>
              <w:right w:val="single" w:sz="8" w:color="8C8C8C"/>
            </w:tcBorders>
          </w:tcPr>
          <w:p>
            <w:pPr>
              <w:ind w:left="100"/>
              <w:spacing w:after="0"/>
              <w:rPr>
                <w:sz w:val="20"/>
                <w:szCs w:val="20"/>
                <w:color w:val="auto"/>
              </w:rPr>
            </w:pPr>
            <w:r>
              <w:rPr>
                <w:rFonts w:ascii="Arial" w:cs="Arial" w:eastAsia="Arial" w:hAnsi="Arial"/>
                <w:sz w:val="14"/>
                <w:szCs w:val="14"/>
                <w:color w:val="auto"/>
              </w:rPr>
              <w:t>40% LTIP weighting</w:t>
            </w:r>
          </w:p>
        </w:tc>
        <w:tc>
          <w:tcPr>
            <w:tcW w:w="3240" w:type="dxa"/>
            <w:vAlign w:val="bottom"/>
            <w:tcBorders>
              <w:top w:val="single" w:sz="8" w:color="8C8C8C"/>
            </w:tcBorders>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640" w:type="dxa"/>
            <w:vAlign w:val="bottom"/>
            <w:tcBorders>
              <w:right w:val="single" w:sz="8" w:color="8C8C8C"/>
            </w:tcBorders>
            <w:vMerge w:val="continue"/>
          </w:tcPr>
          <w:p>
            <w:pPr>
              <w:spacing w:after="0"/>
              <w:rPr>
                <w:sz w:val="12"/>
                <w:szCs w:val="12"/>
                <w:color w:val="auto"/>
              </w:rPr>
            </w:pPr>
          </w:p>
        </w:tc>
        <w:tc>
          <w:tcPr>
            <w:tcW w:w="5040" w:type="dxa"/>
            <w:vAlign w:val="bottom"/>
            <w:tcBorders>
              <w:right w:val="single" w:sz="8" w:color="8C8C8C"/>
            </w:tcBorders>
          </w:tcPr>
          <w:p>
            <w:pPr>
              <w:ind w:left="100"/>
              <w:spacing w:after="0" w:line="145" w:lineRule="exact"/>
              <w:rPr>
                <w:sz w:val="20"/>
                <w:szCs w:val="20"/>
                <w:color w:val="auto"/>
              </w:rPr>
            </w:pPr>
            <w:r>
              <w:rPr>
                <w:rFonts w:ascii="Arial" w:cs="Arial" w:eastAsia="Arial" w:hAnsi="Arial"/>
                <w:sz w:val="14"/>
                <w:szCs w:val="14"/>
                <w:color w:val="auto"/>
              </w:rPr>
              <w:t>Performance Criteria: Dover stock price, exercisable three years after</w:t>
            </w:r>
          </w:p>
        </w:tc>
        <w:tc>
          <w:tcPr>
            <w:tcW w:w="3240" w:type="dxa"/>
            <w:vAlign w:val="bottom"/>
            <w:vMerge w:val="restart"/>
          </w:tcPr>
          <w:p>
            <w:pPr>
              <w:ind w:left="80"/>
              <w:spacing w:after="0"/>
              <w:rPr>
                <w:sz w:val="20"/>
                <w:szCs w:val="20"/>
                <w:color w:val="auto"/>
              </w:rPr>
            </w:pPr>
            <w:r>
              <w:rPr>
                <w:rFonts w:ascii="Arial" w:cs="Arial" w:eastAsia="Arial" w:hAnsi="Arial"/>
                <w:sz w:val="14"/>
                <w:szCs w:val="14"/>
                <w:color w:val="auto"/>
              </w:rPr>
              <w:t>Focus executives on share price appreciation</w:t>
            </w:r>
          </w:p>
        </w:tc>
        <w:tc>
          <w:tcPr>
            <w:tcW w:w="0" w:type="dxa"/>
            <w:vAlign w:val="bottom"/>
          </w:tcPr>
          <w:p>
            <w:pPr>
              <w:spacing w:after="0"/>
              <w:rPr>
                <w:sz w:val="1"/>
                <w:szCs w:val="1"/>
                <w:color w:val="auto"/>
              </w:rPr>
            </w:pPr>
          </w:p>
        </w:tc>
      </w:tr>
      <w:tr>
        <w:trPr>
          <w:trHeight w:val="109"/>
        </w:trPr>
        <w:tc>
          <w:tcPr>
            <w:tcW w:w="2640" w:type="dxa"/>
            <w:vAlign w:val="bottom"/>
            <w:tcBorders>
              <w:right w:val="single" w:sz="8" w:color="8C8C8C"/>
            </w:tcBorders>
            <w:vMerge w:val="restart"/>
          </w:tcPr>
          <w:p>
            <w:pPr>
              <w:ind w:left="180"/>
              <w:spacing w:after="0"/>
              <w:rPr>
                <w:sz w:val="20"/>
                <w:szCs w:val="20"/>
                <w:color w:val="auto"/>
              </w:rPr>
            </w:pPr>
            <w:r>
              <w:rPr>
                <w:rFonts w:ascii="Arial" w:cs="Arial" w:eastAsia="Arial" w:hAnsi="Arial"/>
                <w:sz w:val="14"/>
                <w:szCs w:val="14"/>
                <w:b w:val="1"/>
                <w:bCs w:val="1"/>
                <w:color w:val="auto"/>
              </w:rPr>
              <w:t>Rights</w:t>
            </w:r>
          </w:p>
        </w:tc>
        <w:tc>
          <w:tcPr>
            <w:tcW w:w="5040" w:type="dxa"/>
            <w:vAlign w:val="bottom"/>
            <w:tcBorders>
              <w:right w:val="single" w:sz="8" w:color="8C8C8C"/>
            </w:tcBorders>
            <w:vMerge w:val="restart"/>
          </w:tcPr>
          <w:p>
            <w:pPr>
              <w:ind w:left="260"/>
              <w:spacing w:after="0"/>
              <w:rPr>
                <w:sz w:val="20"/>
                <w:szCs w:val="20"/>
                <w:color w:val="auto"/>
              </w:rPr>
            </w:pPr>
            <w:r>
              <w:rPr>
                <w:rFonts w:ascii="Arial" w:cs="Arial" w:eastAsia="Arial" w:hAnsi="Arial"/>
                <w:sz w:val="14"/>
                <w:szCs w:val="14"/>
                <w:color w:val="auto"/>
              </w:rPr>
              <w:t>grant date and remain exercisable for seven years (subject to 10-year</w:t>
            </w: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40" w:type="dxa"/>
            <w:vAlign w:val="bottom"/>
            <w:tcBorders>
              <w:right w:val="single" w:sz="8" w:color="8C8C8C"/>
            </w:tcBorders>
            <w:vMerge w:val="continue"/>
          </w:tcPr>
          <w:p>
            <w:pPr>
              <w:spacing w:after="0"/>
              <w:rPr>
                <w:sz w:val="7"/>
                <w:szCs w:val="7"/>
                <w:color w:val="auto"/>
              </w:rPr>
            </w:pPr>
          </w:p>
        </w:tc>
        <w:tc>
          <w:tcPr>
            <w:tcW w:w="5040" w:type="dxa"/>
            <w:vAlign w:val="bottom"/>
            <w:tcBorders>
              <w:right w:val="single" w:sz="8" w:color="8C8C8C"/>
            </w:tcBorders>
            <w:vMerge w:val="continue"/>
          </w:tcPr>
          <w:p>
            <w:pPr>
              <w:spacing w:after="0"/>
              <w:rPr>
                <w:sz w:val="7"/>
                <w:szCs w:val="7"/>
                <w:color w:val="auto"/>
              </w:rPr>
            </w:pPr>
          </w:p>
        </w:tc>
        <w:tc>
          <w:tcPr>
            <w:tcW w:w="3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640" w:type="dxa"/>
            <w:vAlign w:val="bottom"/>
            <w:tcBorders>
              <w:right w:val="single" w:sz="8" w:color="8C8C8C"/>
            </w:tcBorders>
          </w:tcPr>
          <w:p>
            <w:pPr>
              <w:spacing w:after="0"/>
              <w:rPr>
                <w:sz w:val="14"/>
                <w:szCs w:val="14"/>
                <w:color w:val="auto"/>
              </w:rPr>
            </w:pPr>
          </w:p>
        </w:tc>
        <w:tc>
          <w:tcPr>
            <w:tcW w:w="5040" w:type="dxa"/>
            <w:vAlign w:val="bottom"/>
            <w:tcBorders>
              <w:right w:val="single" w:sz="8" w:color="8C8C8C"/>
            </w:tcBorders>
          </w:tcPr>
          <w:p>
            <w:pPr>
              <w:ind w:left="260"/>
              <w:spacing w:after="0"/>
              <w:rPr>
                <w:sz w:val="20"/>
                <w:szCs w:val="20"/>
                <w:color w:val="auto"/>
              </w:rPr>
            </w:pPr>
            <w:r>
              <w:rPr>
                <w:rFonts w:ascii="Arial" w:cs="Arial" w:eastAsia="Arial" w:hAnsi="Arial"/>
                <w:sz w:val="14"/>
                <w:szCs w:val="14"/>
                <w:color w:val="auto"/>
              </w:rPr>
              <w:t>stock price movement)</w:t>
            </w: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640" w:type="dxa"/>
            <w:vAlign w:val="bottom"/>
            <w:tcBorders>
              <w:bottom w:val="single" w:sz="8" w:color="8C8C8C"/>
              <w:right w:val="single" w:sz="8" w:color="8C8C8C"/>
            </w:tcBorders>
          </w:tcPr>
          <w:p>
            <w:pPr>
              <w:spacing w:after="0"/>
              <w:rPr>
                <w:sz w:val="2"/>
                <w:szCs w:val="2"/>
                <w:color w:val="auto"/>
              </w:rPr>
            </w:pPr>
          </w:p>
        </w:tc>
        <w:tc>
          <w:tcPr>
            <w:tcW w:w="5040" w:type="dxa"/>
            <w:vAlign w:val="bottom"/>
            <w:tcBorders>
              <w:bottom w:val="single" w:sz="8" w:color="8C8C8C"/>
              <w:right w:val="single" w:sz="8" w:color="8C8C8C"/>
            </w:tcBorders>
          </w:tcPr>
          <w:p>
            <w:pPr>
              <w:spacing w:after="0"/>
              <w:rPr>
                <w:sz w:val="2"/>
                <w:szCs w:val="2"/>
                <w:color w:val="auto"/>
              </w:rPr>
            </w:pPr>
          </w:p>
        </w:tc>
        <w:tc>
          <w:tcPr>
            <w:tcW w:w="3240" w:type="dxa"/>
            <w:vAlign w:val="bottom"/>
            <w:tcBorders>
              <w:bottom w:val="single" w:sz="8" w:color="8C8C8C"/>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40" w:type="dxa"/>
            <w:vAlign w:val="bottom"/>
            <w:tcBorders>
              <w:right w:val="single" w:sz="8" w:color="8C8C8C"/>
            </w:tcBorders>
            <w:vMerge w:val="restart"/>
            <w:shd w:val="clear" w:color="auto" w:fill="D8D8D8"/>
          </w:tcPr>
          <w:p>
            <w:pPr>
              <w:ind w:left="180"/>
              <w:spacing w:after="0"/>
              <w:rPr>
                <w:sz w:val="20"/>
                <w:szCs w:val="20"/>
                <w:color w:val="auto"/>
              </w:rPr>
            </w:pPr>
            <w:r>
              <w:rPr>
                <w:rFonts w:ascii="Arial" w:cs="Arial" w:eastAsia="Arial" w:hAnsi="Arial"/>
                <w:sz w:val="14"/>
                <w:szCs w:val="14"/>
                <w:b w:val="1"/>
                <w:bCs w:val="1"/>
                <w:color w:val="auto"/>
              </w:rPr>
              <w:t>Restricted Stock Units</w:t>
            </w:r>
          </w:p>
        </w:tc>
        <w:tc>
          <w:tcPr>
            <w:tcW w:w="5040" w:type="dxa"/>
            <w:vAlign w:val="bottom"/>
            <w:tcBorders>
              <w:right w:val="single" w:sz="8" w:color="8C8C8C"/>
            </w:tcBorders>
            <w:shd w:val="clear" w:color="auto" w:fill="D8D8D8"/>
          </w:tcPr>
          <w:p>
            <w:pPr>
              <w:ind w:left="100"/>
              <w:spacing w:after="0"/>
              <w:rPr>
                <w:sz w:val="20"/>
                <w:szCs w:val="20"/>
                <w:color w:val="auto"/>
              </w:rPr>
            </w:pPr>
            <w:r>
              <w:rPr>
                <w:rFonts w:ascii="Arial" w:cs="Arial" w:eastAsia="Arial" w:hAnsi="Arial"/>
                <w:sz w:val="14"/>
                <w:szCs w:val="14"/>
                <w:color w:val="auto"/>
              </w:rPr>
              <w:t>20% LTIP weighting</w:t>
            </w:r>
          </w:p>
        </w:tc>
        <w:tc>
          <w:tcPr>
            <w:tcW w:w="3240" w:type="dxa"/>
            <w:vAlign w:val="bottom"/>
            <w:vMerge w:val="restart"/>
            <w:shd w:val="clear" w:color="auto" w:fill="D8D8D8"/>
          </w:tcPr>
          <w:p>
            <w:pPr>
              <w:ind w:left="80"/>
              <w:spacing w:after="0"/>
              <w:rPr>
                <w:sz w:val="20"/>
                <w:szCs w:val="20"/>
                <w:color w:val="auto"/>
              </w:rPr>
            </w:pPr>
            <w:r>
              <w:rPr>
                <w:rFonts w:ascii="Arial" w:cs="Arial" w:eastAsia="Arial" w:hAnsi="Arial"/>
                <w:sz w:val="14"/>
                <w:szCs w:val="14"/>
                <w:color w:val="auto"/>
              </w:rPr>
              <w:t>Retention and full alignment with the</w:t>
            </w:r>
          </w:p>
        </w:tc>
        <w:tc>
          <w:tcPr>
            <w:tcW w:w="0" w:type="dxa"/>
            <w:vAlign w:val="bottom"/>
          </w:tcPr>
          <w:p>
            <w:pPr>
              <w:spacing w:after="0"/>
              <w:rPr>
                <w:sz w:val="1"/>
                <w:szCs w:val="1"/>
                <w:color w:val="auto"/>
              </w:rPr>
            </w:pPr>
          </w:p>
        </w:tc>
      </w:tr>
      <w:tr>
        <w:trPr>
          <w:trHeight w:val="132"/>
        </w:trPr>
        <w:tc>
          <w:tcPr>
            <w:tcW w:w="2640" w:type="dxa"/>
            <w:vAlign w:val="bottom"/>
            <w:tcBorders>
              <w:right w:val="single" w:sz="8" w:color="8C8C8C"/>
            </w:tcBorders>
            <w:vMerge w:val="continue"/>
            <w:shd w:val="clear" w:color="auto" w:fill="D8D8D8"/>
          </w:tcPr>
          <w:p>
            <w:pPr>
              <w:spacing w:after="0"/>
              <w:rPr>
                <w:sz w:val="11"/>
                <w:szCs w:val="11"/>
                <w:color w:val="auto"/>
              </w:rPr>
            </w:pPr>
          </w:p>
        </w:tc>
        <w:tc>
          <w:tcPr>
            <w:tcW w:w="5040" w:type="dxa"/>
            <w:vAlign w:val="bottom"/>
            <w:tcBorders>
              <w:right w:val="single" w:sz="8" w:color="8C8C8C"/>
            </w:tcBorders>
            <w:shd w:val="clear" w:color="auto" w:fill="D8D8D8"/>
          </w:tcPr>
          <w:p>
            <w:pPr>
              <w:ind w:left="100"/>
              <w:spacing w:after="0" w:line="132" w:lineRule="exact"/>
              <w:rPr>
                <w:sz w:val="20"/>
                <w:szCs w:val="20"/>
                <w:color w:val="auto"/>
              </w:rPr>
            </w:pPr>
            <w:r>
              <w:rPr>
                <w:rFonts w:ascii="Arial" w:cs="Arial" w:eastAsia="Arial" w:hAnsi="Arial"/>
                <w:sz w:val="14"/>
                <w:szCs w:val="14"/>
                <w:color w:val="auto"/>
              </w:rPr>
              <w:t>Performance Criteria: Dover stock price; awards vest ratably over three</w:t>
            </w:r>
          </w:p>
        </w:tc>
        <w:tc>
          <w:tcPr>
            <w:tcW w:w="324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40" w:type="dxa"/>
            <w:vAlign w:val="bottom"/>
            <w:tcBorders>
              <w:right w:val="single" w:sz="8" w:color="8C8C8C"/>
            </w:tcBorders>
            <w:shd w:val="clear" w:color="auto" w:fill="D8D8D8"/>
          </w:tcPr>
          <w:p>
            <w:pPr>
              <w:spacing w:after="0"/>
              <w:rPr>
                <w:sz w:val="14"/>
                <w:szCs w:val="14"/>
                <w:color w:val="auto"/>
              </w:rPr>
            </w:pPr>
          </w:p>
        </w:tc>
        <w:tc>
          <w:tcPr>
            <w:tcW w:w="5040" w:type="dxa"/>
            <w:vAlign w:val="bottom"/>
            <w:tcBorders>
              <w:right w:val="single" w:sz="8" w:color="8C8C8C"/>
            </w:tcBorders>
            <w:vMerge w:val="restart"/>
            <w:shd w:val="clear" w:color="auto" w:fill="D8D8D8"/>
          </w:tcPr>
          <w:p>
            <w:pPr>
              <w:ind w:left="260"/>
              <w:spacing w:after="0"/>
              <w:rPr>
                <w:sz w:val="20"/>
                <w:szCs w:val="20"/>
                <w:color w:val="auto"/>
              </w:rPr>
            </w:pPr>
            <w:r>
              <w:rPr>
                <w:rFonts w:ascii="Arial" w:cs="Arial" w:eastAsia="Arial" w:hAnsi="Arial"/>
                <w:sz w:val="14"/>
                <w:szCs w:val="14"/>
                <w:color w:val="auto"/>
              </w:rPr>
              <w:t>years</w:t>
            </w:r>
          </w:p>
        </w:tc>
        <w:tc>
          <w:tcPr>
            <w:tcW w:w="3240" w:type="dxa"/>
            <w:vAlign w:val="bottom"/>
            <w:shd w:val="clear" w:color="auto" w:fill="D8D8D8"/>
          </w:tcPr>
          <w:p>
            <w:pPr>
              <w:ind w:left="240"/>
              <w:spacing w:after="0"/>
              <w:rPr>
                <w:sz w:val="20"/>
                <w:szCs w:val="20"/>
                <w:color w:val="auto"/>
              </w:rPr>
            </w:pPr>
            <w:r>
              <w:rPr>
                <w:rFonts w:ascii="Arial" w:cs="Arial" w:eastAsia="Arial" w:hAnsi="Arial"/>
                <w:sz w:val="14"/>
                <w:szCs w:val="14"/>
                <w:color w:val="auto"/>
              </w:rPr>
              <w:t>shareholder experience</w:t>
            </w:r>
          </w:p>
        </w:tc>
        <w:tc>
          <w:tcPr>
            <w:tcW w:w="0" w:type="dxa"/>
            <w:vAlign w:val="bottom"/>
          </w:tcPr>
          <w:p>
            <w:pPr>
              <w:spacing w:after="0"/>
              <w:rPr>
                <w:sz w:val="1"/>
                <w:szCs w:val="1"/>
                <w:color w:val="auto"/>
              </w:rPr>
            </w:pPr>
          </w:p>
        </w:tc>
      </w:tr>
      <w:tr>
        <w:trPr>
          <w:trHeight w:val="50"/>
        </w:trPr>
        <w:tc>
          <w:tcPr>
            <w:tcW w:w="2640" w:type="dxa"/>
            <w:vAlign w:val="bottom"/>
            <w:tcBorders>
              <w:bottom w:val="single" w:sz="8" w:color="D8D8D8"/>
              <w:right w:val="single" w:sz="8" w:color="8C8C8C"/>
            </w:tcBorders>
            <w:shd w:val="clear" w:color="auto" w:fill="D8D8D8"/>
          </w:tcPr>
          <w:p>
            <w:pPr>
              <w:spacing w:after="0"/>
              <w:rPr>
                <w:sz w:val="4"/>
                <w:szCs w:val="4"/>
                <w:color w:val="auto"/>
              </w:rPr>
            </w:pPr>
          </w:p>
        </w:tc>
        <w:tc>
          <w:tcPr>
            <w:tcW w:w="5040" w:type="dxa"/>
            <w:vAlign w:val="bottom"/>
            <w:tcBorders>
              <w:bottom w:val="single" w:sz="8" w:color="D8D8D8"/>
              <w:right w:val="single" w:sz="8" w:color="8C8C8C"/>
            </w:tcBorders>
            <w:vMerge w:val="continue"/>
            <w:shd w:val="clear" w:color="auto" w:fill="D8D8D8"/>
          </w:tcPr>
          <w:p>
            <w:pPr>
              <w:spacing w:after="0"/>
              <w:rPr>
                <w:sz w:val="4"/>
                <w:szCs w:val="4"/>
                <w:color w:val="auto"/>
              </w:rPr>
            </w:pPr>
          </w:p>
        </w:tc>
        <w:tc>
          <w:tcPr>
            <w:tcW w:w="3240" w:type="dxa"/>
            <w:vAlign w:val="bottom"/>
            <w:tcBorders>
              <w:bottom w:val="single" w:sz="8" w:color="D8D8D8"/>
            </w:tcBorders>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40" w:type="dxa"/>
            <w:vAlign w:val="bottom"/>
            <w:tcBorders>
              <w:right w:val="single" w:sz="8" w:color="8C8C8C"/>
            </w:tcBorders>
            <w:shd w:val="clear" w:color="auto" w:fill="021496"/>
          </w:tcPr>
          <w:p>
            <w:pPr>
              <w:spacing w:after="0" w:line="20" w:lineRule="exact"/>
              <w:rPr>
                <w:sz w:val="1"/>
                <w:szCs w:val="1"/>
                <w:color w:val="auto"/>
              </w:rPr>
            </w:pPr>
          </w:p>
        </w:tc>
        <w:tc>
          <w:tcPr>
            <w:tcW w:w="5040" w:type="dxa"/>
            <w:vAlign w:val="bottom"/>
            <w:tcBorders>
              <w:right w:val="single" w:sz="8" w:color="8C8C8C"/>
            </w:tcBorders>
            <w:shd w:val="clear" w:color="auto" w:fill="021496"/>
          </w:tcPr>
          <w:p>
            <w:pPr>
              <w:spacing w:after="0" w:line="20" w:lineRule="exact"/>
              <w:rPr>
                <w:sz w:val="1"/>
                <w:szCs w:val="1"/>
                <w:color w:val="auto"/>
              </w:rPr>
            </w:pPr>
          </w:p>
        </w:tc>
        <w:tc>
          <w:tcPr>
            <w:tcW w:w="3240" w:type="dxa"/>
            <w:vAlign w:val="bottom"/>
            <w:shd w:val="clear" w:color="auto" w:fill="0214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Performance Shares Granted in 2020 and 2021 – Relative TSR Metric</w:t>
      </w:r>
    </w:p>
    <w:p>
      <w:pPr>
        <w:spacing w:after="0" w:line="193" w:lineRule="exact"/>
        <w:rPr>
          <w:sz w:val="20"/>
          <w:szCs w:val="20"/>
          <w:color w:val="auto"/>
        </w:rPr>
      </w:pPr>
    </w:p>
    <w:p>
      <w:pPr>
        <w:ind w:left="160" w:right="220"/>
        <w:spacing w:after="0" w:line="247" w:lineRule="auto"/>
        <w:rPr>
          <w:sz w:val="20"/>
          <w:szCs w:val="20"/>
          <w:color w:val="auto"/>
        </w:rPr>
      </w:pPr>
      <w:r>
        <w:rPr>
          <w:rFonts w:ascii="Arial" w:cs="Arial" w:eastAsia="Arial" w:hAnsi="Arial"/>
          <w:sz w:val="16"/>
          <w:szCs w:val="16"/>
          <w:color w:val="auto"/>
        </w:rPr>
        <w:t>Beginning with grants made in 2020, performance shares are earned based on our relative TSR performance against the S&amp;P 500 Industrials index companies. The relative TSR metric provides shareholders with a transparent and simple measure to gauge our performance against companies in our industry, and aligns the interests of our executives with our shareholders. The relative TSR targets for our performance shares are highly competitive. Awards are earned three years after the grant, provided relative TSR exceeds a threshold level with a maximum payout capped at 300% of target. Performance share payouts will be capped at 100% if absolute TSR is negative over the performance period.</w:t>
      </w:r>
    </w:p>
    <w:p>
      <w:pPr>
        <w:spacing w:after="0" w:line="203" w:lineRule="exact"/>
        <w:rPr>
          <w:sz w:val="20"/>
          <w:szCs w:val="20"/>
          <w:color w:val="auto"/>
        </w:rPr>
      </w:pPr>
    </w:p>
    <w:p>
      <w:pPr>
        <w:ind w:left="160" w:right="380"/>
        <w:spacing w:after="0" w:line="256" w:lineRule="auto"/>
        <w:rPr>
          <w:sz w:val="20"/>
          <w:szCs w:val="20"/>
          <w:color w:val="auto"/>
        </w:rPr>
      </w:pPr>
      <w:r>
        <w:rPr>
          <w:rFonts w:ascii="Arial" w:cs="Arial" w:eastAsia="Arial" w:hAnsi="Arial"/>
          <w:sz w:val="16"/>
          <w:szCs w:val="16"/>
          <w:color w:val="auto"/>
        </w:rPr>
        <w:t>For performance share grants made in 2020 and after, payouts will be made on a sliding scale using the following formula based on our relative TSR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140335</wp:posOffset>
            </wp:positionV>
            <wp:extent cx="3244215" cy="2174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44215" cy="2174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56</w:t>
      </w:r>
    </w:p>
    <w:p>
      <w:pPr>
        <w:sectPr>
          <w:pgSz w:w="11900" w:h="16838" w:orient="portrait"/>
          <w:cols w:equalWidth="0" w:num="1">
            <w:col w:w="11080"/>
          </w:cols>
          <w:pgMar w:left="320" w:top="456"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Performance Shares Granted Prior to 2020 – Internal TSR Metric</w:t>
      </w:r>
    </w:p>
    <w:p>
      <w:pPr>
        <w:spacing w:after="0" w:line="206"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The performance shares that vested in 2021 are based on the three-year performance period of 2019-2021, and the performance is based on our historic internal TSR metric, which is described below. Consistent with our value creation over the three-year performance period, the performance shares that vested in 2021 had a payout percentage of 300% for our NEOs.</w:t>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140" w:type="dxa"/>
            <w:vAlign w:val="bottom"/>
            <w:tcBorders>
              <w:top w:val="single" w:sz="8" w:color="021496"/>
              <w:bottom w:val="single" w:sz="8" w:color="021496"/>
            </w:tcBorders>
          </w:tcPr>
          <w:p>
            <w:pPr>
              <w:spacing w:after="0"/>
              <w:rPr>
                <w:sz w:val="20"/>
                <w:szCs w:val="20"/>
                <w:color w:val="auto"/>
              </w:rPr>
            </w:pPr>
          </w:p>
        </w:tc>
        <w:tc>
          <w:tcPr>
            <w:tcW w:w="2020" w:type="dxa"/>
            <w:vAlign w:val="bottom"/>
            <w:tcBorders>
              <w:top w:val="single" w:sz="8" w:color="021496"/>
              <w:bottom w:val="single" w:sz="8" w:color="021496"/>
            </w:tcBorders>
          </w:tcPr>
          <w:p>
            <w:pPr>
              <w:jc w:val="right"/>
              <w:ind w:right="300"/>
              <w:spacing w:after="0"/>
              <w:rPr>
                <w:sz w:val="20"/>
                <w:szCs w:val="20"/>
                <w:color w:val="auto"/>
              </w:rPr>
            </w:pPr>
            <w:r>
              <w:rPr>
                <w:rFonts w:ascii="Arial" w:cs="Arial" w:eastAsia="Arial" w:hAnsi="Arial"/>
                <w:sz w:val="16"/>
                <w:szCs w:val="16"/>
                <w:b w:val="1"/>
                <w:bCs w:val="1"/>
                <w:color w:val="auto"/>
              </w:rPr>
              <w:t>Target # of Shares</w:t>
            </w:r>
          </w:p>
        </w:tc>
        <w:tc>
          <w:tcPr>
            <w:tcW w:w="2760" w:type="dxa"/>
            <w:vAlign w:val="bottom"/>
            <w:tcBorders>
              <w:top w:val="single" w:sz="8" w:color="021496"/>
              <w:bottom w:val="single" w:sz="8" w:color="021496"/>
            </w:tcBorders>
          </w:tcPr>
          <w:p>
            <w:pPr>
              <w:jc w:val="right"/>
              <w:ind w:right="500"/>
              <w:spacing w:after="0"/>
              <w:rPr>
                <w:sz w:val="20"/>
                <w:szCs w:val="20"/>
                <w:color w:val="auto"/>
              </w:rPr>
            </w:pPr>
            <w:r>
              <w:rPr>
                <w:rFonts w:ascii="Arial" w:cs="Arial" w:eastAsia="Arial" w:hAnsi="Arial"/>
                <w:sz w:val="16"/>
                <w:szCs w:val="16"/>
                <w:b w:val="1"/>
                <w:bCs w:val="1"/>
                <w:color w:val="auto"/>
              </w:rPr>
              <w:t>Actual Shares Awarded</w:t>
            </w:r>
          </w:p>
        </w:tc>
      </w:tr>
      <w:tr>
        <w:trPr>
          <w:trHeight w:val="261"/>
        </w:trPr>
        <w:tc>
          <w:tcPr>
            <w:tcW w:w="61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Richard J. Tobin</w:t>
            </w:r>
          </w:p>
        </w:tc>
        <w:tc>
          <w:tcPr>
            <w:tcW w:w="2020" w:type="dxa"/>
            <w:vAlign w:val="bottom"/>
            <w:tcBorders>
              <w:bottom w:val="single" w:sz="8" w:color="D8D8D8"/>
            </w:tcBorders>
            <w:shd w:val="clear" w:color="auto" w:fill="D8D8D8"/>
          </w:tcPr>
          <w:p>
            <w:pPr>
              <w:jc w:val="right"/>
              <w:ind w:right="300"/>
              <w:spacing w:after="0"/>
              <w:rPr>
                <w:sz w:val="20"/>
                <w:szCs w:val="20"/>
                <w:color w:val="auto"/>
              </w:rPr>
            </w:pPr>
            <w:r>
              <w:rPr>
                <w:rFonts w:ascii="Arial" w:cs="Arial" w:eastAsia="Arial" w:hAnsi="Arial"/>
                <w:sz w:val="16"/>
                <w:szCs w:val="16"/>
                <w:color w:val="auto"/>
              </w:rPr>
              <w:t>15,351</w:t>
            </w:r>
          </w:p>
        </w:tc>
        <w:tc>
          <w:tcPr>
            <w:tcW w:w="2760" w:type="dxa"/>
            <w:vAlign w:val="bottom"/>
            <w:tcBorders>
              <w:bottom w:val="single" w:sz="8" w:color="D8D8D8"/>
            </w:tcBorders>
            <w:shd w:val="clear" w:color="auto" w:fill="D8D8D8"/>
          </w:tcPr>
          <w:p>
            <w:pPr>
              <w:jc w:val="right"/>
              <w:ind w:right="500"/>
              <w:spacing w:after="0"/>
              <w:rPr>
                <w:sz w:val="20"/>
                <w:szCs w:val="20"/>
                <w:color w:val="auto"/>
              </w:rPr>
            </w:pPr>
            <w:r>
              <w:rPr>
                <w:rFonts w:ascii="Arial" w:cs="Arial" w:eastAsia="Arial" w:hAnsi="Arial"/>
                <w:sz w:val="16"/>
                <w:szCs w:val="16"/>
                <w:color w:val="auto"/>
              </w:rPr>
              <w:t>46,053</w:t>
            </w:r>
          </w:p>
        </w:tc>
      </w:tr>
      <w:tr>
        <w:trPr>
          <w:trHeight w:val="249"/>
        </w:trPr>
        <w:tc>
          <w:tcPr>
            <w:tcW w:w="6140" w:type="dxa"/>
            <w:vAlign w:val="bottom"/>
          </w:tcPr>
          <w:p>
            <w:pPr>
              <w:ind w:left="40"/>
              <w:spacing w:after="0"/>
              <w:rPr>
                <w:sz w:val="20"/>
                <w:szCs w:val="20"/>
                <w:color w:val="auto"/>
              </w:rPr>
            </w:pPr>
            <w:r>
              <w:rPr>
                <w:rFonts w:ascii="Arial" w:cs="Arial" w:eastAsia="Arial" w:hAnsi="Arial"/>
                <w:sz w:val="16"/>
                <w:szCs w:val="16"/>
                <w:b w:val="1"/>
                <w:bCs w:val="1"/>
                <w:color w:val="auto"/>
              </w:rPr>
              <w:t>Brad M. Cerepak</w:t>
            </w:r>
          </w:p>
        </w:tc>
        <w:tc>
          <w:tcPr>
            <w:tcW w:w="2020" w:type="dxa"/>
            <w:vAlign w:val="bottom"/>
          </w:tcPr>
          <w:p>
            <w:pPr>
              <w:jc w:val="right"/>
              <w:ind w:right="300"/>
              <w:spacing w:after="0"/>
              <w:rPr>
                <w:sz w:val="20"/>
                <w:szCs w:val="20"/>
                <w:color w:val="auto"/>
              </w:rPr>
            </w:pPr>
            <w:r>
              <w:rPr>
                <w:rFonts w:ascii="Arial" w:cs="Arial" w:eastAsia="Arial" w:hAnsi="Arial"/>
                <w:sz w:val="16"/>
                <w:szCs w:val="16"/>
                <w:color w:val="auto"/>
              </w:rPr>
              <w:t>4,386</w:t>
            </w:r>
          </w:p>
        </w:tc>
        <w:tc>
          <w:tcPr>
            <w:tcW w:w="2760" w:type="dxa"/>
            <w:vAlign w:val="bottom"/>
          </w:tcPr>
          <w:p>
            <w:pPr>
              <w:jc w:val="right"/>
              <w:ind w:right="500"/>
              <w:spacing w:after="0"/>
              <w:rPr>
                <w:sz w:val="20"/>
                <w:szCs w:val="20"/>
                <w:color w:val="auto"/>
              </w:rPr>
            </w:pPr>
            <w:r>
              <w:rPr>
                <w:rFonts w:ascii="Arial" w:cs="Arial" w:eastAsia="Arial" w:hAnsi="Arial"/>
                <w:sz w:val="16"/>
                <w:szCs w:val="16"/>
                <w:color w:val="auto"/>
              </w:rPr>
              <w:t>13,158</w:t>
            </w:r>
          </w:p>
        </w:tc>
      </w:tr>
      <w:tr>
        <w:trPr>
          <w:trHeight w:val="46"/>
        </w:trPr>
        <w:tc>
          <w:tcPr>
            <w:tcW w:w="6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760" w:type="dxa"/>
            <w:vAlign w:val="bottom"/>
          </w:tcPr>
          <w:p>
            <w:pPr>
              <w:spacing w:after="0"/>
              <w:rPr>
                <w:sz w:val="3"/>
                <w:szCs w:val="3"/>
                <w:color w:val="auto"/>
              </w:rPr>
            </w:pPr>
          </w:p>
        </w:tc>
      </w:tr>
      <w:tr>
        <w:trPr>
          <w:trHeight w:val="274"/>
        </w:trPr>
        <w:tc>
          <w:tcPr>
            <w:tcW w:w="61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Girish Juneja</w:t>
            </w:r>
          </w:p>
        </w:tc>
        <w:tc>
          <w:tcPr>
            <w:tcW w:w="2020" w:type="dxa"/>
            <w:vAlign w:val="bottom"/>
            <w:tcBorders>
              <w:bottom w:val="single" w:sz="8" w:color="D8D8D8"/>
            </w:tcBorders>
            <w:shd w:val="clear" w:color="auto" w:fill="D8D8D8"/>
          </w:tcPr>
          <w:p>
            <w:pPr>
              <w:jc w:val="right"/>
              <w:ind w:right="300"/>
              <w:spacing w:after="0"/>
              <w:rPr>
                <w:sz w:val="20"/>
                <w:szCs w:val="20"/>
                <w:color w:val="auto"/>
              </w:rPr>
            </w:pPr>
            <w:r>
              <w:rPr>
                <w:rFonts w:ascii="Arial" w:cs="Arial" w:eastAsia="Arial" w:hAnsi="Arial"/>
                <w:sz w:val="16"/>
                <w:szCs w:val="16"/>
                <w:color w:val="auto"/>
              </w:rPr>
              <w:t>987</w:t>
            </w:r>
          </w:p>
        </w:tc>
        <w:tc>
          <w:tcPr>
            <w:tcW w:w="2760" w:type="dxa"/>
            <w:vAlign w:val="bottom"/>
            <w:tcBorders>
              <w:bottom w:val="single" w:sz="8" w:color="D8D8D8"/>
            </w:tcBorders>
            <w:shd w:val="clear" w:color="auto" w:fill="D8D8D8"/>
          </w:tcPr>
          <w:p>
            <w:pPr>
              <w:jc w:val="right"/>
              <w:ind w:right="500"/>
              <w:spacing w:after="0"/>
              <w:rPr>
                <w:sz w:val="20"/>
                <w:szCs w:val="20"/>
                <w:color w:val="auto"/>
              </w:rPr>
            </w:pPr>
            <w:r>
              <w:rPr>
                <w:rFonts w:ascii="Arial" w:cs="Arial" w:eastAsia="Arial" w:hAnsi="Arial"/>
                <w:sz w:val="16"/>
                <w:szCs w:val="16"/>
                <w:color w:val="auto"/>
              </w:rPr>
              <w:t>2,961</w:t>
            </w:r>
          </w:p>
        </w:tc>
      </w:tr>
      <w:tr>
        <w:trPr>
          <w:trHeight w:val="249"/>
        </w:trPr>
        <w:tc>
          <w:tcPr>
            <w:tcW w:w="6140" w:type="dxa"/>
            <w:vAlign w:val="bottom"/>
          </w:tcPr>
          <w:p>
            <w:pPr>
              <w:ind w:left="40"/>
              <w:spacing w:after="0"/>
              <w:rPr>
                <w:sz w:val="20"/>
                <w:szCs w:val="20"/>
                <w:color w:val="auto"/>
              </w:rPr>
            </w:pPr>
            <w:r>
              <w:rPr>
                <w:rFonts w:ascii="Arial" w:cs="Arial" w:eastAsia="Arial" w:hAnsi="Arial"/>
                <w:sz w:val="16"/>
                <w:szCs w:val="16"/>
                <w:b w:val="1"/>
                <w:bCs w:val="1"/>
                <w:color w:val="auto"/>
              </w:rPr>
              <w:t>Ivonne M. Cabrera</w:t>
            </w:r>
          </w:p>
        </w:tc>
        <w:tc>
          <w:tcPr>
            <w:tcW w:w="2020" w:type="dxa"/>
            <w:vAlign w:val="bottom"/>
          </w:tcPr>
          <w:p>
            <w:pPr>
              <w:jc w:val="right"/>
              <w:ind w:right="300"/>
              <w:spacing w:after="0"/>
              <w:rPr>
                <w:sz w:val="20"/>
                <w:szCs w:val="20"/>
                <w:color w:val="auto"/>
              </w:rPr>
            </w:pPr>
            <w:r>
              <w:rPr>
                <w:rFonts w:ascii="Arial" w:cs="Arial" w:eastAsia="Arial" w:hAnsi="Arial"/>
                <w:sz w:val="16"/>
                <w:szCs w:val="16"/>
                <w:color w:val="auto"/>
              </w:rPr>
              <w:t>1,754</w:t>
            </w:r>
          </w:p>
        </w:tc>
        <w:tc>
          <w:tcPr>
            <w:tcW w:w="2760" w:type="dxa"/>
            <w:vAlign w:val="bottom"/>
          </w:tcPr>
          <w:p>
            <w:pPr>
              <w:jc w:val="right"/>
              <w:ind w:right="500"/>
              <w:spacing w:after="0"/>
              <w:rPr>
                <w:sz w:val="20"/>
                <w:szCs w:val="20"/>
                <w:color w:val="auto"/>
              </w:rPr>
            </w:pPr>
            <w:r>
              <w:rPr>
                <w:rFonts w:ascii="Arial" w:cs="Arial" w:eastAsia="Arial" w:hAnsi="Arial"/>
                <w:sz w:val="16"/>
                <w:szCs w:val="16"/>
                <w:color w:val="auto"/>
              </w:rPr>
              <w:t>5,262</w:t>
            </w:r>
          </w:p>
        </w:tc>
      </w:tr>
      <w:tr>
        <w:trPr>
          <w:trHeight w:val="46"/>
        </w:trPr>
        <w:tc>
          <w:tcPr>
            <w:tcW w:w="6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760" w:type="dxa"/>
            <w:vAlign w:val="bottom"/>
          </w:tcPr>
          <w:p>
            <w:pPr>
              <w:spacing w:after="0"/>
              <w:rPr>
                <w:sz w:val="3"/>
                <w:szCs w:val="3"/>
                <w:color w:val="auto"/>
              </w:rPr>
            </w:pPr>
          </w:p>
        </w:tc>
      </w:tr>
      <w:tr>
        <w:trPr>
          <w:trHeight w:val="274"/>
        </w:trPr>
        <w:tc>
          <w:tcPr>
            <w:tcW w:w="61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Kimberly K. Bors</w:t>
            </w:r>
          </w:p>
        </w:tc>
        <w:tc>
          <w:tcPr>
            <w:tcW w:w="2020" w:type="dxa"/>
            <w:vAlign w:val="bottom"/>
            <w:tcBorders>
              <w:bottom w:val="single" w:sz="8" w:color="D8D8D8"/>
            </w:tcBorders>
            <w:shd w:val="clear" w:color="auto" w:fill="D8D8D8"/>
          </w:tcPr>
          <w:p>
            <w:pPr>
              <w:jc w:val="right"/>
              <w:ind w:right="300"/>
              <w:spacing w:after="0"/>
              <w:rPr>
                <w:sz w:val="20"/>
                <w:szCs w:val="20"/>
                <w:color w:val="auto"/>
              </w:rPr>
            </w:pPr>
            <w:r>
              <w:rPr>
                <w:rFonts w:ascii="Arial" w:cs="Arial" w:eastAsia="Arial" w:hAnsi="Arial"/>
                <w:sz w:val="16"/>
                <w:szCs w:val="16"/>
                <w:color w:val="auto"/>
              </w:rPr>
              <w:t>N/A</w:t>
            </w:r>
          </w:p>
        </w:tc>
        <w:tc>
          <w:tcPr>
            <w:tcW w:w="2760" w:type="dxa"/>
            <w:vAlign w:val="bottom"/>
            <w:tcBorders>
              <w:bottom w:val="single" w:sz="8" w:color="D8D8D8"/>
            </w:tcBorders>
            <w:shd w:val="clear" w:color="auto" w:fill="D8D8D8"/>
          </w:tcPr>
          <w:p>
            <w:pPr>
              <w:jc w:val="right"/>
              <w:ind w:right="500"/>
              <w:spacing w:after="0"/>
              <w:rPr>
                <w:sz w:val="20"/>
                <w:szCs w:val="20"/>
                <w:color w:val="auto"/>
              </w:rPr>
            </w:pPr>
            <w:r>
              <w:rPr>
                <w:rFonts w:ascii="Arial" w:cs="Arial" w:eastAsia="Arial" w:hAnsi="Arial"/>
                <w:sz w:val="16"/>
                <w:szCs w:val="16"/>
                <w:color w:val="auto"/>
              </w:rPr>
              <w:t>0</w:t>
            </w:r>
          </w:p>
        </w:tc>
      </w:tr>
      <w:tr>
        <w:trPr>
          <w:trHeight w:val="20"/>
        </w:trPr>
        <w:tc>
          <w:tcPr>
            <w:tcW w:w="6140" w:type="dxa"/>
            <w:vAlign w:val="bottom"/>
            <w:shd w:val="clear" w:color="auto" w:fill="021496"/>
          </w:tcPr>
          <w:p>
            <w:pPr>
              <w:spacing w:after="0" w:line="20" w:lineRule="exact"/>
              <w:rPr>
                <w:sz w:val="1"/>
                <w:szCs w:val="1"/>
                <w:color w:val="auto"/>
              </w:rPr>
            </w:pPr>
          </w:p>
        </w:tc>
        <w:tc>
          <w:tcPr>
            <w:tcW w:w="2020" w:type="dxa"/>
            <w:vAlign w:val="bottom"/>
            <w:shd w:val="clear" w:color="auto" w:fill="021496"/>
          </w:tcPr>
          <w:p>
            <w:pPr>
              <w:spacing w:after="0" w:line="20" w:lineRule="exact"/>
              <w:rPr>
                <w:sz w:val="1"/>
                <w:szCs w:val="1"/>
                <w:color w:val="auto"/>
              </w:rPr>
            </w:pPr>
          </w:p>
        </w:tc>
        <w:tc>
          <w:tcPr>
            <w:tcW w:w="2760" w:type="dxa"/>
            <w:vAlign w:val="bottom"/>
            <w:shd w:val="clear" w:color="auto" w:fill="021496"/>
          </w:tcPr>
          <w:p>
            <w:pPr>
              <w:spacing w:after="0" w:line="20" w:lineRule="exact"/>
              <w:rPr>
                <w:sz w:val="1"/>
                <w:szCs w:val="1"/>
                <w:color w:val="auto"/>
              </w:rPr>
            </w:pPr>
          </w:p>
        </w:tc>
      </w:tr>
    </w:tbl>
    <w:p>
      <w:pPr>
        <w:spacing w:after="0" w:line="156" w:lineRule="exact"/>
        <w:rPr>
          <w:sz w:val="20"/>
          <w:szCs w:val="20"/>
          <w:color w:val="auto"/>
        </w:rPr>
      </w:pPr>
    </w:p>
    <w:p>
      <w:pPr>
        <w:ind w:left="160" w:right="260"/>
        <w:spacing w:after="0" w:line="263" w:lineRule="auto"/>
        <w:rPr>
          <w:sz w:val="20"/>
          <w:szCs w:val="20"/>
          <w:color w:val="auto"/>
        </w:rPr>
      </w:pPr>
      <w:r>
        <w:rPr>
          <w:rFonts w:ascii="Arial" w:cs="Arial" w:eastAsia="Arial" w:hAnsi="Arial"/>
          <w:sz w:val="16"/>
          <w:szCs w:val="16"/>
          <w:b w:val="1"/>
          <w:bCs w:val="1"/>
          <w:i w:val="1"/>
          <w:iCs w:val="1"/>
          <w:color w:val="auto"/>
        </w:rPr>
        <w:t xml:space="preserve">Definition of Internal TSR. </w:t>
      </w:r>
      <w:r>
        <w:rPr>
          <w:rFonts w:ascii="Arial" w:cs="Arial" w:eastAsia="Arial" w:hAnsi="Arial"/>
          <w:sz w:val="16"/>
          <w:szCs w:val="16"/>
          <w:color w:val="auto"/>
        </w:rPr>
        <w:t>The performance shares granted to NEOs for the performance period of 2019-2021 are measured based on internal TSR,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by definition, is a measure of value creation for our business segments and operating companies. The key components of internal TSR are EBITDA Growth and Free Cash Flow. Based on rigorous testing over time, internal TSR is:</w:t>
      </w:r>
    </w:p>
    <w:p>
      <w:pPr>
        <w:spacing w:after="0" w:line="57" w:lineRule="exact"/>
        <w:rPr>
          <w:sz w:val="20"/>
          <w:szCs w:val="20"/>
          <w:color w:val="auto"/>
        </w:rPr>
      </w:pPr>
    </w:p>
    <w:p>
      <w:pPr>
        <w:ind w:left="1020" w:hanging="318"/>
        <w:spacing w:after="0"/>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highly correlated with long-term shareholder value creation for a multi-industry company such as Dover,</w:t>
      </w:r>
    </w:p>
    <w:p>
      <w:pPr>
        <w:spacing w:after="0" w:line="83" w:lineRule="exact"/>
        <w:rPr>
          <w:rFonts w:ascii="Arial" w:cs="Arial" w:eastAsia="Arial" w:hAnsi="Arial"/>
          <w:sz w:val="16"/>
          <w:szCs w:val="16"/>
          <w:color w:val="auto"/>
        </w:rPr>
      </w:pPr>
    </w:p>
    <w:p>
      <w:pPr>
        <w:ind w:left="1020" w:hanging="318"/>
        <w:spacing w:after="0"/>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highly correlated with the combination of return on invested capital and organic growth, and</w:t>
      </w:r>
    </w:p>
    <w:p>
      <w:pPr>
        <w:spacing w:after="0" w:line="83" w:lineRule="exact"/>
        <w:rPr>
          <w:rFonts w:ascii="Arial" w:cs="Arial" w:eastAsia="Arial" w:hAnsi="Arial"/>
          <w:sz w:val="16"/>
          <w:szCs w:val="16"/>
          <w:color w:val="auto"/>
        </w:rPr>
      </w:pPr>
    </w:p>
    <w:p>
      <w:pPr>
        <w:ind w:left="1020" w:right="280" w:hanging="318"/>
        <w:spacing w:after="0" w:line="256" w:lineRule="auto"/>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effective in driving behaviors because it measures outcomes that are more within management’s control, such as revenue growth (organic and acquisition), and margin improvements.</w:t>
      </w:r>
    </w:p>
    <w:p>
      <w:pPr>
        <w:spacing w:after="0" w:line="156" w:lineRule="exact"/>
        <w:rPr>
          <w:sz w:val="20"/>
          <w:szCs w:val="20"/>
          <w:color w:val="auto"/>
        </w:rPr>
      </w:pPr>
    </w:p>
    <w:p>
      <w:pPr>
        <w:ind w:left="160" w:right="200"/>
        <w:spacing w:after="0" w:line="247" w:lineRule="auto"/>
        <w:rPr>
          <w:sz w:val="20"/>
          <w:szCs w:val="20"/>
          <w:color w:val="auto"/>
        </w:rPr>
      </w:pPr>
      <w:r>
        <w:rPr>
          <w:rFonts w:ascii="Arial" w:cs="Arial" w:eastAsia="Arial" w:hAnsi="Arial"/>
          <w:sz w:val="16"/>
          <w:szCs w:val="16"/>
          <w:color w:val="auto"/>
        </w:rPr>
        <w:t>Internal TSR measures the change in enterprise value over a three-year period. EBITDA is assigned a multiple based on prevailing market multiples among industrial companies. Internal TSR tracks the change in that EBITDA-based value, along with Free Cash Flow generated during the three-year performance period. The two together work similarly to an external TSR measure: the EBITDA-based value becomes a proxy for share price, and Free Cash Flow becomes a proxy for dividends. Further, EBITDA Growth and Free Cash Flow together focus our business leaders on growing our business, investing in continuing operations, and shaping our portfolio with capital-effective acquisitions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2161540</wp:posOffset>
            </wp:positionH>
            <wp:positionV relativeFrom="paragraph">
              <wp:posOffset>144780</wp:posOffset>
            </wp:positionV>
            <wp:extent cx="2819400" cy="17157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19400" cy="171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20" w:right="360" w:hanging="318"/>
        <w:spacing w:after="0" w:line="263" w:lineRule="auto"/>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EBITDA Growth </w:t>
      </w:r>
      <w:r>
        <w:rPr>
          <w:rFonts w:ascii="Arial" w:cs="Arial" w:eastAsia="Arial" w:hAnsi="Arial"/>
          <w:sz w:val="16"/>
          <w:szCs w:val="16"/>
          <w:color w:val="auto"/>
        </w:rPr>
        <w:t>— We believe that EBITDA is useful for purposes of evaluating our ongoing operating profitability as it excludes the</w:t>
      </w:r>
      <w:r>
        <w:rPr>
          <w:rFonts w:ascii="Arial" w:cs="Arial" w:eastAsia="Arial" w:hAnsi="Arial"/>
          <w:sz w:val="16"/>
          <w:szCs w:val="16"/>
          <w:b w:val="1"/>
          <w:bCs w:val="1"/>
          <w:color w:val="auto"/>
        </w:rPr>
        <w:t xml:space="preserve"> </w:t>
      </w:r>
      <w:r>
        <w:rPr>
          <w:rFonts w:ascii="Arial" w:cs="Arial" w:eastAsia="Arial" w:hAnsi="Arial"/>
          <w:sz w:val="16"/>
          <w:szCs w:val="16"/>
          <w:color w:val="auto"/>
        </w:rPr>
        <w:t>depreciation and amortization expense related primarily to capital expenditures and acquisitions that occurred in prior years, as well as in evaluating our operating performance in relation to our competitors.</w:t>
      </w:r>
    </w:p>
    <w:p>
      <w:pPr>
        <w:spacing w:after="0" w:line="37" w:lineRule="exact"/>
        <w:rPr>
          <w:rFonts w:ascii="Arial" w:cs="Arial" w:eastAsia="Arial" w:hAnsi="Arial"/>
          <w:sz w:val="16"/>
          <w:szCs w:val="16"/>
          <w:color w:val="auto"/>
        </w:rPr>
      </w:pPr>
    </w:p>
    <w:p>
      <w:pPr>
        <w:jc w:val="both"/>
        <w:ind w:left="1020" w:right="280" w:hanging="318"/>
        <w:spacing w:after="0" w:line="256" w:lineRule="auto"/>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 Free Cash Flow is operating cash flow less capital spending, less cash used for acquisitions, plus cash received from</w:t>
      </w:r>
      <w:r>
        <w:rPr>
          <w:rFonts w:ascii="Arial" w:cs="Arial" w:eastAsia="Arial" w:hAnsi="Arial"/>
          <w:sz w:val="16"/>
          <w:szCs w:val="16"/>
          <w:b w:val="1"/>
          <w:bCs w:val="1"/>
          <w:color w:val="auto"/>
        </w:rPr>
        <w:t xml:space="preserve"> </w:t>
      </w:r>
      <w:r>
        <w:rPr>
          <w:rFonts w:ascii="Arial" w:cs="Arial" w:eastAsia="Arial" w:hAnsi="Arial"/>
          <w:sz w:val="16"/>
          <w:szCs w:val="16"/>
          <w:color w:val="auto"/>
        </w:rPr>
        <w:t>divestitures. We believe that Free Cash Flow is an important measure of our operating performance as it provides a measurement of cash generated from operations that is available for mandatory payment obligations and investment opportunities, such as funding acquisitions, paying dividends, repaying debt and repurchasing our common stock.</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57</w:t>
      </w:r>
    </w:p>
    <w:p>
      <w:pPr>
        <w:sectPr>
          <w:pgSz w:w="11900" w:h="16838" w:orient="portrait"/>
          <w:cols w:equalWidth="0" w:num="1">
            <w:col w:w="11080"/>
          </w:cols>
          <w:pgMar w:left="320" w:top="456"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0"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b w:val="1"/>
          <w:bCs w:val="1"/>
          <w:i w:val="1"/>
          <w:iCs w:val="1"/>
          <w:color w:val="auto"/>
        </w:rPr>
        <w:t xml:space="preserve">Safeguards. </w:t>
      </w:r>
      <w:r>
        <w:rPr>
          <w:rFonts w:ascii="Arial" w:cs="Arial" w:eastAsia="Arial" w:hAnsi="Arial"/>
          <w:sz w:val="16"/>
          <w:szCs w:val="16"/>
          <w:color w:val="auto"/>
        </w:rPr>
        <w:t>Since internal TSR is an absolute measure of value creation, we have implemented safeguards to substantially eliminate large payouts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resulting solely from economic cycles. Further, payouts under the program are in shares, and our shareholding requirements ensure that executives are exposed to the same stock price changes as our shareholders, including external stock market factors. Dividends are not accrued or paid on performance shares during the performance period.</w:t>
      </w:r>
    </w:p>
    <w:p>
      <w:pPr>
        <w:spacing w:after="0" w:line="151"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b w:val="1"/>
          <w:bCs w:val="1"/>
          <w:i w:val="1"/>
          <w:iCs w:val="1"/>
          <w:color w:val="auto"/>
        </w:rPr>
        <w:t xml:space="preserve">Rigorous Internal TSR Targets, Threshold and Cap Levels. </w:t>
      </w:r>
      <w:r>
        <w:rPr>
          <w:rFonts w:ascii="Arial" w:cs="Arial" w:eastAsia="Arial" w:hAnsi="Arial"/>
          <w:sz w:val="16"/>
          <w:szCs w:val="16"/>
          <w:color w:val="auto"/>
        </w:rPr>
        <w:t>Internal TSR targets for our performance shares are demanding and were rigorously back-tested to confirm that they are set to tie performance share payouts with comparable relative TSR performance levels. Awards are earned three years after the grant, provided internal TSR exceeds a threshold level. No payouts will be made unless internal TSR equals or exceeds 5%. The payout to any individual may not exceed 500,000 shares.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 performance share grants made in 2019, payouts were made on a sliding scale using the following formula with a maximum payout at 300%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153670</wp:posOffset>
            </wp:positionV>
            <wp:extent cx="2921635" cy="18173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92163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Stock Settled Stock Appreciation Rights</w:t>
      </w:r>
    </w:p>
    <w:p>
      <w:pPr>
        <w:spacing w:after="0" w:line="206" w:lineRule="exact"/>
        <w:rPr>
          <w:sz w:val="20"/>
          <w:szCs w:val="20"/>
          <w:color w:val="auto"/>
        </w:rPr>
      </w:pPr>
    </w:p>
    <w:p>
      <w:pPr>
        <w:ind w:left="160" w:right="100"/>
        <w:spacing w:after="0" w:line="246" w:lineRule="auto"/>
        <w:rPr>
          <w:sz w:val="20"/>
          <w:szCs w:val="20"/>
          <w:color w:val="auto"/>
        </w:rPr>
      </w:pPr>
      <w:r>
        <w:rPr>
          <w:rFonts w:ascii="Arial" w:cs="Arial" w:eastAsia="Arial" w:hAnsi="Arial"/>
          <w:sz w:val="16"/>
          <w:szCs w:val="16"/>
          <w:color w:val="auto"/>
        </w:rPr>
        <w:t>Stock Settled Stock Appreciation Rights (SSARs) give our NEOs the ability to participate in the price appreciation of a set number of shares of Company stock. Once SSARs vest, an NEO may exercise them any time prior to the expiration date and the proceeds from the exercise are paid to the NEO in the form of shares of Dover common stock to encourage continued share ownership and shareholder alignment. SSARs vest and are exercisable 3 years after grant date and remain exercisable for seven years, which means the awards are subject to 10-year stock price movement thus aligning executive interests with shareholder interests over the long term. Importantly, in light of our active acquisition program, SSARs’ forward-looking orientation is effective for incentivizing our newly-acquired companies and employees, who must create new value in order to realize gains. Furthermore, SSARs’ 10-year life cycle is essential to managing value creation with a business that has a portfolio of industrial companies whose economic cycles vary.</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Restricted Stock Units</w:t>
      </w:r>
    </w:p>
    <w:p>
      <w:pPr>
        <w:spacing w:after="0" w:line="193"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auto"/>
        </w:rPr>
        <w:t>RSU grants attract and retain NEOs by providing them with some of the benefits associated with stock ownership during the vesting period. Executives do not actually own the shares underlying the units, nor do they enjoy the benefits of ownership such as dividends and voting, until the vesting conditions are satisfied. Once vested, the NEO receives shares of Dover stock equivalent in number to the vested units and receives a cash amount equal to accrued dividends during the vesting period, net of withholding taxes.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Other Benefits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401(k), Pension Plan and Health &amp; Wellness Plans</w:t>
      </w:r>
    </w:p>
    <w:p>
      <w:pPr>
        <w:spacing w:after="0" w:line="94"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auto"/>
        </w:rPr>
        <w:t>Our executive officers are able to participate in retirement and benefit plans generally available to our employees on the same terms as other employees. Dover and most of our businesses offer a 401(k) plan to substantially all U.S.-based employees</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58</w:t>
      </w:r>
    </w:p>
    <w:p>
      <w:pPr>
        <w:sectPr>
          <w:pgSz w:w="11900" w:h="16838" w:orient="portrait"/>
          <w:cols w:equalWidth="0" w:num="1">
            <w:col w:w="11080"/>
          </w:cols>
          <w:pgMar w:left="320" w:top="456"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70" w:lineRule="exact"/>
        <w:rPr>
          <w:sz w:val="20"/>
          <w:szCs w:val="20"/>
          <w:color w:val="auto"/>
        </w:rPr>
      </w:pPr>
    </w:p>
    <w:p>
      <w:pPr>
        <w:ind w:left="160" w:right="160"/>
        <w:spacing w:after="0" w:line="247" w:lineRule="auto"/>
        <w:rPr>
          <w:sz w:val="20"/>
          <w:szCs w:val="20"/>
          <w:color w:val="auto"/>
        </w:rPr>
      </w:pPr>
      <w:r>
        <w:rPr>
          <w:rFonts w:ascii="Arial" w:cs="Arial" w:eastAsia="Arial" w:hAnsi="Arial"/>
          <w:sz w:val="16"/>
          <w:szCs w:val="16"/>
          <w:color w:val="auto"/>
        </w:rPr>
        <w:t>and provide a Company matching contribution denominated as a percentage of the amount of salary deferred into the plan by a participant during the course of the year. Some of our U.S.-based employees also participate in a tax-qualified defined benefit pension plan. Effective December 31, 2013, we closed both our qualified and non-qualified defined benefit retirement plans to new employees. We intend to freeze any future benefit accruals in both plans effective December 31, 2023. All of our U.S.-based employees are offered a health and wellness plan (including health, term life and disability insurance). NEOs do not receive enhanced health and wellness benefits.</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Non-Qualified Retirement Plans</w:t>
      </w:r>
    </w:p>
    <w:p>
      <w:pPr>
        <w:spacing w:after="0" w:line="94" w:lineRule="exact"/>
        <w:rPr>
          <w:sz w:val="20"/>
          <w:szCs w:val="20"/>
          <w:color w:val="auto"/>
        </w:rPr>
      </w:pPr>
    </w:p>
    <w:p>
      <w:pPr>
        <w:jc w:val="both"/>
        <w:ind w:left="160" w:right="160"/>
        <w:spacing w:after="0" w:line="248" w:lineRule="auto"/>
        <w:rPr>
          <w:sz w:val="20"/>
          <w:szCs w:val="20"/>
          <w:color w:val="auto"/>
        </w:rPr>
      </w:pPr>
      <w:r>
        <w:rPr>
          <w:rFonts w:ascii="Arial" w:cs="Arial" w:eastAsia="Arial" w:hAnsi="Arial"/>
          <w:sz w:val="16"/>
          <w:szCs w:val="16"/>
          <w:color w:val="auto"/>
        </w:rPr>
        <w:t>We offer two non-qualified plans with participation generally limited to individuals whose annual salary and bonus earnings exceed the Internal Revenue Service (“IRS”) limits applicable to our qualified plans: our Pension Replacement Plan (“PRP”) and our deferred compensation plan. Participation in the deferred compensation plan is open to employees with an annual salary equal to or greater than $175,000 for 2021 deferral elections and $250,000 for 2022 deferral elections.</w:t>
      </w:r>
    </w:p>
    <w:p>
      <w:pPr>
        <w:spacing w:after="0" w:line="162"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auto"/>
        </w:rPr>
        <w:t>After December 31, 2009, benefits under the PRP before offsets are determined using the benefit calculation and eligibility criteria as under the pension plan, except that IRS limits on compensation and benefits do not apply. Prior to December 31, 2009, the participants in the PRP accrued benefits greater than those offered in the pension plan. Effective January 1, 2010, we modified this plan so that executives subject to IRS compensation limits will accrue future benefits that are substantially the same as benefits under the pension plan. Individuals who participated in the PRP prior to January 1, 2010 will receive benefits calculated under the prior benefit formula through December 31, 2009 and benefits calculated under the lower PRP benefit formula on and after January 1, 2010. Amounts receivable by the executives under the PRP are reduced by any amounts receivable by them under the pension plan, any qualifying profit sharing plan, Company-paid portion of social security benefits, and the amounts of the Company match in the 401(k) plan.</w:t>
      </w:r>
    </w:p>
    <w:p>
      <w:pPr>
        <w:spacing w:after="0" w:line="164"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Effective December 31, 2013, the PRP was closed to new employees. All eligible employees as of December 31, 2013 will continue to earn PRP benefits through December 31, 2023 as long as they remain employed by Dover and its affiliates. Effective December 31, 2023, Dover intends to eliminate any future benefit accruals consistent with the freezing of benefit accruals under the pension plan.</w:t>
      </w:r>
    </w:p>
    <w:p>
      <w:pPr>
        <w:spacing w:after="0" w:line="174" w:lineRule="exact"/>
        <w:rPr>
          <w:sz w:val="20"/>
          <w:szCs w:val="20"/>
          <w:color w:val="auto"/>
        </w:rPr>
      </w:pPr>
    </w:p>
    <w:p>
      <w:pPr>
        <w:ind w:left="160" w:right="120"/>
        <w:spacing w:after="0" w:line="248" w:lineRule="auto"/>
        <w:rPr>
          <w:sz w:val="20"/>
          <w:szCs w:val="20"/>
          <w:color w:val="auto"/>
        </w:rPr>
      </w:pPr>
      <w:r>
        <w:rPr>
          <w:rFonts w:ascii="Arial" w:cs="Arial" w:eastAsia="Arial" w:hAnsi="Arial"/>
          <w:sz w:val="16"/>
          <w:szCs w:val="16"/>
          <w:color w:val="auto"/>
        </w:rPr>
        <w:t>We offer a deferred compensation plan to allow participants to elect to defer their receipt of some or all of their salary, bonuses and any payout of a cash performance award. The plan permits executive officers to defer receipt of part of their compensation to later periods and facilitates tax planning for the participants. Effective January 1, 2022, the deferred compensation plan was amended to also provide for automatic Company contributions for participants who do not also participate in the PRP or have a present value benefit under the PRP of less than $100,000.</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Executive Severance</w:t>
      </w:r>
    </w:p>
    <w:p>
      <w:pPr>
        <w:spacing w:after="0" w:line="80"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auto"/>
        </w:rPr>
        <w:t>All of our NEOs are eligible to participate in our severance plan. Under the plan, if we terminate an NEO’s employment without cause (as defined in the severance plan), the NEO will generally be entitled to receive twelve months of salary plus target annual cash bonus, outplacement services, and healthcare benefits continuation, and a prorated annual cash bonus and a prorated performance share award for time worked during the year. In addition, Mr. Tobin is entitled to receive certain severance payments and benefits under his employment agreement in the event his employment is terminated by Dover without cause or by him for good reason. See “Potential Payments Upon Termination or Change in Control.”</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Senior Executive Change in Control Severance Plan</w:t>
      </w:r>
    </w:p>
    <w:p>
      <w:pPr>
        <w:spacing w:after="0" w:line="80" w:lineRule="exact"/>
        <w:rPr>
          <w:sz w:val="20"/>
          <w:szCs w:val="20"/>
          <w:color w:val="auto"/>
        </w:rPr>
      </w:pPr>
    </w:p>
    <w:p>
      <w:pPr>
        <w:ind w:left="160" w:right="60"/>
        <w:spacing w:after="0" w:line="245" w:lineRule="auto"/>
        <w:rPr>
          <w:sz w:val="20"/>
          <w:szCs w:val="20"/>
          <w:color w:val="auto"/>
        </w:rPr>
      </w:pPr>
      <w:r>
        <w:rPr>
          <w:rFonts w:ascii="Arial" w:cs="Arial" w:eastAsia="Arial" w:hAnsi="Arial"/>
          <w:sz w:val="16"/>
          <w:szCs w:val="16"/>
          <w:color w:val="auto"/>
        </w:rPr>
        <w:t>Our Senior Executive Change in Control Severance Plan (the “CIC Severance Plan”) establishes the severance benefits payable to eligible executives if they are involuntarily terminated following a change in control. All of our NEOs are eligible to participate in the CIC Severance Plan. An executive eligible to participate in the CIC Severance Plan as of the date of a change in control will be entitled to receive severance payments under the plan if, within 24 months after the change in control, either the executive’s employment is terminated by the Company without “cause” or he or she terminates employment for “good reason” (as such terms are defined in the plan). The severance payments and benefits will consist of: a lump sum payment equal to 2.0 times their annual salary and target bonus, a prorated annual cash bonus at target, full acceleration of all unvested SSARs and RSUs, performance share payout at target for all in-cycle awards, outplacement services, and a lump sum payment equal to the cost of Consolidated Omnibus Budget Reconciliation Act (COBRA) health care benefit continuation of the executive and covered family members for 24 months. See “Potential Payments Upon Termination or Change in Control.”</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59</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70" w:lineRule="exact"/>
        <w:rPr>
          <w:sz w:val="20"/>
          <w:szCs w:val="20"/>
          <w:color w:val="auto"/>
        </w:rPr>
      </w:pPr>
    </w:p>
    <w:p>
      <w:pPr>
        <w:ind w:left="160" w:right="340"/>
        <w:spacing w:after="0" w:line="256" w:lineRule="auto"/>
        <w:rPr>
          <w:sz w:val="20"/>
          <w:szCs w:val="20"/>
          <w:color w:val="auto"/>
        </w:rPr>
      </w:pPr>
      <w:r>
        <w:rPr>
          <w:rFonts w:ascii="Arial" w:cs="Arial" w:eastAsia="Arial" w:hAnsi="Arial"/>
          <w:sz w:val="16"/>
          <w:szCs w:val="16"/>
          <w:color w:val="auto"/>
        </w:rPr>
        <w:t>No executive may receive severance benefits under more than one plan or arrangement. Dover does not provide tax gross-ups in the CIC Severance Plan.</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Other Elements of Compensation</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Clawback Policy</w:t>
      </w:r>
    </w:p>
    <w:p>
      <w:pPr>
        <w:spacing w:after="0" w:line="94"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color w:val="auto"/>
        </w:rPr>
        <w:t>In 2019, we adopted a formal clawback and recoupment policy applicable to our executive officers. If our Board determines, in its sole discretion acting in good faith, that any executive officer has engaged in fraud or intentional misconduct that caused or was a significant contributing factor to a material restatement of all or a portion of our consolidated financial statements, the Board may, to the extent permitted by law, and to the extent it determines that it is in Dover’s best interest, require reimbursement to Dover for, or reduce or cancel, any incentive compensation paid, granted or credited to such executive officer on or after November 7, 2019. We may effect any such recoupment by requiring the executive officer to pay Dover the relevant amount, by set-off, by reducing future compensation or by such other means or combination of means as the Board determines to be appropriate.</w:t>
      </w:r>
    </w:p>
    <w:p>
      <w:pPr>
        <w:spacing w:after="0" w:line="166" w:lineRule="exact"/>
        <w:rPr>
          <w:sz w:val="20"/>
          <w:szCs w:val="20"/>
          <w:color w:val="auto"/>
        </w:rPr>
      </w:pPr>
    </w:p>
    <w:p>
      <w:pPr>
        <w:ind w:left="160" w:right="600"/>
        <w:spacing w:after="0" w:line="256" w:lineRule="auto"/>
        <w:rPr>
          <w:sz w:val="20"/>
          <w:szCs w:val="20"/>
          <w:color w:val="auto"/>
        </w:rPr>
      </w:pPr>
      <w:r>
        <w:rPr>
          <w:rFonts w:ascii="Arial" w:cs="Arial" w:eastAsia="Arial" w:hAnsi="Arial"/>
          <w:sz w:val="16"/>
          <w:szCs w:val="16"/>
          <w:color w:val="auto"/>
        </w:rPr>
        <w:t>Apart from the clawback policy described above, our PRP includes clawback provisions for termination for cause and the severance plan and CIC Severance Plan provide for clawback of benefits for breaches of the plan.</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Anti-hedging and Anti-pledging Policy</w:t>
      </w:r>
    </w:p>
    <w:p>
      <w:pPr>
        <w:spacing w:after="0" w:line="80" w:lineRule="exact"/>
        <w:rPr>
          <w:sz w:val="20"/>
          <w:szCs w:val="20"/>
          <w:color w:val="auto"/>
        </w:rPr>
      </w:pPr>
    </w:p>
    <w:p>
      <w:pPr>
        <w:ind w:left="160" w:right="80"/>
        <w:spacing w:after="0" w:line="247" w:lineRule="auto"/>
        <w:rPr>
          <w:sz w:val="20"/>
          <w:szCs w:val="20"/>
          <w:color w:val="auto"/>
        </w:rPr>
      </w:pPr>
      <w:r>
        <w:rPr>
          <w:rFonts w:ascii="Arial" w:cs="Arial" w:eastAsia="Arial" w:hAnsi="Arial"/>
          <w:sz w:val="16"/>
          <w:szCs w:val="16"/>
          <w:color w:val="auto"/>
        </w:rPr>
        <w:t>Our Securities Trading and Confidentiality Policy prohibits directors, executive officers and any employee who has previously received or receives any type of long-term incentive plan award, and certain persons and entities related to any such persons, from engaging in short-sales, transactions in derivative securities or any other form of hedging transaction designed to hedge or offset any decrease in the market value of Dover securities granted to or held by such persons. In addition, such persons may not hold Dover securities in a margin account or pledge securities as collateral for a loan or any other obligation.</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Perquisites</w:t>
      </w:r>
    </w:p>
    <w:p>
      <w:pPr>
        <w:spacing w:after="0" w:line="94" w:lineRule="exact"/>
        <w:rPr>
          <w:sz w:val="20"/>
          <w:szCs w:val="20"/>
          <w:color w:val="auto"/>
        </w:rPr>
      </w:pPr>
    </w:p>
    <w:p>
      <w:pPr>
        <w:ind w:left="160" w:right="220"/>
        <w:spacing w:after="0" w:line="248" w:lineRule="auto"/>
        <w:rPr>
          <w:sz w:val="20"/>
          <w:szCs w:val="20"/>
          <w:color w:val="auto"/>
        </w:rPr>
      </w:pPr>
      <w:r>
        <w:rPr>
          <w:rFonts w:ascii="Arial" w:cs="Arial" w:eastAsia="Arial" w:hAnsi="Arial"/>
          <w:sz w:val="16"/>
          <w:szCs w:val="16"/>
          <w:color w:val="auto"/>
        </w:rPr>
        <w:t>We provide substantially no executive perquisites, nor does the Company own or operate any corporate aircraft. Management and our Compensation Committee believe that providing significant perquisites to executive officers would not be consistent with our overall compensation philosophy. As a result, we do not provide executive officers with perquisites such as social club memberships, company cars or car allowances, or financial counseling. Except for executive physicals, our NEOs participate only in programs generally available to Dover employees.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Shareholding Guidelines</w:t>
      </w:r>
    </w:p>
    <w:p>
      <w:pPr>
        <w:spacing w:after="0" w:line="80"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auto"/>
        </w:rPr>
        <w:t>We believe that our executives will most effectively pursue the long-term interests of our shareholders if they are shareholders themselves. As a result, share ownership guidelines are in place for all NEOs (subject to exceptions that may be granted by our Compensation Committee for significant personal events or retirement planning). Our CEO is required to hold shares equal in value to five-times salary and our other NEOs are required to hold shares equal in value to three-times salary. Our policy requires that NEOs hold/retain all equity grants until the share ownership guidelines are met. Based on current share ownership, all executives serving as NEOs are currently in compliance with the guidelines. Our Compensation Committee reserves the right to provide a portion of annual bonus in stock for any officer who fails to meet or make satisfactory progress toward satisfying the guidelines.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Risk Assessment</w:t>
      </w:r>
    </w:p>
    <w:p>
      <w:pPr>
        <w:spacing w:after="0" w:line="80" w:lineRule="exact"/>
        <w:rPr>
          <w:sz w:val="20"/>
          <w:szCs w:val="20"/>
          <w:color w:val="auto"/>
        </w:rPr>
      </w:pPr>
    </w:p>
    <w:p>
      <w:pPr>
        <w:ind w:left="160" w:right="80"/>
        <w:spacing w:after="0" w:line="246" w:lineRule="auto"/>
        <w:rPr>
          <w:sz w:val="20"/>
          <w:szCs w:val="20"/>
          <w:color w:val="auto"/>
        </w:rPr>
      </w:pPr>
      <w:r>
        <w:rPr>
          <w:rFonts w:ascii="Arial" w:cs="Arial" w:eastAsia="Arial" w:hAnsi="Arial"/>
          <w:sz w:val="16"/>
          <w:szCs w:val="16"/>
          <w:color w:val="auto"/>
        </w:rPr>
        <w:t>In 2021, Dover, with the assistance of Willis Towers Watson, updated the formal risk assessment that was conducted in 2020 for all our incentive compensation programs that have material impact on our financial statements. Willis Towers Watson inventoried incentive compensation programs at the corporate and operating company levels globally and conducted in-depth reviews of financially material plans, identified based on expected spend and income statement accounts tied to the program. The reviews focused on both the plan design features as well as internal risk mitigation controls in place. Based on this assessment, we have concluded that Dover’s compensation practices and policies do not create risks that are reasonably likely to have a material adverse effect on the Company.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60</w:t>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258445</wp:posOffset>
            </wp:positionV>
            <wp:extent cx="6938010" cy="18256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38010" cy="182562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reviewed and discussed with management the Compensation Discussion and Analysis for the year ended December 31, 2021.</w:t>
      </w:r>
    </w:p>
    <w:p>
      <w:pPr>
        <w:spacing w:after="0" w:line="204" w:lineRule="exact"/>
        <w:rPr>
          <w:sz w:val="20"/>
          <w:szCs w:val="20"/>
          <w:color w:val="auto"/>
        </w:rPr>
      </w:pPr>
    </w:p>
    <w:p>
      <w:pPr>
        <w:ind w:left="440" w:right="780"/>
        <w:spacing w:after="0" w:line="250" w:lineRule="auto"/>
        <w:rPr>
          <w:sz w:val="20"/>
          <w:szCs w:val="20"/>
          <w:color w:val="auto"/>
        </w:rPr>
      </w:pPr>
      <w:r>
        <w:rPr>
          <w:rFonts w:ascii="Arial" w:cs="Arial" w:eastAsia="Arial" w:hAnsi="Arial"/>
          <w:sz w:val="16"/>
          <w:szCs w:val="16"/>
          <w:color w:val="auto"/>
        </w:rPr>
        <w:t>Based on the review and discussions referred to above, we recommended to the Board of Directors that the Compensation Discussion and Analysis be included in this Proxy Statement and incorporated by reference in Dover’s Annual Report on Form 10-K for the year ended December 31, 2021.</w:t>
      </w:r>
    </w:p>
    <w:p>
      <w:pPr>
        <w:sectPr>
          <w:pgSz w:w="11900" w:h="16838" w:orient="portrait"/>
          <w:cols w:equalWidth="0" w:num="1">
            <w:col w:w="11080"/>
          </w:cols>
          <w:pgMar w:left="320" w:top="456" w:right="499" w:bottom="1440" w:gutter="0" w:footer="0" w:header="0"/>
        </w:sectPr>
      </w:pPr>
    </w:p>
    <w:p>
      <w:pPr>
        <w:spacing w:after="0" w:line="2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Keith E. Wandell (Chair)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Kristiane C. Graham</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Michael F. Johnston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Mary A. Winston</w:t>
      </w:r>
    </w:p>
    <w:p>
      <w:pPr>
        <w:spacing w:after="0" w:line="200" w:lineRule="exact"/>
        <w:rPr>
          <w:sz w:val="20"/>
          <w:szCs w:val="20"/>
          <w:color w:val="auto"/>
        </w:rPr>
      </w:pPr>
    </w:p>
    <w:p>
      <w:pPr>
        <w:sectPr>
          <w:pgSz w:w="11900" w:h="16838" w:orient="portrait"/>
          <w:cols w:equalWidth="0" w:num="2">
            <w:col w:w="3080" w:space="720"/>
            <w:col w:w="7280"/>
          </w:cols>
          <w:pgMar w:left="320" w:top="456" w:right="499" w:bottom="1440" w:gutter="0" w:footer="0" w:header="0"/>
          <w:type w:val="continuous"/>
        </w:sectPr>
      </w:pPr>
    </w:p>
    <w:p>
      <w:pPr>
        <w:spacing w:after="0" w:line="17" w:lineRule="exact"/>
        <w:rPr>
          <w:sz w:val="20"/>
          <w:szCs w:val="20"/>
          <w:color w:val="auto"/>
        </w:rPr>
      </w:pPr>
    </w:p>
    <w:p>
      <w:pPr>
        <w:ind w:left="440" w:right="260"/>
        <w:spacing w:after="0" w:line="250" w:lineRule="auto"/>
        <w:rPr>
          <w:sz w:val="20"/>
          <w:szCs w:val="20"/>
          <w:color w:val="auto"/>
        </w:rPr>
      </w:pPr>
      <w:r>
        <w:rPr>
          <w:rFonts w:ascii="Arial" w:cs="Arial" w:eastAsia="Arial" w:hAnsi="Arial"/>
          <w:sz w:val="16"/>
          <w:szCs w:val="16"/>
          <w:color w:val="auto"/>
        </w:rPr>
        <w:t>This report does not constitute “soliciting material” and shall not be deemed filed or incorporated by reference into any filing under the Securities Act of 1933 or under the Securities Exchange Act of 1934, except to the extent the Company specifically incorporates this report by reference, and shall not otherwise be deemed filed under such Acts.</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61</w:t>
      </w:r>
    </w:p>
    <w:p>
      <w:pPr>
        <w:sectPr>
          <w:pgSz w:w="11900" w:h="16838" w:orient="portrait"/>
          <w:cols w:equalWidth="0" w:num="1">
            <w:col w:w="11080"/>
          </w:cols>
          <w:pgMar w:left="320" w:top="456" w:right="49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Executive Compensation Tables</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Summary Compensation Table</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Summary Compensation Table and notes show all remuneration for 2021 provided to our NEOs, consisting of the following officers:</w:t>
      </w:r>
    </w:p>
    <w:p>
      <w:pPr>
        <w:spacing w:after="0" w:line="124" w:lineRule="exact"/>
        <w:rPr>
          <w:sz w:val="20"/>
          <w:szCs w:val="20"/>
          <w:color w:val="auto"/>
        </w:rPr>
      </w:pPr>
    </w:p>
    <w:p>
      <w:pPr>
        <w:ind w:left="1140" w:hanging="438"/>
        <w:spacing w:after="0"/>
        <w:tabs>
          <w:tab w:leader="none" w:pos="11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Our President &amp; CEO;</w:t>
      </w:r>
    </w:p>
    <w:p>
      <w:pPr>
        <w:spacing w:after="0" w:line="123" w:lineRule="exact"/>
        <w:rPr>
          <w:rFonts w:ascii="Arial" w:cs="Arial" w:eastAsia="Arial" w:hAnsi="Arial"/>
          <w:sz w:val="16"/>
          <w:szCs w:val="16"/>
          <w:color w:val="auto"/>
        </w:rPr>
      </w:pPr>
    </w:p>
    <w:p>
      <w:pPr>
        <w:ind w:left="1140" w:hanging="438"/>
        <w:spacing w:after="0"/>
        <w:tabs>
          <w:tab w:leader="none" w:pos="11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Our Senior Vice President &amp; CFO; and</w:t>
      </w:r>
    </w:p>
    <w:p>
      <w:pPr>
        <w:spacing w:after="0" w:line="123" w:lineRule="exact"/>
        <w:rPr>
          <w:rFonts w:ascii="Arial" w:cs="Arial" w:eastAsia="Arial" w:hAnsi="Arial"/>
          <w:sz w:val="16"/>
          <w:szCs w:val="16"/>
          <w:color w:val="auto"/>
        </w:rPr>
      </w:pPr>
    </w:p>
    <w:p>
      <w:pPr>
        <w:ind w:left="1140" w:hanging="438"/>
        <w:spacing w:after="0"/>
        <w:tabs>
          <w:tab w:leader="none" w:pos="11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Our three other most highly compensated executive officers as of the end of 2021.</w:t>
      </w:r>
    </w:p>
    <w:p>
      <w:pPr>
        <w:spacing w:after="0" w:line="177"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The determination of the most highly compensated executive officers is based on total compensation paid or accrued for 2021, excluding changes in the actuarial value of defined benefit plans and earnings on nonqualified deferred compensation balances.</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960" w:type="dxa"/>
            <w:vAlign w:val="bottom"/>
            <w:tcBorders>
              <w:top w:val="single" w:sz="8" w:color="021496"/>
            </w:tcBorders>
          </w:tcPr>
          <w:p>
            <w:pPr>
              <w:spacing w:after="0"/>
              <w:rPr>
                <w:sz w:val="13"/>
                <w:szCs w:val="13"/>
                <w:color w:val="auto"/>
              </w:rPr>
            </w:pPr>
          </w:p>
        </w:tc>
        <w:tc>
          <w:tcPr>
            <w:tcW w:w="500" w:type="dxa"/>
            <w:vAlign w:val="bottom"/>
            <w:tcBorders>
              <w:top w:val="single" w:sz="8" w:color="021496"/>
            </w:tcBorders>
          </w:tcPr>
          <w:p>
            <w:pPr>
              <w:spacing w:after="0"/>
              <w:rPr>
                <w:sz w:val="13"/>
                <w:szCs w:val="13"/>
                <w:color w:val="auto"/>
              </w:rPr>
            </w:pPr>
          </w:p>
        </w:tc>
        <w:tc>
          <w:tcPr>
            <w:tcW w:w="800" w:type="dxa"/>
            <w:vAlign w:val="bottom"/>
            <w:tcBorders>
              <w:top w:val="single" w:sz="8" w:color="021496"/>
            </w:tcBorders>
          </w:tcPr>
          <w:p>
            <w:pPr>
              <w:spacing w:after="0"/>
              <w:rPr>
                <w:sz w:val="13"/>
                <w:szCs w:val="13"/>
                <w:color w:val="auto"/>
              </w:rPr>
            </w:pPr>
          </w:p>
        </w:tc>
        <w:tc>
          <w:tcPr>
            <w:tcW w:w="800" w:type="dxa"/>
            <w:vAlign w:val="bottom"/>
            <w:tcBorders>
              <w:top w:val="single" w:sz="8" w:color="021496"/>
            </w:tcBorders>
          </w:tcPr>
          <w:p>
            <w:pPr>
              <w:spacing w:after="0"/>
              <w:rPr>
                <w:sz w:val="13"/>
                <w:szCs w:val="13"/>
                <w:color w:val="auto"/>
              </w:rPr>
            </w:pPr>
          </w:p>
        </w:tc>
        <w:tc>
          <w:tcPr>
            <w:tcW w:w="820" w:type="dxa"/>
            <w:vAlign w:val="bottom"/>
            <w:tcBorders>
              <w:top w:val="single" w:sz="8" w:color="021496"/>
            </w:tcBorders>
          </w:tcPr>
          <w:p>
            <w:pPr>
              <w:spacing w:after="0"/>
              <w:rPr>
                <w:sz w:val="13"/>
                <w:szCs w:val="13"/>
                <w:color w:val="auto"/>
              </w:rPr>
            </w:pPr>
          </w:p>
        </w:tc>
        <w:tc>
          <w:tcPr>
            <w:tcW w:w="800" w:type="dxa"/>
            <w:vAlign w:val="bottom"/>
            <w:tcBorders>
              <w:top w:val="single" w:sz="8" w:color="021496"/>
            </w:tcBorders>
          </w:tcPr>
          <w:p>
            <w:pPr>
              <w:spacing w:after="0"/>
              <w:rPr>
                <w:sz w:val="13"/>
                <w:szCs w:val="13"/>
                <w:color w:val="auto"/>
              </w:rPr>
            </w:pPr>
          </w:p>
        </w:tc>
        <w:tc>
          <w:tcPr>
            <w:tcW w:w="1120" w:type="dxa"/>
            <w:vAlign w:val="bottom"/>
            <w:tcBorders>
              <w:top w:val="single" w:sz="8" w:color="021496"/>
            </w:tcBorders>
          </w:tcPr>
          <w:p>
            <w:pPr>
              <w:spacing w:after="0"/>
              <w:rPr>
                <w:sz w:val="13"/>
                <w:szCs w:val="13"/>
                <w:color w:val="auto"/>
              </w:rPr>
            </w:pPr>
          </w:p>
        </w:tc>
        <w:tc>
          <w:tcPr>
            <w:tcW w:w="1120" w:type="dxa"/>
            <w:vAlign w:val="bottom"/>
            <w:tcBorders>
              <w:top w:val="single" w:sz="8" w:color="021496"/>
            </w:tcBorders>
          </w:tcPr>
          <w:p>
            <w:pPr>
              <w:ind w:left="60"/>
              <w:spacing w:after="0"/>
              <w:rPr>
                <w:sz w:val="20"/>
                <w:szCs w:val="20"/>
                <w:color w:val="auto"/>
              </w:rPr>
            </w:pPr>
            <w:r>
              <w:rPr>
                <w:rFonts w:ascii="Arial" w:cs="Arial" w:eastAsia="Arial" w:hAnsi="Arial"/>
                <w:sz w:val="14"/>
                <w:szCs w:val="14"/>
                <w:b w:val="1"/>
                <w:bCs w:val="1"/>
                <w:color w:val="auto"/>
              </w:rPr>
              <w:t>Change in</w:t>
            </w:r>
          </w:p>
        </w:tc>
        <w:tc>
          <w:tcPr>
            <w:tcW w:w="1100" w:type="dxa"/>
            <w:vAlign w:val="bottom"/>
            <w:tcBorders>
              <w:top w:val="single" w:sz="8" w:color="021496"/>
            </w:tcBorders>
          </w:tcPr>
          <w:p>
            <w:pPr>
              <w:spacing w:after="0"/>
              <w:rPr>
                <w:sz w:val="13"/>
                <w:szCs w:val="13"/>
                <w:color w:val="auto"/>
              </w:rPr>
            </w:pPr>
          </w:p>
        </w:tc>
        <w:tc>
          <w:tcPr>
            <w:tcW w:w="900" w:type="dxa"/>
            <w:vAlign w:val="bottom"/>
            <w:tcBorders>
              <w:top w:val="single" w:sz="8" w:color="021496"/>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Pension Value</w:t>
            </w: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and</w:t>
            </w: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Nonqualified</w:t>
            </w: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Non-Equity</w:t>
            </w: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Deferred</w:t>
            </w: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Stock</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Option</w:t>
            </w: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Incentive Plan</w:t>
            </w: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All Other</w:t>
            </w: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Salary</w:t>
            </w:r>
          </w:p>
        </w:tc>
        <w:tc>
          <w:tcPr>
            <w:tcW w:w="80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Bonus</w:t>
            </w:r>
          </w:p>
        </w:tc>
        <w:tc>
          <w:tcPr>
            <w:tcW w:w="82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Awards</w:t>
            </w:r>
          </w:p>
        </w:tc>
        <w:tc>
          <w:tcPr>
            <w:tcW w:w="80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Awards</w:t>
            </w:r>
          </w:p>
        </w:tc>
        <w:tc>
          <w:tcPr>
            <w:tcW w:w="112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Compensation</w:t>
            </w:r>
          </w:p>
        </w:tc>
        <w:tc>
          <w:tcPr>
            <w:tcW w:w="112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Earnings</w:t>
            </w:r>
          </w:p>
        </w:tc>
        <w:tc>
          <w:tcPr>
            <w:tcW w:w="110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Compensation</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960" w:type="dxa"/>
            <w:vAlign w:val="bottom"/>
            <w:tcBorders>
              <w:bottom w:val="single" w:sz="8" w:color="021496"/>
            </w:tcBorders>
          </w:tcPr>
          <w:p>
            <w:pPr>
              <w:ind w:left="80"/>
              <w:spacing w:after="0"/>
              <w:rPr>
                <w:sz w:val="20"/>
                <w:szCs w:val="20"/>
                <w:color w:val="auto"/>
              </w:rPr>
            </w:pPr>
            <w:r>
              <w:rPr>
                <w:rFonts w:ascii="Arial" w:cs="Arial" w:eastAsia="Arial" w:hAnsi="Arial"/>
                <w:sz w:val="14"/>
                <w:szCs w:val="14"/>
                <w:b w:val="1"/>
                <w:bCs w:val="1"/>
                <w:color w:val="auto"/>
              </w:rPr>
              <w:t>Name and Principal Position</w:t>
            </w:r>
          </w:p>
        </w:tc>
        <w:tc>
          <w:tcPr>
            <w:tcW w:w="500" w:type="dxa"/>
            <w:vAlign w:val="bottom"/>
            <w:tcBorders>
              <w:bottom w:val="single" w:sz="8" w:color="021496"/>
            </w:tcBorders>
          </w:tcPr>
          <w:p>
            <w:pPr>
              <w:jc w:val="right"/>
              <w:ind w:right="49"/>
              <w:spacing w:after="0"/>
              <w:rPr>
                <w:sz w:val="20"/>
                <w:szCs w:val="20"/>
                <w:color w:val="auto"/>
              </w:rPr>
            </w:pPr>
            <w:r>
              <w:rPr>
                <w:rFonts w:ascii="Arial" w:cs="Arial" w:eastAsia="Arial" w:hAnsi="Arial"/>
                <w:sz w:val="14"/>
                <w:szCs w:val="14"/>
                <w:b w:val="1"/>
                <w:bCs w:val="1"/>
                <w:color w:val="auto"/>
              </w:rPr>
              <w:t>Year</w:t>
            </w:r>
          </w:p>
        </w:tc>
        <w:tc>
          <w:tcPr>
            <w:tcW w:w="80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($)(1)</w:t>
            </w:r>
          </w:p>
        </w:tc>
        <w:tc>
          <w:tcPr>
            <w:tcW w:w="82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($)(2)</w:t>
            </w:r>
          </w:p>
        </w:tc>
        <w:tc>
          <w:tcPr>
            <w:tcW w:w="80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($)(3)</w:t>
            </w:r>
          </w:p>
        </w:tc>
        <w:tc>
          <w:tcPr>
            <w:tcW w:w="112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($)(4)</w:t>
            </w:r>
          </w:p>
        </w:tc>
        <w:tc>
          <w:tcPr>
            <w:tcW w:w="112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($)(5)</w:t>
            </w:r>
          </w:p>
        </w:tc>
        <w:tc>
          <w:tcPr>
            <w:tcW w:w="110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($)(6)</w:t>
            </w:r>
          </w:p>
        </w:tc>
        <w:tc>
          <w:tcPr>
            <w:tcW w:w="900" w:type="dxa"/>
            <w:vAlign w:val="bottom"/>
            <w:tcBorders>
              <w:bottom w:val="single" w:sz="8" w:color="021496"/>
            </w:tcBorders>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9"/>
        </w:trPr>
        <w:tc>
          <w:tcPr>
            <w:tcW w:w="2960" w:type="dxa"/>
            <w:vAlign w:val="bottom"/>
            <w:shd w:val="clear" w:color="auto" w:fill="D8D8D8"/>
          </w:tcPr>
          <w:p>
            <w:pPr>
              <w:ind w:left="80"/>
              <w:spacing w:after="0" w:line="159" w:lineRule="exact"/>
              <w:rPr>
                <w:sz w:val="20"/>
                <w:szCs w:val="20"/>
                <w:color w:val="auto"/>
              </w:rPr>
            </w:pPr>
            <w:r>
              <w:rPr>
                <w:rFonts w:ascii="Arial" w:cs="Arial" w:eastAsia="Arial" w:hAnsi="Arial"/>
                <w:sz w:val="14"/>
                <w:szCs w:val="14"/>
                <w:b w:val="1"/>
                <w:bCs w:val="1"/>
                <w:color w:val="auto"/>
              </w:rPr>
              <w:t>Richard J. Tobin</w:t>
            </w:r>
          </w:p>
        </w:tc>
        <w:tc>
          <w:tcPr>
            <w:tcW w:w="500" w:type="dxa"/>
            <w:vAlign w:val="bottom"/>
            <w:shd w:val="clear" w:color="auto" w:fill="D8D8D8"/>
          </w:tcPr>
          <w:p>
            <w:pPr>
              <w:jc w:val="right"/>
              <w:spacing w:after="0" w:line="159" w:lineRule="exact"/>
              <w:rPr>
                <w:sz w:val="20"/>
                <w:szCs w:val="20"/>
                <w:color w:val="auto"/>
              </w:rPr>
            </w:pPr>
            <w:r>
              <w:rPr>
                <w:rFonts w:ascii="Arial" w:cs="Arial" w:eastAsia="Arial" w:hAnsi="Arial"/>
                <w:sz w:val="14"/>
                <w:szCs w:val="14"/>
                <w:color w:val="auto"/>
              </w:rPr>
              <w:t>2021</w:t>
            </w:r>
          </w:p>
        </w:tc>
        <w:tc>
          <w:tcPr>
            <w:tcW w:w="800" w:type="dxa"/>
            <w:vAlign w:val="bottom"/>
            <w:shd w:val="clear" w:color="auto" w:fill="D8D8D8"/>
          </w:tcPr>
          <w:p>
            <w:pPr>
              <w:jc w:val="right"/>
              <w:spacing w:after="0" w:line="159" w:lineRule="exact"/>
              <w:rPr>
                <w:sz w:val="20"/>
                <w:szCs w:val="20"/>
                <w:color w:val="auto"/>
              </w:rPr>
            </w:pPr>
            <w:r>
              <w:rPr>
                <w:rFonts w:ascii="Arial" w:cs="Arial" w:eastAsia="Arial" w:hAnsi="Arial"/>
                <w:sz w:val="14"/>
                <w:szCs w:val="14"/>
                <w:color w:val="auto"/>
              </w:rPr>
              <w:t>1,235,000</w:t>
            </w:r>
          </w:p>
        </w:tc>
        <w:tc>
          <w:tcPr>
            <w:tcW w:w="800" w:type="dxa"/>
            <w:vAlign w:val="bottom"/>
            <w:shd w:val="clear" w:color="auto" w:fill="D8D8D8"/>
          </w:tcPr>
          <w:p>
            <w:pPr>
              <w:jc w:val="right"/>
              <w:spacing w:after="0" w:line="159" w:lineRule="exact"/>
              <w:rPr>
                <w:sz w:val="20"/>
                <w:szCs w:val="20"/>
                <w:color w:val="auto"/>
              </w:rPr>
            </w:pPr>
            <w:r>
              <w:rPr>
                <w:rFonts w:ascii="Arial" w:cs="Arial" w:eastAsia="Arial" w:hAnsi="Arial"/>
                <w:sz w:val="14"/>
                <w:szCs w:val="14"/>
                <w:color w:val="auto"/>
              </w:rPr>
              <w:t>2,964,000</w:t>
            </w:r>
          </w:p>
        </w:tc>
        <w:tc>
          <w:tcPr>
            <w:tcW w:w="820" w:type="dxa"/>
            <w:vAlign w:val="bottom"/>
            <w:shd w:val="clear" w:color="auto" w:fill="D8D8D8"/>
          </w:tcPr>
          <w:p>
            <w:pPr>
              <w:jc w:val="right"/>
              <w:spacing w:after="0" w:line="159" w:lineRule="exact"/>
              <w:rPr>
                <w:sz w:val="20"/>
                <w:szCs w:val="20"/>
                <w:color w:val="auto"/>
              </w:rPr>
            </w:pPr>
            <w:r>
              <w:rPr>
                <w:rFonts w:ascii="Arial" w:cs="Arial" w:eastAsia="Arial" w:hAnsi="Arial"/>
                <w:sz w:val="14"/>
                <w:szCs w:val="14"/>
                <w:color w:val="auto"/>
              </w:rPr>
              <w:t>5,808,134</w:t>
            </w:r>
          </w:p>
        </w:tc>
        <w:tc>
          <w:tcPr>
            <w:tcW w:w="800" w:type="dxa"/>
            <w:vAlign w:val="bottom"/>
            <w:shd w:val="clear" w:color="auto" w:fill="D8D8D8"/>
          </w:tcPr>
          <w:p>
            <w:pPr>
              <w:jc w:val="right"/>
              <w:spacing w:after="0" w:line="159" w:lineRule="exact"/>
              <w:rPr>
                <w:sz w:val="20"/>
                <w:szCs w:val="20"/>
                <w:color w:val="auto"/>
              </w:rPr>
            </w:pPr>
            <w:r>
              <w:rPr>
                <w:rFonts w:ascii="Arial" w:cs="Arial" w:eastAsia="Arial" w:hAnsi="Arial"/>
                <w:sz w:val="14"/>
                <w:szCs w:val="14"/>
                <w:color w:val="auto"/>
              </w:rPr>
              <w:t>3,580,475</w:t>
            </w:r>
          </w:p>
        </w:tc>
        <w:tc>
          <w:tcPr>
            <w:tcW w:w="1120" w:type="dxa"/>
            <w:vAlign w:val="bottom"/>
            <w:shd w:val="clear" w:color="auto" w:fill="D8D8D8"/>
          </w:tcPr>
          <w:p>
            <w:pPr>
              <w:jc w:val="right"/>
              <w:spacing w:after="0" w:line="159" w:lineRule="exact"/>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line="159" w:lineRule="exact"/>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line="159" w:lineRule="exact"/>
              <w:rPr>
                <w:sz w:val="20"/>
                <w:szCs w:val="20"/>
                <w:color w:val="auto"/>
              </w:rPr>
            </w:pPr>
            <w:r>
              <w:rPr>
                <w:rFonts w:ascii="Arial" w:cs="Arial" w:eastAsia="Arial" w:hAnsi="Arial"/>
                <w:sz w:val="14"/>
                <w:szCs w:val="14"/>
                <w:color w:val="auto"/>
              </w:rPr>
              <w:t>498,251</w:t>
            </w:r>
          </w:p>
        </w:tc>
        <w:tc>
          <w:tcPr>
            <w:tcW w:w="900" w:type="dxa"/>
            <w:vAlign w:val="bottom"/>
            <w:shd w:val="clear" w:color="auto" w:fill="D8D8D8"/>
          </w:tcPr>
          <w:p>
            <w:pPr>
              <w:jc w:val="right"/>
              <w:ind w:right="29"/>
              <w:spacing w:after="0" w:line="159" w:lineRule="exact"/>
              <w:rPr>
                <w:sz w:val="20"/>
                <w:szCs w:val="20"/>
                <w:color w:val="auto"/>
              </w:rPr>
            </w:pPr>
            <w:r>
              <w:rPr>
                <w:rFonts w:ascii="Arial" w:cs="Arial" w:eastAsia="Arial" w:hAnsi="Arial"/>
                <w:sz w:val="14"/>
                <w:szCs w:val="14"/>
                <w:color w:val="auto"/>
              </w:rPr>
              <w:t>14,085,860</w:t>
            </w:r>
          </w:p>
        </w:tc>
        <w:tc>
          <w:tcPr>
            <w:tcW w:w="0" w:type="dxa"/>
            <w:vAlign w:val="bottom"/>
          </w:tcPr>
          <w:p>
            <w:pPr>
              <w:spacing w:after="0"/>
              <w:rPr>
                <w:sz w:val="1"/>
                <w:szCs w:val="1"/>
                <w:color w:val="auto"/>
              </w:rPr>
            </w:pPr>
          </w:p>
        </w:tc>
      </w:tr>
      <w:tr>
        <w:trPr>
          <w:trHeight w:val="160"/>
        </w:trPr>
        <w:tc>
          <w:tcPr>
            <w:tcW w:w="2960" w:type="dxa"/>
            <w:vAlign w:val="bottom"/>
            <w:shd w:val="clear" w:color="auto" w:fill="D8D8D8"/>
          </w:tcPr>
          <w:p>
            <w:pPr>
              <w:ind w:left="80"/>
              <w:spacing w:after="0"/>
              <w:rPr>
                <w:sz w:val="20"/>
                <w:szCs w:val="20"/>
                <w:color w:val="auto"/>
              </w:rPr>
            </w:pPr>
            <w:r>
              <w:rPr>
                <w:rFonts w:ascii="Arial" w:cs="Arial" w:eastAsia="Arial" w:hAnsi="Arial"/>
                <w:sz w:val="14"/>
                <w:szCs w:val="14"/>
                <w:color w:val="auto"/>
              </w:rPr>
              <w:t>President &amp; Chief</w:t>
            </w: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1,217,500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1,722,825</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6,024,137</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2,674,529</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343,347</w:t>
            </w:r>
          </w:p>
        </w:tc>
        <w:tc>
          <w:tcPr>
            <w:tcW w:w="90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11,982,338</w:t>
            </w:r>
          </w:p>
        </w:tc>
        <w:tc>
          <w:tcPr>
            <w:tcW w:w="0" w:type="dxa"/>
            <w:vAlign w:val="bottom"/>
          </w:tcPr>
          <w:p>
            <w:pPr>
              <w:spacing w:after="0"/>
              <w:rPr>
                <w:sz w:val="1"/>
                <w:szCs w:val="1"/>
                <w:color w:val="auto"/>
              </w:rPr>
            </w:pPr>
          </w:p>
        </w:tc>
      </w:tr>
      <w:tr>
        <w:trPr>
          <w:trHeight w:val="209"/>
        </w:trPr>
        <w:tc>
          <w:tcPr>
            <w:tcW w:w="2960" w:type="dxa"/>
            <w:vAlign w:val="bottom"/>
            <w:shd w:val="clear" w:color="auto" w:fill="D8D8D8"/>
          </w:tcPr>
          <w:p>
            <w:pPr>
              <w:ind w:left="80"/>
              <w:spacing w:after="0"/>
              <w:rPr>
                <w:sz w:val="20"/>
                <w:szCs w:val="20"/>
                <w:color w:val="auto"/>
              </w:rPr>
            </w:pPr>
            <w:r>
              <w:rPr>
                <w:rFonts w:ascii="Arial" w:cs="Arial" w:eastAsia="Arial" w:hAnsi="Arial"/>
                <w:sz w:val="14"/>
                <w:szCs w:val="14"/>
                <w:color w:val="auto"/>
              </w:rPr>
              <w:t>Executive Officer</w:t>
            </w: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2019</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1,200,000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1,665,000</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2,800,022</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3,232,903</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251,150</w:t>
            </w:r>
          </w:p>
        </w:tc>
        <w:tc>
          <w:tcPr>
            <w:tcW w:w="90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9,149,075</w:t>
            </w:r>
          </w:p>
        </w:tc>
        <w:tc>
          <w:tcPr>
            <w:tcW w:w="0" w:type="dxa"/>
            <w:vAlign w:val="bottom"/>
          </w:tcPr>
          <w:p>
            <w:pPr>
              <w:spacing w:after="0"/>
              <w:rPr>
                <w:sz w:val="1"/>
                <w:szCs w:val="1"/>
                <w:color w:val="auto"/>
              </w:rPr>
            </w:pPr>
          </w:p>
        </w:tc>
      </w:tr>
      <w:tr>
        <w:trPr>
          <w:trHeight w:val="165"/>
        </w:trPr>
        <w:tc>
          <w:tcPr>
            <w:tcW w:w="2960" w:type="dxa"/>
            <w:vAlign w:val="bottom"/>
          </w:tcPr>
          <w:p>
            <w:pPr>
              <w:ind w:left="80"/>
              <w:spacing w:after="0"/>
              <w:rPr>
                <w:sz w:val="20"/>
                <w:szCs w:val="20"/>
                <w:color w:val="auto"/>
              </w:rPr>
            </w:pPr>
            <w:r>
              <w:rPr>
                <w:rFonts w:ascii="Arial" w:cs="Arial" w:eastAsia="Arial" w:hAnsi="Arial"/>
                <w:sz w:val="14"/>
                <w:szCs w:val="14"/>
                <w:b w:val="1"/>
                <w:bCs w:val="1"/>
                <w:color w:val="auto"/>
              </w:rPr>
              <w:t>Brad M. Cerepak</w:t>
            </w:r>
          </w:p>
        </w:tc>
        <w:tc>
          <w:tcPr>
            <w:tcW w:w="500" w:type="dxa"/>
            <w:vAlign w:val="bottom"/>
          </w:tcPr>
          <w:p>
            <w:pPr>
              <w:jc w:val="right"/>
              <w:spacing w:after="0"/>
              <w:rPr>
                <w:sz w:val="20"/>
                <w:szCs w:val="20"/>
                <w:color w:val="auto"/>
              </w:rPr>
            </w:pPr>
            <w:r>
              <w:rPr>
                <w:rFonts w:ascii="Arial" w:cs="Arial" w:eastAsia="Arial" w:hAnsi="Arial"/>
                <w:sz w:val="14"/>
                <w:szCs w:val="14"/>
                <w:color w:val="auto"/>
              </w:rPr>
              <w:t>2021</w:t>
            </w:r>
          </w:p>
        </w:tc>
        <w:tc>
          <w:tcPr>
            <w:tcW w:w="800" w:type="dxa"/>
            <w:vAlign w:val="bottom"/>
          </w:tcPr>
          <w:p>
            <w:pPr>
              <w:jc w:val="right"/>
              <w:spacing w:after="0"/>
              <w:rPr>
                <w:sz w:val="20"/>
                <w:szCs w:val="20"/>
                <w:color w:val="auto"/>
              </w:rPr>
            </w:pPr>
            <w:r>
              <w:rPr>
                <w:rFonts w:ascii="Arial" w:cs="Arial" w:eastAsia="Arial" w:hAnsi="Arial"/>
                <w:sz w:val="14"/>
                <w:szCs w:val="14"/>
                <w:color w:val="auto"/>
              </w:rPr>
              <w:t>731,000</w:t>
            </w:r>
          </w:p>
        </w:tc>
        <w:tc>
          <w:tcPr>
            <w:tcW w:w="800" w:type="dxa"/>
            <w:vAlign w:val="bottom"/>
          </w:tcPr>
          <w:p>
            <w:pPr>
              <w:jc w:val="right"/>
              <w:spacing w:after="0"/>
              <w:rPr>
                <w:sz w:val="20"/>
                <w:szCs w:val="20"/>
                <w:color w:val="auto"/>
              </w:rPr>
            </w:pPr>
            <w:r>
              <w:rPr>
                <w:rFonts w:ascii="Arial" w:cs="Arial" w:eastAsia="Arial" w:hAnsi="Arial"/>
                <w:sz w:val="14"/>
                <w:szCs w:val="14"/>
                <w:color w:val="auto"/>
              </w:rPr>
              <w:t>1,169,600</w:t>
            </w:r>
          </w:p>
        </w:tc>
        <w:tc>
          <w:tcPr>
            <w:tcW w:w="820" w:type="dxa"/>
            <w:vAlign w:val="bottom"/>
          </w:tcPr>
          <w:p>
            <w:pPr>
              <w:jc w:val="right"/>
              <w:spacing w:after="0"/>
              <w:rPr>
                <w:sz w:val="20"/>
                <w:szCs w:val="20"/>
                <w:color w:val="auto"/>
              </w:rPr>
            </w:pPr>
            <w:r>
              <w:rPr>
                <w:rFonts w:ascii="Arial" w:cs="Arial" w:eastAsia="Arial" w:hAnsi="Arial"/>
                <w:sz w:val="14"/>
                <w:szCs w:val="14"/>
                <w:color w:val="auto"/>
              </w:rPr>
              <w:t>1,452,071</w:t>
            </w:r>
          </w:p>
        </w:tc>
        <w:tc>
          <w:tcPr>
            <w:tcW w:w="800" w:type="dxa"/>
            <w:vAlign w:val="bottom"/>
          </w:tcPr>
          <w:p>
            <w:pPr>
              <w:jc w:val="right"/>
              <w:spacing w:after="0"/>
              <w:rPr>
                <w:sz w:val="20"/>
                <w:szCs w:val="20"/>
                <w:color w:val="auto"/>
              </w:rPr>
            </w:pPr>
            <w:r>
              <w:rPr>
                <w:rFonts w:ascii="Arial" w:cs="Arial" w:eastAsia="Arial" w:hAnsi="Arial"/>
                <w:sz w:val="14"/>
                <w:szCs w:val="14"/>
                <w:color w:val="auto"/>
              </w:rPr>
              <w:t>895,111</w:t>
            </w:r>
          </w:p>
        </w:tc>
        <w:tc>
          <w:tcPr>
            <w:tcW w:w="1120" w:type="dxa"/>
            <w:vAlign w:val="bottom"/>
          </w:tcPr>
          <w:p>
            <w:pPr>
              <w:jc w:val="right"/>
              <w:spacing w:after="0"/>
              <w:rPr>
                <w:sz w:val="20"/>
                <w:szCs w:val="20"/>
                <w:color w:val="auto"/>
              </w:rPr>
            </w:pPr>
            <w:r>
              <w:rPr>
                <w:rFonts w:ascii="Arial" w:cs="Arial" w:eastAsia="Arial" w:hAnsi="Arial"/>
                <w:sz w:val="14"/>
                <w:szCs w:val="14"/>
                <w:color w:val="auto"/>
              </w:rPr>
              <w:t>0</w:t>
            </w:r>
          </w:p>
        </w:tc>
        <w:tc>
          <w:tcPr>
            <w:tcW w:w="1120" w:type="dxa"/>
            <w:vAlign w:val="bottom"/>
          </w:tcPr>
          <w:p>
            <w:pPr>
              <w:jc w:val="right"/>
              <w:spacing w:after="0"/>
              <w:rPr>
                <w:sz w:val="20"/>
                <w:szCs w:val="20"/>
                <w:color w:val="auto"/>
              </w:rPr>
            </w:pPr>
            <w:r>
              <w:rPr>
                <w:rFonts w:ascii="Arial" w:cs="Arial" w:eastAsia="Arial" w:hAnsi="Arial"/>
                <w:sz w:val="14"/>
                <w:szCs w:val="14"/>
                <w:color w:val="auto"/>
              </w:rPr>
              <w:t>182,670</w:t>
            </w:r>
          </w:p>
        </w:tc>
        <w:tc>
          <w:tcPr>
            <w:tcW w:w="1100" w:type="dxa"/>
            <w:vAlign w:val="bottom"/>
          </w:tcPr>
          <w:p>
            <w:pPr>
              <w:jc w:val="right"/>
              <w:spacing w:after="0"/>
              <w:rPr>
                <w:sz w:val="20"/>
                <w:szCs w:val="20"/>
                <w:color w:val="auto"/>
              </w:rPr>
            </w:pPr>
            <w:r>
              <w:rPr>
                <w:rFonts w:ascii="Arial" w:cs="Arial" w:eastAsia="Arial" w:hAnsi="Arial"/>
                <w:sz w:val="14"/>
                <w:szCs w:val="14"/>
                <w:color w:val="auto"/>
              </w:rPr>
              <w:t>29,577</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4,460,029</w:t>
            </w:r>
          </w:p>
        </w:tc>
        <w:tc>
          <w:tcPr>
            <w:tcW w:w="0" w:type="dxa"/>
            <w:vAlign w:val="bottom"/>
          </w:tcPr>
          <w:p>
            <w:pPr>
              <w:spacing w:after="0"/>
              <w:rPr>
                <w:sz w:val="1"/>
                <w:szCs w:val="1"/>
                <w:color w:val="auto"/>
              </w:rPr>
            </w:pPr>
          </w:p>
        </w:tc>
      </w:tr>
      <w:tr>
        <w:trPr>
          <w:trHeight w:val="169"/>
        </w:trPr>
        <w:tc>
          <w:tcPr>
            <w:tcW w:w="2960" w:type="dxa"/>
            <w:vAlign w:val="bottom"/>
          </w:tcPr>
          <w:p>
            <w:pPr>
              <w:ind w:left="80"/>
              <w:spacing w:after="0"/>
              <w:rPr>
                <w:sz w:val="20"/>
                <w:szCs w:val="20"/>
                <w:color w:val="auto"/>
              </w:rPr>
            </w:pPr>
            <w:r>
              <w:rPr>
                <w:rFonts w:ascii="Arial" w:cs="Arial" w:eastAsia="Arial" w:hAnsi="Arial"/>
                <w:sz w:val="14"/>
                <w:szCs w:val="14"/>
                <w:color w:val="auto"/>
              </w:rPr>
              <w:t>Senior Vice President &amp;</w:t>
            </w:r>
          </w:p>
        </w:tc>
        <w:tc>
          <w:tcPr>
            <w:tcW w:w="500" w:type="dxa"/>
            <w:vAlign w:val="bottom"/>
          </w:tcPr>
          <w:p>
            <w:pPr>
              <w:jc w:val="right"/>
              <w:spacing w:after="0"/>
              <w:rPr>
                <w:sz w:val="20"/>
                <w:szCs w:val="20"/>
                <w:color w:val="auto"/>
              </w:rPr>
            </w:pPr>
            <w:r>
              <w:rPr>
                <w:rFonts w:ascii="Arial" w:cs="Arial" w:eastAsia="Arial" w:hAnsi="Arial"/>
                <w:sz w:val="14"/>
                <w:szCs w:val="14"/>
                <w:color w:val="auto"/>
              </w:rPr>
              <w:t>2020</w:t>
            </w:r>
          </w:p>
        </w:tc>
        <w:tc>
          <w:tcPr>
            <w:tcW w:w="800" w:type="dxa"/>
            <w:vAlign w:val="bottom"/>
          </w:tcPr>
          <w:p>
            <w:pPr>
              <w:jc w:val="right"/>
              <w:spacing w:after="0"/>
              <w:rPr>
                <w:sz w:val="20"/>
                <w:szCs w:val="20"/>
                <w:color w:val="auto"/>
              </w:rPr>
            </w:pPr>
            <w:r>
              <w:rPr>
                <w:rFonts w:ascii="Arial" w:cs="Arial" w:eastAsia="Arial" w:hAnsi="Arial"/>
                <w:sz w:val="14"/>
                <w:szCs w:val="14"/>
                <w:color w:val="auto"/>
              </w:rPr>
              <w:t>718,000</w:t>
            </w:r>
          </w:p>
        </w:tc>
        <w:tc>
          <w:tcPr>
            <w:tcW w:w="800" w:type="dxa"/>
            <w:vAlign w:val="bottom"/>
          </w:tcPr>
          <w:p>
            <w:pPr>
              <w:jc w:val="right"/>
              <w:spacing w:after="0"/>
              <w:rPr>
                <w:sz w:val="20"/>
                <w:szCs w:val="20"/>
                <w:color w:val="auto"/>
              </w:rPr>
            </w:pPr>
            <w:r>
              <w:rPr>
                <w:rFonts w:ascii="Arial" w:cs="Arial" w:eastAsia="Arial" w:hAnsi="Arial"/>
                <w:sz w:val="14"/>
                <w:szCs w:val="14"/>
                <w:color w:val="auto"/>
              </w:rPr>
              <w:t>679,830</w:t>
            </w:r>
          </w:p>
        </w:tc>
        <w:tc>
          <w:tcPr>
            <w:tcW w:w="820" w:type="dxa"/>
            <w:vAlign w:val="bottom"/>
          </w:tcPr>
          <w:p>
            <w:pPr>
              <w:jc w:val="right"/>
              <w:spacing w:after="0"/>
              <w:rPr>
                <w:sz w:val="20"/>
                <w:szCs w:val="20"/>
                <w:color w:val="auto"/>
              </w:rPr>
            </w:pPr>
            <w:r>
              <w:rPr>
                <w:rFonts w:ascii="Arial" w:cs="Arial" w:eastAsia="Arial" w:hAnsi="Arial"/>
                <w:sz w:val="14"/>
                <w:szCs w:val="14"/>
                <w:color w:val="auto"/>
              </w:rPr>
              <w:t>1,505,922</w:t>
            </w:r>
          </w:p>
        </w:tc>
        <w:tc>
          <w:tcPr>
            <w:tcW w:w="800" w:type="dxa"/>
            <w:vAlign w:val="bottom"/>
          </w:tcPr>
          <w:p>
            <w:pPr>
              <w:jc w:val="right"/>
              <w:spacing w:after="0"/>
              <w:rPr>
                <w:sz w:val="20"/>
                <w:szCs w:val="20"/>
                <w:color w:val="auto"/>
              </w:rPr>
            </w:pPr>
            <w:r>
              <w:rPr>
                <w:rFonts w:ascii="Arial" w:cs="Arial" w:eastAsia="Arial" w:hAnsi="Arial"/>
                <w:sz w:val="14"/>
                <w:szCs w:val="14"/>
                <w:color w:val="auto"/>
              </w:rPr>
              <w:t>668,627</w:t>
            </w:r>
          </w:p>
        </w:tc>
        <w:tc>
          <w:tcPr>
            <w:tcW w:w="1120" w:type="dxa"/>
            <w:vAlign w:val="bottom"/>
          </w:tcPr>
          <w:p>
            <w:pPr>
              <w:jc w:val="right"/>
              <w:spacing w:after="0"/>
              <w:rPr>
                <w:sz w:val="20"/>
                <w:szCs w:val="20"/>
                <w:color w:val="auto"/>
              </w:rPr>
            </w:pPr>
            <w:r>
              <w:rPr>
                <w:rFonts w:ascii="Arial" w:cs="Arial" w:eastAsia="Arial" w:hAnsi="Arial"/>
                <w:sz w:val="14"/>
                <w:szCs w:val="14"/>
                <w:color w:val="auto"/>
              </w:rPr>
              <w:t>0</w:t>
            </w:r>
          </w:p>
        </w:tc>
        <w:tc>
          <w:tcPr>
            <w:tcW w:w="1120" w:type="dxa"/>
            <w:vAlign w:val="bottom"/>
          </w:tcPr>
          <w:p>
            <w:pPr>
              <w:jc w:val="right"/>
              <w:spacing w:after="0"/>
              <w:rPr>
                <w:sz w:val="20"/>
                <w:szCs w:val="20"/>
                <w:color w:val="auto"/>
              </w:rPr>
            </w:pPr>
            <w:r>
              <w:rPr>
                <w:rFonts w:ascii="Arial" w:cs="Arial" w:eastAsia="Arial" w:hAnsi="Arial"/>
                <w:sz w:val="14"/>
                <w:szCs w:val="14"/>
                <w:color w:val="auto"/>
              </w:rPr>
              <w:t>649,315</w:t>
            </w:r>
          </w:p>
        </w:tc>
        <w:tc>
          <w:tcPr>
            <w:tcW w:w="1100" w:type="dxa"/>
            <w:vAlign w:val="bottom"/>
          </w:tcPr>
          <w:p>
            <w:pPr>
              <w:jc w:val="right"/>
              <w:spacing w:after="0"/>
              <w:rPr>
                <w:sz w:val="20"/>
                <w:szCs w:val="20"/>
                <w:color w:val="auto"/>
              </w:rPr>
            </w:pPr>
            <w:r>
              <w:rPr>
                <w:rFonts w:ascii="Arial" w:cs="Arial" w:eastAsia="Arial" w:hAnsi="Arial"/>
                <w:sz w:val="14"/>
                <w:szCs w:val="14"/>
                <w:color w:val="auto"/>
              </w:rPr>
              <w:t>35,329</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4,257,023</w:t>
            </w:r>
          </w:p>
        </w:tc>
        <w:tc>
          <w:tcPr>
            <w:tcW w:w="0" w:type="dxa"/>
            <w:vAlign w:val="bottom"/>
          </w:tcPr>
          <w:p>
            <w:pPr>
              <w:spacing w:after="0"/>
              <w:rPr>
                <w:sz w:val="1"/>
                <w:szCs w:val="1"/>
                <w:color w:val="auto"/>
              </w:rPr>
            </w:pPr>
          </w:p>
        </w:tc>
      </w:tr>
      <w:tr>
        <w:trPr>
          <w:trHeight w:val="171"/>
        </w:trPr>
        <w:tc>
          <w:tcPr>
            <w:tcW w:w="2960" w:type="dxa"/>
            <w:vAlign w:val="bottom"/>
          </w:tcPr>
          <w:p>
            <w:pPr>
              <w:ind w:left="80"/>
              <w:spacing w:after="0"/>
              <w:rPr>
                <w:sz w:val="20"/>
                <w:szCs w:val="20"/>
                <w:color w:val="auto"/>
              </w:rPr>
            </w:pPr>
            <w:r>
              <w:rPr>
                <w:rFonts w:ascii="Arial" w:cs="Arial" w:eastAsia="Arial" w:hAnsi="Arial"/>
                <w:sz w:val="14"/>
                <w:szCs w:val="14"/>
                <w:color w:val="auto"/>
              </w:rPr>
              <w:t>Chief Financial Officer</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2019</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705,000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740,250</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800,006</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923,692</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553,203</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37,166</w:t>
            </w: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3,759,317</w:t>
            </w:r>
          </w:p>
        </w:tc>
        <w:tc>
          <w:tcPr>
            <w:tcW w:w="0" w:type="dxa"/>
            <w:vAlign w:val="bottom"/>
          </w:tcPr>
          <w:p>
            <w:pPr>
              <w:spacing w:after="0"/>
              <w:rPr>
                <w:sz w:val="1"/>
                <w:szCs w:val="1"/>
                <w:color w:val="auto"/>
              </w:rPr>
            </w:pPr>
          </w:p>
        </w:tc>
      </w:tr>
      <w:tr>
        <w:trPr>
          <w:trHeight w:val="58"/>
        </w:trPr>
        <w:tc>
          <w:tcPr>
            <w:tcW w:w="29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shd w:val="clear" w:color="auto" w:fill="D8D8D8"/>
          </w:tcPr>
          <w:p>
            <w:pPr>
              <w:ind w:left="80"/>
              <w:spacing w:after="0"/>
              <w:rPr>
                <w:sz w:val="20"/>
                <w:szCs w:val="20"/>
                <w:color w:val="auto"/>
              </w:rPr>
            </w:pPr>
            <w:r>
              <w:rPr>
                <w:rFonts w:ascii="Arial" w:cs="Arial" w:eastAsia="Arial" w:hAnsi="Arial"/>
                <w:sz w:val="14"/>
                <w:szCs w:val="14"/>
                <w:b w:val="1"/>
                <w:bCs w:val="1"/>
                <w:color w:val="auto"/>
              </w:rPr>
              <w:t>Girish Juneja</w:t>
            </w: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2021</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500,000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560,000</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341,738</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210,626</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51,884</w:t>
            </w:r>
          </w:p>
        </w:tc>
        <w:tc>
          <w:tcPr>
            <w:tcW w:w="90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1,664,248</w:t>
            </w:r>
          </w:p>
        </w:tc>
        <w:tc>
          <w:tcPr>
            <w:tcW w:w="0" w:type="dxa"/>
            <w:vAlign w:val="bottom"/>
          </w:tcPr>
          <w:p>
            <w:pPr>
              <w:spacing w:after="0"/>
              <w:rPr>
                <w:sz w:val="1"/>
                <w:szCs w:val="1"/>
                <w:color w:val="auto"/>
              </w:rPr>
            </w:pPr>
          </w:p>
        </w:tc>
      </w:tr>
      <w:tr>
        <w:trPr>
          <w:trHeight w:val="160"/>
        </w:trPr>
        <w:tc>
          <w:tcPr>
            <w:tcW w:w="2960" w:type="dxa"/>
            <w:vAlign w:val="bottom"/>
            <w:shd w:val="clear" w:color="auto" w:fill="D8D8D8"/>
          </w:tcPr>
          <w:p>
            <w:pPr>
              <w:ind w:left="80"/>
              <w:spacing w:after="0"/>
              <w:rPr>
                <w:sz w:val="20"/>
                <w:szCs w:val="20"/>
                <w:color w:val="auto"/>
              </w:rPr>
            </w:pPr>
            <w:r>
              <w:rPr>
                <w:rFonts w:ascii="Arial" w:cs="Arial" w:eastAsia="Arial" w:hAnsi="Arial"/>
                <w:sz w:val="14"/>
                <w:szCs w:val="14"/>
                <w:color w:val="auto"/>
              </w:rPr>
              <w:t>Senior Vice President &amp;</w:t>
            </w: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491,404</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325,500</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376,533</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167,157</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38,967</w:t>
            </w:r>
          </w:p>
        </w:tc>
        <w:tc>
          <w:tcPr>
            <w:tcW w:w="90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1,399,561</w:t>
            </w:r>
          </w:p>
        </w:tc>
        <w:tc>
          <w:tcPr>
            <w:tcW w:w="0" w:type="dxa"/>
            <w:vAlign w:val="bottom"/>
          </w:tcPr>
          <w:p>
            <w:pPr>
              <w:spacing w:after="0"/>
              <w:rPr>
                <w:sz w:val="1"/>
                <w:szCs w:val="1"/>
                <w:color w:val="auto"/>
              </w:rPr>
            </w:pPr>
          </w:p>
        </w:tc>
      </w:tr>
      <w:tr>
        <w:trPr>
          <w:trHeight w:val="176"/>
        </w:trPr>
        <w:tc>
          <w:tcPr>
            <w:tcW w:w="296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4"/>
                <w:szCs w:val="14"/>
                <w:color w:val="auto"/>
              </w:rPr>
              <w:t>Chief Digital Officer</w:t>
            </w:r>
          </w:p>
        </w:tc>
        <w:tc>
          <w:tcPr>
            <w:tcW w:w="500" w:type="dxa"/>
            <w:vAlign w:val="bottom"/>
            <w:tcBorders>
              <w:bottom w:val="single" w:sz="8" w:color="D8D8D8"/>
            </w:tcBorders>
            <w:shd w:val="clear" w:color="auto" w:fill="D8D8D8"/>
          </w:tcPr>
          <w:p>
            <w:pPr>
              <w:spacing w:after="0"/>
              <w:rPr>
                <w:sz w:val="15"/>
                <w:szCs w:val="15"/>
                <w:color w:val="auto"/>
              </w:rPr>
            </w:pPr>
          </w:p>
        </w:tc>
        <w:tc>
          <w:tcPr>
            <w:tcW w:w="800" w:type="dxa"/>
            <w:vAlign w:val="bottom"/>
            <w:tcBorders>
              <w:bottom w:val="single" w:sz="8" w:color="D8D8D8"/>
            </w:tcBorders>
            <w:shd w:val="clear" w:color="auto" w:fill="D8D8D8"/>
          </w:tcPr>
          <w:p>
            <w:pPr>
              <w:spacing w:after="0"/>
              <w:rPr>
                <w:sz w:val="15"/>
                <w:szCs w:val="15"/>
                <w:color w:val="auto"/>
              </w:rPr>
            </w:pPr>
          </w:p>
        </w:tc>
        <w:tc>
          <w:tcPr>
            <w:tcW w:w="800" w:type="dxa"/>
            <w:vAlign w:val="bottom"/>
            <w:tcBorders>
              <w:bottom w:val="single" w:sz="8" w:color="D8D8D8"/>
            </w:tcBorders>
            <w:shd w:val="clear" w:color="auto" w:fill="D8D8D8"/>
          </w:tcPr>
          <w:p>
            <w:pPr>
              <w:spacing w:after="0"/>
              <w:rPr>
                <w:sz w:val="15"/>
                <w:szCs w:val="15"/>
                <w:color w:val="auto"/>
              </w:rPr>
            </w:pPr>
          </w:p>
        </w:tc>
        <w:tc>
          <w:tcPr>
            <w:tcW w:w="820" w:type="dxa"/>
            <w:vAlign w:val="bottom"/>
            <w:tcBorders>
              <w:bottom w:val="single" w:sz="8" w:color="D8D8D8"/>
            </w:tcBorders>
            <w:shd w:val="clear" w:color="auto" w:fill="D8D8D8"/>
          </w:tcPr>
          <w:p>
            <w:pPr>
              <w:spacing w:after="0"/>
              <w:rPr>
                <w:sz w:val="15"/>
                <w:szCs w:val="15"/>
                <w:color w:val="auto"/>
              </w:rPr>
            </w:pPr>
          </w:p>
        </w:tc>
        <w:tc>
          <w:tcPr>
            <w:tcW w:w="800" w:type="dxa"/>
            <w:vAlign w:val="bottom"/>
            <w:tcBorders>
              <w:bottom w:val="single" w:sz="8" w:color="D8D8D8"/>
            </w:tcBorders>
            <w:shd w:val="clear" w:color="auto" w:fill="D8D8D8"/>
          </w:tcPr>
          <w:p>
            <w:pPr>
              <w:spacing w:after="0"/>
              <w:rPr>
                <w:sz w:val="15"/>
                <w:szCs w:val="15"/>
                <w:color w:val="auto"/>
              </w:rPr>
            </w:pPr>
          </w:p>
        </w:tc>
        <w:tc>
          <w:tcPr>
            <w:tcW w:w="1120" w:type="dxa"/>
            <w:vAlign w:val="bottom"/>
            <w:tcBorders>
              <w:bottom w:val="single" w:sz="8" w:color="D8D8D8"/>
            </w:tcBorders>
            <w:shd w:val="clear" w:color="auto" w:fill="D8D8D8"/>
          </w:tcPr>
          <w:p>
            <w:pPr>
              <w:spacing w:after="0"/>
              <w:rPr>
                <w:sz w:val="15"/>
                <w:szCs w:val="15"/>
                <w:color w:val="auto"/>
              </w:rPr>
            </w:pPr>
          </w:p>
        </w:tc>
        <w:tc>
          <w:tcPr>
            <w:tcW w:w="1120" w:type="dxa"/>
            <w:vAlign w:val="bottom"/>
            <w:tcBorders>
              <w:bottom w:val="single" w:sz="8" w:color="D8D8D8"/>
            </w:tcBorders>
            <w:shd w:val="clear" w:color="auto" w:fill="D8D8D8"/>
          </w:tcPr>
          <w:p>
            <w:pPr>
              <w:spacing w:after="0"/>
              <w:rPr>
                <w:sz w:val="15"/>
                <w:szCs w:val="15"/>
                <w:color w:val="auto"/>
              </w:rPr>
            </w:pPr>
          </w:p>
        </w:tc>
        <w:tc>
          <w:tcPr>
            <w:tcW w:w="1100" w:type="dxa"/>
            <w:vAlign w:val="bottom"/>
            <w:tcBorders>
              <w:bottom w:val="single" w:sz="8" w:color="D8D8D8"/>
            </w:tcBorders>
            <w:shd w:val="clear" w:color="auto" w:fill="D8D8D8"/>
          </w:tcPr>
          <w:p>
            <w:pPr>
              <w:spacing w:after="0"/>
              <w:rPr>
                <w:sz w:val="15"/>
                <w:szCs w:val="15"/>
                <w:color w:val="auto"/>
              </w:rPr>
            </w:pPr>
          </w:p>
        </w:tc>
        <w:tc>
          <w:tcPr>
            <w:tcW w:w="900" w:type="dxa"/>
            <w:vAlign w:val="bottom"/>
            <w:tcBorders>
              <w:bottom w:val="single" w:sz="8" w:color="D8D8D8"/>
            </w:tcBorders>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960" w:type="dxa"/>
            <w:vAlign w:val="bottom"/>
          </w:tcPr>
          <w:p>
            <w:pPr>
              <w:ind w:left="80"/>
              <w:spacing w:after="0"/>
              <w:rPr>
                <w:sz w:val="20"/>
                <w:szCs w:val="20"/>
                <w:color w:val="auto"/>
              </w:rPr>
            </w:pPr>
            <w:r>
              <w:rPr>
                <w:rFonts w:ascii="Arial" w:cs="Arial" w:eastAsia="Arial" w:hAnsi="Arial"/>
                <w:sz w:val="14"/>
                <w:szCs w:val="14"/>
                <w:b w:val="1"/>
                <w:bCs w:val="1"/>
                <w:color w:val="auto"/>
              </w:rPr>
              <w:t>Ivonne M. Cabrera</w:t>
            </w:r>
          </w:p>
        </w:tc>
        <w:tc>
          <w:tcPr>
            <w:tcW w:w="500" w:type="dxa"/>
            <w:vAlign w:val="bottom"/>
          </w:tcPr>
          <w:p>
            <w:pPr>
              <w:jc w:val="right"/>
              <w:spacing w:after="0"/>
              <w:rPr>
                <w:sz w:val="20"/>
                <w:szCs w:val="20"/>
                <w:color w:val="auto"/>
              </w:rPr>
            </w:pPr>
            <w:r>
              <w:rPr>
                <w:rFonts w:ascii="Arial" w:cs="Arial" w:eastAsia="Arial" w:hAnsi="Arial"/>
                <w:sz w:val="14"/>
                <w:szCs w:val="14"/>
                <w:color w:val="auto"/>
              </w:rPr>
              <w:t>2021</w:t>
            </w:r>
          </w:p>
        </w:tc>
        <w:tc>
          <w:tcPr>
            <w:tcW w:w="800" w:type="dxa"/>
            <w:vAlign w:val="bottom"/>
          </w:tcPr>
          <w:p>
            <w:pPr>
              <w:jc w:val="right"/>
              <w:spacing w:after="0"/>
              <w:rPr>
                <w:sz w:val="20"/>
                <w:szCs w:val="20"/>
                <w:color w:val="auto"/>
              </w:rPr>
            </w:pPr>
            <w:r>
              <w:rPr>
                <w:rFonts w:ascii="Arial" w:cs="Arial" w:eastAsia="Arial" w:hAnsi="Arial"/>
                <w:sz w:val="14"/>
                <w:szCs w:val="14"/>
                <w:color w:val="auto"/>
              </w:rPr>
              <w:t>560,000</w:t>
            </w:r>
          </w:p>
        </w:tc>
        <w:tc>
          <w:tcPr>
            <w:tcW w:w="800" w:type="dxa"/>
            <w:vAlign w:val="bottom"/>
          </w:tcPr>
          <w:p>
            <w:pPr>
              <w:jc w:val="right"/>
              <w:spacing w:after="0"/>
              <w:rPr>
                <w:sz w:val="20"/>
                <w:szCs w:val="20"/>
                <w:color w:val="auto"/>
              </w:rPr>
            </w:pPr>
            <w:r>
              <w:rPr>
                <w:rFonts w:ascii="Arial" w:cs="Arial" w:eastAsia="Arial" w:hAnsi="Arial"/>
                <w:sz w:val="14"/>
                <w:szCs w:val="14"/>
                <w:color w:val="auto"/>
              </w:rPr>
              <w:t>627,200</w:t>
            </w:r>
          </w:p>
        </w:tc>
        <w:tc>
          <w:tcPr>
            <w:tcW w:w="820" w:type="dxa"/>
            <w:vAlign w:val="bottom"/>
          </w:tcPr>
          <w:p>
            <w:pPr>
              <w:jc w:val="right"/>
              <w:spacing w:after="0"/>
              <w:rPr>
                <w:sz w:val="20"/>
                <w:szCs w:val="20"/>
                <w:color w:val="auto"/>
              </w:rPr>
            </w:pPr>
            <w:r>
              <w:rPr>
                <w:rFonts w:ascii="Arial" w:cs="Arial" w:eastAsia="Arial" w:hAnsi="Arial"/>
                <w:sz w:val="14"/>
                <w:szCs w:val="14"/>
                <w:color w:val="auto"/>
              </w:rPr>
              <w:t>546,632</w:t>
            </w:r>
          </w:p>
        </w:tc>
        <w:tc>
          <w:tcPr>
            <w:tcW w:w="800" w:type="dxa"/>
            <w:vAlign w:val="bottom"/>
          </w:tcPr>
          <w:p>
            <w:pPr>
              <w:jc w:val="right"/>
              <w:spacing w:after="0"/>
              <w:rPr>
                <w:sz w:val="20"/>
                <w:szCs w:val="20"/>
                <w:color w:val="auto"/>
              </w:rPr>
            </w:pPr>
            <w:r>
              <w:rPr>
                <w:rFonts w:ascii="Arial" w:cs="Arial" w:eastAsia="Arial" w:hAnsi="Arial"/>
                <w:sz w:val="14"/>
                <w:szCs w:val="14"/>
                <w:color w:val="auto"/>
              </w:rPr>
              <w:t>336,979</w:t>
            </w:r>
          </w:p>
        </w:tc>
        <w:tc>
          <w:tcPr>
            <w:tcW w:w="1120" w:type="dxa"/>
            <w:vAlign w:val="bottom"/>
          </w:tcPr>
          <w:p>
            <w:pPr>
              <w:jc w:val="right"/>
              <w:spacing w:after="0"/>
              <w:rPr>
                <w:sz w:val="20"/>
                <w:szCs w:val="20"/>
                <w:color w:val="auto"/>
              </w:rPr>
            </w:pPr>
            <w:r>
              <w:rPr>
                <w:rFonts w:ascii="Arial" w:cs="Arial" w:eastAsia="Arial" w:hAnsi="Arial"/>
                <w:sz w:val="14"/>
                <w:szCs w:val="14"/>
                <w:color w:val="auto"/>
              </w:rPr>
              <w:t>0</w:t>
            </w:r>
          </w:p>
        </w:tc>
        <w:tc>
          <w:tcPr>
            <w:tcW w:w="1120" w:type="dxa"/>
            <w:vAlign w:val="bottom"/>
          </w:tcPr>
          <w:p>
            <w:pPr>
              <w:jc w:val="right"/>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17,922</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2,088,733</w:t>
            </w:r>
          </w:p>
        </w:tc>
        <w:tc>
          <w:tcPr>
            <w:tcW w:w="0" w:type="dxa"/>
            <w:vAlign w:val="bottom"/>
          </w:tcPr>
          <w:p>
            <w:pPr>
              <w:spacing w:after="0"/>
              <w:rPr>
                <w:sz w:val="1"/>
                <w:szCs w:val="1"/>
                <w:color w:val="auto"/>
              </w:rPr>
            </w:pPr>
          </w:p>
        </w:tc>
      </w:tr>
      <w:tr>
        <w:trPr>
          <w:trHeight w:val="160"/>
        </w:trPr>
        <w:tc>
          <w:tcPr>
            <w:tcW w:w="2960" w:type="dxa"/>
            <w:vAlign w:val="bottom"/>
          </w:tcPr>
          <w:p>
            <w:pPr>
              <w:ind w:left="80"/>
              <w:spacing w:after="0"/>
              <w:rPr>
                <w:sz w:val="20"/>
                <w:szCs w:val="20"/>
                <w:color w:val="auto"/>
              </w:rPr>
            </w:pPr>
            <w:r>
              <w:rPr>
                <w:rFonts w:ascii="Arial" w:cs="Arial" w:eastAsia="Arial" w:hAnsi="Arial"/>
                <w:sz w:val="14"/>
                <w:szCs w:val="14"/>
                <w:color w:val="auto"/>
              </w:rPr>
              <w:t>Senior Vice President &amp;</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2020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550,000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364,560</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602,459</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267,460</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648,534</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21,616</w:t>
            </w: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2,454,629</w:t>
            </w:r>
          </w:p>
        </w:tc>
        <w:tc>
          <w:tcPr>
            <w:tcW w:w="0" w:type="dxa"/>
            <w:vAlign w:val="bottom"/>
          </w:tcPr>
          <w:p>
            <w:pPr>
              <w:spacing w:after="0"/>
              <w:rPr>
                <w:sz w:val="1"/>
                <w:szCs w:val="1"/>
                <w:color w:val="auto"/>
              </w:rPr>
            </w:pPr>
          </w:p>
        </w:tc>
      </w:tr>
      <w:tr>
        <w:trPr>
          <w:trHeight w:val="77"/>
        </w:trPr>
        <w:tc>
          <w:tcPr>
            <w:tcW w:w="2960" w:type="dxa"/>
            <w:vAlign w:val="bottom"/>
            <w:vMerge w:val="restart"/>
          </w:tcPr>
          <w:p>
            <w:pPr>
              <w:ind w:left="80"/>
              <w:spacing w:after="0"/>
              <w:rPr>
                <w:sz w:val="20"/>
                <w:szCs w:val="20"/>
                <w:color w:val="auto"/>
              </w:rPr>
            </w:pPr>
            <w:r>
              <w:rPr>
                <w:rFonts w:ascii="Arial" w:cs="Arial" w:eastAsia="Arial" w:hAnsi="Arial"/>
                <w:sz w:val="14"/>
                <w:szCs w:val="14"/>
                <w:color w:val="auto"/>
              </w:rPr>
              <w:t>General Counsel</w:t>
            </w:r>
          </w:p>
        </w:tc>
        <w:tc>
          <w:tcPr>
            <w:tcW w:w="5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960" w:type="dxa"/>
            <w:vAlign w:val="bottom"/>
            <w:vMerge w:val="continue"/>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2019</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540,000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396,900</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319,930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369,480</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408,519</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23,238</w:t>
            </w: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2,058,067</w:t>
            </w:r>
          </w:p>
        </w:tc>
        <w:tc>
          <w:tcPr>
            <w:tcW w:w="0" w:type="dxa"/>
            <w:vAlign w:val="bottom"/>
          </w:tcPr>
          <w:p>
            <w:pPr>
              <w:spacing w:after="0"/>
              <w:rPr>
                <w:sz w:val="1"/>
                <w:szCs w:val="1"/>
                <w:color w:val="auto"/>
              </w:rPr>
            </w:pPr>
          </w:p>
        </w:tc>
      </w:tr>
      <w:tr>
        <w:trPr>
          <w:trHeight w:val="94"/>
        </w:trPr>
        <w:tc>
          <w:tcPr>
            <w:tcW w:w="29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shd w:val="clear" w:color="auto" w:fill="D8D8D8"/>
          </w:tcPr>
          <w:p>
            <w:pPr>
              <w:ind w:left="80"/>
              <w:spacing w:after="0"/>
              <w:rPr>
                <w:sz w:val="20"/>
                <w:szCs w:val="20"/>
                <w:color w:val="auto"/>
              </w:rPr>
            </w:pPr>
            <w:r>
              <w:rPr>
                <w:rFonts w:ascii="Arial" w:cs="Arial" w:eastAsia="Arial" w:hAnsi="Arial"/>
                <w:sz w:val="14"/>
                <w:szCs w:val="14"/>
                <w:b w:val="1"/>
                <w:bCs w:val="1"/>
                <w:color w:val="auto"/>
              </w:rPr>
              <w:t>Kimberly K. Bors</w:t>
            </w: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2021</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450,000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504,000</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362,136</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223,247</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43,615</w:t>
            </w:r>
          </w:p>
        </w:tc>
        <w:tc>
          <w:tcPr>
            <w:tcW w:w="90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1,582,998</w:t>
            </w:r>
          </w:p>
        </w:tc>
        <w:tc>
          <w:tcPr>
            <w:tcW w:w="0" w:type="dxa"/>
            <w:vAlign w:val="bottom"/>
          </w:tcPr>
          <w:p>
            <w:pPr>
              <w:spacing w:after="0"/>
              <w:rPr>
                <w:sz w:val="1"/>
                <w:szCs w:val="1"/>
                <w:color w:val="auto"/>
              </w:rPr>
            </w:pPr>
          </w:p>
        </w:tc>
      </w:tr>
      <w:tr>
        <w:trPr>
          <w:trHeight w:val="160"/>
        </w:trPr>
        <w:tc>
          <w:tcPr>
            <w:tcW w:w="2960" w:type="dxa"/>
            <w:vAlign w:val="bottom"/>
            <w:shd w:val="clear" w:color="auto" w:fill="D8D8D8"/>
          </w:tcPr>
          <w:p>
            <w:pPr>
              <w:ind w:left="80"/>
              <w:spacing w:after="0"/>
              <w:rPr>
                <w:sz w:val="20"/>
                <w:szCs w:val="20"/>
                <w:color w:val="auto"/>
              </w:rPr>
            </w:pPr>
            <w:r>
              <w:rPr>
                <w:rFonts w:ascii="Arial" w:cs="Arial" w:eastAsia="Arial" w:hAnsi="Arial"/>
                <w:sz w:val="14"/>
                <w:szCs w:val="14"/>
                <w:color w:val="auto"/>
              </w:rPr>
              <w:t>Senior Vice President &amp;</w:t>
            </w:r>
          </w:p>
        </w:tc>
        <w:tc>
          <w:tcPr>
            <w:tcW w:w="5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82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120" w:type="dxa"/>
            <w:vAlign w:val="bottom"/>
            <w:shd w:val="clear" w:color="auto" w:fill="D8D8D8"/>
          </w:tcPr>
          <w:p>
            <w:pPr>
              <w:spacing w:after="0"/>
              <w:rPr>
                <w:sz w:val="13"/>
                <w:szCs w:val="13"/>
                <w:color w:val="auto"/>
              </w:rPr>
            </w:pPr>
          </w:p>
        </w:tc>
        <w:tc>
          <w:tcPr>
            <w:tcW w:w="1120" w:type="dxa"/>
            <w:vAlign w:val="bottom"/>
            <w:shd w:val="clear" w:color="auto" w:fill="D8D8D8"/>
          </w:tcPr>
          <w:p>
            <w:pPr>
              <w:spacing w:after="0"/>
              <w:rPr>
                <w:sz w:val="13"/>
                <w:szCs w:val="13"/>
                <w:color w:val="auto"/>
              </w:rPr>
            </w:pPr>
          </w:p>
        </w:tc>
        <w:tc>
          <w:tcPr>
            <w:tcW w:w="1100" w:type="dxa"/>
            <w:vAlign w:val="bottom"/>
            <w:shd w:val="clear" w:color="auto" w:fill="D8D8D8"/>
          </w:tcPr>
          <w:p>
            <w:pPr>
              <w:spacing w:after="0"/>
              <w:rPr>
                <w:sz w:val="13"/>
                <w:szCs w:val="13"/>
                <w:color w:val="auto"/>
              </w:rPr>
            </w:pPr>
          </w:p>
        </w:tc>
        <w:tc>
          <w:tcPr>
            <w:tcW w:w="90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96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4"/>
                <w:szCs w:val="14"/>
                <w:color w:val="auto"/>
              </w:rPr>
              <w:t>Chief Human Resource Officer</w:t>
            </w:r>
          </w:p>
        </w:tc>
        <w:tc>
          <w:tcPr>
            <w:tcW w:w="500" w:type="dxa"/>
            <w:vAlign w:val="bottom"/>
            <w:tcBorders>
              <w:bottom w:val="single" w:sz="8" w:color="D8D8D8"/>
            </w:tcBorders>
            <w:shd w:val="clear" w:color="auto" w:fill="D8D8D8"/>
          </w:tcPr>
          <w:p>
            <w:pPr>
              <w:spacing w:after="0"/>
              <w:rPr>
                <w:sz w:val="17"/>
                <w:szCs w:val="17"/>
                <w:color w:val="auto"/>
              </w:rPr>
            </w:pPr>
          </w:p>
        </w:tc>
        <w:tc>
          <w:tcPr>
            <w:tcW w:w="800" w:type="dxa"/>
            <w:vAlign w:val="bottom"/>
            <w:tcBorders>
              <w:bottom w:val="single" w:sz="8" w:color="D8D8D8"/>
            </w:tcBorders>
            <w:shd w:val="clear" w:color="auto" w:fill="D8D8D8"/>
          </w:tcPr>
          <w:p>
            <w:pPr>
              <w:spacing w:after="0"/>
              <w:rPr>
                <w:sz w:val="17"/>
                <w:szCs w:val="17"/>
                <w:color w:val="auto"/>
              </w:rPr>
            </w:pPr>
          </w:p>
        </w:tc>
        <w:tc>
          <w:tcPr>
            <w:tcW w:w="800" w:type="dxa"/>
            <w:vAlign w:val="bottom"/>
            <w:tcBorders>
              <w:bottom w:val="single" w:sz="8" w:color="D8D8D8"/>
            </w:tcBorders>
            <w:shd w:val="clear" w:color="auto" w:fill="D8D8D8"/>
          </w:tcPr>
          <w:p>
            <w:pPr>
              <w:spacing w:after="0"/>
              <w:rPr>
                <w:sz w:val="17"/>
                <w:szCs w:val="17"/>
                <w:color w:val="auto"/>
              </w:rPr>
            </w:pPr>
          </w:p>
        </w:tc>
        <w:tc>
          <w:tcPr>
            <w:tcW w:w="820" w:type="dxa"/>
            <w:vAlign w:val="bottom"/>
            <w:tcBorders>
              <w:bottom w:val="single" w:sz="8" w:color="D8D8D8"/>
            </w:tcBorders>
            <w:shd w:val="clear" w:color="auto" w:fill="D8D8D8"/>
          </w:tcPr>
          <w:p>
            <w:pPr>
              <w:spacing w:after="0"/>
              <w:rPr>
                <w:sz w:val="17"/>
                <w:szCs w:val="17"/>
                <w:color w:val="auto"/>
              </w:rPr>
            </w:pPr>
          </w:p>
        </w:tc>
        <w:tc>
          <w:tcPr>
            <w:tcW w:w="800" w:type="dxa"/>
            <w:vAlign w:val="bottom"/>
            <w:tcBorders>
              <w:bottom w:val="single" w:sz="8" w:color="D8D8D8"/>
            </w:tcBorders>
            <w:shd w:val="clear" w:color="auto" w:fill="D8D8D8"/>
          </w:tcPr>
          <w:p>
            <w:pPr>
              <w:spacing w:after="0"/>
              <w:rPr>
                <w:sz w:val="17"/>
                <w:szCs w:val="17"/>
                <w:color w:val="auto"/>
              </w:rPr>
            </w:pPr>
          </w:p>
        </w:tc>
        <w:tc>
          <w:tcPr>
            <w:tcW w:w="1120" w:type="dxa"/>
            <w:vAlign w:val="bottom"/>
            <w:tcBorders>
              <w:bottom w:val="single" w:sz="8" w:color="D8D8D8"/>
            </w:tcBorders>
            <w:shd w:val="clear" w:color="auto" w:fill="D8D8D8"/>
          </w:tcPr>
          <w:p>
            <w:pPr>
              <w:spacing w:after="0"/>
              <w:rPr>
                <w:sz w:val="17"/>
                <w:szCs w:val="17"/>
                <w:color w:val="auto"/>
              </w:rPr>
            </w:pPr>
          </w:p>
        </w:tc>
        <w:tc>
          <w:tcPr>
            <w:tcW w:w="1120" w:type="dxa"/>
            <w:vAlign w:val="bottom"/>
            <w:tcBorders>
              <w:bottom w:val="single" w:sz="8" w:color="D8D8D8"/>
            </w:tcBorders>
            <w:shd w:val="clear" w:color="auto" w:fill="D8D8D8"/>
          </w:tcPr>
          <w:p>
            <w:pPr>
              <w:spacing w:after="0"/>
              <w:rPr>
                <w:sz w:val="17"/>
                <w:szCs w:val="17"/>
                <w:color w:val="auto"/>
              </w:rPr>
            </w:pPr>
          </w:p>
        </w:tc>
        <w:tc>
          <w:tcPr>
            <w:tcW w:w="1100" w:type="dxa"/>
            <w:vAlign w:val="bottom"/>
            <w:tcBorders>
              <w:bottom w:val="single" w:sz="8" w:color="D8D8D8"/>
            </w:tcBorders>
            <w:shd w:val="clear" w:color="auto" w:fill="D8D8D8"/>
          </w:tcPr>
          <w:p>
            <w:pPr>
              <w:spacing w:after="0"/>
              <w:rPr>
                <w:sz w:val="17"/>
                <w:szCs w:val="17"/>
                <w:color w:val="auto"/>
              </w:rPr>
            </w:pPr>
          </w:p>
        </w:tc>
        <w:tc>
          <w:tcPr>
            <w:tcW w:w="900" w:type="dxa"/>
            <w:vAlign w:val="bottom"/>
            <w:tcBorders>
              <w:bottom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shd w:val="clear" w:color="auto" w:fill="021496"/>
          </w:tcPr>
          <w:p>
            <w:pPr>
              <w:spacing w:after="0" w:line="20" w:lineRule="exact"/>
              <w:rPr>
                <w:sz w:val="1"/>
                <w:szCs w:val="1"/>
                <w:color w:val="auto"/>
              </w:rPr>
            </w:pPr>
          </w:p>
        </w:tc>
        <w:tc>
          <w:tcPr>
            <w:tcW w:w="500" w:type="dxa"/>
            <w:vAlign w:val="bottom"/>
            <w:shd w:val="clear" w:color="auto" w:fill="021496"/>
          </w:tcPr>
          <w:p>
            <w:pPr>
              <w:spacing w:after="0" w:line="20" w:lineRule="exact"/>
              <w:rPr>
                <w:sz w:val="1"/>
                <w:szCs w:val="1"/>
                <w:color w:val="auto"/>
              </w:rPr>
            </w:pPr>
          </w:p>
        </w:tc>
        <w:tc>
          <w:tcPr>
            <w:tcW w:w="800" w:type="dxa"/>
            <w:vAlign w:val="bottom"/>
            <w:shd w:val="clear" w:color="auto" w:fill="021496"/>
          </w:tcPr>
          <w:p>
            <w:pPr>
              <w:spacing w:after="0" w:line="20" w:lineRule="exact"/>
              <w:rPr>
                <w:sz w:val="1"/>
                <w:szCs w:val="1"/>
                <w:color w:val="auto"/>
              </w:rPr>
            </w:pPr>
          </w:p>
        </w:tc>
        <w:tc>
          <w:tcPr>
            <w:tcW w:w="800" w:type="dxa"/>
            <w:vAlign w:val="bottom"/>
            <w:shd w:val="clear" w:color="auto" w:fill="021496"/>
          </w:tcPr>
          <w:p>
            <w:pPr>
              <w:spacing w:after="0" w:line="20" w:lineRule="exact"/>
              <w:rPr>
                <w:sz w:val="1"/>
                <w:szCs w:val="1"/>
                <w:color w:val="auto"/>
              </w:rPr>
            </w:pPr>
          </w:p>
        </w:tc>
        <w:tc>
          <w:tcPr>
            <w:tcW w:w="820" w:type="dxa"/>
            <w:vAlign w:val="bottom"/>
            <w:shd w:val="clear" w:color="auto" w:fill="021496"/>
          </w:tcPr>
          <w:p>
            <w:pPr>
              <w:spacing w:after="0" w:line="20" w:lineRule="exact"/>
              <w:rPr>
                <w:sz w:val="1"/>
                <w:szCs w:val="1"/>
                <w:color w:val="auto"/>
              </w:rPr>
            </w:pPr>
          </w:p>
        </w:tc>
        <w:tc>
          <w:tcPr>
            <w:tcW w:w="800" w:type="dxa"/>
            <w:vAlign w:val="bottom"/>
            <w:shd w:val="clear" w:color="auto" w:fill="021496"/>
          </w:tcPr>
          <w:p>
            <w:pPr>
              <w:spacing w:after="0" w:line="20" w:lineRule="exact"/>
              <w:rPr>
                <w:sz w:val="1"/>
                <w:szCs w:val="1"/>
                <w:color w:val="auto"/>
              </w:rPr>
            </w:pPr>
          </w:p>
        </w:tc>
        <w:tc>
          <w:tcPr>
            <w:tcW w:w="1120" w:type="dxa"/>
            <w:vAlign w:val="bottom"/>
            <w:shd w:val="clear" w:color="auto" w:fill="021496"/>
          </w:tcPr>
          <w:p>
            <w:pPr>
              <w:spacing w:after="0" w:line="20" w:lineRule="exact"/>
              <w:rPr>
                <w:sz w:val="1"/>
                <w:szCs w:val="1"/>
                <w:color w:val="auto"/>
              </w:rPr>
            </w:pPr>
          </w:p>
        </w:tc>
        <w:tc>
          <w:tcPr>
            <w:tcW w:w="1120" w:type="dxa"/>
            <w:vAlign w:val="bottom"/>
            <w:shd w:val="clear" w:color="auto" w:fill="021496"/>
          </w:tcPr>
          <w:p>
            <w:pPr>
              <w:spacing w:after="0" w:line="20" w:lineRule="exact"/>
              <w:rPr>
                <w:sz w:val="1"/>
                <w:szCs w:val="1"/>
                <w:color w:val="auto"/>
              </w:rPr>
            </w:pPr>
          </w:p>
        </w:tc>
        <w:tc>
          <w:tcPr>
            <w:tcW w:w="1100" w:type="dxa"/>
            <w:vAlign w:val="bottom"/>
            <w:shd w:val="clear" w:color="auto" w:fill="021496"/>
          </w:tcPr>
          <w:p>
            <w:pPr>
              <w:spacing w:after="0" w:line="20" w:lineRule="exact"/>
              <w:rPr>
                <w:sz w:val="1"/>
                <w:szCs w:val="1"/>
                <w:color w:val="auto"/>
              </w:rPr>
            </w:pPr>
          </w:p>
        </w:tc>
        <w:tc>
          <w:tcPr>
            <w:tcW w:w="900" w:type="dxa"/>
            <w:vAlign w:val="bottom"/>
            <w:shd w:val="clear" w:color="auto" w:fill="0214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700" w:right="440" w:hanging="426"/>
        <w:spacing w:after="0" w:line="255" w:lineRule="auto"/>
        <w:tabs>
          <w:tab w:leader="none" w:pos="700"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Bonus amounts generally represent payments under our AIP for the year indicated, for which payments are made in the first quarter of the following year. The AIP constitutes a non-equity incentive plan under FASB ASC Topic 718. Although they are based on the satisfaction of pre-established performance targets, AIP amounts are reported in the bonus column rather than the non-equity incentive plan compensation column to make clear that they are annual bonus payments for the year indicated.</w:t>
      </w:r>
    </w:p>
    <w:p>
      <w:pPr>
        <w:spacing w:after="0" w:line="7" w:lineRule="exact"/>
        <w:rPr>
          <w:rFonts w:ascii="Arial" w:cs="Arial" w:eastAsia="Arial" w:hAnsi="Arial"/>
          <w:sz w:val="16"/>
          <w:szCs w:val="16"/>
          <w:i w:val="1"/>
          <w:iCs w:val="1"/>
          <w:color w:val="auto"/>
        </w:rPr>
      </w:pPr>
    </w:p>
    <w:p>
      <w:pPr>
        <w:ind w:left="700" w:right="100" w:hanging="426"/>
        <w:spacing w:after="0" w:line="248" w:lineRule="auto"/>
        <w:tabs>
          <w:tab w:leader="none" w:pos="700"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generally represent (a) the aggregate grant date fair value of performance shares granted during the year indicated, and (b) the aggregate grant date fair value of restricted stock unit awards granted during the year, in each case, calculated in accordance with FASB ASC Topic 718. The amounts set forth in the table do not correspond to the actual value that might be realized by the named executives. The grant date fair value of the performance share awards granted in 2020 and 2021 is higher than the grant date fair values of the awards granted in 2019 because of the transition from attainment based on internal TSR to attainment based on relative TSR. As market condition awards, the performance share awards granted in 2020 and 2021 were valued using the Monte Carlo simulation model. For a discussion of the assumptions relating to calculation of the cost of equity awards, see Note 15 to the Notes to the Financial Statements contained in our Annual Report on Form 10-K for the year ended December 31, 2021.</w:t>
      </w:r>
    </w:p>
    <w:p>
      <w:pPr>
        <w:spacing w:after="0" w:line="17" w:lineRule="exact"/>
        <w:rPr>
          <w:rFonts w:ascii="Arial" w:cs="Arial" w:eastAsia="Arial" w:hAnsi="Arial"/>
          <w:sz w:val="16"/>
          <w:szCs w:val="16"/>
          <w:i w:val="1"/>
          <w:iCs w:val="1"/>
          <w:color w:val="auto"/>
        </w:rPr>
      </w:pPr>
    </w:p>
    <w:p>
      <w:pPr>
        <w:ind w:left="700" w:right="260"/>
        <w:spacing w:after="0" w:line="255" w:lineRule="auto"/>
        <w:rPr>
          <w:rFonts w:ascii="Arial" w:cs="Arial" w:eastAsia="Arial" w:hAnsi="Arial"/>
          <w:sz w:val="16"/>
          <w:szCs w:val="16"/>
          <w:i w:val="1"/>
          <w:iCs w:val="1"/>
          <w:color w:val="auto"/>
        </w:rPr>
      </w:pPr>
      <w:r>
        <w:rPr>
          <w:rFonts w:ascii="Arial" w:cs="Arial" w:eastAsia="Arial" w:hAnsi="Arial"/>
          <w:sz w:val="16"/>
          <w:szCs w:val="16"/>
          <w:i w:val="1"/>
          <w:iCs w:val="1"/>
          <w:color w:val="auto"/>
        </w:rPr>
        <w:t>Under FASB ASC Topic 718, the 2019, 2020 and 2021 performance share awards are considered performance and service conditioned. The grant date fair value for the 2019 performance share awards was $91.20, the grant date fair value for the 2020 performance share awards was $165.71 and the grant date fair value for the 2021 performance share awards was $148.29. The grant date fair value of 2021 RSU awards was $122.73. All RSU grants are eligible for dividend equivalent payments which are paid upon vesting.</w:t>
      </w:r>
    </w:p>
    <w:p>
      <w:pPr>
        <w:spacing w:after="0" w:line="110"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62</w:t>
      </w:r>
    </w:p>
    <w:p>
      <w:pPr>
        <w:sectPr>
          <w:pgSz w:w="11900" w:h="16838" w:orient="portrait"/>
          <w:cols w:equalWidth="0" w:num="1">
            <w:col w:w="11080"/>
          </w:cols>
          <w:pgMar w:left="320" w:top="45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4" w:lineRule="exact"/>
        <w:rPr>
          <w:sz w:val="20"/>
          <w:szCs w:val="20"/>
          <w:color w:val="auto"/>
        </w:rPr>
      </w:pPr>
    </w:p>
    <w:p>
      <w:pPr>
        <w:ind w:left="700" w:right="180" w:hanging="426"/>
        <w:spacing w:after="0" w:line="260" w:lineRule="auto"/>
        <w:tabs>
          <w:tab w:leader="none" w:pos="700"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represent the aggregate grant date fair value of SSAR awards granted during the year indicated, calculated in accordance with FASB ASC Topic 718, and do not correspond to the actual value that may be realized by the named executives. The grant date fair value for the 2021 SSAR awards was calculated using a Black-Scholes value of $29.08 per SSAR.</w:t>
      </w:r>
    </w:p>
    <w:p>
      <w:pPr>
        <w:spacing w:after="0" w:line="30" w:lineRule="exact"/>
        <w:rPr>
          <w:rFonts w:ascii="Arial" w:cs="Arial" w:eastAsia="Arial" w:hAnsi="Arial"/>
          <w:sz w:val="16"/>
          <w:szCs w:val="16"/>
          <w:i w:val="1"/>
          <w:iCs w:val="1"/>
          <w:color w:val="auto"/>
        </w:rPr>
      </w:pPr>
    </w:p>
    <w:p>
      <w:pPr>
        <w:ind w:left="700" w:hanging="426"/>
        <w:spacing w:after="0"/>
        <w:tabs>
          <w:tab w:leader="none" w:pos="700"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See Note (1) for a discussion of annual bonuses under the AIP as non-equity incentive plan compensation.</w:t>
      </w:r>
    </w:p>
    <w:p>
      <w:pPr>
        <w:spacing w:after="0" w:line="70" w:lineRule="exact"/>
        <w:rPr>
          <w:rFonts w:ascii="Arial" w:cs="Arial" w:eastAsia="Arial" w:hAnsi="Arial"/>
          <w:sz w:val="16"/>
          <w:szCs w:val="16"/>
          <w:i w:val="1"/>
          <w:iCs w:val="1"/>
          <w:color w:val="auto"/>
        </w:rPr>
      </w:pPr>
    </w:p>
    <w:p>
      <w:pPr>
        <w:ind w:left="700" w:right="360" w:hanging="426"/>
        <w:spacing w:after="0" w:line="277" w:lineRule="auto"/>
        <w:tabs>
          <w:tab w:leader="none" w:pos="700"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Amounts represent changes in present value of accumulated benefits under the pension plan and/or PRP during the year indicated. For more information, see “Executive Compensation Tables — Pension Benefits through 2021.”</w:t>
      </w:r>
    </w:p>
    <w:p>
      <w:pPr>
        <w:spacing w:after="0" w:line="16" w:lineRule="exact"/>
        <w:rPr>
          <w:rFonts w:ascii="Arial" w:cs="Arial" w:eastAsia="Arial" w:hAnsi="Arial"/>
          <w:sz w:val="16"/>
          <w:szCs w:val="16"/>
          <w:i w:val="1"/>
          <w:iCs w:val="1"/>
          <w:color w:val="auto"/>
        </w:rPr>
      </w:pPr>
    </w:p>
    <w:p>
      <w:pPr>
        <w:ind w:left="700" w:right="20" w:hanging="426"/>
        <w:spacing w:after="0" w:line="249" w:lineRule="auto"/>
        <w:tabs>
          <w:tab w:leader="none" w:pos="700"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Amounts for 2021 represent: (i) 401(k) matching contributions of $10,150 for Mr. Cerepak and Ms. Cabrera and $13,050 for Messrs. Tobin and Juneja, and Ms. Bors, (ii) dividends received on RSUs in the amount of $309,296, $19,427, $4,184 and $7,772 and $685 for Messrs. Tobin, Cerepak, Juneja and Mses. Cabrera and Bors respectively, and (iii) for Messrs. Tobin and Juneja, and Ms. Bors, respectively, $136,815 of nonqualified deferred compensation match and $39,090 of 1% automatic contributions in the nonqualified deferred compensation plan; $26,950 of nonqualified deferred compensation match and $7,700 of 1% automatic contributions in the nonqualified deferred compensation plan; and $23,240 of nonqualified deferred compensation match and $6,640 of 1% automatic contributions in the nonqualified deferred compensation plan, since they do not participate in the PRP.</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CEO Employment Agreement</w:t>
      </w:r>
    </w:p>
    <w:p>
      <w:pPr>
        <w:spacing w:after="0" w:line="187"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auto"/>
        </w:rPr>
        <w:t>In connection with the hiring of Mr. Tobin as our CEO, Mr. Tobin and Dover entered into a three-year employment agreement commencing May 1, 2018. In recognition of Mr. Tobin’s outstanding leadership and contributions to value creation, the agreement was renewed for a three-year period ending May 1, 2024. Under the terms of the agreement, Mr. Tobin is entitled to a minimum annual base salary of $1.2 million and a minimum target annual bonus equal to 125% of his base salary, and the receipt of an annual equity grant for each of Dover’s fiscal years ending during the term of the agreement with a grant date fair value of not less than $7 million. During the term of the agreement, Mr. Tobin will also be entitled to employee benefits on the same basis as those generally available to executive officers of Dover.</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connection with his hiring, Mr. Tobin received a one-time make-whole equity grant consisting of 75,971 performance shares, and 164,603 RSUs.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Mr. Tobin also received a one-time make-whole cash payment of $1,000,000.</w:t>
      </w:r>
    </w:p>
    <w:p>
      <w:pPr>
        <w:spacing w:after="0" w:line="190"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color w:val="auto"/>
        </w:rPr>
        <w:t>Mr. Tobin is entitled to receive certain severance payments and benefits in the event his employment is terminated by Dover without cause or by him for good reason. See “Potential Payments upon Termination or Change in Control”.</w:t>
      </w:r>
    </w:p>
    <w:p>
      <w:pPr>
        <w:spacing w:after="0" w:line="156" w:lineRule="exact"/>
        <w:rPr>
          <w:sz w:val="20"/>
          <w:szCs w:val="20"/>
          <w:color w:val="auto"/>
        </w:rPr>
      </w:pPr>
    </w:p>
    <w:p>
      <w:pPr>
        <w:ind w:left="160" w:right="220"/>
        <w:spacing w:after="0" w:line="256" w:lineRule="auto"/>
        <w:rPr>
          <w:sz w:val="20"/>
          <w:szCs w:val="20"/>
          <w:color w:val="auto"/>
        </w:rPr>
      </w:pPr>
      <w:r>
        <w:rPr>
          <w:rFonts w:ascii="Arial" w:cs="Arial" w:eastAsia="Arial" w:hAnsi="Arial"/>
          <w:sz w:val="16"/>
          <w:szCs w:val="16"/>
          <w:color w:val="auto"/>
        </w:rPr>
        <w:t>At the end of the term of the agreement, Mr. Tobin will continue to be employed by Dover as an at-will employee and participate in severance and other benefit plans on the same terms as other executives.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CEO Pay Ratio</w:t>
      </w:r>
    </w:p>
    <w:p>
      <w:pPr>
        <w:spacing w:after="0" w:line="187" w:lineRule="exact"/>
        <w:rPr>
          <w:sz w:val="20"/>
          <w:szCs w:val="20"/>
          <w:color w:val="auto"/>
        </w:rPr>
      </w:pPr>
    </w:p>
    <w:p>
      <w:pPr>
        <w:ind w:left="160" w:right="700"/>
        <w:spacing w:after="0" w:line="256" w:lineRule="auto"/>
        <w:rPr>
          <w:sz w:val="20"/>
          <w:szCs w:val="20"/>
          <w:color w:val="auto"/>
        </w:rPr>
      </w:pPr>
      <w:r>
        <w:rPr>
          <w:rFonts w:ascii="Arial" w:cs="Arial" w:eastAsia="Arial" w:hAnsi="Arial"/>
          <w:sz w:val="16"/>
          <w:szCs w:val="16"/>
          <w:color w:val="auto"/>
        </w:rPr>
        <w:t>We are providing the following information about the relationship of the annual total compensation of our Chief Executive Officer and our median employee. This ratio is a reasonable estimate calculated in a manner consistent with Item 402(u) of Regulation S-K.</w:t>
      </w:r>
    </w:p>
    <w:p>
      <w:pPr>
        <w:spacing w:after="0" w:line="169" w:lineRule="exact"/>
        <w:rPr>
          <w:sz w:val="20"/>
          <w:szCs w:val="20"/>
          <w:color w:val="auto"/>
        </w:rPr>
      </w:pPr>
    </w:p>
    <w:p>
      <w:pPr>
        <w:ind w:left="160" w:right="40"/>
        <w:spacing w:after="0" w:line="245" w:lineRule="auto"/>
        <w:rPr>
          <w:sz w:val="20"/>
          <w:szCs w:val="20"/>
          <w:color w:val="auto"/>
        </w:rPr>
      </w:pPr>
      <w:r>
        <w:rPr>
          <w:rFonts w:ascii="Arial" w:cs="Arial" w:eastAsia="Arial" w:hAnsi="Arial"/>
          <w:sz w:val="16"/>
          <w:szCs w:val="16"/>
          <w:color w:val="auto"/>
        </w:rPr>
        <w:t>Under the rules, we are permitted to use the same median employee in calculating the pay ratio as the median employee we identified in fiscal year 2020 for up to three years if there have been no changes that we reasonably believe would significantly affect this pay ratio disclosure and are permitted to substitute another employee for the median employee in certain circumstances. We believe that there have been no changes to our employee population or compensation arrangements that would result in a significant change to the pay ratio disclosure. However, in fiscal year 2021, there were significant changes in the circumstances of the median employee identified in fiscal year 2020 that we reasonably believe would result in a significant change in our pay ratio disclosure. Therefore, to calculate the pay ratio disclosure for fiscal year 2021, we are using another employee whose compensation is substantially similar to last year’s median employee using the same compensation measure we used to determine the fiscal year 2020 median employee. The date chosen for identifying the median employee was December 31, 2021.</w:t>
      </w:r>
    </w:p>
    <w:p>
      <w:pPr>
        <w:spacing w:after="0" w:line="169" w:lineRule="exact"/>
        <w:rPr>
          <w:sz w:val="20"/>
          <w:szCs w:val="20"/>
          <w:color w:val="auto"/>
        </w:rPr>
      </w:pPr>
    </w:p>
    <w:p>
      <w:pPr>
        <w:ind w:left="160" w:right="1000"/>
        <w:spacing w:after="0" w:line="256" w:lineRule="auto"/>
        <w:rPr>
          <w:sz w:val="20"/>
          <w:szCs w:val="20"/>
          <w:color w:val="auto"/>
        </w:rPr>
      </w:pPr>
      <w:r>
        <w:rPr>
          <w:rFonts w:ascii="Arial" w:cs="Arial" w:eastAsia="Arial" w:hAnsi="Arial"/>
          <w:sz w:val="16"/>
          <w:szCs w:val="16"/>
          <w:color w:val="auto"/>
        </w:rPr>
        <w:t>For purposes of this analysis, our global headcount was 24,946 employees (12,984 U.S. and 11,962 non-U.S) as of our December 31, 2021 determination date. Eleven countries were excluded (2.1% of the total workforce) under the permissible</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63</w:t>
      </w:r>
    </w:p>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70" w:lineRule="exact"/>
        <w:rPr>
          <w:sz w:val="20"/>
          <w:szCs w:val="20"/>
          <w:color w:val="auto"/>
        </w:rPr>
      </w:pPr>
    </w:p>
    <w:p>
      <w:pPr>
        <w:ind w:left="160" w:right="100"/>
        <w:spacing w:after="0" w:line="245" w:lineRule="auto"/>
        <w:rPr>
          <w:sz w:val="20"/>
          <w:szCs w:val="20"/>
          <w:color w:val="auto"/>
        </w:rPr>
      </w:pPr>
      <w:r>
        <w:rPr>
          <w:rFonts w:ascii="Arial" w:cs="Arial" w:eastAsia="Arial" w:hAnsi="Arial"/>
          <w:sz w:val="16"/>
          <w:szCs w:val="16"/>
          <w:color w:val="auto"/>
        </w:rPr>
        <w:t>5% exclusion, with employee counts as follows: Argentina (22), Colombia (4), Costa Rica (4), Dominican Republic (53), Indonesia (6), Malaysia (125), Mexico (102), Russian Federation (39), Taiwan (19), Thailand (134), and Turkey (10). After country exclusions, our total headcount was 24,428 employees (12,984 U.S. and 11,444 non-U.S.). As permitted under SEC rules, the global headcount does not include employees from the following companies acquired in December 2021: Acme Cryogenics, Inc. (205 employees) and Engineered Controls International, LLC (725 employees). As is permitted under the rules, to determine our median employee, we chose “base salary” as our consistently applied compensation measure. We estimated annual base salary for hourly workers employed for the entire year using their hourly rate and a reasonable estimate of hours worked for the year. For employees who commenced work during 2021, we annualized their annual base salary. We then produced a sample of employees who were paid within a 0.5% range of that median and selected an employee from within that group as our median employee. We determined that employee’s (Summary Compensation Table) total compensation was $48,794 for 2021.</w:t>
      </w:r>
    </w:p>
    <w:p>
      <w:pPr>
        <w:spacing w:after="0" w:line="182" w:lineRule="exact"/>
        <w:rPr>
          <w:sz w:val="20"/>
          <w:szCs w:val="20"/>
          <w:color w:val="auto"/>
        </w:rPr>
      </w:pPr>
    </w:p>
    <w:p>
      <w:pPr>
        <w:ind w:left="160" w:right="120"/>
        <w:spacing w:after="0" w:line="250" w:lineRule="auto"/>
        <w:rPr>
          <w:sz w:val="20"/>
          <w:szCs w:val="20"/>
          <w:color w:val="auto"/>
        </w:rPr>
      </w:pPr>
      <w:r>
        <w:rPr>
          <w:rFonts w:ascii="Arial" w:cs="Arial" w:eastAsia="Arial" w:hAnsi="Arial"/>
          <w:sz w:val="16"/>
          <w:szCs w:val="16"/>
          <w:color w:val="auto"/>
        </w:rPr>
        <w:t>We calculated 2021 annual total compensation for both our median employee and Mr. Tobin using the same methodology that we use to determine our named executive officers’ annual total compensation for the Summary Compensation Table. Mr. Tobin’s total compensation was $14,085,860 resulting in an estimated ratio of 289:1 for CEO pay to median worker pay.</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Grants of Plan-Based Awards in 2021</w:t>
      </w:r>
    </w:p>
    <w:p>
      <w:pPr>
        <w:spacing w:after="0" w:line="104"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color w:val="auto"/>
        </w:rPr>
        <w:t>All awards listed in the table below have a grant date of February 12, 2021 for all executive officers. For a discussion of the awards, see “Compensation Discussion and Analysis – Elements of Executive Compensation”.</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180" w:type="dxa"/>
            <w:vAlign w:val="bottom"/>
            <w:tcBorders>
              <w:top w:val="single" w:sz="8" w:color="021496"/>
            </w:tcBorders>
          </w:tcPr>
          <w:p>
            <w:pPr>
              <w:spacing w:after="0"/>
              <w:rPr>
                <w:sz w:val="13"/>
                <w:szCs w:val="13"/>
                <w:color w:val="auto"/>
              </w:rPr>
            </w:pPr>
          </w:p>
        </w:tc>
        <w:tc>
          <w:tcPr>
            <w:tcW w:w="900" w:type="dxa"/>
            <w:vAlign w:val="bottom"/>
            <w:tcBorders>
              <w:top w:val="single" w:sz="8" w:color="021496"/>
            </w:tcBorders>
          </w:tcPr>
          <w:p>
            <w:pPr>
              <w:spacing w:after="0"/>
              <w:rPr>
                <w:sz w:val="13"/>
                <w:szCs w:val="13"/>
                <w:color w:val="auto"/>
              </w:rPr>
            </w:pPr>
          </w:p>
        </w:tc>
        <w:tc>
          <w:tcPr>
            <w:tcW w:w="80" w:type="dxa"/>
            <w:vAlign w:val="bottom"/>
            <w:tcBorders>
              <w:top w:val="single" w:sz="8" w:color="021496"/>
            </w:tcBorders>
          </w:tcPr>
          <w:p>
            <w:pPr>
              <w:spacing w:after="0"/>
              <w:rPr>
                <w:sz w:val="13"/>
                <w:szCs w:val="13"/>
                <w:color w:val="auto"/>
              </w:rPr>
            </w:pPr>
          </w:p>
        </w:tc>
        <w:tc>
          <w:tcPr>
            <w:tcW w:w="760" w:type="dxa"/>
            <w:vAlign w:val="bottom"/>
            <w:tcBorders>
              <w:top w:val="single" w:sz="8" w:color="021496"/>
            </w:tcBorders>
          </w:tcPr>
          <w:p>
            <w:pPr>
              <w:spacing w:after="0"/>
              <w:rPr>
                <w:sz w:val="13"/>
                <w:szCs w:val="13"/>
                <w:color w:val="auto"/>
              </w:rPr>
            </w:pPr>
          </w:p>
        </w:tc>
        <w:tc>
          <w:tcPr>
            <w:tcW w:w="820" w:type="dxa"/>
            <w:vAlign w:val="bottom"/>
            <w:tcBorders>
              <w:top w:val="single" w:sz="8" w:color="021496"/>
            </w:tcBorders>
          </w:tcPr>
          <w:p>
            <w:pPr>
              <w:spacing w:after="0"/>
              <w:rPr>
                <w:sz w:val="13"/>
                <w:szCs w:val="13"/>
                <w:color w:val="auto"/>
              </w:rPr>
            </w:pPr>
          </w:p>
        </w:tc>
        <w:tc>
          <w:tcPr>
            <w:tcW w:w="740" w:type="dxa"/>
            <w:vAlign w:val="bottom"/>
            <w:tcBorders>
              <w:top w:val="single" w:sz="8" w:color="021496"/>
            </w:tcBorders>
          </w:tcPr>
          <w:p>
            <w:pPr>
              <w:spacing w:after="0"/>
              <w:rPr>
                <w:sz w:val="13"/>
                <w:szCs w:val="13"/>
                <w:color w:val="auto"/>
              </w:rPr>
            </w:pPr>
          </w:p>
        </w:tc>
        <w:tc>
          <w:tcPr>
            <w:tcW w:w="140" w:type="dxa"/>
            <w:vAlign w:val="bottom"/>
            <w:tcBorders>
              <w:top w:val="single" w:sz="8" w:color="021496"/>
            </w:tcBorders>
          </w:tcPr>
          <w:p>
            <w:pPr>
              <w:spacing w:after="0"/>
              <w:rPr>
                <w:sz w:val="13"/>
                <w:szCs w:val="13"/>
                <w:color w:val="auto"/>
              </w:rPr>
            </w:pPr>
          </w:p>
        </w:tc>
        <w:tc>
          <w:tcPr>
            <w:tcW w:w="760" w:type="dxa"/>
            <w:vAlign w:val="bottom"/>
            <w:tcBorders>
              <w:top w:val="single" w:sz="8" w:color="021496"/>
            </w:tcBorders>
          </w:tcPr>
          <w:p>
            <w:pPr>
              <w:spacing w:after="0"/>
              <w:rPr>
                <w:sz w:val="13"/>
                <w:szCs w:val="13"/>
                <w:color w:val="auto"/>
              </w:rPr>
            </w:pPr>
          </w:p>
        </w:tc>
        <w:tc>
          <w:tcPr>
            <w:tcW w:w="600" w:type="dxa"/>
            <w:vAlign w:val="bottom"/>
            <w:tcBorders>
              <w:top w:val="single" w:sz="8" w:color="021496"/>
            </w:tcBorders>
          </w:tcPr>
          <w:p>
            <w:pPr>
              <w:spacing w:after="0"/>
              <w:rPr>
                <w:sz w:val="13"/>
                <w:szCs w:val="13"/>
                <w:color w:val="auto"/>
              </w:rPr>
            </w:pPr>
          </w:p>
        </w:tc>
        <w:tc>
          <w:tcPr>
            <w:tcW w:w="740" w:type="dxa"/>
            <w:vAlign w:val="bottom"/>
            <w:tcBorders>
              <w:top w:val="single" w:sz="8" w:color="021496"/>
            </w:tcBorders>
          </w:tcPr>
          <w:p>
            <w:pPr>
              <w:spacing w:after="0"/>
              <w:rPr>
                <w:sz w:val="13"/>
                <w:szCs w:val="13"/>
                <w:color w:val="auto"/>
              </w:rPr>
            </w:pPr>
          </w:p>
        </w:tc>
        <w:tc>
          <w:tcPr>
            <w:tcW w:w="80" w:type="dxa"/>
            <w:vAlign w:val="bottom"/>
            <w:tcBorders>
              <w:top w:val="single" w:sz="8" w:color="021496"/>
            </w:tcBorders>
          </w:tcPr>
          <w:p>
            <w:pPr>
              <w:spacing w:after="0"/>
              <w:rPr>
                <w:sz w:val="13"/>
                <w:szCs w:val="13"/>
                <w:color w:val="auto"/>
              </w:rPr>
            </w:pPr>
          </w:p>
        </w:tc>
        <w:tc>
          <w:tcPr>
            <w:tcW w:w="720" w:type="dxa"/>
            <w:vAlign w:val="bottom"/>
            <w:tcBorders>
              <w:top w:val="single" w:sz="8" w:color="021496"/>
            </w:tcBorders>
          </w:tcPr>
          <w:p>
            <w:pPr>
              <w:ind w:left="60"/>
              <w:spacing w:after="0"/>
              <w:rPr>
                <w:sz w:val="20"/>
                <w:szCs w:val="20"/>
                <w:color w:val="auto"/>
              </w:rPr>
            </w:pPr>
            <w:r>
              <w:rPr>
                <w:rFonts w:ascii="Arial" w:cs="Arial" w:eastAsia="Arial" w:hAnsi="Arial"/>
                <w:sz w:val="14"/>
                <w:szCs w:val="14"/>
                <w:b w:val="1"/>
                <w:bCs w:val="1"/>
                <w:color w:val="auto"/>
              </w:rPr>
              <w:t>All Other</w:t>
            </w:r>
          </w:p>
        </w:tc>
        <w:tc>
          <w:tcPr>
            <w:tcW w:w="880" w:type="dxa"/>
            <w:vAlign w:val="bottom"/>
            <w:tcBorders>
              <w:top w:val="single" w:sz="8" w:color="021496"/>
            </w:tcBorders>
          </w:tcPr>
          <w:p>
            <w:pPr>
              <w:spacing w:after="0"/>
              <w:rPr>
                <w:sz w:val="13"/>
                <w:szCs w:val="13"/>
                <w:color w:val="auto"/>
              </w:rPr>
            </w:pPr>
          </w:p>
        </w:tc>
        <w:tc>
          <w:tcPr>
            <w:tcW w:w="700" w:type="dxa"/>
            <w:vAlign w:val="bottom"/>
            <w:tcBorders>
              <w:top w:val="single" w:sz="8" w:color="021496"/>
            </w:tcBorders>
          </w:tcPr>
          <w:p>
            <w:pPr>
              <w:spacing w:after="0"/>
              <w:rPr>
                <w:sz w:val="13"/>
                <w:szCs w:val="13"/>
                <w:color w:val="auto"/>
              </w:rPr>
            </w:pPr>
          </w:p>
        </w:tc>
        <w:tc>
          <w:tcPr>
            <w:tcW w:w="820" w:type="dxa"/>
            <w:vAlign w:val="bottom"/>
            <w:tcBorders>
              <w:top w:val="single" w:sz="8" w:color="021496"/>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Stock</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All Other</w:t>
            </w:r>
          </w:p>
        </w:tc>
        <w:tc>
          <w:tcPr>
            <w:tcW w:w="700" w:type="dxa"/>
            <w:vAlign w:val="bottom"/>
          </w:tcPr>
          <w:p>
            <w:pPr>
              <w:spacing w:after="0"/>
              <w:rPr>
                <w:sz w:val="13"/>
                <w:szCs w:val="13"/>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60"/>
        </w:trPr>
        <w:tc>
          <w:tcPr>
            <w:tcW w:w="2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Estimated Future Payouts</w:t>
            </w:r>
          </w:p>
        </w:tc>
        <w:tc>
          <w:tcPr>
            <w:tcW w:w="2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Estimated Future Payouts</w:t>
            </w: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Stock</w:t>
            </w:r>
          </w:p>
        </w:tc>
        <w:tc>
          <w:tcPr>
            <w:tcW w:w="700" w:type="dxa"/>
            <w:vAlign w:val="bottom"/>
          </w:tcPr>
          <w:p>
            <w:pPr>
              <w:spacing w:after="0"/>
              <w:rPr>
                <w:sz w:val="13"/>
                <w:szCs w:val="13"/>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53"/>
        </w:trPr>
        <w:tc>
          <w:tcPr>
            <w:tcW w:w="2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Awards:</w:t>
            </w:r>
          </w:p>
        </w:tc>
        <w:tc>
          <w:tcPr>
            <w:tcW w:w="700" w:type="dxa"/>
            <w:vAlign w:val="bottom"/>
          </w:tcPr>
          <w:p>
            <w:pPr>
              <w:spacing w:after="0"/>
              <w:rPr>
                <w:sz w:val="4"/>
                <w:szCs w:val="4"/>
                <w:color w:val="auto"/>
              </w:rPr>
            </w:pP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07"/>
        </w:trPr>
        <w:tc>
          <w:tcPr>
            <w:tcW w:w="2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 Non-Equity</w:t>
            </w: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 Equity</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of</w:t>
            </w: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Number of</w:t>
            </w: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Exercise</w:t>
            </w: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07"/>
        </w:trPr>
        <w:tc>
          <w:tcPr>
            <w:tcW w:w="2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Incentive Plan Awards</w:t>
            </w: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Incentive Plan Awards</w:t>
            </w: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180" w:type="dxa"/>
            <w:vAlign w:val="bottom"/>
            <w:gridSpan w:val="4"/>
            <w:vMerge w:val="continue"/>
          </w:tcPr>
          <w:p>
            <w:pPr>
              <w:spacing w:after="0"/>
              <w:rPr>
                <w:sz w:val="5"/>
                <w:szCs w:val="5"/>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Share of</w:t>
            </w: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Securities</w:t>
            </w: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Price of</w:t>
            </w: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Stock or</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Underlying</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Option</w:t>
            </w: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0"/>
        </w:trPr>
        <w:tc>
          <w:tcPr>
            <w:tcW w:w="2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Threshold</w:t>
            </w: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Target</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Maximum</w:t>
            </w:r>
          </w:p>
        </w:tc>
        <w:tc>
          <w:tcPr>
            <w:tcW w:w="760" w:type="dxa"/>
            <w:vAlign w:val="bottom"/>
          </w:tcPr>
          <w:p>
            <w:pPr>
              <w:spacing w:after="0"/>
              <w:rPr>
                <w:sz w:val="20"/>
                <w:szCs w:val="20"/>
                <w:color w:val="auto"/>
              </w:rPr>
            </w:pPr>
            <w:r>
              <w:rPr>
                <w:rFonts w:ascii="Arial" w:cs="Arial" w:eastAsia="Arial" w:hAnsi="Arial"/>
                <w:sz w:val="14"/>
                <w:szCs w:val="14"/>
                <w:b w:val="1"/>
                <w:bCs w:val="1"/>
                <w:color w:val="auto"/>
              </w:rPr>
              <w:t>Threshold</w:t>
            </w:r>
          </w:p>
        </w:tc>
        <w:tc>
          <w:tcPr>
            <w:tcW w:w="600" w:type="dxa"/>
            <w:vAlign w:val="bottom"/>
          </w:tcPr>
          <w:p>
            <w:pPr>
              <w:ind w:left="60"/>
              <w:spacing w:after="0"/>
              <w:rPr>
                <w:sz w:val="20"/>
                <w:szCs w:val="20"/>
                <w:color w:val="auto"/>
              </w:rPr>
            </w:pPr>
            <w:r>
              <w:rPr>
                <w:rFonts w:ascii="Arial" w:cs="Arial" w:eastAsia="Arial" w:hAnsi="Arial"/>
                <w:sz w:val="14"/>
                <w:szCs w:val="14"/>
                <w:b w:val="1"/>
                <w:bCs w:val="1"/>
                <w:color w:val="auto"/>
              </w:rPr>
              <w:t>Target</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Maximum</w:t>
            </w: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Units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Options</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Awards</w:t>
            </w: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87"/>
        </w:trPr>
        <w:tc>
          <w:tcPr>
            <w:tcW w:w="2180" w:type="dxa"/>
            <w:vAlign w:val="bottom"/>
            <w:tcBorders>
              <w:bottom w:val="single" w:sz="8" w:color="021496"/>
            </w:tcBorders>
          </w:tcPr>
          <w:p>
            <w:pPr>
              <w:ind w:left="80"/>
              <w:spacing w:after="0"/>
              <w:rPr>
                <w:sz w:val="20"/>
                <w:szCs w:val="20"/>
                <w:color w:val="auto"/>
              </w:rPr>
            </w:pPr>
            <w:r>
              <w:rPr>
                <w:rFonts w:ascii="Arial" w:cs="Arial" w:eastAsia="Arial" w:hAnsi="Arial"/>
                <w:sz w:val="14"/>
                <w:szCs w:val="14"/>
                <w:b w:val="1"/>
                <w:bCs w:val="1"/>
                <w:color w:val="auto"/>
              </w:rPr>
              <w:t>Name</w:t>
            </w:r>
          </w:p>
        </w:tc>
        <w:tc>
          <w:tcPr>
            <w:tcW w:w="900" w:type="dxa"/>
            <w:vAlign w:val="bottom"/>
            <w:tcBorders>
              <w:bottom w:val="single" w:sz="8" w:color="021496"/>
            </w:tcBorders>
          </w:tcPr>
          <w:p>
            <w:pPr>
              <w:ind w:left="80"/>
              <w:spacing w:after="0"/>
              <w:rPr>
                <w:sz w:val="20"/>
                <w:szCs w:val="20"/>
                <w:color w:val="auto"/>
              </w:rPr>
            </w:pPr>
            <w:r>
              <w:rPr>
                <w:rFonts w:ascii="Arial" w:cs="Arial" w:eastAsia="Arial" w:hAnsi="Arial"/>
                <w:sz w:val="14"/>
                <w:szCs w:val="14"/>
                <w:b w:val="1"/>
                <w:bCs w:val="1"/>
                <w:color w:val="auto"/>
              </w:rPr>
              <w:t>Type</w:t>
            </w:r>
          </w:p>
        </w:tc>
        <w:tc>
          <w:tcPr>
            <w:tcW w:w="840" w:type="dxa"/>
            <w:vAlign w:val="bottom"/>
            <w:tcBorders>
              <w:bottom w:val="single" w:sz="8" w:color="021496"/>
            </w:tcBorders>
            <w:gridSpan w:val="2"/>
          </w:tcPr>
          <w:p>
            <w:pPr>
              <w:ind w:left="80"/>
              <w:spacing w:after="0"/>
              <w:rPr>
                <w:sz w:val="20"/>
                <w:szCs w:val="20"/>
                <w:color w:val="auto"/>
              </w:rPr>
            </w:pPr>
            <w:r>
              <w:rPr>
                <w:rFonts w:ascii="Arial" w:cs="Arial" w:eastAsia="Arial" w:hAnsi="Arial"/>
                <w:sz w:val="14"/>
                <w:szCs w:val="14"/>
                <w:b w:val="1"/>
                <w:bCs w:val="1"/>
                <w:color w:val="auto"/>
              </w:rPr>
              <w:t>($)(1)</w:t>
            </w:r>
          </w:p>
        </w:tc>
        <w:tc>
          <w:tcPr>
            <w:tcW w:w="82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021496"/>
            </w:tcBorders>
          </w:tcPr>
          <w:p>
            <w:pPr>
              <w:spacing w:after="0"/>
              <w:rPr>
                <w:sz w:val="16"/>
                <w:szCs w:val="16"/>
                <w:color w:val="auto"/>
              </w:rPr>
            </w:pPr>
          </w:p>
        </w:tc>
        <w:tc>
          <w:tcPr>
            <w:tcW w:w="760" w:type="dxa"/>
            <w:vAlign w:val="bottom"/>
            <w:tcBorders>
              <w:bottom w:val="single" w:sz="8" w:color="021496"/>
            </w:tcBorders>
          </w:tcPr>
          <w:p>
            <w:pPr>
              <w:spacing w:after="0"/>
              <w:rPr>
                <w:sz w:val="20"/>
                <w:szCs w:val="20"/>
                <w:color w:val="auto"/>
              </w:rPr>
            </w:pPr>
            <w:r>
              <w:rPr>
                <w:rFonts w:ascii="Arial" w:cs="Arial" w:eastAsia="Arial" w:hAnsi="Arial"/>
                <w:sz w:val="14"/>
                <w:szCs w:val="14"/>
                <w:b w:val="1"/>
                <w:bCs w:val="1"/>
                <w:color w:val="auto"/>
              </w:rPr>
              <w:t>(#)(1)</w:t>
            </w:r>
          </w:p>
        </w:tc>
        <w:tc>
          <w:tcPr>
            <w:tcW w:w="60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21496"/>
            </w:tcBorders>
          </w:tcPr>
          <w:p>
            <w:pPr>
              <w:ind w:left="8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021496"/>
            </w:tcBorders>
          </w:tcPr>
          <w:p>
            <w:pPr>
              <w:spacing w:after="0"/>
              <w:rPr>
                <w:sz w:val="16"/>
                <w:szCs w:val="16"/>
                <w:color w:val="auto"/>
              </w:rPr>
            </w:pPr>
          </w:p>
        </w:tc>
        <w:tc>
          <w:tcPr>
            <w:tcW w:w="72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021496"/>
            </w:tcBorders>
          </w:tcPr>
          <w:p>
            <w:pPr>
              <w:ind w:left="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21496"/>
            </w:tcBorders>
          </w:tcPr>
          <w:p>
            <w:pPr>
              <w:ind w:left="80"/>
              <w:spacing w:after="0"/>
              <w:rPr>
                <w:sz w:val="20"/>
                <w:szCs w:val="20"/>
                <w:color w:val="auto"/>
              </w:rPr>
            </w:pPr>
            <w:r>
              <w:rPr>
                <w:rFonts w:ascii="Arial" w:cs="Arial" w:eastAsia="Arial" w:hAnsi="Arial"/>
                <w:sz w:val="14"/>
                <w:szCs w:val="14"/>
                <w:b w:val="1"/>
                <w:bCs w:val="1"/>
                <w:color w:val="auto"/>
              </w:rPr>
              <w:t>($/Sh)</w:t>
            </w:r>
          </w:p>
        </w:tc>
        <w:tc>
          <w:tcPr>
            <w:tcW w:w="820" w:type="dxa"/>
            <w:vAlign w:val="bottom"/>
            <w:tcBorders>
              <w:bottom w:val="single" w:sz="8" w:color="021496"/>
            </w:tcBorders>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Richard J. Tobin</w:t>
            </w:r>
          </w:p>
        </w:tc>
        <w:tc>
          <w:tcPr>
            <w:tcW w:w="900" w:type="dxa"/>
            <w:vAlign w:val="bottom"/>
            <w:shd w:val="clear" w:color="auto" w:fill="D8D8D8"/>
          </w:tcPr>
          <w:p>
            <w:pPr>
              <w:ind w:left="80"/>
              <w:spacing w:after="0"/>
              <w:rPr>
                <w:sz w:val="20"/>
                <w:szCs w:val="20"/>
                <w:color w:val="auto"/>
              </w:rPr>
            </w:pPr>
            <w:r>
              <w:rPr>
                <w:rFonts w:ascii="Arial" w:cs="Arial" w:eastAsia="Arial" w:hAnsi="Arial"/>
                <w:sz w:val="14"/>
                <w:szCs w:val="14"/>
                <w:color w:val="auto"/>
              </w:rPr>
              <w:t>AIP (2)</w:t>
            </w:r>
          </w:p>
        </w:tc>
        <w:tc>
          <w:tcPr>
            <w:tcW w:w="84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926,250</w:t>
            </w:r>
          </w:p>
        </w:tc>
        <w:tc>
          <w:tcPr>
            <w:tcW w:w="82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1,852,500</w:t>
            </w:r>
          </w:p>
        </w:tc>
        <w:tc>
          <w:tcPr>
            <w:tcW w:w="880" w:type="dxa"/>
            <w:vAlign w:val="bottom"/>
            <w:gridSpan w:val="2"/>
            <w:shd w:val="clear" w:color="auto" w:fill="D8D8D8"/>
          </w:tcPr>
          <w:p>
            <w:pPr>
              <w:jc w:val="right"/>
              <w:ind w:right="140"/>
              <w:spacing w:after="0"/>
              <w:rPr>
                <w:sz w:val="20"/>
                <w:szCs w:val="20"/>
                <w:color w:val="auto"/>
              </w:rPr>
            </w:pPr>
            <w:r>
              <w:rPr>
                <w:rFonts w:ascii="Arial" w:cs="Arial" w:eastAsia="Arial" w:hAnsi="Arial"/>
                <w:sz w:val="14"/>
                <w:szCs w:val="14"/>
                <w:color w:val="auto"/>
              </w:rPr>
              <w:t>3,705,000</w:t>
            </w:r>
          </w:p>
        </w:tc>
        <w:tc>
          <w:tcPr>
            <w:tcW w:w="760" w:type="dxa"/>
            <w:vAlign w:val="bottom"/>
            <w:shd w:val="clear" w:color="auto" w:fill="D8D8D8"/>
          </w:tcPr>
          <w:p>
            <w:pPr>
              <w:spacing w:after="0"/>
              <w:rPr>
                <w:sz w:val="17"/>
                <w:szCs w:val="17"/>
                <w:color w:val="auto"/>
              </w:rPr>
            </w:pPr>
          </w:p>
        </w:tc>
        <w:tc>
          <w:tcPr>
            <w:tcW w:w="600" w:type="dxa"/>
            <w:vAlign w:val="bottom"/>
            <w:shd w:val="clear" w:color="auto" w:fill="D8D8D8"/>
          </w:tcPr>
          <w:p>
            <w:pPr>
              <w:spacing w:after="0"/>
              <w:rPr>
                <w:sz w:val="17"/>
                <w:szCs w:val="17"/>
                <w:color w:val="auto"/>
              </w:rPr>
            </w:pPr>
          </w:p>
        </w:tc>
        <w:tc>
          <w:tcPr>
            <w:tcW w:w="740" w:type="dxa"/>
            <w:vAlign w:val="bottom"/>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720" w:type="dxa"/>
            <w:vAlign w:val="bottom"/>
            <w:shd w:val="clear" w:color="auto" w:fill="D8D8D8"/>
          </w:tcPr>
          <w:p>
            <w:pPr>
              <w:spacing w:after="0"/>
              <w:rPr>
                <w:sz w:val="17"/>
                <w:szCs w:val="17"/>
                <w:color w:val="auto"/>
              </w:rPr>
            </w:pPr>
          </w:p>
        </w:tc>
        <w:tc>
          <w:tcPr>
            <w:tcW w:w="880" w:type="dxa"/>
            <w:vAlign w:val="bottom"/>
            <w:shd w:val="clear" w:color="auto" w:fill="D8D8D8"/>
          </w:tcPr>
          <w:p>
            <w:pPr>
              <w:spacing w:after="0"/>
              <w:rPr>
                <w:sz w:val="17"/>
                <w:szCs w:val="17"/>
                <w:color w:val="auto"/>
              </w:rPr>
            </w:pPr>
          </w:p>
        </w:tc>
        <w:tc>
          <w:tcPr>
            <w:tcW w:w="700" w:type="dxa"/>
            <w:vAlign w:val="bottom"/>
            <w:shd w:val="clear" w:color="auto" w:fill="D8D8D8"/>
          </w:tcPr>
          <w:p>
            <w:pPr>
              <w:spacing w:after="0"/>
              <w:rPr>
                <w:sz w:val="17"/>
                <w:szCs w:val="17"/>
                <w:color w:val="auto"/>
              </w:rPr>
            </w:pPr>
          </w:p>
        </w:tc>
        <w:tc>
          <w:tcPr>
            <w:tcW w:w="82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80" w:type="dxa"/>
            <w:vAlign w:val="bottom"/>
            <w:shd w:val="clear" w:color="auto" w:fill="D8D8D8"/>
          </w:tcPr>
          <w:p>
            <w:pPr>
              <w:spacing w:after="0"/>
              <w:rPr>
                <w:sz w:val="20"/>
                <w:szCs w:val="20"/>
                <w:color w:val="auto"/>
              </w:rPr>
            </w:pPr>
          </w:p>
        </w:tc>
        <w:tc>
          <w:tcPr>
            <w:tcW w:w="900" w:type="dxa"/>
            <w:vAlign w:val="bottom"/>
            <w:shd w:val="clear" w:color="auto" w:fill="D8D8D8"/>
          </w:tcPr>
          <w:p>
            <w:pPr>
              <w:ind w:left="80"/>
              <w:spacing w:after="0"/>
              <w:rPr>
                <w:sz w:val="20"/>
                <w:szCs w:val="20"/>
                <w:color w:val="auto"/>
              </w:rPr>
            </w:pPr>
            <w:r>
              <w:rPr>
                <w:rFonts w:ascii="Arial" w:cs="Arial" w:eastAsia="Arial" w:hAnsi="Arial"/>
                <w:sz w:val="14"/>
                <w:szCs w:val="14"/>
                <w:color w:val="auto"/>
              </w:rPr>
              <w:t>SSAR (3)</w:t>
            </w:r>
          </w:p>
        </w:tc>
        <w:tc>
          <w:tcPr>
            <w:tcW w:w="8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82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123,125</w:t>
            </w:r>
          </w:p>
        </w:tc>
        <w:tc>
          <w:tcPr>
            <w:tcW w:w="700" w:type="dxa"/>
            <w:vAlign w:val="bottom"/>
            <w:shd w:val="clear" w:color="auto" w:fill="D8D8D8"/>
          </w:tcPr>
          <w:p>
            <w:pPr>
              <w:ind w:left="220"/>
              <w:spacing w:after="0"/>
              <w:rPr>
                <w:sz w:val="20"/>
                <w:szCs w:val="20"/>
                <w:color w:val="auto"/>
              </w:rPr>
            </w:pPr>
            <w:r>
              <w:rPr>
                <w:rFonts w:ascii="Arial" w:cs="Arial" w:eastAsia="Arial" w:hAnsi="Arial"/>
                <w:sz w:val="14"/>
                <w:szCs w:val="14"/>
                <w:color w:val="auto"/>
              </w:rPr>
              <w:t>122.73</w:t>
            </w: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3,580,475</w:t>
            </w:r>
          </w:p>
        </w:tc>
        <w:tc>
          <w:tcPr>
            <w:tcW w:w="0" w:type="dxa"/>
            <w:vAlign w:val="bottom"/>
          </w:tcPr>
          <w:p>
            <w:pPr>
              <w:spacing w:after="0"/>
              <w:rPr>
                <w:sz w:val="1"/>
                <w:szCs w:val="1"/>
                <w:color w:val="auto"/>
              </w:rPr>
            </w:pPr>
          </w:p>
        </w:tc>
      </w:tr>
      <w:tr>
        <w:trPr>
          <w:trHeight w:val="216"/>
        </w:trPr>
        <w:tc>
          <w:tcPr>
            <w:tcW w:w="2180" w:type="dxa"/>
            <w:vAlign w:val="bottom"/>
            <w:shd w:val="clear" w:color="auto" w:fill="D8D8D8"/>
          </w:tcPr>
          <w:p>
            <w:pPr>
              <w:spacing w:after="0"/>
              <w:rPr>
                <w:sz w:val="18"/>
                <w:szCs w:val="18"/>
                <w:color w:val="auto"/>
              </w:rPr>
            </w:pPr>
          </w:p>
        </w:tc>
        <w:tc>
          <w:tcPr>
            <w:tcW w:w="900" w:type="dxa"/>
            <w:vAlign w:val="bottom"/>
            <w:shd w:val="clear" w:color="auto" w:fill="D8D8D8"/>
          </w:tcPr>
          <w:p>
            <w:pPr>
              <w:ind w:left="80"/>
              <w:spacing w:after="0"/>
              <w:rPr>
                <w:sz w:val="20"/>
                <w:szCs w:val="20"/>
                <w:color w:val="auto"/>
              </w:rPr>
            </w:pPr>
            <w:r>
              <w:rPr>
                <w:rFonts w:ascii="Arial" w:cs="Arial" w:eastAsia="Arial" w:hAnsi="Arial"/>
                <w:sz w:val="14"/>
                <w:szCs w:val="14"/>
                <w:color w:val="auto"/>
                <w:w w:val="99"/>
              </w:rPr>
              <w:t>Performance</w:t>
            </w:r>
          </w:p>
        </w:tc>
        <w:tc>
          <w:tcPr>
            <w:tcW w:w="8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c>
          <w:tcPr>
            <w:tcW w:w="74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c>
          <w:tcPr>
            <w:tcW w:w="740" w:type="dxa"/>
            <w:vAlign w:val="bottom"/>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72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shd w:val="clear" w:color="auto" w:fill="D8D8D8"/>
          </w:tcPr>
          <w:p>
            <w:pPr>
              <w:spacing w:after="0"/>
              <w:rPr>
                <w:sz w:val="18"/>
                <w:szCs w:val="18"/>
                <w:color w:val="auto"/>
              </w:rPr>
            </w:pPr>
          </w:p>
        </w:tc>
        <w:tc>
          <w:tcPr>
            <w:tcW w:w="900" w:type="dxa"/>
            <w:vAlign w:val="bottom"/>
            <w:shd w:val="clear" w:color="auto" w:fill="D8D8D8"/>
          </w:tcPr>
          <w:p>
            <w:pPr>
              <w:ind w:left="80"/>
              <w:spacing w:after="0"/>
              <w:rPr>
                <w:sz w:val="20"/>
                <w:szCs w:val="20"/>
                <w:color w:val="auto"/>
              </w:rPr>
            </w:pPr>
            <w:r>
              <w:rPr>
                <w:rFonts w:ascii="Arial" w:cs="Arial" w:eastAsia="Arial" w:hAnsi="Arial"/>
                <w:sz w:val="14"/>
                <w:szCs w:val="14"/>
                <w:color w:val="auto"/>
              </w:rPr>
              <w:t>Shares (4)</w:t>
            </w:r>
          </w:p>
        </w:tc>
        <w:tc>
          <w:tcPr>
            <w:tcW w:w="8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c>
          <w:tcPr>
            <w:tcW w:w="74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27,703</w:t>
            </w:r>
          </w:p>
        </w:tc>
        <w:tc>
          <w:tcPr>
            <w:tcW w:w="82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color w:val="auto"/>
              </w:rPr>
              <w:t>83,109</w:t>
            </w:r>
          </w:p>
        </w:tc>
        <w:tc>
          <w:tcPr>
            <w:tcW w:w="72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4,108,078</w:t>
            </w:r>
          </w:p>
        </w:tc>
        <w:tc>
          <w:tcPr>
            <w:tcW w:w="0" w:type="dxa"/>
            <w:vAlign w:val="bottom"/>
          </w:tcPr>
          <w:p>
            <w:pPr>
              <w:spacing w:after="0"/>
              <w:rPr>
                <w:sz w:val="1"/>
                <w:szCs w:val="1"/>
                <w:color w:val="auto"/>
              </w:rPr>
            </w:pPr>
          </w:p>
        </w:tc>
      </w:tr>
      <w:tr>
        <w:trPr>
          <w:trHeight w:val="239"/>
        </w:trPr>
        <w:tc>
          <w:tcPr>
            <w:tcW w:w="2180" w:type="dxa"/>
            <w:vAlign w:val="bottom"/>
            <w:shd w:val="clear" w:color="auto" w:fill="D8D8D8"/>
          </w:tcPr>
          <w:p>
            <w:pPr>
              <w:spacing w:after="0"/>
              <w:rPr>
                <w:sz w:val="20"/>
                <w:szCs w:val="20"/>
                <w:color w:val="auto"/>
              </w:rPr>
            </w:pPr>
          </w:p>
        </w:tc>
        <w:tc>
          <w:tcPr>
            <w:tcW w:w="900" w:type="dxa"/>
            <w:vAlign w:val="bottom"/>
            <w:shd w:val="clear" w:color="auto" w:fill="D8D8D8"/>
          </w:tcPr>
          <w:p>
            <w:pPr>
              <w:ind w:left="80"/>
              <w:spacing w:after="0"/>
              <w:rPr>
                <w:sz w:val="20"/>
                <w:szCs w:val="20"/>
                <w:color w:val="auto"/>
              </w:rPr>
            </w:pPr>
            <w:r>
              <w:rPr>
                <w:rFonts w:ascii="Arial" w:cs="Arial" w:eastAsia="Arial" w:hAnsi="Arial"/>
                <w:sz w:val="14"/>
                <w:szCs w:val="14"/>
                <w:color w:val="auto"/>
              </w:rPr>
              <w:t>RSU (5)</w:t>
            </w:r>
          </w:p>
        </w:tc>
        <w:tc>
          <w:tcPr>
            <w:tcW w:w="8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82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13,852</w:t>
            </w:r>
          </w:p>
        </w:tc>
        <w:tc>
          <w:tcPr>
            <w:tcW w:w="880" w:type="dxa"/>
            <w:vAlign w:val="bottom"/>
            <w:shd w:val="clear" w:color="auto" w:fill="D8D8D8"/>
          </w:tcPr>
          <w:p>
            <w:pPr>
              <w:spacing w:after="0"/>
              <w:rPr>
                <w:sz w:val="20"/>
                <w:szCs w:val="20"/>
                <w:color w:val="auto"/>
              </w:rPr>
            </w:pPr>
          </w:p>
        </w:tc>
        <w:tc>
          <w:tcPr>
            <w:tcW w:w="70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1,700,056</w:t>
            </w:r>
          </w:p>
        </w:tc>
        <w:tc>
          <w:tcPr>
            <w:tcW w:w="0" w:type="dxa"/>
            <w:vAlign w:val="bottom"/>
          </w:tcPr>
          <w:p>
            <w:pPr>
              <w:spacing w:after="0"/>
              <w:rPr>
                <w:sz w:val="1"/>
                <w:szCs w:val="1"/>
                <w:color w:val="auto"/>
              </w:rPr>
            </w:pPr>
          </w:p>
        </w:tc>
      </w:tr>
      <w:tr>
        <w:trPr>
          <w:trHeight w:val="208"/>
        </w:trPr>
        <w:tc>
          <w:tcPr>
            <w:tcW w:w="2180" w:type="dxa"/>
            <w:vAlign w:val="bottom"/>
          </w:tcPr>
          <w:p>
            <w:pPr>
              <w:ind w:left="80"/>
              <w:spacing w:after="0"/>
              <w:rPr>
                <w:sz w:val="20"/>
                <w:szCs w:val="20"/>
                <w:color w:val="auto"/>
              </w:rPr>
            </w:pPr>
            <w:r>
              <w:rPr>
                <w:rFonts w:ascii="Arial" w:cs="Arial" w:eastAsia="Arial" w:hAnsi="Arial"/>
                <w:sz w:val="14"/>
                <w:szCs w:val="14"/>
                <w:color w:val="auto"/>
              </w:rPr>
              <w:t>Brad M. Cerepak</w:t>
            </w:r>
          </w:p>
        </w:tc>
        <w:tc>
          <w:tcPr>
            <w:tcW w:w="90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AIP (2)</w:t>
            </w:r>
          </w:p>
        </w:tc>
        <w:tc>
          <w:tcPr>
            <w:tcW w:w="840" w:type="dxa"/>
            <w:vAlign w:val="bottom"/>
            <w:tcBorders>
              <w:bottom w:val="single" w:sz="8" w:color="999999"/>
            </w:tcBorders>
            <w:gridSpan w:val="2"/>
          </w:tcPr>
          <w:p>
            <w:pPr>
              <w:jc w:val="right"/>
              <w:spacing w:after="0"/>
              <w:rPr>
                <w:sz w:val="20"/>
                <w:szCs w:val="20"/>
                <w:color w:val="auto"/>
              </w:rPr>
            </w:pPr>
            <w:r>
              <w:rPr>
                <w:rFonts w:ascii="Arial" w:cs="Arial" w:eastAsia="Arial" w:hAnsi="Arial"/>
                <w:sz w:val="14"/>
                <w:szCs w:val="14"/>
                <w:color w:val="auto"/>
              </w:rPr>
              <w:t>365,500</w:t>
            </w:r>
          </w:p>
        </w:tc>
        <w:tc>
          <w:tcPr>
            <w:tcW w:w="82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rPr>
              <w:t>731,000</w:t>
            </w:r>
          </w:p>
        </w:tc>
        <w:tc>
          <w:tcPr>
            <w:tcW w:w="880" w:type="dxa"/>
            <w:vAlign w:val="bottom"/>
            <w:tcBorders>
              <w:bottom w:val="single" w:sz="8" w:color="999999"/>
            </w:tcBorders>
            <w:gridSpan w:val="2"/>
          </w:tcPr>
          <w:p>
            <w:pPr>
              <w:jc w:val="right"/>
              <w:ind w:right="140"/>
              <w:spacing w:after="0"/>
              <w:rPr>
                <w:sz w:val="20"/>
                <w:szCs w:val="20"/>
                <w:color w:val="auto"/>
              </w:rPr>
            </w:pPr>
            <w:r>
              <w:rPr>
                <w:rFonts w:ascii="Arial" w:cs="Arial" w:eastAsia="Arial" w:hAnsi="Arial"/>
                <w:sz w:val="14"/>
                <w:szCs w:val="14"/>
                <w:color w:val="auto"/>
              </w:rPr>
              <w:t>1,462,000</w:t>
            </w: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80" w:type="dxa"/>
            <w:vAlign w:val="bottom"/>
          </w:tcPr>
          <w:p>
            <w:pPr>
              <w:spacing w:after="0"/>
              <w:rPr>
                <w:sz w:val="18"/>
                <w:szCs w:val="18"/>
                <w:color w:val="auto"/>
              </w:rPr>
            </w:pPr>
          </w:p>
        </w:tc>
        <w:tc>
          <w:tcPr>
            <w:tcW w:w="90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SSAR (3)</w:t>
            </w:r>
          </w:p>
        </w:tc>
        <w:tc>
          <w:tcPr>
            <w:tcW w:w="8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30,781</w:t>
            </w:r>
          </w:p>
        </w:tc>
        <w:tc>
          <w:tcPr>
            <w:tcW w:w="700" w:type="dxa"/>
            <w:vAlign w:val="bottom"/>
            <w:tcBorders>
              <w:bottom w:val="single" w:sz="8" w:color="999999"/>
            </w:tcBorders>
          </w:tcPr>
          <w:p>
            <w:pPr>
              <w:ind w:left="220"/>
              <w:spacing w:after="0"/>
              <w:rPr>
                <w:sz w:val="20"/>
                <w:szCs w:val="20"/>
                <w:color w:val="auto"/>
              </w:rPr>
            </w:pPr>
            <w:r>
              <w:rPr>
                <w:rFonts w:ascii="Arial" w:cs="Arial" w:eastAsia="Arial" w:hAnsi="Arial"/>
                <w:sz w:val="14"/>
                <w:szCs w:val="14"/>
                <w:color w:val="auto"/>
              </w:rPr>
              <w:t>122.73</w:t>
            </w:r>
          </w:p>
        </w:tc>
        <w:tc>
          <w:tcPr>
            <w:tcW w:w="8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895,111</w:t>
            </w: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Arial" w:cs="Arial" w:eastAsia="Arial" w:hAnsi="Arial"/>
                <w:sz w:val="14"/>
                <w:szCs w:val="14"/>
                <w:color w:val="auto"/>
                <w:w w:val="99"/>
              </w:rPr>
              <w:t>Performance</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80" w:type="dxa"/>
            <w:vAlign w:val="bottom"/>
          </w:tcPr>
          <w:p>
            <w:pPr>
              <w:spacing w:after="0"/>
              <w:rPr>
                <w:sz w:val="19"/>
                <w:szCs w:val="19"/>
                <w:color w:val="auto"/>
              </w:rPr>
            </w:pPr>
          </w:p>
        </w:tc>
        <w:tc>
          <w:tcPr>
            <w:tcW w:w="90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Shares (4)</w:t>
            </w:r>
          </w:p>
        </w:tc>
        <w:tc>
          <w:tcPr>
            <w:tcW w:w="80" w:type="dxa"/>
            <w:vAlign w:val="bottom"/>
            <w:tcBorders>
              <w:bottom w:val="single" w:sz="8" w:color="999999"/>
            </w:tcBorders>
          </w:tcPr>
          <w:p>
            <w:pPr>
              <w:spacing w:after="0"/>
              <w:rPr>
                <w:sz w:val="19"/>
                <w:szCs w:val="19"/>
                <w:color w:val="auto"/>
              </w:rPr>
            </w:pPr>
          </w:p>
        </w:tc>
        <w:tc>
          <w:tcPr>
            <w:tcW w:w="760" w:type="dxa"/>
            <w:vAlign w:val="bottom"/>
            <w:tcBorders>
              <w:bottom w:val="single" w:sz="8" w:color="999999"/>
            </w:tcBorders>
          </w:tcPr>
          <w:p>
            <w:pPr>
              <w:spacing w:after="0"/>
              <w:rPr>
                <w:sz w:val="19"/>
                <w:szCs w:val="19"/>
                <w:color w:val="auto"/>
              </w:rPr>
            </w:pPr>
          </w:p>
        </w:tc>
        <w:tc>
          <w:tcPr>
            <w:tcW w:w="820" w:type="dxa"/>
            <w:vAlign w:val="bottom"/>
            <w:tcBorders>
              <w:bottom w:val="single" w:sz="8" w:color="999999"/>
            </w:tcBorders>
          </w:tcPr>
          <w:p>
            <w:pPr>
              <w:spacing w:after="0"/>
              <w:rPr>
                <w:sz w:val="19"/>
                <w:szCs w:val="19"/>
                <w:color w:val="auto"/>
              </w:rPr>
            </w:pPr>
          </w:p>
        </w:tc>
        <w:tc>
          <w:tcPr>
            <w:tcW w:w="740" w:type="dxa"/>
            <w:vAlign w:val="bottom"/>
            <w:tcBorders>
              <w:bottom w:val="single" w:sz="8" w:color="999999"/>
            </w:tcBorders>
          </w:tcPr>
          <w:p>
            <w:pPr>
              <w:spacing w:after="0"/>
              <w:rPr>
                <w:sz w:val="19"/>
                <w:szCs w:val="19"/>
                <w:color w:val="auto"/>
              </w:rPr>
            </w:pPr>
          </w:p>
        </w:tc>
        <w:tc>
          <w:tcPr>
            <w:tcW w:w="140" w:type="dxa"/>
            <w:vAlign w:val="bottom"/>
            <w:tcBorders>
              <w:bottom w:val="single" w:sz="8" w:color="999999"/>
            </w:tcBorders>
          </w:tcPr>
          <w:p>
            <w:pPr>
              <w:spacing w:after="0"/>
              <w:rPr>
                <w:sz w:val="19"/>
                <w:szCs w:val="19"/>
                <w:color w:val="auto"/>
              </w:rPr>
            </w:pPr>
          </w:p>
        </w:tc>
        <w:tc>
          <w:tcPr>
            <w:tcW w:w="760" w:type="dxa"/>
            <w:vAlign w:val="bottom"/>
            <w:tcBorders>
              <w:bottom w:val="single" w:sz="8" w:color="999999"/>
            </w:tcBorders>
          </w:tcPr>
          <w:p>
            <w:pPr>
              <w:spacing w:after="0"/>
              <w:rPr>
                <w:sz w:val="19"/>
                <w:szCs w:val="19"/>
                <w:color w:val="auto"/>
              </w:rPr>
            </w:pPr>
          </w:p>
        </w:tc>
        <w:tc>
          <w:tcPr>
            <w:tcW w:w="6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6,926</w:t>
            </w:r>
          </w:p>
        </w:tc>
        <w:tc>
          <w:tcPr>
            <w:tcW w:w="820" w:type="dxa"/>
            <w:vAlign w:val="bottom"/>
            <w:tcBorders>
              <w:bottom w:val="single" w:sz="8" w:color="999999"/>
            </w:tcBorders>
            <w:gridSpan w:val="2"/>
          </w:tcPr>
          <w:p>
            <w:pPr>
              <w:jc w:val="right"/>
              <w:ind w:right="80"/>
              <w:spacing w:after="0"/>
              <w:rPr>
                <w:sz w:val="20"/>
                <w:szCs w:val="20"/>
                <w:color w:val="auto"/>
              </w:rPr>
            </w:pPr>
            <w:r>
              <w:rPr>
                <w:rFonts w:ascii="Arial" w:cs="Arial" w:eastAsia="Arial" w:hAnsi="Arial"/>
                <w:sz w:val="14"/>
                <w:szCs w:val="14"/>
                <w:color w:val="auto"/>
              </w:rPr>
              <w:t>20,778</w:t>
            </w:r>
          </w:p>
        </w:tc>
        <w:tc>
          <w:tcPr>
            <w:tcW w:w="720" w:type="dxa"/>
            <w:vAlign w:val="bottom"/>
            <w:tcBorders>
              <w:bottom w:val="single" w:sz="8" w:color="999999"/>
            </w:tcBorders>
          </w:tcPr>
          <w:p>
            <w:pPr>
              <w:spacing w:after="0"/>
              <w:rPr>
                <w:sz w:val="19"/>
                <w:szCs w:val="19"/>
                <w:color w:val="auto"/>
              </w:rPr>
            </w:pPr>
          </w:p>
        </w:tc>
        <w:tc>
          <w:tcPr>
            <w:tcW w:w="880" w:type="dxa"/>
            <w:vAlign w:val="bottom"/>
            <w:tcBorders>
              <w:bottom w:val="single" w:sz="8" w:color="999999"/>
            </w:tcBorders>
          </w:tcPr>
          <w:p>
            <w:pPr>
              <w:spacing w:after="0"/>
              <w:rPr>
                <w:sz w:val="19"/>
                <w:szCs w:val="19"/>
                <w:color w:val="auto"/>
              </w:rPr>
            </w:pPr>
          </w:p>
        </w:tc>
        <w:tc>
          <w:tcPr>
            <w:tcW w:w="700" w:type="dxa"/>
            <w:vAlign w:val="bottom"/>
            <w:tcBorders>
              <w:bottom w:val="single" w:sz="8" w:color="999999"/>
            </w:tcBorders>
          </w:tcPr>
          <w:p>
            <w:pPr>
              <w:spacing w:after="0"/>
              <w:rPr>
                <w:sz w:val="19"/>
                <w:szCs w:val="19"/>
                <w:color w:val="auto"/>
              </w:rPr>
            </w:pPr>
          </w:p>
        </w:tc>
        <w:tc>
          <w:tcPr>
            <w:tcW w:w="8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1,027,057</w:t>
            </w:r>
          </w:p>
        </w:tc>
        <w:tc>
          <w:tcPr>
            <w:tcW w:w="0" w:type="dxa"/>
            <w:vAlign w:val="bottom"/>
          </w:tcPr>
          <w:p>
            <w:pPr>
              <w:spacing w:after="0"/>
              <w:rPr>
                <w:sz w:val="1"/>
                <w:szCs w:val="1"/>
                <w:color w:val="auto"/>
              </w:rPr>
            </w:pPr>
          </w:p>
        </w:tc>
      </w:tr>
      <w:tr>
        <w:trPr>
          <w:trHeight w:val="207"/>
        </w:trPr>
        <w:tc>
          <w:tcPr>
            <w:tcW w:w="218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4"/>
                <w:szCs w:val="14"/>
                <w:color w:val="auto"/>
              </w:rPr>
              <w:t>RSU (5)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3,463</w:t>
            </w: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425,014</w:t>
            </w:r>
          </w:p>
        </w:tc>
        <w:tc>
          <w:tcPr>
            <w:tcW w:w="0" w:type="dxa"/>
            <w:vAlign w:val="bottom"/>
          </w:tcPr>
          <w:p>
            <w:pPr>
              <w:spacing w:after="0"/>
              <w:rPr>
                <w:sz w:val="1"/>
                <w:szCs w:val="1"/>
                <w:color w:val="auto"/>
              </w:rPr>
            </w:pPr>
          </w:p>
        </w:tc>
      </w:tr>
      <w:tr>
        <w:trPr>
          <w:trHeight w:val="208"/>
        </w:trPr>
        <w:tc>
          <w:tcPr>
            <w:tcW w:w="2180" w:type="dxa"/>
            <w:vAlign w:val="bottom"/>
            <w:shd w:val="clear" w:color="auto" w:fill="D8D8D8"/>
          </w:tcPr>
          <w:p>
            <w:pPr>
              <w:ind w:left="80"/>
              <w:spacing w:after="0"/>
              <w:rPr>
                <w:sz w:val="20"/>
                <w:szCs w:val="20"/>
                <w:color w:val="auto"/>
              </w:rPr>
            </w:pPr>
            <w:r>
              <w:rPr>
                <w:rFonts w:ascii="Arial" w:cs="Arial" w:eastAsia="Arial" w:hAnsi="Arial"/>
                <w:sz w:val="14"/>
                <w:szCs w:val="14"/>
                <w:color w:val="auto"/>
              </w:rPr>
              <w:t>Girish Juneja</w:t>
            </w:r>
          </w:p>
        </w:tc>
        <w:tc>
          <w:tcPr>
            <w:tcW w:w="900" w:type="dxa"/>
            <w:vAlign w:val="bottom"/>
            <w:shd w:val="clear" w:color="auto" w:fill="D8D8D8"/>
          </w:tcPr>
          <w:p>
            <w:pPr>
              <w:ind w:left="80"/>
              <w:spacing w:after="0"/>
              <w:rPr>
                <w:sz w:val="20"/>
                <w:szCs w:val="20"/>
                <w:color w:val="auto"/>
              </w:rPr>
            </w:pPr>
            <w:r>
              <w:rPr>
                <w:rFonts w:ascii="Arial" w:cs="Arial" w:eastAsia="Arial" w:hAnsi="Arial"/>
                <w:sz w:val="14"/>
                <w:szCs w:val="14"/>
                <w:color w:val="auto"/>
              </w:rPr>
              <w:t>AIP (2)</w:t>
            </w:r>
          </w:p>
        </w:tc>
        <w:tc>
          <w:tcPr>
            <w:tcW w:w="84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175,000</w:t>
            </w:r>
          </w:p>
        </w:tc>
        <w:tc>
          <w:tcPr>
            <w:tcW w:w="82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350,000</w:t>
            </w:r>
          </w:p>
        </w:tc>
        <w:tc>
          <w:tcPr>
            <w:tcW w:w="880" w:type="dxa"/>
            <w:vAlign w:val="bottom"/>
            <w:gridSpan w:val="2"/>
            <w:shd w:val="clear" w:color="auto" w:fill="D8D8D8"/>
          </w:tcPr>
          <w:p>
            <w:pPr>
              <w:jc w:val="right"/>
              <w:ind w:right="140"/>
              <w:spacing w:after="0"/>
              <w:rPr>
                <w:sz w:val="20"/>
                <w:szCs w:val="20"/>
                <w:color w:val="auto"/>
              </w:rPr>
            </w:pPr>
            <w:r>
              <w:rPr>
                <w:rFonts w:ascii="Arial" w:cs="Arial" w:eastAsia="Arial" w:hAnsi="Arial"/>
                <w:sz w:val="14"/>
                <w:szCs w:val="14"/>
                <w:color w:val="auto"/>
              </w:rPr>
              <w:t>700,000</w:t>
            </w:r>
          </w:p>
        </w:tc>
        <w:tc>
          <w:tcPr>
            <w:tcW w:w="76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c>
          <w:tcPr>
            <w:tcW w:w="740" w:type="dxa"/>
            <w:vAlign w:val="bottom"/>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72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180" w:type="dxa"/>
            <w:vAlign w:val="bottom"/>
            <w:shd w:val="clear" w:color="auto" w:fill="D8D8D8"/>
          </w:tcPr>
          <w:p>
            <w:pPr>
              <w:spacing w:after="0"/>
              <w:rPr>
                <w:sz w:val="20"/>
                <w:szCs w:val="20"/>
                <w:color w:val="auto"/>
              </w:rPr>
            </w:pPr>
          </w:p>
        </w:tc>
        <w:tc>
          <w:tcPr>
            <w:tcW w:w="900" w:type="dxa"/>
            <w:vAlign w:val="bottom"/>
            <w:shd w:val="clear" w:color="auto" w:fill="D8D8D8"/>
          </w:tcPr>
          <w:p>
            <w:pPr>
              <w:ind w:left="80"/>
              <w:spacing w:after="0"/>
              <w:rPr>
                <w:sz w:val="20"/>
                <w:szCs w:val="20"/>
                <w:color w:val="auto"/>
              </w:rPr>
            </w:pPr>
            <w:r>
              <w:rPr>
                <w:rFonts w:ascii="Arial" w:cs="Arial" w:eastAsia="Arial" w:hAnsi="Arial"/>
                <w:sz w:val="14"/>
                <w:szCs w:val="14"/>
                <w:color w:val="auto"/>
              </w:rPr>
              <w:t>SSAR (3)</w:t>
            </w:r>
          </w:p>
        </w:tc>
        <w:tc>
          <w:tcPr>
            <w:tcW w:w="8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82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7,243</w:t>
            </w:r>
          </w:p>
        </w:tc>
        <w:tc>
          <w:tcPr>
            <w:tcW w:w="700" w:type="dxa"/>
            <w:vAlign w:val="bottom"/>
            <w:shd w:val="clear" w:color="auto" w:fill="D8D8D8"/>
          </w:tcPr>
          <w:p>
            <w:pPr>
              <w:ind w:left="220"/>
              <w:spacing w:after="0"/>
              <w:rPr>
                <w:sz w:val="20"/>
                <w:szCs w:val="20"/>
                <w:color w:val="auto"/>
              </w:rPr>
            </w:pPr>
            <w:r>
              <w:rPr>
                <w:rFonts w:ascii="Arial" w:cs="Arial" w:eastAsia="Arial" w:hAnsi="Arial"/>
                <w:sz w:val="14"/>
                <w:szCs w:val="14"/>
                <w:color w:val="auto"/>
              </w:rPr>
              <w:t>122.73</w:t>
            </w: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210,626</w:t>
            </w:r>
          </w:p>
        </w:tc>
        <w:tc>
          <w:tcPr>
            <w:tcW w:w="0" w:type="dxa"/>
            <w:vAlign w:val="bottom"/>
          </w:tcPr>
          <w:p>
            <w:pPr>
              <w:spacing w:after="0"/>
              <w:rPr>
                <w:sz w:val="1"/>
                <w:szCs w:val="1"/>
                <w:color w:val="auto"/>
              </w:rPr>
            </w:pPr>
          </w:p>
        </w:tc>
      </w:tr>
      <w:tr>
        <w:trPr>
          <w:trHeight w:val="216"/>
        </w:trPr>
        <w:tc>
          <w:tcPr>
            <w:tcW w:w="2180" w:type="dxa"/>
            <w:vAlign w:val="bottom"/>
            <w:shd w:val="clear" w:color="auto" w:fill="D8D8D8"/>
          </w:tcPr>
          <w:p>
            <w:pPr>
              <w:spacing w:after="0"/>
              <w:rPr>
                <w:sz w:val="18"/>
                <w:szCs w:val="18"/>
                <w:color w:val="auto"/>
              </w:rPr>
            </w:pPr>
          </w:p>
        </w:tc>
        <w:tc>
          <w:tcPr>
            <w:tcW w:w="900" w:type="dxa"/>
            <w:vAlign w:val="bottom"/>
            <w:shd w:val="clear" w:color="auto" w:fill="D8D8D8"/>
          </w:tcPr>
          <w:p>
            <w:pPr>
              <w:ind w:left="80"/>
              <w:spacing w:after="0"/>
              <w:rPr>
                <w:sz w:val="20"/>
                <w:szCs w:val="20"/>
                <w:color w:val="auto"/>
              </w:rPr>
            </w:pPr>
            <w:r>
              <w:rPr>
                <w:rFonts w:ascii="Arial" w:cs="Arial" w:eastAsia="Arial" w:hAnsi="Arial"/>
                <w:sz w:val="14"/>
                <w:szCs w:val="14"/>
                <w:color w:val="auto"/>
                <w:w w:val="99"/>
              </w:rPr>
              <w:t>Performance</w:t>
            </w:r>
          </w:p>
        </w:tc>
        <w:tc>
          <w:tcPr>
            <w:tcW w:w="8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c>
          <w:tcPr>
            <w:tcW w:w="74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c>
          <w:tcPr>
            <w:tcW w:w="740" w:type="dxa"/>
            <w:vAlign w:val="bottom"/>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72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shd w:val="clear" w:color="auto" w:fill="D8D8D8"/>
          </w:tcPr>
          <w:p>
            <w:pPr>
              <w:spacing w:after="0"/>
              <w:rPr>
                <w:sz w:val="18"/>
                <w:szCs w:val="18"/>
                <w:color w:val="auto"/>
              </w:rPr>
            </w:pPr>
          </w:p>
        </w:tc>
        <w:tc>
          <w:tcPr>
            <w:tcW w:w="900" w:type="dxa"/>
            <w:vAlign w:val="bottom"/>
            <w:shd w:val="clear" w:color="auto" w:fill="D8D8D8"/>
          </w:tcPr>
          <w:p>
            <w:pPr>
              <w:ind w:left="80"/>
              <w:spacing w:after="0"/>
              <w:rPr>
                <w:sz w:val="20"/>
                <w:szCs w:val="20"/>
                <w:color w:val="auto"/>
              </w:rPr>
            </w:pPr>
            <w:r>
              <w:rPr>
                <w:rFonts w:ascii="Arial" w:cs="Arial" w:eastAsia="Arial" w:hAnsi="Arial"/>
                <w:sz w:val="14"/>
                <w:szCs w:val="14"/>
                <w:color w:val="auto"/>
              </w:rPr>
              <w:t>Shares (4)</w:t>
            </w:r>
          </w:p>
        </w:tc>
        <w:tc>
          <w:tcPr>
            <w:tcW w:w="8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c>
          <w:tcPr>
            <w:tcW w:w="74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1,630</w:t>
            </w:r>
          </w:p>
        </w:tc>
        <w:tc>
          <w:tcPr>
            <w:tcW w:w="82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color w:val="auto"/>
              </w:rPr>
              <w:t>4,890</w:t>
            </w:r>
          </w:p>
        </w:tc>
        <w:tc>
          <w:tcPr>
            <w:tcW w:w="72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241,713</w:t>
            </w:r>
          </w:p>
        </w:tc>
        <w:tc>
          <w:tcPr>
            <w:tcW w:w="0" w:type="dxa"/>
            <w:vAlign w:val="bottom"/>
          </w:tcPr>
          <w:p>
            <w:pPr>
              <w:spacing w:after="0"/>
              <w:rPr>
                <w:sz w:val="1"/>
                <w:szCs w:val="1"/>
                <w:color w:val="auto"/>
              </w:rPr>
            </w:pPr>
          </w:p>
        </w:tc>
      </w:tr>
      <w:tr>
        <w:trPr>
          <w:trHeight w:val="239"/>
        </w:trPr>
        <w:tc>
          <w:tcPr>
            <w:tcW w:w="2180" w:type="dxa"/>
            <w:vAlign w:val="bottom"/>
            <w:shd w:val="clear" w:color="auto" w:fill="D8D8D8"/>
          </w:tcPr>
          <w:p>
            <w:pPr>
              <w:spacing w:after="0"/>
              <w:rPr>
                <w:sz w:val="20"/>
                <w:szCs w:val="20"/>
                <w:color w:val="auto"/>
              </w:rPr>
            </w:pPr>
          </w:p>
        </w:tc>
        <w:tc>
          <w:tcPr>
            <w:tcW w:w="900" w:type="dxa"/>
            <w:vAlign w:val="bottom"/>
            <w:shd w:val="clear" w:color="auto" w:fill="D8D8D8"/>
          </w:tcPr>
          <w:p>
            <w:pPr>
              <w:ind w:left="80"/>
              <w:spacing w:after="0"/>
              <w:rPr>
                <w:sz w:val="20"/>
                <w:szCs w:val="20"/>
                <w:color w:val="auto"/>
              </w:rPr>
            </w:pPr>
            <w:r>
              <w:rPr>
                <w:rFonts w:ascii="Arial" w:cs="Arial" w:eastAsia="Arial" w:hAnsi="Arial"/>
                <w:sz w:val="14"/>
                <w:szCs w:val="14"/>
                <w:color w:val="auto"/>
              </w:rPr>
              <w:t>RSU (5)</w:t>
            </w:r>
          </w:p>
        </w:tc>
        <w:tc>
          <w:tcPr>
            <w:tcW w:w="8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82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815</w:t>
            </w:r>
          </w:p>
        </w:tc>
        <w:tc>
          <w:tcPr>
            <w:tcW w:w="880" w:type="dxa"/>
            <w:vAlign w:val="bottom"/>
            <w:shd w:val="clear" w:color="auto" w:fill="D8D8D8"/>
          </w:tcPr>
          <w:p>
            <w:pPr>
              <w:spacing w:after="0"/>
              <w:rPr>
                <w:sz w:val="20"/>
                <w:szCs w:val="20"/>
                <w:color w:val="auto"/>
              </w:rPr>
            </w:pPr>
          </w:p>
        </w:tc>
        <w:tc>
          <w:tcPr>
            <w:tcW w:w="70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100,025</w:t>
            </w:r>
          </w:p>
        </w:tc>
        <w:tc>
          <w:tcPr>
            <w:tcW w:w="0" w:type="dxa"/>
            <w:vAlign w:val="bottom"/>
          </w:tcPr>
          <w:p>
            <w:pPr>
              <w:spacing w:after="0"/>
              <w:rPr>
                <w:sz w:val="1"/>
                <w:szCs w:val="1"/>
                <w:color w:val="auto"/>
              </w:rPr>
            </w:pPr>
          </w:p>
        </w:tc>
      </w:tr>
      <w:tr>
        <w:trPr>
          <w:trHeight w:val="208"/>
        </w:trPr>
        <w:tc>
          <w:tcPr>
            <w:tcW w:w="2180" w:type="dxa"/>
            <w:vAlign w:val="bottom"/>
          </w:tcPr>
          <w:p>
            <w:pPr>
              <w:ind w:left="80"/>
              <w:spacing w:after="0"/>
              <w:rPr>
                <w:sz w:val="20"/>
                <w:szCs w:val="20"/>
                <w:color w:val="auto"/>
              </w:rPr>
            </w:pPr>
            <w:r>
              <w:rPr>
                <w:rFonts w:ascii="Arial" w:cs="Arial" w:eastAsia="Arial" w:hAnsi="Arial"/>
                <w:sz w:val="14"/>
                <w:szCs w:val="14"/>
                <w:color w:val="auto"/>
              </w:rPr>
              <w:t>Ivonne M. Cabrera</w:t>
            </w:r>
          </w:p>
        </w:tc>
        <w:tc>
          <w:tcPr>
            <w:tcW w:w="90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AIP (2)</w:t>
            </w:r>
          </w:p>
        </w:tc>
        <w:tc>
          <w:tcPr>
            <w:tcW w:w="840" w:type="dxa"/>
            <w:vAlign w:val="bottom"/>
            <w:tcBorders>
              <w:bottom w:val="single" w:sz="8" w:color="999999"/>
            </w:tcBorders>
            <w:gridSpan w:val="2"/>
          </w:tcPr>
          <w:p>
            <w:pPr>
              <w:jc w:val="right"/>
              <w:spacing w:after="0"/>
              <w:rPr>
                <w:sz w:val="20"/>
                <w:szCs w:val="20"/>
                <w:color w:val="auto"/>
              </w:rPr>
            </w:pPr>
            <w:r>
              <w:rPr>
                <w:rFonts w:ascii="Arial" w:cs="Arial" w:eastAsia="Arial" w:hAnsi="Arial"/>
                <w:sz w:val="14"/>
                <w:szCs w:val="14"/>
                <w:color w:val="auto"/>
              </w:rPr>
              <w:t>196,000</w:t>
            </w:r>
          </w:p>
        </w:tc>
        <w:tc>
          <w:tcPr>
            <w:tcW w:w="82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rPr>
              <w:t>392,000</w:t>
            </w:r>
          </w:p>
        </w:tc>
        <w:tc>
          <w:tcPr>
            <w:tcW w:w="880" w:type="dxa"/>
            <w:vAlign w:val="bottom"/>
            <w:tcBorders>
              <w:bottom w:val="single" w:sz="8" w:color="999999"/>
            </w:tcBorders>
            <w:gridSpan w:val="2"/>
          </w:tcPr>
          <w:p>
            <w:pPr>
              <w:jc w:val="right"/>
              <w:ind w:right="140"/>
              <w:spacing w:after="0"/>
              <w:rPr>
                <w:sz w:val="20"/>
                <w:szCs w:val="20"/>
                <w:color w:val="auto"/>
              </w:rPr>
            </w:pPr>
            <w:r>
              <w:rPr>
                <w:rFonts w:ascii="Arial" w:cs="Arial" w:eastAsia="Arial" w:hAnsi="Arial"/>
                <w:sz w:val="14"/>
                <w:szCs w:val="14"/>
                <w:color w:val="auto"/>
              </w:rPr>
              <w:t>784,000</w:t>
            </w: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80" w:type="dxa"/>
            <w:vAlign w:val="bottom"/>
          </w:tcPr>
          <w:p>
            <w:pPr>
              <w:spacing w:after="0"/>
              <w:rPr>
                <w:sz w:val="18"/>
                <w:szCs w:val="18"/>
                <w:color w:val="auto"/>
              </w:rPr>
            </w:pPr>
          </w:p>
        </w:tc>
        <w:tc>
          <w:tcPr>
            <w:tcW w:w="90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SSAR (3)</w:t>
            </w:r>
          </w:p>
        </w:tc>
        <w:tc>
          <w:tcPr>
            <w:tcW w:w="8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11,588</w:t>
            </w:r>
          </w:p>
        </w:tc>
        <w:tc>
          <w:tcPr>
            <w:tcW w:w="700" w:type="dxa"/>
            <w:vAlign w:val="bottom"/>
            <w:tcBorders>
              <w:bottom w:val="single" w:sz="8" w:color="999999"/>
            </w:tcBorders>
          </w:tcPr>
          <w:p>
            <w:pPr>
              <w:ind w:left="220"/>
              <w:spacing w:after="0"/>
              <w:rPr>
                <w:sz w:val="20"/>
                <w:szCs w:val="20"/>
                <w:color w:val="auto"/>
              </w:rPr>
            </w:pPr>
            <w:r>
              <w:rPr>
                <w:rFonts w:ascii="Arial" w:cs="Arial" w:eastAsia="Arial" w:hAnsi="Arial"/>
                <w:sz w:val="14"/>
                <w:szCs w:val="14"/>
                <w:color w:val="auto"/>
              </w:rPr>
              <w:t>122.73</w:t>
            </w:r>
          </w:p>
        </w:tc>
        <w:tc>
          <w:tcPr>
            <w:tcW w:w="8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336,979</w:t>
            </w: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Arial" w:cs="Arial" w:eastAsia="Arial" w:hAnsi="Arial"/>
                <w:sz w:val="14"/>
                <w:szCs w:val="14"/>
                <w:color w:val="auto"/>
                <w:w w:val="99"/>
              </w:rPr>
              <w:t>Performance</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80" w:type="dxa"/>
            <w:vAlign w:val="bottom"/>
          </w:tcPr>
          <w:p>
            <w:pPr>
              <w:spacing w:after="0"/>
              <w:rPr>
                <w:sz w:val="19"/>
                <w:szCs w:val="19"/>
                <w:color w:val="auto"/>
              </w:rPr>
            </w:pPr>
          </w:p>
        </w:tc>
        <w:tc>
          <w:tcPr>
            <w:tcW w:w="90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Shares (4)</w:t>
            </w:r>
          </w:p>
        </w:tc>
        <w:tc>
          <w:tcPr>
            <w:tcW w:w="80" w:type="dxa"/>
            <w:vAlign w:val="bottom"/>
            <w:tcBorders>
              <w:bottom w:val="single" w:sz="8" w:color="999999"/>
            </w:tcBorders>
          </w:tcPr>
          <w:p>
            <w:pPr>
              <w:spacing w:after="0"/>
              <w:rPr>
                <w:sz w:val="19"/>
                <w:szCs w:val="19"/>
                <w:color w:val="auto"/>
              </w:rPr>
            </w:pPr>
          </w:p>
        </w:tc>
        <w:tc>
          <w:tcPr>
            <w:tcW w:w="760" w:type="dxa"/>
            <w:vAlign w:val="bottom"/>
            <w:tcBorders>
              <w:bottom w:val="single" w:sz="8" w:color="999999"/>
            </w:tcBorders>
          </w:tcPr>
          <w:p>
            <w:pPr>
              <w:spacing w:after="0"/>
              <w:rPr>
                <w:sz w:val="19"/>
                <w:szCs w:val="19"/>
                <w:color w:val="auto"/>
              </w:rPr>
            </w:pPr>
          </w:p>
        </w:tc>
        <w:tc>
          <w:tcPr>
            <w:tcW w:w="820" w:type="dxa"/>
            <w:vAlign w:val="bottom"/>
            <w:tcBorders>
              <w:bottom w:val="single" w:sz="8" w:color="999999"/>
            </w:tcBorders>
          </w:tcPr>
          <w:p>
            <w:pPr>
              <w:spacing w:after="0"/>
              <w:rPr>
                <w:sz w:val="19"/>
                <w:szCs w:val="19"/>
                <w:color w:val="auto"/>
              </w:rPr>
            </w:pPr>
          </w:p>
        </w:tc>
        <w:tc>
          <w:tcPr>
            <w:tcW w:w="740" w:type="dxa"/>
            <w:vAlign w:val="bottom"/>
            <w:tcBorders>
              <w:bottom w:val="single" w:sz="8" w:color="999999"/>
            </w:tcBorders>
          </w:tcPr>
          <w:p>
            <w:pPr>
              <w:spacing w:after="0"/>
              <w:rPr>
                <w:sz w:val="19"/>
                <w:szCs w:val="19"/>
                <w:color w:val="auto"/>
              </w:rPr>
            </w:pPr>
          </w:p>
        </w:tc>
        <w:tc>
          <w:tcPr>
            <w:tcW w:w="140" w:type="dxa"/>
            <w:vAlign w:val="bottom"/>
            <w:tcBorders>
              <w:bottom w:val="single" w:sz="8" w:color="999999"/>
            </w:tcBorders>
          </w:tcPr>
          <w:p>
            <w:pPr>
              <w:spacing w:after="0"/>
              <w:rPr>
                <w:sz w:val="19"/>
                <w:szCs w:val="19"/>
                <w:color w:val="auto"/>
              </w:rPr>
            </w:pPr>
          </w:p>
        </w:tc>
        <w:tc>
          <w:tcPr>
            <w:tcW w:w="760" w:type="dxa"/>
            <w:vAlign w:val="bottom"/>
            <w:tcBorders>
              <w:bottom w:val="single" w:sz="8" w:color="999999"/>
            </w:tcBorders>
          </w:tcPr>
          <w:p>
            <w:pPr>
              <w:spacing w:after="0"/>
              <w:rPr>
                <w:sz w:val="19"/>
                <w:szCs w:val="19"/>
                <w:color w:val="auto"/>
              </w:rPr>
            </w:pPr>
          </w:p>
        </w:tc>
        <w:tc>
          <w:tcPr>
            <w:tcW w:w="6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2,607</w:t>
            </w:r>
          </w:p>
        </w:tc>
        <w:tc>
          <w:tcPr>
            <w:tcW w:w="820" w:type="dxa"/>
            <w:vAlign w:val="bottom"/>
            <w:tcBorders>
              <w:bottom w:val="single" w:sz="8" w:color="999999"/>
            </w:tcBorders>
            <w:gridSpan w:val="2"/>
          </w:tcPr>
          <w:p>
            <w:pPr>
              <w:jc w:val="right"/>
              <w:ind w:right="80"/>
              <w:spacing w:after="0"/>
              <w:rPr>
                <w:sz w:val="20"/>
                <w:szCs w:val="20"/>
                <w:color w:val="auto"/>
              </w:rPr>
            </w:pPr>
            <w:r>
              <w:rPr>
                <w:rFonts w:ascii="Arial" w:cs="Arial" w:eastAsia="Arial" w:hAnsi="Arial"/>
                <w:sz w:val="14"/>
                <w:szCs w:val="14"/>
                <w:color w:val="auto"/>
              </w:rPr>
              <w:t>7,821</w:t>
            </w:r>
          </w:p>
        </w:tc>
        <w:tc>
          <w:tcPr>
            <w:tcW w:w="720" w:type="dxa"/>
            <w:vAlign w:val="bottom"/>
            <w:tcBorders>
              <w:bottom w:val="single" w:sz="8" w:color="999999"/>
            </w:tcBorders>
          </w:tcPr>
          <w:p>
            <w:pPr>
              <w:spacing w:after="0"/>
              <w:rPr>
                <w:sz w:val="19"/>
                <w:szCs w:val="19"/>
                <w:color w:val="auto"/>
              </w:rPr>
            </w:pPr>
          </w:p>
        </w:tc>
        <w:tc>
          <w:tcPr>
            <w:tcW w:w="880" w:type="dxa"/>
            <w:vAlign w:val="bottom"/>
            <w:tcBorders>
              <w:bottom w:val="single" w:sz="8" w:color="999999"/>
            </w:tcBorders>
          </w:tcPr>
          <w:p>
            <w:pPr>
              <w:spacing w:after="0"/>
              <w:rPr>
                <w:sz w:val="19"/>
                <w:szCs w:val="19"/>
                <w:color w:val="auto"/>
              </w:rPr>
            </w:pPr>
          </w:p>
        </w:tc>
        <w:tc>
          <w:tcPr>
            <w:tcW w:w="700" w:type="dxa"/>
            <w:vAlign w:val="bottom"/>
            <w:tcBorders>
              <w:bottom w:val="single" w:sz="8" w:color="999999"/>
            </w:tcBorders>
          </w:tcPr>
          <w:p>
            <w:pPr>
              <w:spacing w:after="0"/>
              <w:rPr>
                <w:sz w:val="19"/>
                <w:szCs w:val="19"/>
                <w:color w:val="auto"/>
              </w:rPr>
            </w:pPr>
          </w:p>
        </w:tc>
        <w:tc>
          <w:tcPr>
            <w:tcW w:w="8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386,592</w:t>
            </w:r>
          </w:p>
        </w:tc>
        <w:tc>
          <w:tcPr>
            <w:tcW w:w="0" w:type="dxa"/>
            <w:vAlign w:val="bottom"/>
          </w:tcPr>
          <w:p>
            <w:pPr>
              <w:spacing w:after="0"/>
              <w:rPr>
                <w:sz w:val="1"/>
                <w:szCs w:val="1"/>
                <w:color w:val="auto"/>
              </w:rPr>
            </w:pPr>
          </w:p>
        </w:tc>
      </w:tr>
      <w:tr>
        <w:trPr>
          <w:trHeight w:val="207"/>
        </w:trPr>
        <w:tc>
          <w:tcPr>
            <w:tcW w:w="2180" w:type="dxa"/>
            <w:vAlign w:val="bottom"/>
            <w:tcBorders>
              <w:bottom w:val="single" w:sz="8" w:color="021496"/>
            </w:tcBorders>
          </w:tcPr>
          <w:p>
            <w:pPr>
              <w:spacing w:after="0"/>
              <w:rPr>
                <w:sz w:val="18"/>
                <w:szCs w:val="18"/>
                <w:color w:val="auto"/>
              </w:rPr>
            </w:pPr>
          </w:p>
        </w:tc>
        <w:tc>
          <w:tcPr>
            <w:tcW w:w="900" w:type="dxa"/>
            <w:vAlign w:val="bottom"/>
            <w:tcBorders>
              <w:bottom w:val="single" w:sz="8" w:color="021496"/>
            </w:tcBorders>
          </w:tcPr>
          <w:p>
            <w:pPr>
              <w:ind w:left="80"/>
              <w:spacing w:after="0"/>
              <w:rPr>
                <w:sz w:val="20"/>
                <w:szCs w:val="20"/>
                <w:color w:val="auto"/>
              </w:rPr>
            </w:pPr>
            <w:r>
              <w:rPr>
                <w:rFonts w:ascii="Arial" w:cs="Arial" w:eastAsia="Arial" w:hAnsi="Arial"/>
                <w:sz w:val="14"/>
                <w:szCs w:val="14"/>
                <w:color w:val="auto"/>
              </w:rPr>
              <w:t>RSU (5)</w:t>
            </w:r>
          </w:p>
        </w:tc>
        <w:tc>
          <w:tcPr>
            <w:tcW w:w="80" w:type="dxa"/>
            <w:vAlign w:val="bottom"/>
            <w:tcBorders>
              <w:bottom w:val="single" w:sz="8" w:color="021496"/>
            </w:tcBorders>
          </w:tcPr>
          <w:p>
            <w:pPr>
              <w:spacing w:after="0"/>
              <w:rPr>
                <w:sz w:val="18"/>
                <w:szCs w:val="18"/>
                <w:color w:val="auto"/>
              </w:rPr>
            </w:pPr>
          </w:p>
        </w:tc>
        <w:tc>
          <w:tcPr>
            <w:tcW w:w="760" w:type="dxa"/>
            <w:vAlign w:val="bottom"/>
            <w:tcBorders>
              <w:bottom w:val="single" w:sz="8" w:color="021496"/>
            </w:tcBorders>
          </w:tcPr>
          <w:p>
            <w:pPr>
              <w:spacing w:after="0"/>
              <w:rPr>
                <w:sz w:val="18"/>
                <w:szCs w:val="18"/>
                <w:color w:val="auto"/>
              </w:rPr>
            </w:pPr>
          </w:p>
        </w:tc>
        <w:tc>
          <w:tcPr>
            <w:tcW w:w="820" w:type="dxa"/>
            <w:vAlign w:val="bottom"/>
            <w:tcBorders>
              <w:bottom w:val="single" w:sz="8" w:color="021496"/>
            </w:tcBorders>
          </w:tcPr>
          <w:p>
            <w:pPr>
              <w:spacing w:after="0"/>
              <w:rPr>
                <w:sz w:val="18"/>
                <w:szCs w:val="18"/>
                <w:color w:val="auto"/>
              </w:rPr>
            </w:pPr>
          </w:p>
        </w:tc>
        <w:tc>
          <w:tcPr>
            <w:tcW w:w="740" w:type="dxa"/>
            <w:vAlign w:val="bottom"/>
            <w:tcBorders>
              <w:bottom w:val="single" w:sz="8" w:color="021496"/>
            </w:tcBorders>
          </w:tcPr>
          <w:p>
            <w:pPr>
              <w:spacing w:after="0"/>
              <w:rPr>
                <w:sz w:val="18"/>
                <w:szCs w:val="18"/>
                <w:color w:val="auto"/>
              </w:rPr>
            </w:pPr>
          </w:p>
        </w:tc>
        <w:tc>
          <w:tcPr>
            <w:tcW w:w="140" w:type="dxa"/>
            <w:vAlign w:val="bottom"/>
            <w:tcBorders>
              <w:bottom w:val="single" w:sz="8" w:color="021496"/>
            </w:tcBorders>
          </w:tcPr>
          <w:p>
            <w:pPr>
              <w:spacing w:after="0"/>
              <w:rPr>
                <w:sz w:val="18"/>
                <w:szCs w:val="18"/>
                <w:color w:val="auto"/>
              </w:rPr>
            </w:pPr>
          </w:p>
        </w:tc>
        <w:tc>
          <w:tcPr>
            <w:tcW w:w="760" w:type="dxa"/>
            <w:vAlign w:val="bottom"/>
            <w:tcBorders>
              <w:bottom w:val="single" w:sz="8" w:color="021496"/>
            </w:tcBorders>
          </w:tcPr>
          <w:p>
            <w:pPr>
              <w:spacing w:after="0"/>
              <w:rPr>
                <w:sz w:val="18"/>
                <w:szCs w:val="18"/>
                <w:color w:val="auto"/>
              </w:rPr>
            </w:pPr>
          </w:p>
        </w:tc>
        <w:tc>
          <w:tcPr>
            <w:tcW w:w="600" w:type="dxa"/>
            <w:vAlign w:val="bottom"/>
            <w:tcBorders>
              <w:bottom w:val="single" w:sz="8" w:color="021496"/>
            </w:tcBorders>
          </w:tcPr>
          <w:p>
            <w:pPr>
              <w:spacing w:after="0"/>
              <w:rPr>
                <w:sz w:val="18"/>
                <w:szCs w:val="18"/>
                <w:color w:val="auto"/>
              </w:rPr>
            </w:pPr>
          </w:p>
        </w:tc>
        <w:tc>
          <w:tcPr>
            <w:tcW w:w="740" w:type="dxa"/>
            <w:vAlign w:val="bottom"/>
            <w:tcBorders>
              <w:bottom w:val="single" w:sz="8" w:color="021496"/>
            </w:tcBorders>
          </w:tcPr>
          <w:p>
            <w:pPr>
              <w:spacing w:after="0"/>
              <w:rPr>
                <w:sz w:val="18"/>
                <w:szCs w:val="18"/>
                <w:color w:val="auto"/>
              </w:rPr>
            </w:pPr>
          </w:p>
        </w:tc>
        <w:tc>
          <w:tcPr>
            <w:tcW w:w="80" w:type="dxa"/>
            <w:vAlign w:val="bottom"/>
            <w:tcBorders>
              <w:bottom w:val="single" w:sz="8" w:color="021496"/>
            </w:tcBorders>
          </w:tcPr>
          <w:p>
            <w:pPr>
              <w:spacing w:after="0"/>
              <w:rPr>
                <w:sz w:val="18"/>
                <w:szCs w:val="18"/>
                <w:color w:val="auto"/>
              </w:rPr>
            </w:pPr>
          </w:p>
        </w:tc>
        <w:tc>
          <w:tcPr>
            <w:tcW w:w="720" w:type="dxa"/>
            <w:vAlign w:val="bottom"/>
            <w:tcBorders>
              <w:bottom w:val="single" w:sz="8" w:color="021496"/>
            </w:tcBorders>
          </w:tcPr>
          <w:p>
            <w:pPr>
              <w:jc w:val="right"/>
              <w:spacing w:after="0"/>
              <w:rPr>
                <w:sz w:val="20"/>
                <w:szCs w:val="20"/>
                <w:color w:val="auto"/>
              </w:rPr>
            </w:pPr>
            <w:r>
              <w:rPr>
                <w:rFonts w:ascii="Arial" w:cs="Arial" w:eastAsia="Arial" w:hAnsi="Arial"/>
                <w:sz w:val="14"/>
                <w:szCs w:val="14"/>
                <w:color w:val="auto"/>
              </w:rPr>
              <w:t>1,304</w:t>
            </w:r>
          </w:p>
        </w:tc>
        <w:tc>
          <w:tcPr>
            <w:tcW w:w="880" w:type="dxa"/>
            <w:vAlign w:val="bottom"/>
            <w:tcBorders>
              <w:bottom w:val="single" w:sz="8" w:color="021496"/>
            </w:tcBorders>
          </w:tcPr>
          <w:p>
            <w:pPr>
              <w:spacing w:after="0"/>
              <w:rPr>
                <w:sz w:val="18"/>
                <w:szCs w:val="18"/>
                <w:color w:val="auto"/>
              </w:rPr>
            </w:pPr>
          </w:p>
        </w:tc>
        <w:tc>
          <w:tcPr>
            <w:tcW w:w="700" w:type="dxa"/>
            <w:vAlign w:val="bottom"/>
            <w:tcBorders>
              <w:bottom w:val="single" w:sz="8" w:color="021496"/>
            </w:tcBorders>
          </w:tcPr>
          <w:p>
            <w:pPr>
              <w:spacing w:after="0"/>
              <w:rPr>
                <w:sz w:val="18"/>
                <w:szCs w:val="18"/>
                <w:color w:val="auto"/>
              </w:rPr>
            </w:pPr>
          </w:p>
        </w:tc>
        <w:tc>
          <w:tcPr>
            <w:tcW w:w="820" w:type="dxa"/>
            <w:vAlign w:val="bottom"/>
            <w:tcBorders>
              <w:bottom w:val="single" w:sz="8" w:color="021496"/>
            </w:tcBorders>
          </w:tcPr>
          <w:p>
            <w:pPr>
              <w:jc w:val="right"/>
              <w:ind w:right="29"/>
              <w:spacing w:after="0"/>
              <w:rPr>
                <w:sz w:val="20"/>
                <w:szCs w:val="20"/>
                <w:color w:val="auto"/>
              </w:rPr>
            </w:pPr>
            <w:r>
              <w:rPr>
                <w:rFonts w:ascii="Arial" w:cs="Arial" w:eastAsia="Arial" w:hAnsi="Arial"/>
                <w:sz w:val="14"/>
                <w:szCs w:val="14"/>
                <w:color w:val="auto"/>
              </w:rPr>
              <w:t>160,040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-857250</wp:posOffset>
            </wp:positionV>
            <wp:extent cx="55537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53710" cy="8255"/>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-1137285</wp:posOffset>
            </wp:positionV>
            <wp:extent cx="55537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53710" cy="8255"/>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-1281430</wp:posOffset>
            </wp:positionV>
            <wp:extent cx="55537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53710" cy="8255"/>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-2266950</wp:posOffset>
            </wp:positionV>
            <wp:extent cx="55537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53710" cy="8255"/>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-2546985</wp:posOffset>
            </wp:positionV>
            <wp:extent cx="55537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53710" cy="8255"/>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-2691765</wp:posOffset>
            </wp:positionV>
            <wp:extent cx="55537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53710" cy="8255"/>
                    </a:xfrm>
                    <a:prstGeom prst="rect">
                      <a:avLst/>
                    </a:prstGeom>
                    <a:noFill/>
                  </pic:spPr>
                </pic:pic>
              </a:graphicData>
            </a:graphic>
          </wp:anchor>
        </w:drawing>
      </w:r>
    </w:p>
    <w:p>
      <w:pPr>
        <w:spacing w:after="0" w:line="109"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64</w:t>
      </w:r>
    </w:p>
    <w:p>
      <w:pPr>
        <w:sectPr>
          <w:pgSz w:w="11900" w:h="16838" w:orient="portrait"/>
          <w:cols w:equalWidth="0" w:num="1">
            <w:col w:w="11080"/>
          </w:cols>
          <w:pgMar w:left="320" w:top="456"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480" w:type="dxa"/>
            <w:vAlign w:val="bottom"/>
            <w:tcBorders>
              <w:top w:val="single" w:sz="8" w:color="021496"/>
            </w:tcBorders>
          </w:tcPr>
          <w:p>
            <w:pPr>
              <w:spacing w:after="0"/>
              <w:rPr>
                <w:sz w:val="13"/>
                <w:szCs w:val="13"/>
                <w:color w:val="auto"/>
              </w:rPr>
            </w:pPr>
          </w:p>
        </w:tc>
        <w:tc>
          <w:tcPr>
            <w:tcW w:w="920" w:type="dxa"/>
            <w:vAlign w:val="bottom"/>
            <w:tcBorders>
              <w:top w:val="single" w:sz="8" w:color="021496"/>
            </w:tcBorders>
          </w:tcPr>
          <w:p>
            <w:pPr>
              <w:spacing w:after="0"/>
              <w:rPr>
                <w:sz w:val="13"/>
                <w:szCs w:val="13"/>
                <w:color w:val="auto"/>
              </w:rPr>
            </w:pPr>
          </w:p>
        </w:tc>
        <w:tc>
          <w:tcPr>
            <w:tcW w:w="80" w:type="dxa"/>
            <w:vAlign w:val="bottom"/>
            <w:tcBorders>
              <w:top w:val="single" w:sz="8" w:color="021496"/>
            </w:tcBorders>
          </w:tcPr>
          <w:p>
            <w:pPr>
              <w:spacing w:after="0"/>
              <w:rPr>
                <w:sz w:val="13"/>
                <w:szCs w:val="13"/>
                <w:color w:val="auto"/>
              </w:rPr>
            </w:pPr>
          </w:p>
        </w:tc>
        <w:tc>
          <w:tcPr>
            <w:tcW w:w="800" w:type="dxa"/>
            <w:vAlign w:val="bottom"/>
            <w:tcBorders>
              <w:top w:val="single" w:sz="8" w:color="021496"/>
            </w:tcBorders>
          </w:tcPr>
          <w:p>
            <w:pPr>
              <w:spacing w:after="0"/>
              <w:rPr>
                <w:sz w:val="13"/>
                <w:szCs w:val="13"/>
                <w:color w:val="auto"/>
              </w:rPr>
            </w:pPr>
          </w:p>
        </w:tc>
        <w:tc>
          <w:tcPr>
            <w:tcW w:w="720" w:type="dxa"/>
            <w:vAlign w:val="bottom"/>
            <w:tcBorders>
              <w:top w:val="single" w:sz="8" w:color="021496"/>
            </w:tcBorders>
          </w:tcPr>
          <w:p>
            <w:pPr>
              <w:spacing w:after="0"/>
              <w:rPr>
                <w:sz w:val="13"/>
                <w:szCs w:val="13"/>
                <w:color w:val="auto"/>
              </w:rPr>
            </w:pPr>
          </w:p>
        </w:tc>
        <w:tc>
          <w:tcPr>
            <w:tcW w:w="700" w:type="dxa"/>
            <w:vAlign w:val="bottom"/>
            <w:tcBorders>
              <w:top w:val="single" w:sz="8" w:color="021496"/>
            </w:tcBorders>
          </w:tcPr>
          <w:p>
            <w:pPr>
              <w:spacing w:after="0"/>
              <w:rPr>
                <w:sz w:val="13"/>
                <w:szCs w:val="13"/>
                <w:color w:val="auto"/>
              </w:rPr>
            </w:pPr>
          </w:p>
        </w:tc>
        <w:tc>
          <w:tcPr>
            <w:tcW w:w="120" w:type="dxa"/>
            <w:vAlign w:val="bottom"/>
            <w:tcBorders>
              <w:top w:val="single" w:sz="8" w:color="021496"/>
            </w:tcBorders>
          </w:tcPr>
          <w:p>
            <w:pPr>
              <w:spacing w:after="0"/>
              <w:rPr>
                <w:sz w:val="13"/>
                <w:szCs w:val="13"/>
                <w:color w:val="auto"/>
              </w:rPr>
            </w:pPr>
          </w:p>
        </w:tc>
        <w:tc>
          <w:tcPr>
            <w:tcW w:w="800" w:type="dxa"/>
            <w:vAlign w:val="bottom"/>
            <w:tcBorders>
              <w:top w:val="single" w:sz="8" w:color="021496"/>
            </w:tcBorders>
          </w:tcPr>
          <w:p>
            <w:pPr>
              <w:spacing w:after="0"/>
              <w:rPr>
                <w:sz w:val="13"/>
                <w:szCs w:val="13"/>
                <w:color w:val="auto"/>
              </w:rPr>
            </w:pPr>
          </w:p>
        </w:tc>
        <w:tc>
          <w:tcPr>
            <w:tcW w:w="540" w:type="dxa"/>
            <w:vAlign w:val="bottom"/>
            <w:tcBorders>
              <w:top w:val="single" w:sz="8" w:color="021496"/>
            </w:tcBorders>
          </w:tcPr>
          <w:p>
            <w:pPr>
              <w:spacing w:after="0"/>
              <w:rPr>
                <w:sz w:val="13"/>
                <w:szCs w:val="13"/>
                <w:color w:val="auto"/>
              </w:rPr>
            </w:pPr>
          </w:p>
        </w:tc>
        <w:tc>
          <w:tcPr>
            <w:tcW w:w="740" w:type="dxa"/>
            <w:vAlign w:val="bottom"/>
            <w:tcBorders>
              <w:top w:val="single" w:sz="8" w:color="021496"/>
            </w:tcBorders>
          </w:tcPr>
          <w:p>
            <w:pPr>
              <w:spacing w:after="0"/>
              <w:rPr>
                <w:sz w:val="13"/>
                <w:szCs w:val="13"/>
                <w:color w:val="auto"/>
              </w:rPr>
            </w:pPr>
          </w:p>
        </w:tc>
        <w:tc>
          <w:tcPr>
            <w:tcW w:w="60" w:type="dxa"/>
            <w:vAlign w:val="bottom"/>
            <w:tcBorders>
              <w:top w:val="single" w:sz="8" w:color="021496"/>
            </w:tcBorders>
          </w:tcPr>
          <w:p>
            <w:pPr>
              <w:spacing w:after="0"/>
              <w:rPr>
                <w:sz w:val="13"/>
                <w:szCs w:val="13"/>
                <w:color w:val="auto"/>
              </w:rPr>
            </w:pPr>
          </w:p>
        </w:tc>
        <w:tc>
          <w:tcPr>
            <w:tcW w:w="720" w:type="dxa"/>
            <w:vAlign w:val="bottom"/>
            <w:tcBorders>
              <w:top w:val="single" w:sz="8" w:color="021496"/>
            </w:tcBorders>
          </w:tcPr>
          <w:p>
            <w:pPr>
              <w:spacing w:after="0"/>
              <w:rPr>
                <w:sz w:val="13"/>
                <w:szCs w:val="13"/>
                <w:color w:val="auto"/>
              </w:rPr>
            </w:pPr>
          </w:p>
        </w:tc>
        <w:tc>
          <w:tcPr>
            <w:tcW w:w="860" w:type="dxa"/>
            <w:vAlign w:val="bottom"/>
            <w:tcBorders>
              <w:top w:val="single" w:sz="8" w:color="021496"/>
            </w:tcBorders>
          </w:tcPr>
          <w:p>
            <w:pPr>
              <w:spacing w:after="0"/>
              <w:rPr>
                <w:sz w:val="13"/>
                <w:szCs w:val="13"/>
                <w:color w:val="auto"/>
              </w:rPr>
            </w:pPr>
          </w:p>
        </w:tc>
        <w:tc>
          <w:tcPr>
            <w:tcW w:w="700" w:type="dxa"/>
            <w:vAlign w:val="bottom"/>
            <w:tcBorders>
              <w:top w:val="single" w:sz="8" w:color="021496"/>
            </w:tcBorders>
          </w:tcPr>
          <w:p>
            <w:pPr>
              <w:spacing w:after="0"/>
              <w:rPr>
                <w:sz w:val="13"/>
                <w:szCs w:val="13"/>
                <w:color w:val="auto"/>
              </w:rPr>
            </w:pPr>
          </w:p>
        </w:tc>
        <w:tc>
          <w:tcPr>
            <w:tcW w:w="680" w:type="dxa"/>
            <w:vAlign w:val="bottom"/>
            <w:tcBorders>
              <w:top w:val="single" w:sz="8" w:color="021496"/>
            </w:tcBorders>
          </w:tcPr>
          <w:p>
            <w:pPr>
              <w:ind w:left="4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Estimated Future Payouts</w:t>
            </w:r>
          </w:p>
        </w:tc>
        <w:tc>
          <w:tcPr>
            <w:tcW w:w="2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Estimated Future Payouts</w:t>
            </w: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Stock</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All Other</w:t>
            </w:r>
          </w:p>
        </w:tc>
        <w:tc>
          <w:tcPr>
            <w:tcW w:w="70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7"/>
        </w:trPr>
        <w:tc>
          <w:tcPr>
            <w:tcW w:w="2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Awards:</w:t>
            </w:r>
          </w:p>
        </w:tc>
        <w:tc>
          <w:tcPr>
            <w:tcW w:w="86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Stock</w:t>
            </w:r>
          </w:p>
        </w:tc>
        <w:tc>
          <w:tcPr>
            <w:tcW w:w="700" w:type="dxa"/>
            <w:vAlign w:val="bottom"/>
          </w:tcPr>
          <w:p>
            <w:pPr>
              <w:spacing w:after="0"/>
              <w:rPr>
                <w:sz w:val="12"/>
                <w:szCs w:val="12"/>
                <w:color w:val="auto"/>
              </w:rPr>
            </w:pPr>
          </w:p>
        </w:tc>
        <w:tc>
          <w:tcPr>
            <w:tcW w:w="68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Under Non-Equity</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Under Equity</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70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74"/>
        </w:trPr>
        <w:tc>
          <w:tcPr>
            <w:tcW w:w="2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Incentive Plan Awards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4"/>
          </w:tcPr>
          <w:p>
            <w:pPr>
              <w:spacing w:after="0"/>
              <w:rPr>
                <w:sz w:val="20"/>
                <w:szCs w:val="20"/>
                <w:color w:val="auto"/>
              </w:rPr>
            </w:pPr>
            <w:r>
              <w:rPr>
                <w:rFonts w:ascii="Arial" w:cs="Arial" w:eastAsia="Arial" w:hAnsi="Arial"/>
                <w:sz w:val="14"/>
                <w:szCs w:val="14"/>
                <w:b w:val="1"/>
                <w:bCs w:val="1"/>
                <w:color w:val="auto"/>
              </w:rPr>
              <w:t>Incentive Plan Awards</w:t>
            </w: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of</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Number of</w:t>
            </w: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Exercise</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1"/>
        </w:trPr>
        <w:tc>
          <w:tcPr>
            <w:tcW w:w="2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Share of</w:t>
            </w:r>
          </w:p>
        </w:tc>
        <w:tc>
          <w:tcPr>
            <w:tcW w:w="86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Securities</w:t>
            </w:r>
          </w:p>
        </w:tc>
        <w:tc>
          <w:tcPr>
            <w:tcW w:w="70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Price of</w:t>
            </w:r>
          </w:p>
        </w:tc>
        <w:tc>
          <w:tcPr>
            <w:tcW w:w="680" w:type="dxa"/>
            <w:vAlign w:val="bottom"/>
          </w:tcPr>
          <w:p>
            <w:pPr>
              <w:ind w:left="40"/>
              <w:spacing w:after="0" w:line="141" w:lineRule="exact"/>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Stock or</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Underlying</w:t>
            </w: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Option</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Thresh-old</w:t>
            </w: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Target</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Maximum</w:t>
            </w:r>
          </w:p>
        </w:tc>
        <w:tc>
          <w:tcPr>
            <w:tcW w:w="800" w:type="dxa"/>
            <w:vAlign w:val="bottom"/>
          </w:tcPr>
          <w:p>
            <w:pPr>
              <w:spacing w:after="0"/>
              <w:rPr>
                <w:sz w:val="20"/>
                <w:szCs w:val="20"/>
                <w:color w:val="auto"/>
              </w:rPr>
            </w:pPr>
            <w:r>
              <w:rPr>
                <w:rFonts w:ascii="Arial" w:cs="Arial" w:eastAsia="Arial" w:hAnsi="Arial"/>
                <w:sz w:val="14"/>
                <w:szCs w:val="14"/>
                <w:b w:val="1"/>
                <w:bCs w:val="1"/>
                <w:color w:val="auto"/>
              </w:rPr>
              <w:t>Thresh-old</w:t>
            </w: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Target</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Maximum</w:t>
            </w: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Units</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Options</w:t>
            </w: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87"/>
        </w:trPr>
        <w:tc>
          <w:tcPr>
            <w:tcW w:w="2480" w:type="dxa"/>
            <w:vAlign w:val="bottom"/>
            <w:tcBorders>
              <w:bottom w:val="single" w:sz="8" w:color="021496"/>
            </w:tcBorders>
          </w:tcPr>
          <w:p>
            <w:pPr>
              <w:ind w:left="8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bottom w:val="single" w:sz="8" w:color="021496"/>
            </w:tcBorders>
          </w:tcPr>
          <w:p>
            <w:pPr>
              <w:ind w:left="80"/>
              <w:spacing w:after="0"/>
              <w:rPr>
                <w:sz w:val="20"/>
                <w:szCs w:val="20"/>
                <w:color w:val="auto"/>
              </w:rPr>
            </w:pPr>
            <w:r>
              <w:rPr>
                <w:rFonts w:ascii="Arial" w:cs="Arial" w:eastAsia="Arial" w:hAnsi="Arial"/>
                <w:sz w:val="14"/>
                <w:szCs w:val="14"/>
                <w:b w:val="1"/>
                <w:bCs w:val="1"/>
                <w:color w:val="auto"/>
              </w:rPr>
              <w:t>Type</w:t>
            </w:r>
          </w:p>
        </w:tc>
        <w:tc>
          <w:tcPr>
            <w:tcW w:w="880" w:type="dxa"/>
            <w:vAlign w:val="bottom"/>
            <w:tcBorders>
              <w:bottom w:val="single" w:sz="8" w:color="021496"/>
            </w:tcBorders>
            <w:gridSpan w:val="2"/>
          </w:tcPr>
          <w:p>
            <w:pPr>
              <w:ind w:left="80"/>
              <w:spacing w:after="0"/>
              <w:rPr>
                <w:sz w:val="20"/>
                <w:szCs w:val="20"/>
                <w:color w:val="auto"/>
              </w:rPr>
            </w:pPr>
            <w:r>
              <w:rPr>
                <w:rFonts w:ascii="Arial" w:cs="Arial" w:eastAsia="Arial" w:hAnsi="Arial"/>
                <w:sz w:val="14"/>
                <w:szCs w:val="14"/>
                <w:b w:val="1"/>
                <w:bCs w:val="1"/>
                <w:color w:val="auto"/>
              </w:rPr>
              <w:t>($)(1)</w:t>
            </w:r>
          </w:p>
        </w:tc>
        <w:tc>
          <w:tcPr>
            <w:tcW w:w="72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21496"/>
            </w:tcBorders>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021496"/>
            </w:tcBorders>
          </w:tcPr>
          <w:p>
            <w:pPr>
              <w:spacing w:after="0"/>
              <w:rPr>
                <w:sz w:val="16"/>
                <w:szCs w:val="16"/>
                <w:color w:val="auto"/>
              </w:rPr>
            </w:pPr>
          </w:p>
        </w:tc>
        <w:tc>
          <w:tcPr>
            <w:tcW w:w="800" w:type="dxa"/>
            <w:vAlign w:val="bottom"/>
            <w:tcBorders>
              <w:bottom w:val="single" w:sz="8" w:color="021496"/>
            </w:tcBorders>
          </w:tcPr>
          <w:p>
            <w:pPr>
              <w:spacing w:after="0"/>
              <w:rPr>
                <w:sz w:val="20"/>
                <w:szCs w:val="20"/>
                <w:color w:val="auto"/>
              </w:rPr>
            </w:pPr>
            <w:r>
              <w:rPr>
                <w:rFonts w:ascii="Arial" w:cs="Arial" w:eastAsia="Arial" w:hAnsi="Arial"/>
                <w:sz w:val="14"/>
                <w:szCs w:val="14"/>
                <w:b w:val="1"/>
                <w:bCs w:val="1"/>
                <w:color w:val="auto"/>
              </w:rPr>
              <w:t>(#)(1)</w:t>
            </w:r>
          </w:p>
        </w:tc>
        <w:tc>
          <w:tcPr>
            <w:tcW w:w="54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021496"/>
            </w:tcBorders>
          </w:tcPr>
          <w:p>
            <w:pPr>
              <w:spacing w:after="0"/>
              <w:rPr>
                <w:sz w:val="16"/>
                <w:szCs w:val="16"/>
                <w:color w:val="auto"/>
              </w:rPr>
            </w:pPr>
          </w:p>
        </w:tc>
        <w:tc>
          <w:tcPr>
            <w:tcW w:w="72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($/Sh)</w:t>
            </w:r>
          </w:p>
        </w:tc>
        <w:tc>
          <w:tcPr>
            <w:tcW w:w="680" w:type="dxa"/>
            <w:vAlign w:val="bottom"/>
            <w:tcBorders>
              <w:bottom w:val="single" w:sz="8" w:color="021496"/>
            </w:tcBorders>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480" w:type="dxa"/>
            <w:vAlign w:val="bottom"/>
            <w:shd w:val="clear" w:color="auto" w:fill="D8D8D8"/>
          </w:tcPr>
          <w:p>
            <w:pPr>
              <w:ind w:left="80"/>
              <w:spacing w:after="0"/>
              <w:rPr>
                <w:sz w:val="20"/>
                <w:szCs w:val="20"/>
                <w:color w:val="auto"/>
              </w:rPr>
            </w:pPr>
            <w:r>
              <w:rPr>
                <w:rFonts w:ascii="Arial" w:cs="Arial" w:eastAsia="Arial" w:hAnsi="Arial"/>
                <w:sz w:val="14"/>
                <w:szCs w:val="14"/>
                <w:color w:val="auto"/>
              </w:rPr>
              <w:t>Kimberly K. Bors</w:t>
            </w: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AIP (2)</w:t>
            </w:r>
          </w:p>
        </w:tc>
        <w:tc>
          <w:tcPr>
            <w:tcW w:w="880" w:type="dxa"/>
            <w:vAlign w:val="bottom"/>
            <w:gridSpan w:val="2"/>
            <w:shd w:val="clear" w:color="auto" w:fill="D8D8D8"/>
          </w:tcPr>
          <w:p>
            <w:pPr>
              <w:ind w:left="300"/>
              <w:spacing w:after="0"/>
              <w:rPr>
                <w:sz w:val="20"/>
                <w:szCs w:val="20"/>
                <w:color w:val="auto"/>
              </w:rPr>
            </w:pPr>
            <w:r>
              <w:rPr>
                <w:rFonts w:ascii="Arial" w:cs="Arial" w:eastAsia="Arial" w:hAnsi="Arial"/>
                <w:sz w:val="14"/>
                <w:szCs w:val="14"/>
                <w:color w:val="auto"/>
              </w:rPr>
              <w:t>157,500</w:t>
            </w:r>
          </w:p>
        </w:tc>
        <w:tc>
          <w:tcPr>
            <w:tcW w:w="7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315,000</w:t>
            </w:r>
          </w:p>
        </w:tc>
        <w:tc>
          <w:tcPr>
            <w:tcW w:w="82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630,000</w:t>
            </w:r>
          </w:p>
        </w:tc>
        <w:tc>
          <w:tcPr>
            <w:tcW w:w="800" w:type="dxa"/>
            <w:vAlign w:val="bottom"/>
            <w:shd w:val="clear" w:color="auto" w:fill="D8D8D8"/>
          </w:tcPr>
          <w:p>
            <w:pPr>
              <w:spacing w:after="0"/>
              <w:rPr>
                <w:sz w:val="17"/>
                <w:szCs w:val="17"/>
                <w:color w:val="auto"/>
              </w:rPr>
            </w:pPr>
          </w:p>
        </w:tc>
        <w:tc>
          <w:tcPr>
            <w:tcW w:w="540" w:type="dxa"/>
            <w:vAlign w:val="bottom"/>
            <w:shd w:val="clear" w:color="auto" w:fill="D8D8D8"/>
          </w:tcPr>
          <w:p>
            <w:pPr>
              <w:spacing w:after="0"/>
              <w:rPr>
                <w:sz w:val="17"/>
                <w:szCs w:val="17"/>
                <w:color w:val="auto"/>
              </w:rPr>
            </w:pPr>
          </w:p>
        </w:tc>
        <w:tc>
          <w:tcPr>
            <w:tcW w:w="740" w:type="dxa"/>
            <w:vAlign w:val="bottom"/>
            <w:shd w:val="clear" w:color="auto" w:fill="D8D8D8"/>
          </w:tcPr>
          <w:p>
            <w:pPr>
              <w:spacing w:after="0"/>
              <w:rPr>
                <w:sz w:val="17"/>
                <w:szCs w:val="17"/>
                <w:color w:val="auto"/>
              </w:rPr>
            </w:pPr>
          </w:p>
        </w:tc>
        <w:tc>
          <w:tcPr>
            <w:tcW w:w="60" w:type="dxa"/>
            <w:vAlign w:val="bottom"/>
            <w:shd w:val="clear" w:color="auto" w:fill="D8D8D8"/>
          </w:tcPr>
          <w:p>
            <w:pPr>
              <w:spacing w:after="0"/>
              <w:rPr>
                <w:sz w:val="17"/>
                <w:szCs w:val="17"/>
                <w:color w:val="auto"/>
              </w:rPr>
            </w:pPr>
          </w:p>
        </w:tc>
        <w:tc>
          <w:tcPr>
            <w:tcW w:w="720" w:type="dxa"/>
            <w:vAlign w:val="bottom"/>
            <w:shd w:val="clear" w:color="auto" w:fill="D8D8D8"/>
          </w:tcPr>
          <w:p>
            <w:pPr>
              <w:spacing w:after="0"/>
              <w:rPr>
                <w:sz w:val="17"/>
                <w:szCs w:val="17"/>
                <w:color w:val="auto"/>
              </w:rPr>
            </w:pPr>
          </w:p>
        </w:tc>
        <w:tc>
          <w:tcPr>
            <w:tcW w:w="860" w:type="dxa"/>
            <w:vAlign w:val="bottom"/>
            <w:shd w:val="clear" w:color="auto" w:fill="D8D8D8"/>
          </w:tcPr>
          <w:p>
            <w:pPr>
              <w:spacing w:after="0"/>
              <w:rPr>
                <w:sz w:val="17"/>
                <w:szCs w:val="17"/>
                <w:color w:val="auto"/>
              </w:rPr>
            </w:pPr>
          </w:p>
        </w:tc>
        <w:tc>
          <w:tcPr>
            <w:tcW w:w="70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80" w:type="dxa"/>
            <w:vAlign w:val="bottom"/>
            <w:shd w:val="clear" w:color="auto" w:fill="D8D8D8"/>
          </w:tcPr>
          <w:p>
            <w:pPr>
              <w:spacing w:after="0"/>
              <w:rPr>
                <w:sz w:val="20"/>
                <w:szCs w:val="20"/>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SSAR (3)</w:t>
            </w:r>
          </w:p>
        </w:tc>
        <w:tc>
          <w:tcPr>
            <w:tcW w:w="8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70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54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860" w:type="dxa"/>
            <w:vAlign w:val="bottom"/>
            <w:shd w:val="clear" w:color="auto" w:fill="D8D8D8"/>
          </w:tcPr>
          <w:p>
            <w:pPr>
              <w:ind w:left="460"/>
              <w:spacing w:after="0"/>
              <w:rPr>
                <w:sz w:val="20"/>
                <w:szCs w:val="20"/>
                <w:color w:val="auto"/>
              </w:rPr>
            </w:pPr>
            <w:r>
              <w:rPr>
                <w:rFonts w:ascii="Arial" w:cs="Arial" w:eastAsia="Arial" w:hAnsi="Arial"/>
                <w:sz w:val="14"/>
                <w:szCs w:val="14"/>
                <w:color w:val="auto"/>
              </w:rPr>
              <w:t>7,677</w:t>
            </w:r>
          </w:p>
        </w:tc>
        <w:tc>
          <w:tcPr>
            <w:tcW w:w="700" w:type="dxa"/>
            <w:vAlign w:val="bottom"/>
            <w:shd w:val="clear" w:color="auto" w:fill="D8D8D8"/>
          </w:tcPr>
          <w:p>
            <w:pPr>
              <w:ind w:left="220"/>
              <w:spacing w:after="0"/>
              <w:rPr>
                <w:sz w:val="20"/>
                <w:szCs w:val="20"/>
                <w:color w:val="auto"/>
              </w:rPr>
            </w:pPr>
            <w:r>
              <w:rPr>
                <w:rFonts w:ascii="Arial" w:cs="Arial" w:eastAsia="Arial" w:hAnsi="Arial"/>
                <w:sz w:val="14"/>
                <w:szCs w:val="14"/>
                <w:color w:val="auto"/>
              </w:rPr>
              <w:t>122.73</w:t>
            </w:r>
          </w:p>
        </w:tc>
        <w:tc>
          <w:tcPr>
            <w:tcW w:w="680" w:type="dxa"/>
            <w:vAlign w:val="bottom"/>
            <w:shd w:val="clear" w:color="auto" w:fill="D8D8D8"/>
          </w:tcPr>
          <w:p>
            <w:pPr>
              <w:ind w:left="80"/>
              <w:spacing w:after="0"/>
              <w:rPr>
                <w:sz w:val="20"/>
                <w:szCs w:val="20"/>
                <w:color w:val="auto"/>
              </w:rPr>
            </w:pPr>
            <w:r>
              <w:rPr>
                <w:rFonts w:ascii="Arial" w:cs="Arial" w:eastAsia="Arial" w:hAnsi="Arial"/>
                <w:sz w:val="14"/>
                <w:szCs w:val="14"/>
                <w:color w:val="auto"/>
              </w:rPr>
              <w:t>223,247</w:t>
            </w:r>
          </w:p>
        </w:tc>
        <w:tc>
          <w:tcPr>
            <w:tcW w:w="0" w:type="dxa"/>
            <w:vAlign w:val="bottom"/>
          </w:tcPr>
          <w:p>
            <w:pPr>
              <w:spacing w:after="0"/>
              <w:rPr>
                <w:sz w:val="1"/>
                <w:szCs w:val="1"/>
                <w:color w:val="auto"/>
              </w:rPr>
            </w:pPr>
          </w:p>
        </w:tc>
      </w:tr>
      <w:tr>
        <w:trPr>
          <w:trHeight w:val="216"/>
        </w:trPr>
        <w:tc>
          <w:tcPr>
            <w:tcW w:w="2480" w:type="dxa"/>
            <w:vAlign w:val="bottom"/>
            <w:shd w:val="clear" w:color="auto" w:fill="D8D8D8"/>
          </w:tcPr>
          <w:p>
            <w:pPr>
              <w:spacing w:after="0"/>
              <w:rPr>
                <w:sz w:val="18"/>
                <w:szCs w:val="18"/>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w:t>
            </w:r>
          </w:p>
        </w:tc>
        <w:tc>
          <w:tcPr>
            <w:tcW w:w="8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72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740" w:type="dxa"/>
            <w:vAlign w:val="bottom"/>
            <w:shd w:val="clear" w:color="auto" w:fill="D8D8D8"/>
          </w:tcPr>
          <w:p>
            <w:pPr>
              <w:spacing w:after="0"/>
              <w:rPr>
                <w:sz w:val="18"/>
                <w:szCs w:val="18"/>
                <w:color w:val="auto"/>
              </w:rPr>
            </w:pPr>
          </w:p>
        </w:tc>
        <w:tc>
          <w:tcPr>
            <w:tcW w:w="60" w:type="dxa"/>
            <w:vAlign w:val="bottom"/>
            <w:shd w:val="clear" w:color="auto" w:fill="D8D8D8"/>
          </w:tcPr>
          <w:p>
            <w:pPr>
              <w:spacing w:after="0"/>
              <w:rPr>
                <w:sz w:val="18"/>
                <w:szCs w:val="18"/>
                <w:color w:val="auto"/>
              </w:rPr>
            </w:pPr>
          </w:p>
        </w:tc>
        <w:tc>
          <w:tcPr>
            <w:tcW w:w="7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68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80" w:type="dxa"/>
            <w:vAlign w:val="bottom"/>
            <w:shd w:val="clear" w:color="auto" w:fill="D8D8D8"/>
          </w:tcPr>
          <w:p>
            <w:pPr>
              <w:spacing w:after="0"/>
              <w:rPr>
                <w:sz w:val="18"/>
                <w:szCs w:val="18"/>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Shares (4)</w:t>
            </w:r>
          </w:p>
        </w:tc>
        <w:tc>
          <w:tcPr>
            <w:tcW w:w="8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72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5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1,727</w:t>
            </w:r>
          </w:p>
        </w:tc>
        <w:tc>
          <w:tcPr>
            <w:tcW w:w="80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5,181</w:t>
            </w:r>
          </w:p>
        </w:tc>
        <w:tc>
          <w:tcPr>
            <w:tcW w:w="72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680" w:type="dxa"/>
            <w:vAlign w:val="bottom"/>
            <w:shd w:val="clear" w:color="auto" w:fill="D8D8D8"/>
          </w:tcPr>
          <w:p>
            <w:pPr>
              <w:ind w:left="80"/>
              <w:spacing w:after="0"/>
              <w:rPr>
                <w:sz w:val="20"/>
                <w:szCs w:val="20"/>
                <w:color w:val="auto"/>
              </w:rPr>
            </w:pPr>
            <w:r>
              <w:rPr>
                <w:rFonts w:ascii="Arial" w:cs="Arial" w:eastAsia="Arial" w:hAnsi="Arial"/>
                <w:sz w:val="14"/>
                <w:szCs w:val="14"/>
                <w:color w:val="auto"/>
              </w:rPr>
              <w:t>256,097</w:t>
            </w:r>
          </w:p>
        </w:tc>
        <w:tc>
          <w:tcPr>
            <w:tcW w:w="0" w:type="dxa"/>
            <w:vAlign w:val="bottom"/>
          </w:tcPr>
          <w:p>
            <w:pPr>
              <w:spacing w:after="0"/>
              <w:rPr>
                <w:sz w:val="1"/>
                <w:szCs w:val="1"/>
                <w:color w:val="auto"/>
              </w:rPr>
            </w:pPr>
          </w:p>
        </w:tc>
      </w:tr>
      <w:tr>
        <w:trPr>
          <w:trHeight w:val="233"/>
        </w:trPr>
        <w:tc>
          <w:tcPr>
            <w:tcW w:w="2480" w:type="dxa"/>
            <w:vAlign w:val="bottom"/>
            <w:tcBorders>
              <w:bottom w:val="single" w:sz="8" w:color="021496"/>
            </w:tcBorders>
            <w:shd w:val="clear" w:color="auto" w:fill="D8D8D8"/>
          </w:tcPr>
          <w:p>
            <w:pPr>
              <w:spacing w:after="0"/>
              <w:rPr>
                <w:sz w:val="20"/>
                <w:szCs w:val="20"/>
                <w:color w:val="auto"/>
              </w:rPr>
            </w:pPr>
          </w:p>
        </w:tc>
        <w:tc>
          <w:tcPr>
            <w:tcW w:w="920" w:type="dxa"/>
            <w:vAlign w:val="bottom"/>
            <w:tcBorders>
              <w:bottom w:val="single" w:sz="8" w:color="021496"/>
            </w:tcBorders>
            <w:shd w:val="clear" w:color="auto" w:fill="D8D8D8"/>
          </w:tcPr>
          <w:p>
            <w:pPr>
              <w:ind w:left="80"/>
              <w:spacing w:after="0"/>
              <w:rPr>
                <w:sz w:val="20"/>
                <w:szCs w:val="20"/>
                <w:color w:val="auto"/>
              </w:rPr>
            </w:pPr>
            <w:r>
              <w:rPr>
                <w:rFonts w:ascii="Arial" w:cs="Arial" w:eastAsia="Arial" w:hAnsi="Arial"/>
                <w:sz w:val="14"/>
                <w:szCs w:val="14"/>
                <w:color w:val="auto"/>
              </w:rPr>
              <w:t>RSU (5)</w:t>
            </w:r>
          </w:p>
        </w:tc>
        <w:tc>
          <w:tcPr>
            <w:tcW w:w="80" w:type="dxa"/>
            <w:vAlign w:val="bottom"/>
            <w:tcBorders>
              <w:bottom w:val="single" w:sz="8" w:color="021496"/>
            </w:tcBorders>
            <w:shd w:val="clear" w:color="auto" w:fill="D8D8D8"/>
          </w:tcPr>
          <w:p>
            <w:pPr>
              <w:spacing w:after="0"/>
              <w:rPr>
                <w:sz w:val="20"/>
                <w:szCs w:val="20"/>
                <w:color w:val="auto"/>
              </w:rPr>
            </w:pPr>
          </w:p>
        </w:tc>
        <w:tc>
          <w:tcPr>
            <w:tcW w:w="800" w:type="dxa"/>
            <w:vAlign w:val="bottom"/>
            <w:tcBorders>
              <w:bottom w:val="single" w:sz="8" w:color="021496"/>
            </w:tcBorders>
            <w:shd w:val="clear" w:color="auto" w:fill="D8D8D8"/>
          </w:tcPr>
          <w:p>
            <w:pPr>
              <w:spacing w:after="0"/>
              <w:rPr>
                <w:sz w:val="20"/>
                <w:szCs w:val="20"/>
                <w:color w:val="auto"/>
              </w:rPr>
            </w:pPr>
          </w:p>
        </w:tc>
        <w:tc>
          <w:tcPr>
            <w:tcW w:w="720" w:type="dxa"/>
            <w:vAlign w:val="bottom"/>
            <w:tcBorders>
              <w:bottom w:val="single" w:sz="8" w:color="021496"/>
            </w:tcBorders>
            <w:shd w:val="clear" w:color="auto" w:fill="D8D8D8"/>
          </w:tcPr>
          <w:p>
            <w:pPr>
              <w:spacing w:after="0"/>
              <w:rPr>
                <w:sz w:val="20"/>
                <w:szCs w:val="20"/>
                <w:color w:val="auto"/>
              </w:rPr>
            </w:pPr>
          </w:p>
        </w:tc>
        <w:tc>
          <w:tcPr>
            <w:tcW w:w="700" w:type="dxa"/>
            <w:vAlign w:val="bottom"/>
            <w:tcBorders>
              <w:bottom w:val="single" w:sz="8" w:color="021496"/>
            </w:tcBorders>
            <w:shd w:val="clear" w:color="auto" w:fill="D8D8D8"/>
          </w:tcPr>
          <w:p>
            <w:pPr>
              <w:spacing w:after="0"/>
              <w:rPr>
                <w:sz w:val="20"/>
                <w:szCs w:val="20"/>
                <w:color w:val="auto"/>
              </w:rPr>
            </w:pPr>
          </w:p>
        </w:tc>
        <w:tc>
          <w:tcPr>
            <w:tcW w:w="120" w:type="dxa"/>
            <w:vAlign w:val="bottom"/>
            <w:tcBorders>
              <w:bottom w:val="single" w:sz="8" w:color="021496"/>
            </w:tcBorders>
            <w:shd w:val="clear" w:color="auto" w:fill="D8D8D8"/>
          </w:tcPr>
          <w:p>
            <w:pPr>
              <w:spacing w:after="0"/>
              <w:rPr>
                <w:sz w:val="20"/>
                <w:szCs w:val="20"/>
                <w:color w:val="auto"/>
              </w:rPr>
            </w:pPr>
          </w:p>
        </w:tc>
        <w:tc>
          <w:tcPr>
            <w:tcW w:w="800" w:type="dxa"/>
            <w:vAlign w:val="bottom"/>
            <w:tcBorders>
              <w:bottom w:val="single" w:sz="8" w:color="021496"/>
            </w:tcBorders>
            <w:shd w:val="clear" w:color="auto" w:fill="D8D8D8"/>
          </w:tcPr>
          <w:p>
            <w:pPr>
              <w:spacing w:after="0"/>
              <w:rPr>
                <w:sz w:val="20"/>
                <w:szCs w:val="20"/>
                <w:color w:val="auto"/>
              </w:rPr>
            </w:pPr>
          </w:p>
        </w:tc>
        <w:tc>
          <w:tcPr>
            <w:tcW w:w="540" w:type="dxa"/>
            <w:vAlign w:val="bottom"/>
            <w:tcBorders>
              <w:bottom w:val="single" w:sz="8" w:color="021496"/>
            </w:tcBorders>
            <w:shd w:val="clear" w:color="auto" w:fill="D8D8D8"/>
          </w:tcPr>
          <w:p>
            <w:pPr>
              <w:spacing w:after="0"/>
              <w:rPr>
                <w:sz w:val="20"/>
                <w:szCs w:val="20"/>
                <w:color w:val="auto"/>
              </w:rPr>
            </w:pPr>
          </w:p>
        </w:tc>
        <w:tc>
          <w:tcPr>
            <w:tcW w:w="740" w:type="dxa"/>
            <w:vAlign w:val="bottom"/>
            <w:tcBorders>
              <w:bottom w:val="single" w:sz="8" w:color="021496"/>
            </w:tcBorders>
            <w:shd w:val="clear" w:color="auto" w:fill="D8D8D8"/>
          </w:tcPr>
          <w:p>
            <w:pPr>
              <w:spacing w:after="0"/>
              <w:rPr>
                <w:sz w:val="20"/>
                <w:szCs w:val="20"/>
                <w:color w:val="auto"/>
              </w:rPr>
            </w:pPr>
          </w:p>
        </w:tc>
        <w:tc>
          <w:tcPr>
            <w:tcW w:w="60" w:type="dxa"/>
            <w:vAlign w:val="bottom"/>
            <w:tcBorders>
              <w:bottom w:val="single" w:sz="8" w:color="021496"/>
            </w:tcBorders>
            <w:shd w:val="clear" w:color="auto" w:fill="D8D8D8"/>
          </w:tcPr>
          <w:p>
            <w:pPr>
              <w:spacing w:after="0"/>
              <w:rPr>
                <w:sz w:val="20"/>
                <w:szCs w:val="20"/>
                <w:color w:val="auto"/>
              </w:rPr>
            </w:pPr>
          </w:p>
        </w:tc>
        <w:tc>
          <w:tcPr>
            <w:tcW w:w="720" w:type="dxa"/>
            <w:vAlign w:val="bottom"/>
            <w:tcBorders>
              <w:bottom w:val="single" w:sz="8" w:color="021496"/>
            </w:tcBorders>
            <w:shd w:val="clear" w:color="auto" w:fill="D8D8D8"/>
          </w:tcPr>
          <w:p>
            <w:pPr>
              <w:ind w:left="420"/>
              <w:spacing w:after="0"/>
              <w:rPr>
                <w:sz w:val="20"/>
                <w:szCs w:val="20"/>
                <w:color w:val="auto"/>
              </w:rPr>
            </w:pPr>
            <w:r>
              <w:rPr>
                <w:rFonts w:ascii="Arial" w:cs="Arial" w:eastAsia="Arial" w:hAnsi="Arial"/>
                <w:sz w:val="14"/>
                <w:szCs w:val="14"/>
                <w:color w:val="auto"/>
              </w:rPr>
              <w:t>864</w:t>
            </w:r>
          </w:p>
        </w:tc>
        <w:tc>
          <w:tcPr>
            <w:tcW w:w="860" w:type="dxa"/>
            <w:vAlign w:val="bottom"/>
            <w:tcBorders>
              <w:bottom w:val="single" w:sz="8" w:color="021496"/>
            </w:tcBorders>
            <w:shd w:val="clear" w:color="auto" w:fill="D8D8D8"/>
          </w:tcPr>
          <w:p>
            <w:pPr>
              <w:spacing w:after="0"/>
              <w:rPr>
                <w:sz w:val="20"/>
                <w:szCs w:val="20"/>
                <w:color w:val="auto"/>
              </w:rPr>
            </w:pPr>
          </w:p>
        </w:tc>
        <w:tc>
          <w:tcPr>
            <w:tcW w:w="700" w:type="dxa"/>
            <w:vAlign w:val="bottom"/>
            <w:tcBorders>
              <w:bottom w:val="single" w:sz="8" w:color="021496"/>
            </w:tcBorders>
            <w:shd w:val="clear" w:color="auto" w:fill="D8D8D8"/>
          </w:tcPr>
          <w:p>
            <w:pPr>
              <w:spacing w:after="0"/>
              <w:rPr>
                <w:sz w:val="20"/>
                <w:szCs w:val="20"/>
                <w:color w:val="auto"/>
              </w:rPr>
            </w:pPr>
          </w:p>
        </w:tc>
        <w:tc>
          <w:tcPr>
            <w:tcW w:w="680" w:type="dxa"/>
            <w:vAlign w:val="bottom"/>
            <w:tcBorders>
              <w:bottom w:val="single" w:sz="8" w:color="021496"/>
            </w:tcBorders>
            <w:shd w:val="clear" w:color="auto" w:fill="D8D8D8"/>
          </w:tcPr>
          <w:p>
            <w:pPr>
              <w:ind w:left="80"/>
              <w:spacing w:after="0"/>
              <w:rPr>
                <w:sz w:val="20"/>
                <w:szCs w:val="20"/>
                <w:color w:val="auto"/>
              </w:rPr>
            </w:pPr>
            <w:r>
              <w:rPr>
                <w:rFonts w:ascii="Arial" w:cs="Arial" w:eastAsia="Arial" w:hAnsi="Arial"/>
                <w:sz w:val="14"/>
                <w:szCs w:val="14"/>
                <w:color w:val="auto"/>
              </w:rPr>
              <w:t>106,039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-152400</wp:posOffset>
            </wp:positionV>
            <wp:extent cx="53587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58765"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-432435</wp:posOffset>
            </wp:positionV>
            <wp:extent cx="53587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58765"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-576580</wp:posOffset>
            </wp:positionV>
            <wp:extent cx="53587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58765" cy="8255"/>
                    </a:xfrm>
                    <a:prstGeom prst="rect">
                      <a:avLst/>
                    </a:prstGeom>
                    <a:noFill/>
                  </pic:spPr>
                </pic:pic>
              </a:graphicData>
            </a:graphic>
          </wp:anchor>
        </w:drawing>
      </w:r>
    </w:p>
    <w:p>
      <w:pPr>
        <w:spacing w:after="0" w:line="33" w:lineRule="exact"/>
        <w:rPr>
          <w:sz w:val="20"/>
          <w:szCs w:val="20"/>
          <w:color w:val="auto"/>
        </w:rPr>
      </w:pPr>
    </w:p>
    <w:p>
      <w:pPr>
        <w:ind w:left="920" w:right="620" w:hanging="325"/>
        <w:spacing w:after="0" w:line="270" w:lineRule="auto"/>
        <w:tabs>
          <w:tab w:leader="none" w:pos="920"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minimum amount payable for a certain level of performance. Under each of our plans, there is no guaranteed minimum payment.</w:t>
      </w:r>
    </w:p>
    <w:p>
      <w:pPr>
        <w:ind w:left="920" w:right="520" w:hanging="325"/>
        <w:spacing w:after="0" w:line="270" w:lineRule="auto"/>
        <w:tabs>
          <w:tab w:leader="none" w:pos="920"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shown in this row reflect the potential payouts in February 2022 for 2021 under the AIP. The bonus amount actually paid in February 2022 is disclosed in the Summary Compensation Table in the column “Bonus” for 2021 for the executive officer.</w:t>
      </w:r>
    </w:p>
    <w:p>
      <w:pPr>
        <w:ind w:left="920" w:right="620" w:hanging="325"/>
        <w:spacing w:after="0" w:line="270" w:lineRule="auto"/>
        <w:tabs>
          <w:tab w:leader="none" w:pos="920"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SSARs under the 2012 LTIP that will not be exercisable until February 12, 2024. The grant date fair value was calculated in accordance with FASB ASC 718, using a Black-Scholes value of $29.08 per SSAR.</w:t>
      </w:r>
    </w:p>
    <w:p>
      <w:pPr>
        <w:ind w:left="920" w:right="20" w:hanging="325"/>
        <w:spacing w:after="0" w:line="255" w:lineRule="auto"/>
        <w:tabs>
          <w:tab w:leader="none" w:pos="920"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performance shares under the 2012 LTIP. The performance shares vest and become payable after the three-year performance period ending December 31, 2023 subject to the achievement of the applicable performance goal. The performance share awards are considered market condition awards per FASB ASC 718 and the grant date fair value for the awards was $148.29 per share, calculated using the Monte Carlo simulation model in accordance with FASB ASC 718.</w:t>
      </w:r>
    </w:p>
    <w:p>
      <w:pPr>
        <w:spacing w:after="0" w:line="7" w:lineRule="exact"/>
        <w:rPr>
          <w:rFonts w:ascii="Arial" w:cs="Arial" w:eastAsia="Arial" w:hAnsi="Arial"/>
          <w:sz w:val="16"/>
          <w:szCs w:val="16"/>
          <w:i w:val="1"/>
          <w:iCs w:val="1"/>
          <w:color w:val="auto"/>
        </w:rPr>
      </w:pPr>
    </w:p>
    <w:p>
      <w:pPr>
        <w:jc w:val="both"/>
        <w:ind w:left="920" w:right="100" w:hanging="325"/>
        <w:spacing w:after="0" w:line="260" w:lineRule="auto"/>
        <w:tabs>
          <w:tab w:leader="none" w:pos="920"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RSUs under the 2012 LTIP made on February 12, 2021. The grant vests in three equal annual installments beginning on March 15, 2022. The grant date fair value for the awards were calculated in accordance with FASB ASC 718, using a value of $122.73 per share.</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65</w:t>
      </w:r>
    </w:p>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Outstanding Equity Awards at Fiscal Year-End 2021</w:t>
      </w:r>
    </w:p>
    <w:p>
      <w:pPr>
        <w:spacing w:after="0" w:line="251" w:lineRule="exact"/>
        <w:rPr>
          <w:sz w:val="20"/>
          <w:szCs w:val="20"/>
          <w:color w:val="auto"/>
        </w:rPr>
      </w:pPr>
    </w:p>
    <w:p>
      <w:pPr>
        <w:ind w:left="160" w:right="160"/>
        <w:spacing w:after="0" w:line="250" w:lineRule="auto"/>
        <w:rPr>
          <w:sz w:val="20"/>
          <w:szCs w:val="20"/>
          <w:color w:val="auto"/>
        </w:rPr>
      </w:pPr>
      <w:r>
        <w:rPr>
          <w:rFonts w:ascii="Arial" w:cs="Arial" w:eastAsia="Arial" w:hAnsi="Arial"/>
          <w:sz w:val="16"/>
          <w:szCs w:val="16"/>
          <w:color w:val="auto"/>
        </w:rPr>
        <w:t>Awards listed below with grant dates beginning in 2013 were made under the 2012 LTIP. All equity awards outstanding as of May 9, 2018 were adjusted as a result of the spin-off of Apergy to preserve the value of the awards in accordance with the Employee Matters Agreement, dated May 9, 2018, between Dover and Apergy.</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Effective May 7, 2021, we adopted the 2021 LTIP. All future grants of equity awards will be made under the 2021 LTIP.</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47"/>
        </w:trPr>
        <w:tc>
          <w:tcPr>
            <w:tcW w:w="3160" w:type="dxa"/>
            <w:vAlign w:val="bottom"/>
            <w:tcBorders>
              <w:top w:val="single" w:sz="8" w:color="021496"/>
            </w:tcBorders>
          </w:tcPr>
          <w:p>
            <w:pPr>
              <w:spacing w:after="0"/>
              <w:rPr>
                <w:sz w:val="12"/>
                <w:szCs w:val="12"/>
                <w:color w:val="auto"/>
              </w:rPr>
            </w:pPr>
          </w:p>
        </w:tc>
        <w:tc>
          <w:tcPr>
            <w:tcW w:w="940" w:type="dxa"/>
            <w:vAlign w:val="bottom"/>
            <w:tcBorders>
              <w:top w:val="single" w:sz="8" w:color="021496"/>
              <w:bottom w:val="single" w:sz="8" w:color="021496"/>
            </w:tcBorders>
          </w:tcPr>
          <w:p>
            <w:pPr>
              <w:ind w:left="40"/>
              <w:spacing w:after="0"/>
              <w:rPr>
                <w:sz w:val="20"/>
                <w:szCs w:val="20"/>
                <w:color w:val="auto"/>
              </w:rPr>
            </w:pPr>
            <w:r>
              <w:rPr>
                <w:rFonts w:ascii="Arial" w:cs="Arial" w:eastAsia="Arial" w:hAnsi="Arial"/>
                <w:sz w:val="12"/>
                <w:szCs w:val="12"/>
                <w:b w:val="1"/>
                <w:bCs w:val="1"/>
                <w:color w:val="auto"/>
              </w:rPr>
              <w:t>Option Awards</w:t>
            </w:r>
          </w:p>
        </w:tc>
        <w:tc>
          <w:tcPr>
            <w:tcW w:w="1000" w:type="dxa"/>
            <w:vAlign w:val="bottom"/>
            <w:tcBorders>
              <w:top w:val="single" w:sz="8" w:color="021496"/>
              <w:bottom w:val="single" w:sz="8" w:color="021496"/>
            </w:tcBorders>
          </w:tcPr>
          <w:p>
            <w:pPr>
              <w:spacing w:after="0"/>
              <w:rPr>
                <w:sz w:val="12"/>
                <w:szCs w:val="12"/>
                <w:color w:val="auto"/>
              </w:rPr>
            </w:pPr>
          </w:p>
        </w:tc>
        <w:tc>
          <w:tcPr>
            <w:tcW w:w="660" w:type="dxa"/>
            <w:vAlign w:val="bottom"/>
            <w:tcBorders>
              <w:top w:val="single" w:sz="8" w:color="021496"/>
              <w:bottom w:val="single" w:sz="8" w:color="021496"/>
            </w:tcBorders>
          </w:tcPr>
          <w:p>
            <w:pPr>
              <w:spacing w:after="0"/>
              <w:rPr>
                <w:sz w:val="12"/>
                <w:szCs w:val="12"/>
                <w:color w:val="auto"/>
              </w:rPr>
            </w:pPr>
          </w:p>
        </w:tc>
        <w:tc>
          <w:tcPr>
            <w:tcW w:w="800" w:type="dxa"/>
            <w:vAlign w:val="bottom"/>
            <w:tcBorders>
              <w:top w:val="single" w:sz="8" w:color="021496"/>
              <w:bottom w:val="single" w:sz="8" w:color="021496"/>
            </w:tcBorders>
          </w:tcPr>
          <w:p>
            <w:pPr>
              <w:spacing w:after="0"/>
              <w:rPr>
                <w:sz w:val="12"/>
                <w:szCs w:val="12"/>
                <w:color w:val="auto"/>
              </w:rPr>
            </w:pPr>
          </w:p>
        </w:tc>
        <w:tc>
          <w:tcPr>
            <w:tcW w:w="220" w:type="dxa"/>
            <w:vAlign w:val="bottom"/>
            <w:tcBorders>
              <w:top w:val="single" w:sz="8" w:color="021496"/>
            </w:tcBorders>
          </w:tcPr>
          <w:p>
            <w:pPr>
              <w:spacing w:after="0"/>
              <w:rPr>
                <w:sz w:val="12"/>
                <w:szCs w:val="12"/>
                <w:color w:val="auto"/>
              </w:rPr>
            </w:pPr>
          </w:p>
        </w:tc>
        <w:tc>
          <w:tcPr>
            <w:tcW w:w="880" w:type="dxa"/>
            <w:vAlign w:val="bottom"/>
            <w:tcBorders>
              <w:top w:val="single" w:sz="8" w:color="021496"/>
              <w:bottom w:val="single" w:sz="8" w:color="021496"/>
            </w:tcBorders>
          </w:tcPr>
          <w:p>
            <w:pPr>
              <w:ind w:left="40"/>
              <w:spacing w:after="0"/>
              <w:rPr>
                <w:sz w:val="20"/>
                <w:szCs w:val="20"/>
                <w:color w:val="auto"/>
              </w:rPr>
            </w:pPr>
            <w:r>
              <w:rPr>
                <w:rFonts w:ascii="Arial" w:cs="Arial" w:eastAsia="Arial" w:hAnsi="Arial"/>
                <w:sz w:val="12"/>
                <w:szCs w:val="12"/>
                <w:b w:val="1"/>
                <w:bCs w:val="1"/>
                <w:color w:val="auto"/>
              </w:rPr>
              <w:t>Stock Awards</w:t>
            </w:r>
          </w:p>
        </w:tc>
        <w:tc>
          <w:tcPr>
            <w:tcW w:w="1080" w:type="dxa"/>
            <w:vAlign w:val="bottom"/>
            <w:tcBorders>
              <w:top w:val="single" w:sz="8" w:color="021496"/>
              <w:bottom w:val="single" w:sz="8" w:color="021496"/>
            </w:tcBorders>
          </w:tcPr>
          <w:p>
            <w:pPr>
              <w:spacing w:after="0"/>
              <w:rPr>
                <w:sz w:val="12"/>
                <w:szCs w:val="12"/>
                <w:color w:val="auto"/>
              </w:rPr>
            </w:pPr>
          </w:p>
        </w:tc>
        <w:tc>
          <w:tcPr>
            <w:tcW w:w="1040" w:type="dxa"/>
            <w:vAlign w:val="bottom"/>
            <w:tcBorders>
              <w:top w:val="single" w:sz="8" w:color="021496"/>
              <w:bottom w:val="single" w:sz="8" w:color="021496"/>
            </w:tcBorders>
          </w:tcPr>
          <w:p>
            <w:pPr>
              <w:spacing w:after="0"/>
              <w:rPr>
                <w:sz w:val="12"/>
                <w:szCs w:val="12"/>
                <w:color w:val="auto"/>
              </w:rPr>
            </w:pPr>
          </w:p>
        </w:tc>
        <w:tc>
          <w:tcPr>
            <w:tcW w:w="1140" w:type="dxa"/>
            <w:vAlign w:val="bottom"/>
            <w:tcBorders>
              <w:top w:val="single" w:sz="8" w:color="021496"/>
              <w:bottom w:val="single" w:sz="8" w:color="021496"/>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4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Equity</w:t>
            </w:r>
          </w:p>
        </w:tc>
        <w:tc>
          <w:tcPr>
            <w:tcW w:w="1140" w:type="dxa"/>
            <w:vAlign w:val="bottom"/>
          </w:tcPr>
          <w:p>
            <w:pPr>
              <w:ind w:left="40"/>
              <w:spacing w:after="0" w:line="107"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Incentive Plan</w:t>
            </w:r>
          </w:p>
        </w:tc>
        <w:tc>
          <w:tcPr>
            <w:tcW w:w="11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Incentive Plan</w:t>
            </w: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Awards:</w:t>
            </w:r>
          </w:p>
        </w:tc>
        <w:tc>
          <w:tcPr>
            <w:tcW w:w="11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Awards: Market</w:t>
            </w: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Number of</w:t>
            </w:r>
          </w:p>
        </w:tc>
        <w:tc>
          <w:tcPr>
            <w:tcW w:w="11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Payout</w:t>
            </w: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9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Number of</w:t>
            </w:r>
          </w:p>
        </w:tc>
        <w:tc>
          <w:tcPr>
            <w:tcW w:w="10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 of</w:t>
            </w: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Number of</w:t>
            </w:r>
          </w:p>
        </w:tc>
        <w:tc>
          <w:tcPr>
            <w:tcW w:w="1080" w:type="dxa"/>
            <w:vAlign w:val="bottom"/>
          </w:tcPr>
          <w:p>
            <w:pPr>
              <w:spacing w:after="0"/>
              <w:rPr>
                <w:sz w:val="11"/>
                <w:szCs w:val="11"/>
                <w:color w:val="auto"/>
              </w:rPr>
            </w:pPr>
          </w:p>
        </w:tc>
        <w:tc>
          <w:tcPr>
            <w:tcW w:w="10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Unearned</w:t>
            </w:r>
          </w:p>
        </w:tc>
        <w:tc>
          <w:tcPr>
            <w:tcW w:w="11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9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Shares or</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Market Value of</w:t>
            </w:r>
          </w:p>
        </w:tc>
        <w:tc>
          <w:tcPr>
            <w:tcW w:w="10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Shares,</w:t>
            </w:r>
          </w:p>
        </w:tc>
        <w:tc>
          <w:tcPr>
            <w:tcW w:w="11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Unearned</w:t>
            </w: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9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Underlying</w:t>
            </w:r>
          </w:p>
        </w:tc>
        <w:tc>
          <w:tcPr>
            <w:tcW w:w="10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Option</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Units of</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Shares or Units</w:t>
            </w:r>
          </w:p>
        </w:tc>
        <w:tc>
          <w:tcPr>
            <w:tcW w:w="10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Units or</w:t>
            </w:r>
          </w:p>
        </w:tc>
        <w:tc>
          <w:tcPr>
            <w:tcW w:w="11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Shares, Units</w:t>
            </w: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9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Unexercised</w:t>
            </w:r>
          </w:p>
        </w:tc>
        <w:tc>
          <w:tcPr>
            <w:tcW w:w="10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Unexercised</w:t>
            </w:r>
          </w:p>
        </w:tc>
        <w:tc>
          <w:tcPr>
            <w:tcW w:w="6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Exercise</w:t>
            </w:r>
          </w:p>
        </w:tc>
        <w:tc>
          <w:tcPr>
            <w:tcW w:w="10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Option</w:t>
            </w:r>
          </w:p>
        </w:tc>
        <w:tc>
          <w:tcPr>
            <w:tcW w:w="8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Stock That</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 Stock That</w:t>
            </w:r>
          </w:p>
        </w:tc>
        <w:tc>
          <w:tcPr>
            <w:tcW w:w="10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Other Rights</w:t>
            </w:r>
          </w:p>
        </w:tc>
        <w:tc>
          <w:tcPr>
            <w:tcW w:w="11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Other Rights</w:t>
            </w: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9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Options (#)</w:t>
            </w:r>
          </w:p>
        </w:tc>
        <w:tc>
          <w:tcPr>
            <w:tcW w:w="10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Options (#)</w:t>
            </w:r>
          </w:p>
        </w:tc>
        <w:tc>
          <w:tcPr>
            <w:tcW w:w="6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Prices</w:t>
            </w:r>
          </w:p>
        </w:tc>
        <w:tc>
          <w:tcPr>
            <w:tcW w:w="10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Have Not</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Have Not</w:t>
            </w:r>
          </w:p>
        </w:tc>
        <w:tc>
          <w:tcPr>
            <w:tcW w:w="10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That Have</w:t>
            </w:r>
          </w:p>
        </w:tc>
        <w:tc>
          <w:tcPr>
            <w:tcW w:w="11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That Have not</w:t>
            </w:r>
          </w:p>
        </w:tc>
        <w:tc>
          <w:tcPr>
            <w:tcW w:w="0" w:type="dxa"/>
            <w:vAlign w:val="bottom"/>
          </w:tcPr>
          <w:p>
            <w:pPr>
              <w:spacing w:after="0"/>
              <w:rPr>
                <w:sz w:val="1"/>
                <w:szCs w:val="1"/>
                <w:color w:val="auto"/>
              </w:rPr>
            </w:pPr>
          </w:p>
        </w:tc>
      </w:tr>
      <w:tr>
        <w:trPr>
          <w:trHeight w:val="154"/>
        </w:trPr>
        <w:tc>
          <w:tcPr>
            <w:tcW w:w="3160" w:type="dxa"/>
            <w:vAlign w:val="bottom"/>
            <w:tcBorders>
              <w:bottom w:val="single" w:sz="8" w:color="021496"/>
            </w:tcBorders>
          </w:tcPr>
          <w:p>
            <w:pPr>
              <w:ind w:left="80"/>
              <w:spacing w:after="0"/>
              <w:rPr>
                <w:sz w:val="20"/>
                <w:szCs w:val="20"/>
                <w:color w:val="auto"/>
              </w:rPr>
            </w:pPr>
            <w:r>
              <w:rPr>
                <w:rFonts w:ascii="Arial" w:cs="Arial" w:eastAsia="Arial" w:hAnsi="Arial"/>
                <w:sz w:val="12"/>
                <w:szCs w:val="12"/>
                <w:b w:val="1"/>
                <w:bCs w:val="1"/>
                <w:color w:val="auto"/>
              </w:rPr>
              <w:t>Name</w:t>
            </w:r>
          </w:p>
        </w:tc>
        <w:tc>
          <w:tcPr>
            <w:tcW w:w="940" w:type="dxa"/>
            <w:vAlign w:val="bottom"/>
            <w:tcBorders>
              <w:bottom w:val="single" w:sz="8" w:color="021496"/>
            </w:tcBorders>
          </w:tcPr>
          <w:p>
            <w:pPr>
              <w:ind w:left="40"/>
              <w:spacing w:after="0"/>
              <w:rPr>
                <w:sz w:val="20"/>
                <w:szCs w:val="20"/>
                <w:color w:val="auto"/>
              </w:rPr>
            </w:pPr>
            <w:r>
              <w:rPr>
                <w:rFonts w:ascii="Arial" w:cs="Arial" w:eastAsia="Arial" w:hAnsi="Arial"/>
                <w:sz w:val="12"/>
                <w:szCs w:val="12"/>
                <w:b w:val="1"/>
                <w:bCs w:val="1"/>
                <w:color w:val="auto"/>
              </w:rPr>
              <w:t>Exercisable</w:t>
            </w:r>
          </w:p>
        </w:tc>
        <w:tc>
          <w:tcPr>
            <w:tcW w:w="1000" w:type="dxa"/>
            <w:vAlign w:val="bottom"/>
            <w:tcBorders>
              <w:bottom w:val="single" w:sz="8" w:color="021496"/>
            </w:tcBorders>
          </w:tcPr>
          <w:p>
            <w:pPr>
              <w:ind w:left="20"/>
              <w:spacing w:after="0"/>
              <w:rPr>
                <w:sz w:val="20"/>
                <w:szCs w:val="20"/>
                <w:color w:val="auto"/>
              </w:rPr>
            </w:pPr>
            <w:r>
              <w:rPr>
                <w:rFonts w:ascii="Arial" w:cs="Arial" w:eastAsia="Arial" w:hAnsi="Arial"/>
                <w:sz w:val="12"/>
                <w:szCs w:val="12"/>
                <w:b w:val="1"/>
                <w:bCs w:val="1"/>
                <w:color w:val="auto"/>
              </w:rPr>
              <w:t>Unexercisable</w:t>
            </w:r>
          </w:p>
        </w:tc>
        <w:tc>
          <w:tcPr>
            <w:tcW w:w="660" w:type="dxa"/>
            <w:vAlign w:val="bottom"/>
            <w:tcBorders>
              <w:bottom w:val="single" w:sz="8" w:color="021496"/>
            </w:tcBorders>
          </w:tcPr>
          <w:p>
            <w:pPr>
              <w:ind w:left="40"/>
              <w:spacing w:after="0"/>
              <w:rPr>
                <w:sz w:val="20"/>
                <w:szCs w:val="20"/>
                <w:color w:val="auto"/>
              </w:rPr>
            </w:pPr>
            <w:r>
              <w:rPr>
                <w:rFonts w:ascii="Arial" w:cs="Arial" w:eastAsia="Arial" w:hAnsi="Arial"/>
                <w:sz w:val="12"/>
                <w:szCs w:val="12"/>
                <w:b w:val="1"/>
                <w:bCs w:val="1"/>
                <w:color w:val="auto"/>
              </w:rPr>
              <w:t>($)</w:t>
            </w:r>
          </w:p>
        </w:tc>
        <w:tc>
          <w:tcPr>
            <w:tcW w:w="1020" w:type="dxa"/>
            <w:vAlign w:val="bottom"/>
            <w:tcBorders>
              <w:bottom w:val="single" w:sz="8" w:color="021496"/>
            </w:tcBorders>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880" w:type="dxa"/>
            <w:vAlign w:val="bottom"/>
            <w:tcBorders>
              <w:bottom w:val="single" w:sz="8" w:color="021496"/>
            </w:tcBorders>
          </w:tcPr>
          <w:p>
            <w:pPr>
              <w:ind w:left="40"/>
              <w:spacing w:after="0"/>
              <w:rPr>
                <w:sz w:val="20"/>
                <w:szCs w:val="20"/>
                <w:color w:val="auto"/>
              </w:rPr>
            </w:pPr>
            <w:r>
              <w:rPr>
                <w:rFonts w:ascii="Arial" w:cs="Arial" w:eastAsia="Arial" w:hAnsi="Arial"/>
                <w:sz w:val="12"/>
                <w:szCs w:val="12"/>
                <w:b w:val="1"/>
                <w:bCs w:val="1"/>
                <w:color w:val="auto"/>
              </w:rPr>
              <w:t>Vested (#)</w:t>
            </w:r>
          </w:p>
        </w:tc>
        <w:tc>
          <w:tcPr>
            <w:tcW w:w="1080" w:type="dxa"/>
            <w:vAlign w:val="bottom"/>
            <w:tcBorders>
              <w:bottom w:val="single" w:sz="8" w:color="021496"/>
            </w:tcBorders>
          </w:tcPr>
          <w:p>
            <w:pPr>
              <w:ind w:left="20"/>
              <w:spacing w:after="0"/>
              <w:rPr>
                <w:sz w:val="20"/>
                <w:szCs w:val="20"/>
                <w:color w:val="auto"/>
              </w:rPr>
            </w:pPr>
            <w:r>
              <w:rPr>
                <w:rFonts w:ascii="Arial" w:cs="Arial" w:eastAsia="Arial" w:hAnsi="Arial"/>
                <w:sz w:val="12"/>
                <w:szCs w:val="12"/>
                <w:b w:val="1"/>
                <w:bCs w:val="1"/>
                <w:color w:val="auto"/>
              </w:rPr>
              <w:t>Vested ($)</w:t>
            </w:r>
          </w:p>
        </w:tc>
        <w:tc>
          <w:tcPr>
            <w:tcW w:w="1040" w:type="dxa"/>
            <w:vAlign w:val="bottom"/>
            <w:tcBorders>
              <w:bottom w:val="single" w:sz="8" w:color="021496"/>
            </w:tcBorders>
          </w:tcPr>
          <w:p>
            <w:pPr>
              <w:ind w:left="60"/>
              <w:spacing w:after="0"/>
              <w:rPr>
                <w:sz w:val="20"/>
                <w:szCs w:val="20"/>
                <w:color w:val="auto"/>
              </w:rPr>
            </w:pPr>
            <w:r>
              <w:rPr>
                <w:rFonts w:ascii="Arial" w:cs="Arial" w:eastAsia="Arial" w:hAnsi="Arial"/>
                <w:sz w:val="12"/>
                <w:szCs w:val="12"/>
                <w:b w:val="1"/>
                <w:bCs w:val="1"/>
                <w:color w:val="auto"/>
              </w:rPr>
              <w:t>not Vested (#)</w:t>
            </w:r>
          </w:p>
        </w:tc>
        <w:tc>
          <w:tcPr>
            <w:tcW w:w="1140" w:type="dxa"/>
            <w:vAlign w:val="bottom"/>
            <w:tcBorders>
              <w:bottom w:val="single" w:sz="8" w:color="021496"/>
            </w:tcBorders>
          </w:tcPr>
          <w:p>
            <w:pPr>
              <w:ind w:left="40"/>
              <w:spacing w:after="0"/>
              <w:rPr>
                <w:sz w:val="20"/>
                <w:szCs w:val="20"/>
                <w:color w:val="auto"/>
              </w:rPr>
            </w:pPr>
            <w:r>
              <w:rPr>
                <w:rFonts w:ascii="Arial" w:cs="Arial" w:eastAsia="Arial" w:hAnsi="Arial"/>
                <w:sz w:val="12"/>
                <w:szCs w:val="12"/>
                <w:b w:val="1"/>
                <w:bCs w:val="1"/>
                <w:color w:val="auto"/>
              </w:rPr>
              <w:t>Vested ($)</w:t>
            </w:r>
          </w:p>
        </w:tc>
        <w:tc>
          <w:tcPr>
            <w:tcW w:w="0" w:type="dxa"/>
            <w:vAlign w:val="bottom"/>
          </w:tcPr>
          <w:p>
            <w:pPr>
              <w:spacing w:after="0"/>
              <w:rPr>
                <w:sz w:val="1"/>
                <w:szCs w:val="1"/>
                <w:color w:val="auto"/>
              </w:rPr>
            </w:pPr>
          </w:p>
        </w:tc>
      </w:tr>
      <w:tr>
        <w:trPr>
          <w:trHeight w:val="127"/>
        </w:trPr>
        <w:tc>
          <w:tcPr>
            <w:tcW w:w="3160" w:type="dxa"/>
            <w:vAlign w:val="bottom"/>
            <w:shd w:val="clear" w:color="auto" w:fill="D8D8D8"/>
          </w:tcPr>
          <w:p>
            <w:pPr>
              <w:ind w:left="80"/>
              <w:spacing w:after="0" w:line="128" w:lineRule="exact"/>
              <w:rPr>
                <w:sz w:val="20"/>
                <w:szCs w:val="20"/>
                <w:color w:val="auto"/>
              </w:rPr>
            </w:pPr>
            <w:r>
              <w:rPr>
                <w:rFonts w:ascii="Arial" w:cs="Arial" w:eastAsia="Arial" w:hAnsi="Arial"/>
                <w:sz w:val="12"/>
                <w:szCs w:val="12"/>
                <w:color w:val="auto"/>
              </w:rPr>
              <w:t>Richard J. Tobin</w:t>
            </w:r>
          </w:p>
        </w:tc>
        <w:tc>
          <w:tcPr>
            <w:tcW w:w="940" w:type="dxa"/>
            <w:vAlign w:val="bottom"/>
            <w:shd w:val="clear" w:color="auto" w:fill="D8D8D8"/>
          </w:tcPr>
          <w:p>
            <w:pPr>
              <w:spacing w:after="0"/>
              <w:rPr>
                <w:sz w:val="11"/>
                <w:szCs w:val="11"/>
                <w:color w:val="auto"/>
              </w:rPr>
            </w:pPr>
          </w:p>
        </w:tc>
        <w:tc>
          <w:tcPr>
            <w:tcW w:w="1000" w:type="dxa"/>
            <w:vAlign w:val="bottom"/>
            <w:shd w:val="clear" w:color="auto" w:fill="D8D8D8"/>
          </w:tcPr>
          <w:p>
            <w:pPr>
              <w:jc w:val="right"/>
              <w:ind w:right="38"/>
              <w:spacing w:after="0" w:line="128" w:lineRule="exact"/>
              <w:rPr>
                <w:sz w:val="20"/>
                <w:szCs w:val="20"/>
                <w:color w:val="auto"/>
              </w:rPr>
            </w:pPr>
            <w:r>
              <w:rPr>
                <w:rFonts w:ascii="Arial" w:cs="Arial" w:eastAsia="Arial" w:hAnsi="Arial"/>
                <w:sz w:val="12"/>
                <w:szCs w:val="12"/>
                <w:color w:val="auto"/>
              </w:rPr>
              <w:t>123,125 (1)</w:t>
            </w:r>
          </w:p>
        </w:tc>
        <w:tc>
          <w:tcPr>
            <w:tcW w:w="660" w:type="dxa"/>
            <w:vAlign w:val="bottom"/>
            <w:shd w:val="clear" w:color="auto" w:fill="D8D8D8"/>
          </w:tcPr>
          <w:p>
            <w:pPr>
              <w:jc w:val="right"/>
              <w:ind w:right="18"/>
              <w:spacing w:after="0" w:line="128" w:lineRule="exact"/>
              <w:rPr>
                <w:sz w:val="20"/>
                <w:szCs w:val="20"/>
                <w:color w:val="auto"/>
              </w:rPr>
            </w:pPr>
            <w:r>
              <w:rPr>
                <w:rFonts w:ascii="Arial" w:cs="Arial" w:eastAsia="Arial" w:hAnsi="Arial"/>
                <w:sz w:val="12"/>
                <w:szCs w:val="12"/>
                <w:color w:val="auto"/>
              </w:rPr>
              <w:t>122.73</w:t>
            </w:r>
          </w:p>
        </w:tc>
        <w:tc>
          <w:tcPr>
            <w:tcW w:w="800" w:type="dxa"/>
            <w:vAlign w:val="bottom"/>
            <w:shd w:val="clear" w:color="auto" w:fill="D8D8D8"/>
          </w:tcPr>
          <w:p>
            <w:pPr>
              <w:jc w:val="right"/>
              <w:ind w:right="38"/>
              <w:spacing w:after="0" w:line="128" w:lineRule="exact"/>
              <w:rPr>
                <w:sz w:val="20"/>
                <w:szCs w:val="20"/>
                <w:color w:val="auto"/>
              </w:rPr>
            </w:pPr>
            <w:r>
              <w:rPr>
                <w:rFonts w:ascii="Arial" w:cs="Arial" w:eastAsia="Arial" w:hAnsi="Arial"/>
                <w:sz w:val="12"/>
                <w:szCs w:val="12"/>
                <w:color w:val="auto"/>
              </w:rPr>
              <w:t>2/12/2031</w:t>
            </w:r>
          </w:p>
        </w:tc>
        <w:tc>
          <w:tcPr>
            <w:tcW w:w="220" w:type="dxa"/>
            <w:vAlign w:val="bottom"/>
            <w:shd w:val="clear" w:color="auto" w:fill="D8D8D8"/>
          </w:tcPr>
          <w:p>
            <w:pPr>
              <w:spacing w:after="0"/>
              <w:rPr>
                <w:sz w:val="11"/>
                <w:szCs w:val="11"/>
                <w:color w:val="auto"/>
              </w:rPr>
            </w:pPr>
          </w:p>
        </w:tc>
        <w:tc>
          <w:tcPr>
            <w:tcW w:w="880" w:type="dxa"/>
            <w:vAlign w:val="bottom"/>
            <w:shd w:val="clear" w:color="auto" w:fill="D8D8D8"/>
          </w:tcPr>
          <w:p>
            <w:pPr>
              <w:spacing w:after="0"/>
              <w:rPr>
                <w:sz w:val="11"/>
                <w:szCs w:val="11"/>
                <w:color w:val="auto"/>
              </w:rPr>
            </w:pPr>
          </w:p>
        </w:tc>
        <w:tc>
          <w:tcPr>
            <w:tcW w:w="1080" w:type="dxa"/>
            <w:vAlign w:val="bottom"/>
            <w:shd w:val="clear" w:color="auto" w:fill="D8D8D8"/>
          </w:tcPr>
          <w:p>
            <w:pPr>
              <w:spacing w:after="0"/>
              <w:rPr>
                <w:sz w:val="11"/>
                <w:szCs w:val="11"/>
                <w:color w:val="auto"/>
              </w:rPr>
            </w:pPr>
          </w:p>
        </w:tc>
        <w:tc>
          <w:tcPr>
            <w:tcW w:w="1040" w:type="dxa"/>
            <w:vAlign w:val="bottom"/>
            <w:shd w:val="clear" w:color="auto" w:fill="D8D8D8"/>
          </w:tcPr>
          <w:p>
            <w:pPr>
              <w:spacing w:after="0"/>
              <w:rPr>
                <w:sz w:val="11"/>
                <w:szCs w:val="11"/>
                <w:color w:val="auto"/>
              </w:rPr>
            </w:pPr>
          </w:p>
        </w:tc>
        <w:tc>
          <w:tcPr>
            <w:tcW w:w="114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60" w:type="dxa"/>
            <w:vAlign w:val="bottom"/>
            <w:shd w:val="clear" w:color="auto" w:fill="D8D8D8"/>
          </w:tcPr>
          <w:p>
            <w:pPr>
              <w:spacing w:after="0"/>
              <w:rPr>
                <w:sz w:val="12"/>
                <w:szCs w:val="12"/>
                <w:color w:val="auto"/>
              </w:rPr>
            </w:pPr>
          </w:p>
        </w:tc>
        <w:tc>
          <w:tcPr>
            <w:tcW w:w="940" w:type="dxa"/>
            <w:vAlign w:val="bottom"/>
            <w:shd w:val="clear" w:color="auto" w:fill="D8D8D8"/>
          </w:tcPr>
          <w:p>
            <w:pPr>
              <w:spacing w:after="0"/>
              <w:rPr>
                <w:sz w:val="12"/>
                <w:szCs w:val="12"/>
                <w:color w:val="auto"/>
              </w:rPr>
            </w:pPr>
          </w:p>
        </w:tc>
        <w:tc>
          <w:tcPr>
            <w:tcW w:w="100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118,657 (2)</w:t>
            </w:r>
          </w:p>
        </w:tc>
        <w:tc>
          <w:tcPr>
            <w:tcW w:w="660" w:type="dxa"/>
            <w:vAlign w:val="bottom"/>
            <w:shd w:val="clear" w:color="auto" w:fill="D8D8D8"/>
          </w:tcPr>
          <w:p>
            <w:pPr>
              <w:jc w:val="right"/>
              <w:ind w:right="18"/>
              <w:spacing w:after="0"/>
              <w:rPr>
                <w:sz w:val="20"/>
                <w:szCs w:val="20"/>
                <w:color w:val="auto"/>
              </w:rPr>
            </w:pPr>
            <w:r>
              <w:rPr>
                <w:rFonts w:ascii="Arial" w:cs="Arial" w:eastAsia="Arial" w:hAnsi="Arial"/>
                <w:sz w:val="12"/>
                <w:szCs w:val="12"/>
                <w:color w:val="auto"/>
              </w:rPr>
              <w:t>119.86</w:t>
            </w:r>
          </w:p>
        </w:tc>
        <w:tc>
          <w:tcPr>
            <w:tcW w:w="80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2/14/2030</w:t>
            </w: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80" w:type="dxa"/>
            <w:vAlign w:val="bottom"/>
            <w:shd w:val="clear" w:color="auto" w:fill="D8D8D8"/>
          </w:tcPr>
          <w:p>
            <w:pPr>
              <w:spacing w:after="0"/>
              <w:rPr>
                <w:sz w:val="12"/>
                <w:szCs w:val="12"/>
                <w:color w:val="auto"/>
              </w:rPr>
            </w:pPr>
          </w:p>
        </w:tc>
        <w:tc>
          <w:tcPr>
            <w:tcW w:w="1040" w:type="dxa"/>
            <w:vAlign w:val="bottom"/>
            <w:shd w:val="clear" w:color="auto" w:fill="D8D8D8"/>
          </w:tcPr>
          <w:p>
            <w:pPr>
              <w:spacing w:after="0"/>
              <w:rPr>
                <w:sz w:val="12"/>
                <w:szCs w:val="12"/>
                <w:color w:val="auto"/>
              </w:rPr>
            </w:pPr>
          </w:p>
        </w:tc>
        <w:tc>
          <w:tcPr>
            <w:tcW w:w="114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60" w:type="dxa"/>
            <w:vAlign w:val="bottom"/>
            <w:shd w:val="clear" w:color="auto" w:fill="D8D8D8"/>
          </w:tcPr>
          <w:p>
            <w:pPr>
              <w:spacing w:after="0"/>
              <w:rPr>
                <w:sz w:val="12"/>
                <w:szCs w:val="12"/>
                <w:color w:val="auto"/>
              </w:rPr>
            </w:pPr>
          </w:p>
        </w:tc>
        <w:tc>
          <w:tcPr>
            <w:tcW w:w="940" w:type="dxa"/>
            <w:vAlign w:val="bottom"/>
            <w:shd w:val="clear" w:color="auto" w:fill="D8D8D8"/>
          </w:tcPr>
          <w:p>
            <w:pPr>
              <w:spacing w:after="0"/>
              <w:rPr>
                <w:sz w:val="12"/>
                <w:szCs w:val="12"/>
                <w:color w:val="auto"/>
              </w:rPr>
            </w:pPr>
          </w:p>
        </w:tc>
        <w:tc>
          <w:tcPr>
            <w:tcW w:w="100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184,211 (3)</w:t>
            </w:r>
          </w:p>
        </w:tc>
        <w:tc>
          <w:tcPr>
            <w:tcW w:w="660" w:type="dxa"/>
            <w:vAlign w:val="bottom"/>
            <w:shd w:val="clear" w:color="auto" w:fill="D8D8D8"/>
          </w:tcPr>
          <w:p>
            <w:pPr>
              <w:jc w:val="right"/>
              <w:ind w:right="18"/>
              <w:spacing w:after="0"/>
              <w:rPr>
                <w:sz w:val="20"/>
                <w:szCs w:val="20"/>
                <w:color w:val="auto"/>
              </w:rPr>
            </w:pPr>
            <w:r>
              <w:rPr>
                <w:rFonts w:ascii="Arial" w:cs="Arial" w:eastAsia="Arial" w:hAnsi="Arial"/>
                <w:sz w:val="12"/>
                <w:szCs w:val="12"/>
                <w:color w:val="auto"/>
              </w:rPr>
              <w:t>91.20</w:t>
            </w:r>
          </w:p>
        </w:tc>
        <w:tc>
          <w:tcPr>
            <w:tcW w:w="80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2/15/2029</w:t>
            </w: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80" w:type="dxa"/>
            <w:vAlign w:val="bottom"/>
            <w:shd w:val="clear" w:color="auto" w:fill="D8D8D8"/>
          </w:tcPr>
          <w:p>
            <w:pPr>
              <w:spacing w:after="0"/>
              <w:rPr>
                <w:sz w:val="12"/>
                <w:szCs w:val="12"/>
                <w:color w:val="auto"/>
              </w:rPr>
            </w:pPr>
          </w:p>
        </w:tc>
        <w:tc>
          <w:tcPr>
            <w:tcW w:w="1040" w:type="dxa"/>
            <w:vAlign w:val="bottom"/>
            <w:shd w:val="clear" w:color="auto" w:fill="D8D8D8"/>
          </w:tcPr>
          <w:p>
            <w:pPr>
              <w:spacing w:after="0"/>
              <w:rPr>
                <w:sz w:val="12"/>
                <w:szCs w:val="12"/>
                <w:color w:val="auto"/>
              </w:rPr>
            </w:pPr>
          </w:p>
        </w:tc>
        <w:tc>
          <w:tcPr>
            <w:tcW w:w="114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60" w:type="dxa"/>
            <w:vAlign w:val="bottom"/>
            <w:shd w:val="clear" w:color="auto" w:fill="D8D8D8"/>
          </w:tcPr>
          <w:p>
            <w:pPr>
              <w:spacing w:after="0"/>
              <w:rPr>
                <w:sz w:val="12"/>
                <w:szCs w:val="12"/>
                <w:color w:val="auto"/>
              </w:rPr>
            </w:pPr>
          </w:p>
        </w:tc>
        <w:tc>
          <w:tcPr>
            <w:tcW w:w="940" w:type="dxa"/>
            <w:vAlign w:val="bottom"/>
            <w:shd w:val="clear" w:color="auto" w:fill="D8D8D8"/>
          </w:tcPr>
          <w:p>
            <w:pPr>
              <w:jc w:val="right"/>
              <w:ind w:right="78"/>
              <w:spacing w:after="0"/>
              <w:rPr>
                <w:sz w:val="20"/>
                <w:szCs w:val="20"/>
                <w:color w:val="auto"/>
              </w:rPr>
            </w:pPr>
            <w:r>
              <w:rPr>
                <w:rFonts w:ascii="Arial" w:cs="Arial" w:eastAsia="Arial" w:hAnsi="Arial"/>
                <w:sz w:val="12"/>
                <w:szCs w:val="12"/>
                <w:color w:val="auto"/>
              </w:rPr>
              <w:t>210,658 (4)</w:t>
            </w:r>
          </w:p>
        </w:tc>
        <w:tc>
          <w:tcPr>
            <w:tcW w:w="1000" w:type="dxa"/>
            <w:vAlign w:val="bottom"/>
            <w:shd w:val="clear" w:color="auto" w:fill="D8D8D8"/>
          </w:tcPr>
          <w:p>
            <w:pPr>
              <w:spacing w:after="0"/>
              <w:rPr>
                <w:sz w:val="12"/>
                <w:szCs w:val="12"/>
                <w:color w:val="auto"/>
              </w:rPr>
            </w:pPr>
          </w:p>
        </w:tc>
        <w:tc>
          <w:tcPr>
            <w:tcW w:w="660" w:type="dxa"/>
            <w:vAlign w:val="bottom"/>
            <w:shd w:val="clear" w:color="auto" w:fill="D8D8D8"/>
          </w:tcPr>
          <w:p>
            <w:pPr>
              <w:jc w:val="right"/>
              <w:ind w:right="18"/>
              <w:spacing w:after="0"/>
              <w:rPr>
                <w:sz w:val="20"/>
                <w:szCs w:val="20"/>
                <w:color w:val="auto"/>
              </w:rPr>
            </w:pPr>
            <w:r>
              <w:rPr>
                <w:rFonts w:ascii="Arial" w:cs="Arial" w:eastAsia="Arial" w:hAnsi="Arial"/>
                <w:sz w:val="12"/>
                <w:szCs w:val="12"/>
                <w:color w:val="auto"/>
              </w:rPr>
              <w:t>79.75</w:t>
            </w:r>
          </w:p>
        </w:tc>
        <w:tc>
          <w:tcPr>
            <w:tcW w:w="80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5/23/2028</w:t>
            </w:r>
          </w:p>
        </w:tc>
        <w:tc>
          <w:tcPr>
            <w:tcW w:w="220" w:type="dxa"/>
            <w:vAlign w:val="bottom"/>
            <w:shd w:val="clear" w:color="auto" w:fill="D8D8D8"/>
          </w:tcPr>
          <w:p>
            <w:pPr>
              <w:spacing w:after="0"/>
              <w:rPr>
                <w:sz w:val="12"/>
                <w:szCs w:val="12"/>
                <w:color w:val="auto"/>
              </w:rPr>
            </w:pPr>
          </w:p>
        </w:tc>
        <w:tc>
          <w:tcPr>
            <w:tcW w:w="880" w:type="dxa"/>
            <w:vAlign w:val="bottom"/>
            <w:vMerge w:val="restart"/>
            <w:shd w:val="clear" w:color="auto" w:fill="D8D8D8"/>
          </w:tcPr>
          <w:p>
            <w:pPr>
              <w:jc w:val="right"/>
              <w:ind w:right="58"/>
              <w:spacing w:after="0"/>
              <w:rPr>
                <w:sz w:val="20"/>
                <w:szCs w:val="20"/>
                <w:color w:val="auto"/>
              </w:rPr>
            </w:pPr>
            <w:r>
              <w:rPr>
                <w:rFonts w:ascii="Arial" w:cs="Arial" w:eastAsia="Arial" w:hAnsi="Arial"/>
                <w:sz w:val="12"/>
                <w:szCs w:val="12"/>
                <w:color w:val="auto"/>
              </w:rPr>
              <w:t>13,852 (11)</w:t>
            </w:r>
          </w:p>
        </w:tc>
        <w:tc>
          <w:tcPr>
            <w:tcW w:w="1080" w:type="dxa"/>
            <w:vAlign w:val="bottom"/>
            <w:vMerge w:val="restart"/>
            <w:shd w:val="clear" w:color="auto" w:fill="D8D8D8"/>
          </w:tcPr>
          <w:p>
            <w:pPr>
              <w:jc w:val="right"/>
              <w:ind w:right="38"/>
              <w:spacing w:after="0"/>
              <w:rPr>
                <w:sz w:val="20"/>
                <w:szCs w:val="20"/>
                <w:color w:val="auto"/>
              </w:rPr>
            </w:pPr>
            <w:r>
              <w:rPr>
                <w:rFonts w:ascii="Arial" w:cs="Arial" w:eastAsia="Arial" w:hAnsi="Arial"/>
                <w:sz w:val="12"/>
                <w:szCs w:val="12"/>
                <w:color w:val="auto"/>
              </w:rPr>
              <w:t>2,515,523 (15)</w:t>
            </w:r>
          </w:p>
        </w:tc>
        <w:tc>
          <w:tcPr>
            <w:tcW w:w="1040" w:type="dxa"/>
            <w:vAlign w:val="bottom"/>
            <w:vMerge w:val="restart"/>
            <w:shd w:val="clear" w:color="auto" w:fill="D8D8D8"/>
          </w:tcPr>
          <w:p>
            <w:pPr>
              <w:jc w:val="right"/>
              <w:ind w:right="38"/>
              <w:spacing w:after="0"/>
              <w:rPr>
                <w:sz w:val="20"/>
                <w:szCs w:val="20"/>
                <w:color w:val="auto"/>
              </w:rPr>
            </w:pPr>
            <w:r>
              <w:rPr>
                <w:rFonts w:ascii="Arial" w:cs="Arial" w:eastAsia="Arial" w:hAnsi="Arial"/>
                <w:sz w:val="12"/>
                <w:szCs w:val="12"/>
                <w:color w:val="auto"/>
              </w:rPr>
              <w:t>27,703 (16)</w:t>
            </w:r>
          </w:p>
        </w:tc>
        <w:tc>
          <w:tcPr>
            <w:tcW w:w="1140" w:type="dxa"/>
            <w:vAlign w:val="bottom"/>
            <w:vMerge w:val="restart"/>
            <w:shd w:val="clear" w:color="auto" w:fill="D8D8D8"/>
          </w:tcPr>
          <w:p>
            <w:pPr>
              <w:jc w:val="right"/>
              <w:ind w:right="38"/>
              <w:spacing w:after="0"/>
              <w:rPr>
                <w:sz w:val="20"/>
                <w:szCs w:val="20"/>
                <w:color w:val="auto"/>
              </w:rPr>
            </w:pPr>
            <w:r>
              <w:rPr>
                <w:rFonts w:ascii="Arial" w:cs="Arial" w:eastAsia="Arial" w:hAnsi="Arial"/>
                <w:sz w:val="12"/>
                <w:szCs w:val="12"/>
                <w:color w:val="auto"/>
              </w:rPr>
              <w:t>5,030,865 (18)</w:t>
            </w:r>
          </w:p>
        </w:tc>
        <w:tc>
          <w:tcPr>
            <w:tcW w:w="0" w:type="dxa"/>
            <w:vAlign w:val="bottom"/>
          </w:tcPr>
          <w:p>
            <w:pPr>
              <w:spacing w:after="0"/>
              <w:rPr>
                <w:sz w:val="1"/>
                <w:szCs w:val="1"/>
                <w:color w:val="auto"/>
              </w:rPr>
            </w:pPr>
          </w:p>
        </w:tc>
      </w:tr>
      <w:tr>
        <w:trPr>
          <w:trHeight w:val="147"/>
        </w:trPr>
        <w:tc>
          <w:tcPr>
            <w:tcW w:w="3160" w:type="dxa"/>
            <w:vAlign w:val="bottom"/>
            <w:shd w:val="clear" w:color="auto" w:fill="D8D8D8"/>
          </w:tcPr>
          <w:p>
            <w:pPr>
              <w:spacing w:after="0"/>
              <w:rPr>
                <w:sz w:val="12"/>
                <w:szCs w:val="12"/>
                <w:color w:val="auto"/>
              </w:rPr>
            </w:pPr>
          </w:p>
        </w:tc>
        <w:tc>
          <w:tcPr>
            <w:tcW w:w="940" w:type="dxa"/>
            <w:vAlign w:val="bottom"/>
            <w:shd w:val="clear" w:color="auto" w:fill="D8D8D8"/>
          </w:tcPr>
          <w:p>
            <w:pPr>
              <w:spacing w:after="0"/>
              <w:rPr>
                <w:sz w:val="12"/>
                <w:szCs w:val="12"/>
                <w:color w:val="auto"/>
              </w:rPr>
            </w:pPr>
          </w:p>
        </w:tc>
        <w:tc>
          <w:tcPr>
            <w:tcW w:w="100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80" w:type="dxa"/>
            <w:vAlign w:val="bottom"/>
            <w:vMerge w:val="continue"/>
            <w:shd w:val="clear" w:color="auto" w:fill="D8D8D8"/>
          </w:tcPr>
          <w:p>
            <w:pPr>
              <w:spacing w:after="0"/>
              <w:rPr>
                <w:sz w:val="12"/>
                <w:szCs w:val="12"/>
                <w:color w:val="auto"/>
              </w:rPr>
            </w:pPr>
          </w:p>
        </w:tc>
        <w:tc>
          <w:tcPr>
            <w:tcW w:w="1080" w:type="dxa"/>
            <w:vAlign w:val="bottom"/>
            <w:vMerge w:val="continue"/>
            <w:shd w:val="clear" w:color="auto" w:fill="D8D8D8"/>
          </w:tcPr>
          <w:p>
            <w:pPr>
              <w:spacing w:after="0"/>
              <w:rPr>
                <w:sz w:val="12"/>
                <w:szCs w:val="12"/>
                <w:color w:val="auto"/>
              </w:rPr>
            </w:pPr>
          </w:p>
        </w:tc>
        <w:tc>
          <w:tcPr>
            <w:tcW w:w="1040" w:type="dxa"/>
            <w:vAlign w:val="bottom"/>
            <w:vMerge w:val="continue"/>
            <w:shd w:val="clear" w:color="auto" w:fill="D8D8D8"/>
          </w:tcPr>
          <w:p>
            <w:pPr>
              <w:spacing w:after="0"/>
              <w:rPr>
                <w:sz w:val="12"/>
                <w:szCs w:val="12"/>
                <w:color w:val="auto"/>
              </w:rPr>
            </w:pPr>
          </w:p>
        </w:tc>
        <w:tc>
          <w:tcPr>
            <w:tcW w:w="1140" w:type="dxa"/>
            <w:vAlign w:val="bottom"/>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60" w:type="dxa"/>
            <w:vAlign w:val="bottom"/>
            <w:shd w:val="clear" w:color="auto" w:fill="D8D8D8"/>
          </w:tcPr>
          <w:p>
            <w:pPr>
              <w:spacing w:after="0"/>
              <w:rPr>
                <w:sz w:val="12"/>
                <w:szCs w:val="12"/>
                <w:color w:val="auto"/>
              </w:rPr>
            </w:pPr>
          </w:p>
        </w:tc>
        <w:tc>
          <w:tcPr>
            <w:tcW w:w="940" w:type="dxa"/>
            <w:vAlign w:val="bottom"/>
            <w:shd w:val="clear" w:color="auto" w:fill="D8D8D8"/>
          </w:tcPr>
          <w:p>
            <w:pPr>
              <w:spacing w:after="0"/>
              <w:rPr>
                <w:sz w:val="12"/>
                <w:szCs w:val="12"/>
                <w:color w:val="auto"/>
              </w:rPr>
            </w:pPr>
          </w:p>
        </w:tc>
        <w:tc>
          <w:tcPr>
            <w:tcW w:w="100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jc w:val="right"/>
              <w:ind w:right="58"/>
              <w:spacing w:after="0"/>
              <w:rPr>
                <w:sz w:val="20"/>
                <w:szCs w:val="20"/>
                <w:color w:val="auto"/>
              </w:rPr>
            </w:pPr>
            <w:r>
              <w:rPr>
                <w:rFonts w:ascii="Arial" w:cs="Arial" w:eastAsia="Arial" w:hAnsi="Arial"/>
                <w:sz w:val="12"/>
                <w:szCs w:val="12"/>
                <w:color w:val="auto"/>
              </w:rPr>
              <w:t>8,900 (12)</w:t>
            </w:r>
          </w:p>
        </w:tc>
        <w:tc>
          <w:tcPr>
            <w:tcW w:w="108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1,616,240 (15)</w:t>
            </w:r>
          </w:p>
        </w:tc>
        <w:tc>
          <w:tcPr>
            <w:tcW w:w="104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26,698 (17)</w:t>
            </w:r>
          </w:p>
        </w:tc>
        <w:tc>
          <w:tcPr>
            <w:tcW w:w="114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4,848,357 (18)</w:t>
            </w:r>
          </w:p>
        </w:tc>
        <w:tc>
          <w:tcPr>
            <w:tcW w:w="0" w:type="dxa"/>
            <w:vAlign w:val="bottom"/>
          </w:tcPr>
          <w:p>
            <w:pPr>
              <w:spacing w:after="0"/>
              <w:rPr>
                <w:sz w:val="1"/>
                <w:szCs w:val="1"/>
                <w:color w:val="auto"/>
              </w:rPr>
            </w:pPr>
          </w:p>
        </w:tc>
      </w:tr>
      <w:tr>
        <w:trPr>
          <w:trHeight w:val="147"/>
        </w:trPr>
        <w:tc>
          <w:tcPr>
            <w:tcW w:w="3160" w:type="dxa"/>
            <w:vAlign w:val="bottom"/>
            <w:shd w:val="clear" w:color="auto" w:fill="D8D8D8"/>
          </w:tcPr>
          <w:p>
            <w:pPr>
              <w:spacing w:after="0"/>
              <w:rPr>
                <w:sz w:val="12"/>
                <w:szCs w:val="12"/>
                <w:color w:val="auto"/>
              </w:rPr>
            </w:pPr>
          </w:p>
        </w:tc>
        <w:tc>
          <w:tcPr>
            <w:tcW w:w="940" w:type="dxa"/>
            <w:vAlign w:val="bottom"/>
            <w:shd w:val="clear" w:color="auto" w:fill="D8D8D8"/>
          </w:tcPr>
          <w:p>
            <w:pPr>
              <w:spacing w:after="0"/>
              <w:rPr>
                <w:sz w:val="12"/>
                <w:szCs w:val="12"/>
                <w:color w:val="auto"/>
              </w:rPr>
            </w:pPr>
          </w:p>
        </w:tc>
        <w:tc>
          <w:tcPr>
            <w:tcW w:w="100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jc w:val="right"/>
              <w:ind w:right="58"/>
              <w:spacing w:after="0"/>
              <w:rPr>
                <w:sz w:val="20"/>
                <w:szCs w:val="20"/>
                <w:color w:val="auto"/>
              </w:rPr>
            </w:pPr>
            <w:r>
              <w:rPr>
                <w:rFonts w:ascii="Arial" w:cs="Arial" w:eastAsia="Arial" w:hAnsi="Arial"/>
                <w:sz w:val="12"/>
                <w:szCs w:val="12"/>
                <w:color w:val="auto"/>
              </w:rPr>
              <w:t>5,117 (13)</w:t>
            </w:r>
          </w:p>
        </w:tc>
        <w:tc>
          <w:tcPr>
            <w:tcW w:w="108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929,247 (15)</w:t>
            </w:r>
          </w:p>
        </w:tc>
        <w:tc>
          <w:tcPr>
            <w:tcW w:w="1040" w:type="dxa"/>
            <w:vAlign w:val="bottom"/>
            <w:shd w:val="clear" w:color="auto" w:fill="D8D8D8"/>
          </w:tcPr>
          <w:p>
            <w:pPr>
              <w:spacing w:after="0"/>
              <w:rPr>
                <w:sz w:val="12"/>
                <w:szCs w:val="12"/>
                <w:color w:val="auto"/>
              </w:rPr>
            </w:pPr>
          </w:p>
        </w:tc>
        <w:tc>
          <w:tcPr>
            <w:tcW w:w="114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60" w:type="dxa"/>
            <w:vAlign w:val="bottom"/>
            <w:shd w:val="clear" w:color="auto" w:fill="D8D8D8"/>
          </w:tcPr>
          <w:p>
            <w:pPr>
              <w:spacing w:after="0"/>
              <w:rPr>
                <w:sz w:val="12"/>
                <w:szCs w:val="12"/>
                <w:color w:val="auto"/>
              </w:rPr>
            </w:pPr>
          </w:p>
        </w:tc>
        <w:tc>
          <w:tcPr>
            <w:tcW w:w="940" w:type="dxa"/>
            <w:vAlign w:val="bottom"/>
            <w:shd w:val="clear" w:color="auto" w:fill="D8D8D8"/>
          </w:tcPr>
          <w:p>
            <w:pPr>
              <w:spacing w:after="0"/>
              <w:rPr>
                <w:sz w:val="12"/>
                <w:szCs w:val="12"/>
                <w:color w:val="auto"/>
              </w:rPr>
            </w:pPr>
          </w:p>
        </w:tc>
        <w:tc>
          <w:tcPr>
            <w:tcW w:w="100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jc w:val="right"/>
              <w:ind w:right="58"/>
              <w:spacing w:after="0"/>
              <w:rPr>
                <w:sz w:val="20"/>
                <w:szCs w:val="20"/>
                <w:color w:val="auto"/>
              </w:rPr>
            </w:pPr>
            <w:r>
              <w:rPr>
                <w:rFonts w:ascii="Arial" w:cs="Arial" w:eastAsia="Arial" w:hAnsi="Arial"/>
                <w:sz w:val="12"/>
                <w:szCs w:val="12"/>
                <w:color w:val="auto"/>
              </w:rPr>
              <w:t>32,923 (14)</w:t>
            </w:r>
          </w:p>
        </w:tc>
        <w:tc>
          <w:tcPr>
            <w:tcW w:w="108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5,978,817 (15)</w:t>
            </w:r>
          </w:p>
        </w:tc>
        <w:tc>
          <w:tcPr>
            <w:tcW w:w="1040" w:type="dxa"/>
            <w:vAlign w:val="bottom"/>
            <w:shd w:val="clear" w:color="auto" w:fill="D8D8D8"/>
          </w:tcPr>
          <w:p>
            <w:pPr>
              <w:spacing w:after="0"/>
              <w:rPr>
                <w:sz w:val="12"/>
                <w:szCs w:val="12"/>
                <w:color w:val="auto"/>
              </w:rPr>
            </w:pPr>
          </w:p>
        </w:tc>
        <w:tc>
          <w:tcPr>
            <w:tcW w:w="114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60" w:type="dxa"/>
            <w:vAlign w:val="bottom"/>
          </w:tcPr>
          <w:p>
            <w:pPr>
              <w:ind w:left="80"/>
              <w:spacing w:after="0" w:line="134" w:lineRule="exact"/>
              <w:rPr>
                <w:sz w:val="20"/>
                <w:szCs w:val="20"/>
                <w:color w:val="auto"/>
              </w:rPr>
            </w:pPr>
            <w:r>
              <w:rPr>
                <w:rFonts w:ascii="Arial" w:cs="Arial" w:eastAsia="Arial" w:hAnsi="Arial"/>
                <w:sz w:val="12"/>
                <w:szCs w:val="12"/>
                <w:color w:val="auto"/>
              </w:rPr>
              <w:t>Brad M. Cerepak</w:t>
            </w:r>
          </w:p>
        </w:tc>
        <w:tc>
          <w:tcPr>
            <w:tcW w:w="940" w:type="dxa"/>
            <w:vAlign w:val="bottom"/>
            <w:tcBorders>
              <w:bottom w:val="single" w:sz="8" w:color="999999"/>
            </w:tcBorders>
          </w:tcPr>
          <w:p>
            <w:pPr>
              <w:spacing w:after="0"/>
              <w:rPr>
                <w:sz w:val="11"/>
                <w:szCs w:val="11"/>
                <w:color w:val="auto"/>
              </w:rPr>
            </w:pPr>
          </w:p>
        </w:tc>
        <w:tc>
          <w:tcPr>
            <w:tcW w:w="1000" w:type="dxa"/>
            <w:vAlign w:val="bottom"/>
            <w:tcBorders>
              <w:bottom w:val="single" w:sz="8" w:color="999999"/>
            </w:tcBorders>
          </w:tcPr>
          <w:p>
            <w:pPr>
              <w:jc w:val="right"/>
              <w:ind w:right="38"/>
              <w:spacing w:after="0" w:line="134" w:lineRule="exact"/>
              <w:rPr>
                <w:sz w:val="20"/>
                <w:szCs w:val="20"/>
                <w:color w:val="auto"/>
              </w:rPr>
            </w:pPr>
            <w:r>
              <w:rPr>
                <w:rFonts w:ascii="Arial" w:cs="Arial" w:eastAsia="Arial" w:hAnsi="Arial"/>
                <w:sz w:val="12"/>
                <w:szCs w:val="12"/>
                <w:color w:val="auto"/>
              </w:rPr>
              <w:t>30,781 (1)</w:t>
            </w:r>
          </w:p>
        </w:tc>
        <w:tc>
          <w:tcPr>
            <w:tcW w:w="660" w:type="dxa"/>
            <w:vAlign w:val="bottom"/>
            <w:tcBorders>
              <w:bottom w:val="single" w:sz="8" w:color="999999"/>
            </w:tcBorders>
          </w:tcPr>
          <w:p>
            <w:pPr>
              <w:jc w:val="right"/>
              <w:ind w:right="18"/>
              <w:spacing w:after="0" w:line="134" w:lineRule="exact"/>
              <w:rPr>
                <w:sz w:val="20"/>
                <w:szCs w:val="20"/>
                <w:color w:val="auto"/>
              </w:rPr>
            </w:pPr>
            <w:r>
              <w:rPr>
                <w:rFonts w:ascii="Arial" w:cs="Arial" w:eastAsia="Arial" w:hAnsi="Arial"/>
                <w:sz w:val="12"/>
                <w:szCs w:val="12"/>
                <w:color w:val="auto"/>
              </w:rPr>
              <w:t>122.73</w:t>
            </w:r>
          </w:p>
        </w:tc>
        <w:tc>
          <w:tcPr>
            <w:tcW w:w="800" w:type="dxa"/>
            <w:vAlign w:val="bottom"/>
            <w:tcBorders>
              <w:bottom w:val="single" w:sz="8" w:color="999999"/>
            </w:tcBorders>
          </w:tcPr>
          <w:p>
            <w:pPr>
              <w:jc w:val="right"/>
              <w:ind w:right="38"/>
              <w:spacing w:after="0" w:line="134" w:lineRule="exact"/>
              <w:rPr>
                <w:sz w:val="20"/>
                <w:szCs w:val="20"/>
                <w:color w:val="auto"/>
              </w:rPr>
            </w:pPr>
            <w:r>
              <w:rPr>
                <w:rFonts w:ascii="Arial" w:cs="Arial" w:eastAsia="Arial" w:hAnsi="Arial"/>
                <w:sz w:val="12"/>
                <w:szCs w:val="12"/>
                <w:color w:val="auto"/>
              </w:rPr>
              <w:t>2/12/2031</w:t>
            </w:r>
          </w:p>
        </w:tc>
        <w:tc>
          <w:tcPr>
            <w:tcW w:w="220" w:type="dxa"/>
            <w:vAlign w:val="bottom"/>
            <w:tcBorders>
              <w:bottom w:val="single" w:sz="8" w:color="999999"/>
            </w:tcBorders>
          </w:tcPr>
          <w:p>
            <w:pPr>
              <w:spacing w:after="0"/>
              <w:rPr>
                <w:sz w:val="11"/>
                <w:szCs w:val="11"/>
                <w:color w:val="auto"/>
              </w:rPr>
            </w:pPr>
          </w:p>
        </w:tc>
        <w:tc>
          <w:tcPr>
            <w:tcW w:w="880" w:type="dxa"/>
            <w:vAlign w:val="bottom"/>
            <w:tcBorders>
              <w:bottom w:val="single" w:sz="8" w:color="999999"/>
            </w:tcBorders>
          </w:tcPr>
          <w:p>
            <w:pPr>
              <w:spacing w:after="0"/>
              <w:rPr>
                <w:sz w:val="11"/>
                <w:szCs w:val="11"/>
                <w:color w:val="auto"/>
              </w:rPr>
            </w:pPr>
          </w:p>
        </w:tc>
        <w:tc>
          <w:tcPr>
            <w:tcW w:w="1080" w:type="dxa"/>
            <w:vAlign w:val="bottom"/>
            <w:tcBorders>
              <w:bottom w:val="single" w:sz="8" w:color="999999"/>
            </w:tcBorders>
          </w:tcPr>
          <w:p>
            <w:pPr>
              <w:spacing w:after="0"/>
              <w:rPr>
                <w:sz w:val="11"/>
                <w:szCs w:val="11"/>
                <w:color w:val="auto"/>
              </w:rPr>
            </w:pPr>
          </w:p>
        </w:tc>
        <w:tc>
          <w:tcPr>
            <w:tcW w:w="1040" w:type="dxa"/>
            <w:vAlign w:val="bottom"/>
            <w:tcBorders>
              <w:bottom w:val="single" w:sz="8" w:color="999999"/>
            </w:tcBorders>
          </w:tcPr>
          <w:p>
            <w:pPr>
              <w:spacing w:after="0"/>
              <w:rPr>
                <w:sz w:val="11"/>
                <w:szCs w:val="11"/>
                <w:color w:val="auto"/>
              </w:rPr>
            </w:pPr>
          </w:p>
        </w:tc>
        <w:tc>
          <w:tcPr>
            <w:tcW w:w="114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160" w:type="dxa"/>
            <w:vAlign w:val="bottom"/>
          </w:tcPr>
          <w:p>
            <w:pPr>
              <w:spacing w:after="0"/>
              <w:rPr>
                <w:sz w:val="11"/>
                <w:szCs w:val="11"/>
                <w:color w:val="auto"/>
              </w:rPr>
            </w:pPr>
          </w:p>
        </w:tc>
        <w:tc>
          <w:tcPr>
            <w:tcW w:w="940" w:type="dxa"/>
            <w:vAlign w:val="bottom"/>
            <w:tcBorders>
              <w:bottom w:val="single" w:sz="8" w:color="999999"/>
            </w:tcBorders>
          </w:tcPr>
          <w:p>
            <w:pPr>
              <w:spacing w:after="0"/>
              <w:rPr>
                <w:sz w:val="11"/>
                <w:szCs w:val="11"/>
                <w:color w:val="auto"/>
              </w:rPr>
            </w:pPr>
          </w:p>
        </w:tc>
        <w:tc>
          <w:tcPr>
            <w:tcW w:w="1000" w:type="dxa"/>
            <w:vAlign w:val="bottom"/>
            <w:tcBorders>
              <w:bottom w:val="single" w:sz="8" w:color="999999"/>
            </w:tcBorders>
          </w:tcPr>
          <w:p>
            <w:pPr>
              <w:jc w:val="right"/>
              <w:ind w:right="38"/>
              <w:spacing w:after="0" w:line="128" w:lineRule="exact"/>
              <w:rPr>
                <w:sz w:val="20"/>
                <w:szCs w:val="20"/>
                <w:color w:val="auto"/>
              </w:rPr>
            </w:pPr>
            <w:r>
              <w:rPr>
                <w:rFonts w:ascii="Arial" w:cs="Arial" w:eastAsia="Arial" w:hAnsi="Arial"/>
                <w:sz w:val="12"/>
                <w:szCs w:val="12"/>
                <w:color w:val="auto"/>
              </w:rPr>
              <w:t>29,664 (2)</w:t>
            </w:r>
          </w:p>
        </w:tc>
        <w:tc>
          <w:tcPr>
            <w:tcW w:w="660" w:type="dxa"/>
            <w:vAlign w:val="bottom"/>
            <w:tcBorders>
              <w:bottom w:val="single" w:sz="8" w:color="999999"/>
            </w:tcBorders>
          </w:tcPr>
          <w:p>
            <w:pPr>
              <w:jc w:val="right"/>
              <w:ind w:right="18"/>
              <w:spacing w:after="0" w:line="128" w:lineRule="exact"/>
              <w:rPr>
                <w:sz w:val="20"/>
                <w:szCs w:val="20"/>
                <w:color w:val="auto"/>
              </w:rPr>
            </w:pPr>
            <w:r>
              <w:rPr>
                <w:rFonts w:ascii="Arial" w:cs="Arial" w:eastAsia="Arial" w:hAnsi="Arial"/>
                <w:sz w:val="12"/>
                <w:szCs w:val="12"/>
                <w:color w:val="auto"/>
              </w:rPr>
              <w:t>119.86</w:t>
            </w:r>
          </w:p>
        </w:tc>
        <w:tc>
          <w:tcPr>
            <w:tcW w:w="800" w:type="dxa"/>
            <w:vAlign w:val="bottom"/>
            <w:tcBorders>
              <w:bottom w:val="single" w:sz="8" w:color="999999"/>
            </w:tcBorders>
          </w:tcPr>
          <w:p>
            <w:pPr>
              <w:jc w:val="right"/>
              <w:ind w:right="38"/>
              <w:spacing w:after="0" w:line="128" w:lineRule="exact"/>
              <w:rPr>
                <w:sz w:val="20"/>
                <w:szCs w:val="20"/>
                <w:color w:val="auto"/>
              </w:rPr>
            </w:pPr>
            <w:r>
              <w:rPr>
                <w:rFonts w:ascii="Arial" w:cs="Arial" w:eastAsia="Arial" w:hAnsi="Arial"/>
                <w:sz w:val="12"/>
                <w:szCs w:val="12"/>
                <w:color w:val="auto"/>
              </w:rPr>
              <w:t>2/14/2030</w:t>
            </w:r>
          </w:p>
        </w:tc>
        <w:tc>
          <w:tcPr>
            <w:tcW w:w="220" w:type="dxa"/>
            <w:vAlign w:val="bottom"/>
            <w:tcBorders>
              <w:bottom w:val="single" w:sz="8" w:color="999999"/>
            </w:tcBorders>
          </w:tcPr>
          <w:p>
            <w:pPr>
              <w:spacing w:after="0"/>
              <w:rPr>
                <w:sz w:val="11"/>
                <w:szCs w:val="11"/>
                <w:color w:val="auto"/>
              </w:rPr>
            </w:pPr>
          </w:p>
        </w:tc>
        <w:tc>
          <w:tcPr>
            <w:tcW w:w="880" w:type="dxa"/>
            <w:vAlign w:val="bottom"/>
            <w:tcBorders>
              <w:bottom w:val="single" w:sz="8" w:color="999999"/>
            </w:tcBorders>
          </w:tcPr>
          <w:p>
            <w:pPr>
              <w:spacing w:after="0"/>
              <w:rPr>
                <w:sz w:val="11"/>
                <w:szCs w:val="11"/>
                <w:color w:val="auto"/>
              </w:rPr>
            </w:pPr>
          </w:p>
        </w:tc>
        <w:tc>
          <w:tcPr>
            <w:tcW w:w="1080" w:type="dxa"/>
            <w:vAlign w:val="bottom"/>
            <w:tcBorders>
              <w:bottom w:val="single" w:sz="8" w:color="999999"/>
            </w:tcBorders>
          </w:tcPr>
          <w:p>
            <w:pPr>
              <w:spacing w:after="0"/>
              <w:rPr>
                <w:sz w:val="11"/>
                <w:szCs w:val="11"/>
                <w:color w:val="auto"/>
              </w:rPr>
            </w:pPr>
          </w:p>
        </w:tc>
        <w:tc>
          <w:tcPr>
            <w:tcW w:w="1040" w:type="dxa"/>
            <w:vAlign w:val="bottom"/>
            <w:tcBorders>
              <w:bottom w:val="single" w:sz="8" w:color="999999"/>
            </w:tcBorders>
          </w:tcPr>
          <w:p>
            <w:pPr>
              <w:spacing w:after="0"/>
              <w:rPr>
                <w:sz w:val="11"/>
                <w:szCs w:val="11"/>
                <w:color w:val="auto"/>
              </w:rPr>
            </w:pPr>
          </w:p>
        </w:tc>
        <w:tc>
          <w:tcPr>
            <w:tcW w:w="114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160" w:type="dxa"/>
            <w:vAlign w:val="bottom"/>
          </w:tcPr>
          <w:p>
            <w:pPr>
              <w:spacing w:after="0"/>
              <w:rPr>
                <w:sz w:val="11"/>
                <w:szCs w:val="11"/>
                <w:color w:val="auto"/>
              </w:rPr>
            </w:pPr>
          </w:p>
        </w:tc>
        <w:tc>
          <w:tcPr>
            <w:tcW w:w="940" w:type="dxa"/>
            <w:vAlign w:val="bottom"/>
            <w:tcBorders>
              <w:bottom w:val="single" w:sz="8" w:color="999999"/>
            </w:tcBorders>
          </w:tcPr>
          <w:p>
            <w:pPr>
              <w:spacing w:after="0"/>
              <w:rPr>
                <w:sz w:val="11"/>
                <w:szCs w:val="11"/>
                <w:color w:val="auto"/>
              </w:rPr>
            </w:pPr>
          </w:p>
        </w:tc>
        <w:tc>
          <w:tcPr>
            <w:tcW w:w="1000" w:type="dxa"/>
            <w:vAlign w:val="bottom"/>
            <w:tcBorders>
              <w:bottom w:val="single" w:sz="8" w:color="999999"/>
            </w:tcBorders>
          </w:tcPr>
          <w:p>
            <w:pPr>
              <w:jc w:val="right"/>
              <w:ind w:right="38"/>
              <w:spacing w:after="0" w:line="128" w:lineRule="exact"/>
              <w:rPr>
                <w:sz w:val="20"/>
                <w:szCs w:val="20"/>
                <w:color w:val="auto"/>
              </w:rPr>
            </w:pPr>
            <w:r>
              <w:rPr>
                <w:rFonts w:ascii="Arial" w:cs="Arial" w:eastAsia="Arial" w:hAnsi="Arial"/>
                <w:sz w:val="12"/>
                <w:szCs w:val="12"/>
                <w:color w:val="auto"/>
              </w:rPr>
              <w:t>52,632 (3)</w:t>
            </w:r>
          </w:p>
        </w:tc>
        <w:tc>
          <w:tcPr>
            <w:tcW w:w="660" w:type="dxa"/>
            <w:vAlign w:val="bottom"/>
            <w:tcBorders>
              <w:bottom w:val="single" w:sz="8" w:color="999999"/>
            </w:tcBorders>
          </w:tcPr>
          <w:p>
            <w:pPr>
              <w:jc w:val="right"/>
              <w:ind w:right="18"/>
              <w:spacing w:after="0" w:line="128" w:lineRule="exact"/>
              <w:rPr>
                <w:sz w:val="20"/>
                <w:szCs w:val="20"/>
                <w:color w:val="auto"/>
              </w:rPr>
            </w:pPr>
            <w:r>
              <w:rPr>
                <w:rFonts w:ascii="Arial" w:cs="Arial" w:eastAsia="Arial" w:hAnsi="Arial"/>
                <w:sz w:val="12"/>
                <w:szCs w:val="12"/>
                <w:color w:val="auto"/>
              </w:rPr>
              <w:t>91.20</w:t>
            </w:r>
          </w:p>
        </w:tc>
        <w:tc>
          <w:tcPr>
            <w:tcW w:w="800" w:type="dxa"/>
            <w:vAlign w:val="bottom"/>
            <w:tcBorders>
              <w:bottom w:val="single" w:sz="8" w:color="999999"/>
            </w:tcBorders>
          </w:tcPr>
          <w:p>
            <w:pPr>
              <w:jc w:val="right"/>
              <w:ind w:right="38"/>
              <w:spacing w:after="0" w:line="128" w:lineRule="exact"/>
              <w:rPr>
                <w:sz w:val="20"/>
                <w:szCs w:val="20"/>
                <w:color w:val="auto"/>
              </w:rPr>
            </w:pPr>
            <w:r>
              <w:rPr>
                <w:rFonts w:ascii="Arial" w:cs="Arial" w:eastAsia="Arial" w:hAnsi="Arial"/>
                <w:sz w:val="12"/>
                <w:szCs w:val="12"/>
                <w:color w:val="auto"/>
              </w:rPr>
              <w:t>2/15/2029</w:t>
            </w:r>
          </w:p>
        </w:tc>
        <w:tc>
          <w:tcPr>
            <w:tcW w:w="220" w:type="dxa"/>
            <w:vAlign w:val="bottom"/>
            <w:tcBorders>
              <w:bottom w:val="single" w:sz="8" w:color="999999"/>
            </w:tcBorders>
          </w:tcPr>
          <w:p>
            <w:pPr>
              <w:spacing w:after="0"/>
              <w:rPr>
                <w:sz w:val="11"/>
                <w:szCs w:val="11"/>
                <w:color w:val="auto"/>
              </w:rPr>
            </w:pPr>
          </w:p>
        </w:tc>
        <w:tc>
          <w:tcPr>
            <w:tcW w:w="880" w:type="dxa"/>
            <w:vAlign w:val="bottom"/>
            <w:tcBorders>
              <w:bottom w:val="single" w:sz="8" w:color="999999"/>
            </w:tcBorders>
          </w:tcPr>
          <w:p>
            <w:pPr>
              <w:spacing w:after="0"/>
              <w:rPr>
                <w:sz w:val="11"/>
                <w:szCs w:val="11"/>
                <w:color w:val="auto"/>
              </w:rPr>
            </w:pPr>
          </w:p>
        </w:tc>
        <w:tc>
          <w:tcPr>
            <w:tcW w:w="1080" w:type="dxa"/>
            <w:vAlign w:val="bottom"/>
            <w:tcBorders>
              <w:bottom w:val="single" w:sz="8" w:color="999999"/>
            </w:tcBorders>
          </w:tcPr>
          <w:p>
            <w:pPr>
              <w:spacing w:after="0"/>
              <w:rPr>
                <w:sz w:val="11"/>
                <w:szCs w:val="11"/>
                <w:color w:val="auto"/>
              </w:rPr>
            </w:pPr>
          </w:p>
        </w:tc>
        <w:tc>
          <w:tcPr>
            <w:tcW w:w="1040" w:type="dxa"/>
            <w:vAlign w:val="bottom"/>
            <w:tcBorders>
              <w:bottom w:val="single" w:sz="8" w:color="999999"/>
            </w:tcBorders>
          </w:tcPr>
          <w:p>
            <w:pPr>
              <w:spacing w:after="0"/>
              <w:rPr>
                <w:sz w:val="11"/>
                <w:szCs w:val="11"/>
                <w:color w:val="auto"/>
              </w:rPr>
            </w:pPr>
          </w:p>
        </w:tc>
        <w:tc>
          <w:tcPr>
            <w:tcW w:w="114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160" w:type="dxa"/>
            <w:vAlign w:val="bottom"/>
          </w:tcPr>
          <w:p>
            <w:pPr>
              <w:spacing w:after="0"/>
              <w:rPr>
                <w:sz w:val="11"/>
                <w:szCs w:val="11"/>
                <w:color w:val="auto"/>
              </w:rPr>
            </w:pPr>
          </w:p>
        </w:tc>
        <w:tc>
          <w:tcPr>
            <w:tcW w:w="940" w:type="dxa"/>
            <w:vAlign w:val="bottom"/>
            <w:tcBorders>
              <w:bottom w:val="single" w:sz="8" w:color="999999"/>
            </w:tcBorders>
          </w:tcPr>
          <w:p>
            <w:pPr>
              <w:jc w:val="right"/>
              <w:ind w:right="78"/>
              <w:spacing w:after="0" w:line="128" w:lineRule="exact"/>
              <w:rPr>
                <w:sz w:val="20"/>
                <w:szCs w:val="20"/>
                <w:color w:val="auto"/>
              </w:rPr>
            </w:pPr>
            <w:r>
              <w:rPr>
                <w:rFonts w:ascii="Arial" w:cs="Arial" w:eastAsia="Arial" w:hAnsi="Arial"/>
                <w:sz w:val="12"/>
                <w:szCs w:val="12"/>
                <w:color w:val="auto"/>
              </w:rPr>
              <w:t>58,478 (5)</w:t>
            </w:r>
          </w:p>
        </w:tc>
        <w:tc>
          <w:tcPr>
            <w:tcW w:w="1000" w:type="dxa"/>
            <w:vAlign w:val="bottom"/>
            <w:tcBorders>
              <w:bottom w:val="single" w:sz="8" w:color="999999"/>
            </w:tcBorders>
          </w:tcPr>
          <w:p>
            <w:pPr>
              <w:spacing w:after="0"/>
              <w:rPr>
                <w:sz w:val="11"/>
                <w:szCs w:val="11"/>
                <w:color w:val="auto"/>
              </w:rPr>
            </w:pPr>
          </w:p>
        </w:tc>
        <w:tc>
          <w:tcPr>
            <w:tcW w:w="660" w:type="dxa"/>
            <w:vAlign w:val="bottom"/>
            <w:tcBorders>
              <w:bottom w:val="single" w:sz="8" w:color="999999"/>
            </w:tcBorders>
          </w:tcPr>
          <w:p>
            <w:pPr>
              <w:jc w:val="right"/>
              <w:ind w:right="18"/>
              <w:spacing w:after="0" w:line="128" w:lineRule="exact"/>
              <w:rPr>
                <w:sz w:val="20"/>
                <w:szCs w:val="20"/>
                <w:color w:val="auto"/>
              </w:rPr>
            </w:pPr>
            <w:r>
              <w:rPr>
                <w:rFonts w:ascii="Arial" w:cs="Arial" w:eastAsia="Arial" w:hAnsi="Arial"/>
                <w:sz w:val="12"/>
                <w:szCs w:val="12"/>
                <w:color w:val="auto"/>
              </w:rPr>
              <w:t>82.09</w:t>
            </w:r>
          </w:p>
        </w:tc>
        <w:tc>
          <w:tcPr>
            <w:tcW w:w="800" w:type="dxa"/>
            <w:vAlign w:val="bottom"/>
            <w:tcBorders>
              <w:bottom w:val="single" w:sz="8" w:color="999999"/>
            </w:tcBorders>
          </w:tcPr>
          <w:p>
            <w:pPr>
              <w:jc w:val="right"/>
              <w:ind w:right="38"/>
              <w:spacing w:after="0" w:line="128" w:lineRule="exact"/>
              <w:rPr>
                <w:sz w:val="20"/>
                <w:szCs w:val="20"/>
                <w:color w:val="auto"/>
              </w:rPr>
            </w:pPr>
            <w:r>
              <w:rPr>
                <w:rFonts w:ascii="Arial" w:cs="Arial" w:eastAsia="Arial" w:hAnsi="Arial"/>
                <w:sz w:val="12"/>
                <w:szCs w:val="12"/>
                <w:color w:val="auto"/>
              </w:rPr>
              <w:t>2/9/2028</w:t>
            </w:r>
          </w:p>
        </w:tc>
        <w:tc>
          <w:tcPr>
            <w:tcW w:w="220" w:type="dxa"/>
            <w:vAlign w:val="bottom"/>
            <w:tcBorders>
              <w:bottom w:val="single" w:sz="8" w:color="999999"/>
            </w:tcBorders>
          </w:tcPr>
          <w:p>
            <w:pPr>
              <w:spacing w:after="0"/>
              <w:rPr>
                <w:sz w:val="11"/>
                <w:szCs w:val="11"/>
                <w:color w:val="auto"/>
              </w:rPr>
            </w:pPr>
          </w:p>
        </w:tc>
        <w:tc>
          <w:tcPr>
            <w:tcW w:w="880" w:type="dxa"/>
            <w:vAlign w:val="bottom"/>
            <w:tcBorders>
              <w:bottom w:val="single" w:sz="8" w:color="999999"/>
            </w:tcBorders>
          </w:tcPr>
          <w:p>
            <w:pPr>
              <w:spacing w:after="0"/>
              <w:rPr>
                <w:sz w:val="11"/>
                <w:szCs w:val="11"/>
                <w:color w:val="auto"/>
              </w:rPr>
            </w:pPr>
          </w:p>
        </w:tc>
        <w:tc>
          <w:tcPr>
            <w:tcW w:w="1080" w:type="dxa"/>
            <w:vAlign w:val="bottom"/>
            <w:tcBorders>
              <w:bottom w:val="single" w:sz="8" w:color="999999"/>
            </w:tcBorders>
          </w:tcPr>
          <w:p>
            <w:pPr>
              <w:spacing w:after="0"/>
              <w:rPr>
                <w:sz w:val="11"/>
                <w:szCs w:val="11"/>
                <w:color w:val="auto"/>
              </w:rPr>
            </w:pPr>
          </w:p>
        </w:tc>
        <w:tc>
          <w:tcPr>
            <w:tcW w:w="1040" w:type="dxa"/>
            <w:vAlign w:val="bottom"/>
            <w:tcBorders>
              <w:bottom w:val="single" w:sz="8" w:color="999999"/>
            </w:tcBorders>
          </w:tcPr>
          <w:p>
            <w:pPr>
              <w:spacing w:after="0"/>
              <w:rPr>
                <w:sz w:val="11"/>
                <w:szCs w:val="11"/>
                <w:color w:val="auto"/>
              </w:rPr>
            </w:pPr>
          </w:p>
        </w:tc>
        <w:tc>
          <w:tcPr>
            <w:tcW w:w="114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160" w:type="dxa"/>
            <w:vAlign w:val="bottom"/>
          </w:tcPr>
          <w:p>
            <w:pPr>
              <w:spacing w:after="0"/>
              <w:rPr>
                <w:sz w:val="11"/>
                <w:szCs w:val="11"/>
                <w:color w:val="auto"/>
              </w:rPr>
            </w:pPr>
          </w:p>
        </w:tc>
        <w:tc>
          <w:tcPr>
            <w:tcW w:w="940" w:type="dxa"/>
            <w:vAlign w:val="bottom"/>
            <w:tcBorders>
              <w:bottom w:val="single" w:sz="8" w:color="999999"/>
            </w:tcBorders>
          </w:tcPr>
          <w:p>
            <w:pPr>
              <w:jc w:val="right"/>
              <w:ind w:right="78"/>
              <w:spacing w:after="0" w:line="128" w:lineRule="exact"/>
              <w:rPr>
                <w:sz w:val="20"/>
                <w:szCs w:val="20"/>
                <w:color w:val="auto"/>
              </w:rPr>
            </w:pPr>
            <w:r>
              <w:rPr>
                <w:rFonts w:ascii="Arial" w:cs="Arial" w:eastAsia="Arial" w:hAnsi="Arial"/>
                <w:sz w:val="12"/>
                <w:szCs w:val="12"/>
                <w:color w:val="auto"/>
              </w:rPr>
              <w:t>71,806 (6)</w:t>
            </w:r>
          </w:p>
        </w:tc>
        <w:tc>
          <w:tcPr>
            <w:tcW w:w="1000" w:type="dxa"/>
            <w:vAlign w:val="bottom"/>
            <w:tcBorders>
              <w:bottom w:val="single" w:sz="8" w:color="999999"/>
            </w:tcBorders>
          </w:tcPr>
          <w:p>
            <w:pPr>
              <w:spacing w:after="0"/>
              <w:rPr>
                <w:sz w:val="11"/>
                <w:szCs w:val="11"/>
                <w:color w:val="auto"/>
              </w:rPr>
            </w:pPr>
          </w:p>
        </w:tc>
        <w:tc>
          <w:tcPr>
            <w:tcW w:w="660" w:type="dxa"/>
            <w:vAlign w:val="bottom"/>
            <w:tcBorders>
              <w:bottom w:val="single" w:sz="8" w:color="999999"/>
            </w:tcBorders>
          </w:tcPr>
          <w:p>
            <w:pPr>
              <w:jc w:val="right"/>
              <w:ind w:right="18"/>
              <w:spacing w:after="0" w:line="128" w:lineRule="exact"/>
              <w:rPr>
                <w:sz w:val="20"/>
                <w:szCs w:val="20"/>
                <w:color w:val="auto"/>
              </w:rPr>
            </w:pPr>
            <w:r>
              <w:rPr>
                <w:rFonts w:ascii="Arial" w:cs="Arial" w:eastAsia="Arial" w:hAnsi="Arial"/>
                <w:sz w:val="12"/>
                <w:szCs w:val="12"/>
                <w:color w:val="auto"/>
              </w:rPr>
              <w:t>66.85</w:t>
            </w:r>
          </w:p>
        </w:tc>
        <w:tc>
          <w:tcPr>
            <w:tcW w:w="800" w:type="dxa"/>
            <w:vAlign w:val="bottom"/>
            <w:tcBorders>
              <w:bottom w:val="single" w:sz="8" w:color="999999"/>
            </w:tcBorders>
          </w:tcPr>
          <w:p>
            <w:pPr>
              <w:jc w:val="right"/>
              <w:ind w:right="38"/>
              <w:spacing w:after="0" w:line="128" w:lineRule="exact"/>
              <w:rPr>
                <w:sz w:val="20"/>
                <w:szCs w:val="20"/>
                <w:color w:val="auto"/>
              </w:rPr>
            </w:pPr>
            <w:r>
              <w:rPr>
                <w:rFonts w:ascii="Arial" w:cs="Arial" w:eastAsia="Arial" w:hAnsi="Arial"/>
                <w:sz w:val="12"/>
                <w:szCs w:val="12"/>
                <w:color w:val="auto"/>
              </w:rPr>
              <w:t>2/10/2027</w:t>
            </w:r>
          </w:p>
        </w:tc>
        <w:tc>
          <w:tcPr>
            <w:tcW w:w="220" w:type="dxa"/>
            <w:vAlign w:val="bottom"/>
            <w:tcBorders>
              <w:bottom w:val="single" w:sz="8" w:color="999999"/>
            </w:tcBorders>
          </w:tcPr>
          <w:p>
            <w:pPr>
              <w:spacing w:after="0"/>
              <w:rPr>
                <w:sz w:val="11"/>
                <w:szCs w:val="11"/>
                <w:color w:val="auto"/>
              </w:rPr>
            </w:pPr>
          </w:p>
        </w:tc>
        <w:tc>
          <w:tcPr>
            <w:tcW w:w="880" w:type="dxa"/>
            <w:vAlign w:val="bottom"/>
            <w:tcBorders>
              <w:bottom w:val="single" w:sz="8" w:color="999999"/>
            </w:tcBorders>
          </w:tcPr>
          <w:p>
            <w:pPr>
              <w:spacing w:after="0"/>
              <w:rPr>
                <w:sz w:val="11"/>
                <w:szCs w:val="11"/>
                <w:color w:val="auto"/>
              </w:rPr>
            </w:pPr>
          </w:p>
        </w:tc>
        <w:tc>
          <w:tcPr>
            <w:tcW w:w="1080" w:type="dxa"/>
            <w:vAlign w:val="bottom"/>
            <w:tcBorders>
              <w:bottom w:val="single" w:sz="8" w:color="999999"/>
            </w:tcBorders>
          </w:tcPr>
          <w:p>
            <w:pPr>
              <w:spacing w:after="0"/>
              <w:rPr>
                <w:sz w:val="11"/>
                <w:szCs w:val="11"/>
                <w:color w:val="auto"/>
              </w:rPr>
            </w:pPr>
          </w:p>
        </w:tc>
        <w:tc>
          <w:tcPr>
            <w:tcW w:w="1040" w:type="dxa"/>
            <w:vAlign w:val="bottom"/>
            <w:tcBorders>
              <w:bottom w:val="single" w:sz="8" w:color="999999"/>
            </w:tcBorders>
          </w:tcPr>
          <w:p>
            <w:pPr>
              <w:spacing w:after="0"/>
              <w:rPr>
                <w:sz w:val="11"/>
                <w:szCs w:val="11"/>
                <w:color w:val="auto"/>
              </w:rPr>
            </w:pPr>
          </w:p>
        </w:tc>
        <w:tc>
          <w:tcPr>
            <w:tcW w:w="114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160" w:type="dxa"/>
            <w:vAlign w:val="bottom"/>
          </w:tcPr>
          <w:p>
            <w:pPr>
              <w:spacing w:after="0"/>
              <w:rPr>
                <w:sz w:val="11"/>
                <w:szCs w:val="11"/>
                <w:color w:val="auto"/>
              </w:rPr>
            </w:pPr>
          </w:p>
        </w:tc>
        <w:tc>
          <w:tcPr>
            <w:tcW w:w="940" w:type="dxa"/>
            <w:vAlign w:val="bottom"/>
            <w:tcBorders>
              <w:bottom w:val="single" w:sz="8" w:color="999999"/>
            </w:tcBorders>
          </w:tcPr>
          <w:p>
            <w:pPr>
              <w:jc w:val="right"/>
              <w:ind w:right="78"/>
              <w:spacing w:after="0" w:line="128" w:lineRule="exact"/>
              <w:rPr>
                <w:sz w:val="20"/>
                <w:szCs w:val="20"/>
                <w:color w:val="auto"/>
              </w:rPr>
            </w:pPr>
            <w:r>
              <w:rPr>
                <w:rFonts w:ascii="Arial" w:cs="Arial" w:eastAsia="Arial" w:hAnsi="Arial"/>
                <w:sz w:val="12"/>
                <w:szCs w:val="12"/>
                <w:color w:val="auto"/>
              </w:rPr>
              <w:t>91,981 (7)</w:t>
            </w:r>
          </w:p>
        </w:tc>
        <w:tc>
          <w:tcPr>
            <w:tcW w:w="1000" w:type="dxa"/>
            <w:vAlign w:val="bottom"/>
            <w:tcBorders>
              <w:bottom w:val="single" w:sz="8" w:color="999999"/>
            </w:tcBorders>
          </w:tcPr>
          <w:p>
            <w:pPr>
              <w:spacing w:after="0"/>
              <w:rPr>
                <w:sz w:val="11"/>
                <w:szCs w:val="11"/>
                <w:color w:val="auto"/>
              </w:rPr>
            </w:pPr>
          </w:p>
        </w:tc>
        <w:tc>
          <w:tcPr>
            <w:tcW w:w="660" w:type="dxa"/>
            <w:vAlign w:val="bottom"/>
            <w:tcBorders>
              <w:bottom w:val="single" w:sz="8" w:color="999999"/>
            </w:tcBorders>
          </w:tcPr>
          <w:p>
            <w:pPr>
              <w:jc w:val="right"/>
              <w:ind w:right="18"/>
              <w:spacing w:after="0" w:line="128" w:lineRule="exact"/>
              <w:rPr>
                <w:sz w:val="20"/>
                <w:szCs w:val="20"/>
                <w:color w:val="auto"/>
              </w:rPr>
            </w:pPr>
            <w:r>
              <w:rPr>
                <w:rFonts w:ascii="Arial" w:cs="Arial" w:eastAsia="Arial" w:hAnsi="Arial"/>
                <w:sz w:val="12"/>
                <w:szCs w:val="12"/>
                <w:color w:val="auto"/>
              </w:rPr>
              <w:t>48.28</w:t>
            </w:r>
          </w:p>
        </w:tc>
        <w:tc>
          <w:tcPr>
            <w:tcW w:w="800" w:type="dxa"/>
            <w:vAlign w:val="bottom"/>
            <w:tcBorders>
              <w:bottom w:val="single" w:sz="8" w:color="999999"/>
            </w:tcBorders>
          </w:tcPr>
          <w:p>
            <w:pPr>
              <w:jc w:val="right"/>
              <w:ind w:right="38"/>
              <w:spacing w:after="0" w:line="128" w:lineRule="exact"/>
              <w:rPr>
                <w:sz w:val="20"/>
                <w:szCs w:val="20"/>
                <w:color w:val="auto"/>
              </w:rPr>
            </w:pPr>
            <w:r>
              <w:rPr>
                <w:rFonts w:ascii="Arial" w:cs="Arial" w:eastAsia="Arial" w:hAnsi="Arial"/>
                <w:sz w:val="12"/>
                <w:szCs w:val="12"/>
                <w:color w:val="auto"/>
              </w:rPr>
              <w:t>2/11/2026</w:t>
            </w:r>
          </w:p>
        </w:tc>
        <w:tc>
          <w:tcPr>
            <w:tcW w:w="220" w:type="dxa"/>
            <w:vAlign w:val="bottom"/>
            <w:tcBorders>
              <w:bottom w:val="single" w:sz="8" w:color="999999"/>
            </w:tcBorders>
          </w:tcPr>
          <w:p>
            <w:pPr>
              <w:spacing w:after="0"/>
              <w:rPr>
                <w:sz w:val="11"/>
                <w:szCs w:val="11"/>
                <w:color w:val="auto"/>
              </w:rPr>
            </w:pPr>
          </w:p>
        </w:tc>
        <w:tc>
          <w:tcPr>
            <w:tcW w:w="880" w:type="dxa"/>
            <w:vAlign w:val="bottom"/>
            <w:tcBorders>
              <w:bottom w:val="single" w:sz="8" w:color="999999"/>
            </w:tcBorders>
          </w:tcPr>
          <w:p>
            <w:pPr>
              <w:spacing w:after="0"/>
              <w:rPr>
                <w:sz w:val="11"/>
                <w:szCs w:val="11"/>
                <w:color w:val="auto"/>
              </w:rPr>
            </w:pPr>
          </w:p>
        </w:tc>
        <w:tc>
          <w:tcPr>
            <w:tcW w:w="1080" w:type="dxa"/>
            <w:vAlign w:val="bottom"/>
            <w:tcBorders>
              <w:bottom w:val="single" w:sz="8" w:color="999999"/>
            </w:tcBorders>
          </w:tcPr>
          <w:p>
            <w:pPr>
              <w:spacing w:after="0"/>
              <w:rPr>
                <w:sz w:val="11"/>
                <w:szCs w:val="11"/>
                <w:color w:val="auto"/>
              </w:rPr>
            </w:pPr>
          </w:p>
        </w:tc>
        <w:tc>
          <w:tcPr>
            <w:tcW w:w="1040" w:type="dxa"/>
            <w:vAlign w:val="bottom"/>
            <w:tcBorders>
              <w:bottom w:val="single" w:sz="8" w:color="999999"/>
            </w:tcBorders>
          </w:tcPr>
          <w:p>
            <w:pPr>
              <w:spacing w:after="0"/>
              <w:rPr>
                <w:sz w:val="11"/>
                <w:szCs w:val="11"/>
                <w:color w:val="auto"/>
              </w:rPr>
            </w:pPr>
          </w:p>
        </w:tc>
        <w:tc>
          <w:tcPr>
            <w:tcW w:w="114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160" w:type="dxa"/>
            <w:vAlign w:val="bottom"/>
          </w:tcPr>
          <w:p>
            <w:pPr>
              <w:spacing w:after="0"/>
              <w:rPr>
                <w:sz w:val="11"/>
                <w:szCs w:val="11"/>
                <w:color w:val="auto"/>
              </w:rPr>
            </w:pPr>
          </w:p>
        </w:tc>
        <w:tc>
          <w:tcPr>
            <w:tcW w:w="940" w:type="dxa"/>
            <w:vAlign w:val="bottom"/>
            <w:tcBorders>
              <w:bottom w:val="single" w:sz="8" w:color="999999"/>
            </w:tcBorders>
          </w:tcPr>
          <w:p>
            <w:pPr>
              <w:jc w:val="right"/>
              <w:ind w:right="78"/>
              <w:spacing w:after="0" w:line="128" w:lineRule="exact"/>
              <w:rPr>
                <w:sz w:val="20"/>
                <w:szCs w:val="20"/>
                <w:color w:val="auto"/>
              </w:rPr>
            </w:pPr>
            <w:r>
              <w:rPr>
                <w:rFonts w:ascii="Arial" w:cs="Arial" w:eastAsia="Arial" w:hAnsi="Arial"/>
                <w:sz w:val="12"/>
                <w:szCs w:val="12"/>
                <w:color w:val="auto"/>
              </w:rPr>
              <w:t>71,860 (8)</w:t>
            </w:r>
          </w:p>
        </w:tc>
        <w:tc>
          <w:tcPr>
            <w:tcW w:w="1000" w:type="dxa"/>
            <w:vAlign w:val="bottom"/>
            <w:tcBorders>
              <w:bottom w:val="single" w:sz="8" w:color="999999"/>
            </w:tcBorders>
          </w:tcPr>
          <w:p>
            <w:pPr>
              <w:spacing w:after="0"/>
              <w:rPr>
                <w:sz w:val="11"/>
                <w:szCs w:val="11"/>
                <w:color w:val="auto"/>
              </w:rPr>
            </w:pPr>
          </w:p>
        </w:tc>
        <w:tc>
          <w:tcPr>
            <w:tcW w:w="660" w:type="dxa"/>
            <w:vAlign w:val="bottom"/>
            <w:tcBorders>
              <w:bottom w:val="single" w:sz="8" w:color="999999"/>
            </w:tcBorders>
          </w:tcPr>
          <w:p>
            <w:pPr>
              <w:jc w:val="right"/>
              <w:ind w:right="18"/>
              <w:spacing w:after="0" w:line="128" w:lineRule="exact"/>
              <w:rPr>
                <w:sz w:val="20"/>
                <w:szCs w:val="20"/>
                <w:color w:val="auto"/>
              </w:rPr>
            </w:pPr>
            <w:r>
              <w:rPr>
                <w:rFonts w:ascii="Arial" w:cs="Arial" w:eastAsia="Arial" w:hAnsi="Arial"/>
                <w:sz w:val="12"/>
                <w:szCs w:val="12"/>
                <w:color w:val="auto"/>
              </w:rPr>
              <w:t>61.79</w:t>
            </w:r>
          </w:p>
        </w:tc>
        <w:tc>
          <w:tcPr>
            <w:tcW w:w="800" w:type="dxa"/>
            <w:vAlign w:val="bottom"/>
            <w:tcBorders>
              <w:bottom w:val="single" w:sz="8" w:color="999999"/>
            </w:tcBorders>
          </w:tcPr>
          <w:p>
            <w:pPr>
              <w:jc w:val="right"/>
              <w:ind w:right="38"/>
              <w:spacing w:after="0" w:line="128" w:lineRule="exact"/>
              <w:rPr>
                <w:sz w:val="20"/>
                <w:szCs w:val="20"/>
                <w:color w:val="auto"/>
              </w:rPr>
            </w:pPr>
            <w:r>
              <w:rPr>
                <w:rFonts w:ascii="Arial" w:cs="Arial" w:eastAsia="Arial" w:hAnsi="Arial"/>
                <w:sz w:val="12"/>
                <w:szCs w:val="12"/>
                <w:color w:val="auto"/>
              </w:rPr>
              <w:t>2/12/2025</w:t>
            </w:r>
          </w:p>
        </w:tc>
        <w:tc>
          <w:tcPr>
            <w:tcW w:w="220" w:type="dxa"/>
            <w:vAlign w:val="bottom"/>
            <w:tcBorders>
              <w:bottom w:val="single" w:sz="8" w:color="999999"/>
            </w:tcBorders>
          </w:tcPr>
          <w:p>
            <w:pPr>
              <w:spacing w:after="0"/>
              <w:rPr>
                <w:sz w:val="11"/>
                <w:szCs w:val="11"/>
                <w:color w:val="auto"/>
              </w:rPr>
            </w:pPr>
          </w:p>
        </w:tc>
        <w:tc>
          <w:tcPr>
            <w:tcW w:w="880" w:type="dxa"/>
            <w:vAlign w:val="bottom"/>
            <w:tcBorders>
              <w:bottom w:val="single" w:sz="8" w:color="999999"/>
            </w:tcBorders>
          </w:tcPr>
          <w:p>
            <w:pPr>
              <w:spacing w:after="0"/>
              <w:rPr>
                <w:sz w:val="11"/>
                <w:szCs w:val="11"/>
                <w:color w:val="auto"/>
              </w:rPr>
            </w:pPr>
          </w:p>
        </w:tc>
        <w:tc>
          <w:tcPr>
            <w:tcW w:w="1080" w:type="dxa"/>
            <w:vAlign w:val="bottom"/>
            <w:tcBorders>
              <w:bottom w:val="single" w:sz="8" w:color="999999"/>
            </w:tcBorders>
          </w:tcPr>
          <w:p>
            <w:pPr>
              <w:spacing w:after="0"/>
              <w:rPr>
                <w:sz w:val="11"/>
                <w:szCs w:val="11"/>
                <w:color w:val="auto"/>
              </w:rPr>
            </w:pPr>
          </w:p>
        </w:tc>
        <w:tc>
          <w:tcPr>
            <w:tcW w:w="1040" w:type="dxa"/>
            <w:vAlign w:val="bottom"/>
            <w:tcBorders>
              <w:bottom w:val="single" w:sz="8" w:color="999999"/>
            </w:tcBorders>
          </w:tcPr>
          <w:p>
            <w:pPr>
              <w:spacing w:after="0"/>
              <w:rPr>
                <w:sz w:val="11"/>
                <w:szCs w:val="11"/>
                <w:color w:val="auto"/>
              </w:rPr>
            </w:pPr>
          </w:p>
        </w:tc>
        <w:tc>
          <w:tcPr>
            <w:tcW w:w="114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160" w:type="dxa"/>
            <w:vAlign w:val="bottom"/>
          </w:tcPr>
          <w:p>
            <w:pPr>
              <w:spacing w:after="0"/>
              <w:rPr>
                <w:sz w:val="11"/>
                <w:szCs w:val="11"/>
                <w:color w:val="auto"/>
              </w:rPr>
            </w:pPr>
          </w:p>
        </w:tc>
        <w:tc>
          <w:tcPr>
            <w:tcW w:w="940" w:type="dxa"/>
            <w:vAlign w:val="bottom"/>
            <w:tcBorders>
              <w:bottom w:val="single" w:sz="8" w:color="999999"/>
            </w:tcBorders>
          </w:tcPr>
          <w:p>
            <w:pPr>
              <w:spacing w:after="0"/>
              <w:rPr>
                <w:sz w:val="11"/>
                <w:szCs w:val="11"/>
                <w:color w:val="auto"/>
              </w:rPr>
            </w:pPr>
          </w:p>
        </w:tc>
        <w:tc>
          <w:tcPr>
            <w:tcW w:w="1000" w:type="dxa"/>
            <w:vAlign w:val="bottom"/>
            <w:tcBorders>
              <w:bottom w:val="single" w:sz="8" w:color="999999"/>
            </w:tcBorders>
          </w:tcPr>
          <w:p>
            <w:pPr>
              <w:spacing w:after="0"/>
              <w:rPr>
                <w:sz w:val="11"/>
                <w:szCs w:val="11"/>
                <w:color w:val="auto"/>
              </w:rPr>
            </w:pPr>
          </w:p>
        </w:tc>
        <w:tc>
          <w:tcPr>
            <w:tcW w:w="660" w:type="dxa"/>
            <w:vAlign w:val="bottom"/>
            <w:tcBorders>
              <w:bottom w:val="single" w:sz="8" w:color="999999"/>
            </w:tcBorders>
          </w:tcPr>
          <w:p>
            <w:pPr>
              <w:spacing w:after="0"/>
              <w:rPr>
                <w:sz w:val="11"/>
                <w:szCs w:val="11"/>
                <w:color w:val="auto"/>
              </w:rPr>
            </w:pPr>
          </w:p>
        </w:tc>
        <w:tc>
          <w:tcPr>
            <w:tcW w:w="800" w:type="dxa"/>
            <w:vAlign w:val="bottom"/>
            <w:tcBorders>
              <w:bottom w:val="single" w:sz="8" w:color="999999"/>
            </w:tcBorders>
          </w:tcPr>
          <w:p>
            <w:pPr>
              <w:spacing w:after="0"/>
              <w:rPr>
                <w:sz w:val="11"/>
                <w:szCs w:val="11"/>
                <w:color w:val="auto"/>
              </w:rPr>
            </w:pPr>
          </w:p>
        </w:tc>
        <w:tc>
          <w:tcPr>
            <w:tcW w:w="220" w:type="dxa"/>
            <w:vAlign w:val="bottom"/>
            <w:tcBorders>
              <w:bottom w:val="single" w:sz="8" w:color="999999"/>
            </w:tcBorders>
          </w:tcPr>
          <w:p>
            <w:pPr>
              <w:spacing w:after="0"/>
              <w:rPr>
                <w:sz w:val="11"/>
                <w:szCs w:val="11"/>
                <w:color w:val="auto"/>
              </w:rPr>
            </w:pPr>
          </w:p>
        </w:tc>
        <w:tc>
          <w:tcPr>
            <w:tcW w:w="880" w:type="dxa"/>
            <w:vAlign w:val="bottom"/>
            <w:tcBorders>
              <w:bottom w:val="single" w:sz="8" w:color="999999"/>
            </w:tcBorders>
          </w:tcPr>
          <w:p>
            <w:pPr>
              <w:jc w:val="right"/>
              <w:ind w:right="58"/>
              <w:spacing w:after="0" w:line="128" w:lineRule="exact"/>
              <w:rPr>
                <w:sz w:val="20"/>
                <w:szCs w:val="20"/>
                <w:color w:val="auto"/>
              </w:rPr>
            </w:pPr>
            <w:r>
              <w:rPr>
                <w:rFonts w:ascii="Arial" w:cs="Arial" w:eastAsia="Arial" w:hAnsi="Arial"/>
                <w:sz w:val="12"/>
                <w:szCs w:val="12"/>
                <w:color w:val="auto"/>
              </w:rPr>
              <w:t>3,463 (11)</w:t>
            </w:r>
          </w:p>
        </w:tc>
        <w:tc>
          <w:tcPr>
            <w:tcW w:w="1080" w:type="dxa"/>
            <w:vAlign w:val="bottom"/>
            <w:tcBorders>
              <w:bottom w:val="single" w:sz="8" w:color="999999"/>
            </w:tcBorders>
          </w:tcPr>
          <w:p>
            <w:pPr>
              <w:jc w:val="right"/>
              <w:ind w:right="38"/>
              <w:spacing w:after="0" w:line="128" w:lineRule="exact"/>
              <w:rPr>
                <w:sz w:val="20"/>
                <w:szCs w:val="20"/>
                <w:color w:val="auto"/>
              </w:rPr>
            </w:pPr>
            <w:r>
              <w:rPr>
                <w:rFonts w:ascii="Arial" w:cs="Arial" w:eastAsia="Arial" w:hAnsi="Arial"/>
                <w:sz w:val="12"/>
                <w:szCs w:val="12"/>
                <w:color w:val="auto"/>
              </w:rPr>
              <w:t>628,881 (15)</w:t>
            </w:r>
          </w:p>
        </w:tc>
        <w:tc>
          <w:tcPr>
            <w:tcW w:w="1040" w:type="dxa"/>
            <w:vAlign w:val="bottom"/>
            <w:tcBorders>
              <w:bottom w:val="single" w:sz="8" w:color="999999"/>
            </w:tcBorders>
          </w:tcPr>
          <w:p>
            <w:pPr>
              <w:jc w:val="right"/>
              <w:ind w:right="38"/>
              <w:spacing w:after="0" w:line="128" w:lineRule="exact"/>
              <w:rPr>
                <w:sz w:val="20"/>
                <w:szCs w:val="20"/>
                <w:color w:val="auto"/>
              </w:rPr>
            </w:pPr>
            <w:r>
              <w:rPr>
                <w:rFonts w:ascii="Arial" w:cs="Arial" w:eastAsia="Arial" w:hAnsi="Arial"/>
                <w:sz w:val="12"/>
                <w:szCs w:val="12"/>
                <w:color w:val="auto"/>
              </w:rPr>
              <w:t>6,926 (16)</w:t>
            </w:r>
          </w:p>
        </w:tc>
        <w:tc>
          <w:tcPr>
            <w:tcW w:w="1140" w:type="dxa"/>
            <w:vAlign w:val="bottom"/>
            <w:tcBorders>
              <w:bottom w:val="single" w:sz="8" w:color="999999"/>
            </w:tcBorders>
          </w:tcPr>
          <w:p>
            <w:pPr>
              <w:jc w:val="right"/>
              <w:ind w:right="38"/>
              <w:spacing w:after="0" w:line="128" w:lineRule="exact"/>
              <w:rPr>
                <w:sz w:val="20"/>
                <w:szCs w:val="20"/>
                <w:color w:val="auto"/>
              </w:rPr>
            </w:pPr>
            <w:r>
              <w:rPr>
                <w:rFonts w:ascii="Arial" w:cs="Arial" w:eastAsia="Arial" w:hAnsi="Arial"/>
                <w:sz w:val="12"/>
                <w:szCs w:val="12"/>
                <w:color w:val="auto"/>
              </w:rPr>
              <w:t>1,257,762 (18)</w:t>
            </w:r>
          </w:p>
        </w:tc>
        <w:tc>
          <w:tcPr>
            <w:tcW w:w="0" w:type="dxa"/>
            <w:vAlign w:val="bottom"/>
          </w:tcPr>
          <w:p>
            <w:pPr>
              <w:spacing w:after="0"/>
              <w:rPr>
                <w:sz w:val="1"/>
                <w:szCs w:val="1"/>
                <w:color w:val="auto"/>
              </w:rPr>
            </w:pPr>
          </w:p>
        </w:tc>
      </w:tr>
      <w:tr>
        <w:trPr>
          <w:trHeight w:val="127"/>
        </w:trPr>
        <w:tc>
          <w:tcPr>
            <w:tcW w:w="3160" w:type="dxa"/>
            <w:vAlign w:val="bottom"/>
          </w:tcPr>
          <w:p>
            <w:pPr>
              <w:spacing w:after="0"/>
              <w:rPr>
                <w:sz w:val="11"/>
                <w:szCs w:val="11"/>
                <w:color w:val="auto"/>
              </w:rPr>
            </w:pPr>
          </w:p>
        </w:tc>
        <w:tc>
          <w:tcPr>
            <w:tcW w:w="940" w:type="dxa"/>
            <w:vAlign w:val="bottom"/>
            <w:tcBorders>
              <w:bottom w:val="single" w:sz="8" w:color="999999"/>
            </w:tcBorders>
          </w:tcPr>
          <w:p>
            <w:pPr>
              <w:spacing w:after="0"/>
              <w:rPr>
                <w:sz w:val="11"/>
                <w:szCs w:val="11"/>
                <w:color w:val="auto"/>
              </w:rPr>
            </w:pPr>
          </w:p>
        </w:tc>
        <w:tc>
          <w:tcPr>
            <w:tcW w:w="1000" w:type="dxa"/>
            <w:vAlign w:val="bottom"/>
            <w:tcBorders>
              <w:bottom w:val="single" w:sz="8" w:color="999999"/>
            </w:tcBorders>
          </w:tcPr>
          <w:p>
            <w:pPr>
              <w:spacing w:after="0"/>
              <w:rPr>
                <w:sz w:val="11"/>
                <w:szCs w:val="11"/>
                <w:color w:val="auto"/>
              </w:rPr>
            </w:pPr>
          </w:p>
        </w:tc>
        <w:tc>
          <w:tcPr>
            <w:tcW w:w="660" w:type="dxa"/>
            <w:vAlign w:val="bottom"/>
            <w:tcBorders>
              <w:bottom w:val="single" w:sz="8" w:color="999999"/>
            </w:tcBorders>
          </w:tcPr>
          <w:p>
            <w:pPr>
              <w:spacing w:after="0"/>
              <w:rPr>
                <w:sz w:val="11"/>
                <w:szCs w:val="11"/>
                <w:color w:val="auto"/>
              </w:rPr>
            </w:pPr>
          </w:p>
        </w:tc>
        <w:tc>
          <w:tcPr>
            <w:tcW w:w="800" w:type="dxa"/>
            <w:vAlign w:val="bottom"/>
            <w:tcBorders>
              <w:bottom w:val="single" w:sz="8" w:color="999999"/>
            </w:tcBorders>
          </w:tcPr>
          <w:p>
            <w:pPr>
              <w:spacing w:after="0"/>
              <w:rPr>
                <w:sz w:val="11"/>
                <w:szCs w:val="11"/>
                <w:color w:val="auto"/>
              </w:rPr>
            </w:pPr>
          </w:p>
        </w:tc>
        <w:tc>
          <w:tcPr>
            <w:tcW w:w="220" w:type="dxa"/>
            <w:vAlign w:val="bottom"/>
            <w:tcBorders>
              <w:bottom w:val="single" w:sz="8" w:color="999999"/>
            </w:tcBorders>
          </w:tcPr>
          <w:p>
            <w:pPr>
              <w:spacing w:after="0"/>
              <w:rPr>
                <w:sz w:val="11"/>
                <w:szCs w:val="11"/>
                <w:color w:val="auto"/>
              </w:rPr>
            </w:pPr>
          </w:p>
        </w:tc>
        <w:tc>
          <w:tcPr>
            <w:tcW w:w="880" w:type="dxa"/>
            <w:vAlign w:val="bottom"/>
            <w:tcBorders>
              <w:bottom w:val="single" w:sz="8" w:color="999999"/>
            </w:tcBorders>
          </w:tcPr>
          <w:p>
            <w:pPr>
              <w:jc w:val="right"/>
              <w:ind w:right="58"/>
              <w:spacing w:after="0" w:line="128" w:lineRule="exact"/>
              <w:rPr>
                <w:sz w:val="20"/>
                <w:szCs w:val="20"/>
                <w:color w:val="auto"/>
              </w:rPr>
            </w:pPr>
            <w:r>
              <w:rPr>
                <w:rFonts w:ascii="Arial" w:cs="Arial" w:eastAsia="Arial" w:hAnsi="Arial"/>
                <w:sz w:val="12"/>
                <w:szCs w:val="12"/>
                <w:color w:val="auto"/>
              </w:rPr>
              <w:t>2,225 (12)</w:t>
            </w:r>
          </w:p>
        </w:tc>
        <w:tc>
          <w:tcPr>
            <w:tcW w:w="1080" w:type="dxa"/>
            <w:vAlign w:val="bottom"/>
            <w:tcBorders>
              <w:bottom w:val="single" w:sz="8" w:color="999999"/>
            </w:tcBorders>
          </w:tcPr>
          <w:p>
            <w:pPr>
              <w:jc w:val="right"/>
              <w:ind w:right="38"/>
              <w:spacing w:after="0" w:line="128" w:lineRule="exact"/>
              <w:rPr>
                <w:sz w:val="20"/>
                <w:szCs w:val="20"/>
                <w:color w:val="auto"/>
              </w:rPr>
            </w:pPr>
            <w:r>
              <w:rPr>
                <w:rFonts w:ascii="Arial" w:cs="Arial" w:eastAsia="Arial" w:hAnsi="Arial"/>
                <w:sz w:val="12"/>
                <w:szCs w:val="12"/>
                <w:color w:val="auto"/>
              </w:rPr>
              <w:t>404,060 (15)</w:t>
            </w:r>
          </w:p>
        </w:tc>
        <w:tc>
          <w:tcPr>
            <w:tcW w:w="1040" w:type="dxa"/>
            <w:vAlign w:val="bottom"/>
            <w:tcBorders>
              <w:bottom w:val="single" w:sz="8" w:color="999999"/>
            </w:tcBorders>
          </w:tcPr>
          <w:p>
            <w:pPr>
              <w:jc w:val="right"/>
              <w:ind w:right="38"/>
              <w:spacing w:after="0" w:line="128" w:lineRule="exact"/>
              <w:rPr>
                <w:sz w:val="20"/>
                <w:szCs w:val="20"/>
                <w:color w:val="auto"/>
              </w:rPr>
            </w:pPr>
            <w:r>
              <w:rPr>
                <w:rFonts w:ascii="Arial" w:cs="Arial" w:eastAsia="Arial" w:hAnsi="Arial"/>
                <w:sz w:val="12"/>
                <w:szCs w:val="12"/>
                <w:color w:val="auto"/>
              </w:rPr>
              <w:t>6,674 (17)</w:t>
            </w:r>
          </w:p>
        </w:tc>
        <w:tc>
          <w:tcPr>
            <w:tcW w:w="1140" w:type="dxa"/>
            <w:vAlign w:val="bottom"/>
            <w:tcBorders>
              <w:bottom w:val="single" w:sz="8" w:color="999999"/>
            </w:tcBorders>
          </w:tcPr>
          <w:p>
            <w:pPr>
              <w:jc w:val="right"/>
              <w:ind w:right="38"/>
              <w:spacing w:after="0" w:line="128" w:lineRule="exact"/>
              <w:rPr>
                <w:sz w:val="20"/>
                <w:szCs w:val="20"/>
                <w:color w:val="auto"/>
              </w:rPr>
            </w:pPr>
            <w:r>
              <w:rPr>
                <w:rFonts w:ascii="Arial" w:cs="Arial" w:eastAsia="Arial" w:hAnsi="Arial"/>
                <w:sz w:val="12"/>
                <w:szCs w:val="12"/>
                <w:color w:val="auto"/>
              </w:rPr>
              <w:t>1,211,998 (18)</w:t>
            </w:r>
          </w:p>
        </w:tc>
        <w:tc>
          <w:tcPr>
            <w:tcW w:w="0" w:type="dxa"/>
            <w:vAlign w:val="bottom"/>
          </w:tcPr>
          <w:p>
            <w:pPr>
              <w:spacing w:after="0"/>
              <w:rPr>
                <w:sz w:val="1"/>
                <w:szCs w:val="1"/>
                <w:color w:val="auto"/>
              </w:rPr>
            </w:pPr>
          </w:p>
        </w:tc>
      </w:tr>
      <w:tr>
        <w:trPr>
          <w:trHeight w:val="127"/>
        </w:trPr>
        <w:tc>
          <w:tcPr>
            <w:tcW w:w="3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58"/>
              <w:spacing w:after="0" w:line="128" w:lineRule="exact"/>
              <w:rPr>
                <w:sz w:val="20"/>
                <w:szCs w:val="20"/>
                <w:color w:val="auto"/>
              </w:rPr>
            </w:pPr>
            <w:r>
              <w:rPr>
                <w:rFonts w:ascii="Arial" w:cs="Arial" w:eastAsia="Arial" w:hAnsi="Arial"/>
                <w:sz w:val="12"/>
                <w:szCs w:val="12"/>
                <w:color w:val="auto"/>
              </w:rPr>
              <w:t>1,462 (13)</w:t>
            </w:r>
          </w:p>
        </w:tc>
        <w:tc>
          <w:tcPr>
            <w:tcW w:w="1080" w:type="dxa"/>
            <w:vAlign w:val="bottom"/>
          </w:tcPr>
          <w:p>
            <w:pPr>
              <w:jc w:val="right"/>
              <w:ind w:right="38"/>
              <w:spacing w:after="0" w:line="128" w:lineRule="exact"/>
              <w:rPr>
                <w:sz w:val="20"/>
                <w:szCs w:val="20"/>
                <w:color w:val="auto"/>
              </w:rPr>
            </w:pPr>
            <w:r>
              <w:rPr>
                <w:rFonts w:ascii="Arial" w:cs="Arial" w:eastAsia="Arial" w:hAnsi="Arial"/>
                <w:sz w:val="12"/>
                <w:szCs w:val="12"/>
                <w:color w:val="auto"/>
              </w:rPr>
              <w:t>265,499 (15)</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60" w:type="dxa"/>
            <w:vAlign w:val="bottom"/>
            <w:shd w:val="clear" w:color="auto" w:fill="D8D8D8"/>
          </w:tcPr>
          <w:p>
            <w:pPr>
              <w:ind w:left="80"/>
              <w:spacing w:after="0" w:line="134" w:lineRule="exact"/>
              <w:rPr>
                <w:sz w:val="20"/>
                <w:szCs w:val="20"/>
                <w:color w:val="auto"/>
              </w:rPr>
            </w:pPr>
            <w:r>
              <w:rPr>
                <w:rFonts w:ascii="Arial" w:cs="Arial" w:eastAsia="Arial" w:hAnsi="Arial"/>
                <w:sz w:val="12"/>
                <w:szCs w:val="12"/>
                <w:color w:val="auto"/>
              </w:rPr>
              <w:t>Girish Juneja</w:t>
            </w:r>
          </w:p>
        </w:tc>
        <w:tc>
          <w:tcPr>
            <w:tcW w:w="940" w:type="dxa"/>
            <w:vAlign w:val="bottom"/>
            <w:shd w:val="clear" w:color="auto" w:fill="D8D8D8"/>
          </w:tcPr>
          <w:p>
            <w:pPr>
              <w:spacing w:after="0"/>
              <w:rPr>
                <w:sz w:val="11"/>
                <w:szCs w:val="11"/>
                <w:color w:val="auto"/>
              </w:rPr>
            </w:pPr>
          </w:p>
        </w:tc>
        <w:tc>
          <w:tcPr>
            <w:tcW w:w="1000" w:type="dxa"/>
            <w:vAlign w:val="bottom"/>
            <w:shd w:val="clear" w:color="auto" w:fill="D8D8D8"/>
          </w:tcPr>
          <w:p>
            <w:pPr>
              <w:jc w:val="right"/>
              <w:ind w:right="38"/>
              <w:spacing w:after="0" w:line="134" w:lineRule="exact"/>
              <w:rPr>
                <w:sz w:val="20"/>
                <w:szCs w:val="20"/>
                <w:color w:val="auto"/>
              </w:rPr>
            </w:pPr>
            <w:r>
              <w:rPr>
                <w:rFonts w:ascii="Arial" w:cs="Arial" w:eastAsia="Arial" w:hAnsi="Arial"/>
                <w:sz w:val="12"/>
                <w:szCs w:val="12"/>
                <w:color w:val="auto"/>
              </w:rPr>
              <w:t>7,243 (1)</w:t>
            </w:r>
          </w:p>
        </w:tc>
        <w:tc>
          <w:tcPr>
            <w:tcW w:w="660" w:type="dxa"/>
            <w:vAlign w:val="bottom"/>
            <w:shd w:val="clear" w:color="auto" w:fill="D8D8D8"/>
          </w:tcPr>
          <w:p>
            <w:pPr>
              <w:jc w:val="right"/>
              <w:ind w:right="18"/>
              <w:spacing w:after="0" w:line="134" w:lineRule="exact"/>
              <w:rPr>
                <w:sz w:val="20"/>
                <w:szCs w:val="20"/>
                <w:color w:val="auto"/>
              </w:rPr>
            </w:pPr>
            <w:r>
              <w:rPr>
                <w:rFonts w:ascii="Arial" w:cs="Arial" w:eastAsia="Arial" w:hAnsi="Arial"/>
                <w:sz w:val="12"/>
                <w:szCs w:val="12"/>
                <w:color w:val="auto"/>
              </w:rPr>
              <w:t>122.73</w:t>
            </w:r>
          </w:p>
        </w:tc>
        <w:tc>
          <w:tcPr>
            <w:tcW w:w="800" w:type="dxa"/>
            <w:vAlign w:val="bottom"/>
            <w:shd w:val="clear" w:color="auto" w:fill="D8D8D8"/>
          </w:tcPr>
          <w:p>
            <w:pPr>
              <w:jc w:val="right"/>
              <w:ind w:right="38"/>
              <w:spacing w:after="0" w:line="134" w:lineRule="exact"/>
              <w:rPr>
                <w:sz w:val="20"/>
                <w:szCs w:val="20"/>
                <w:color w:val="auto"/>
              </w:rPr>
            </w:pPr>
            <w:r>
              <w:rPr>
                <w:rFonts w:ascii="Arial" w:cs="Arial" w:eastAsia="Arial" w:hAnsi="Arial"/>
                <w:sz w:val="12"/>
                <w:szCs w:val="12"/>
                <w:color w:val="auto"/>
              </w:rPr>
              <w:t>2/12/2031</w:t>
            </w:r>
          </w:p>
        </w:tc>
        <w:tc>
          <w:tcPr>
            <w:tcW w:w="220" w:type="dxa"/>
            <w:vAlign w:val="bottom"/>
            <w:shd w:val="clear" w:color="auto" w:fill="D8D8D8"/>
          </w:tcPr>
          <w:p>
            <w:pPr>
              <w:spacing w:after="0"/>
              <w:rPr>
                <w:sz w:val="11"/>
                <w:szCs w:val="11"/>
                <w:color w:val="auto"/>
              </w:rPr>
            </w:pPr>
          </w:p>
        </w:tc>
        <w:tc>
          <w:tcPr>
            <w:tcW w:w="880" w:type="dxa"/>
            <w:vAlign w:val="bottom"/>
            <w:shd w:val="clear" w:color="auto" w:fill="D8D8D8"/>
          </w:tcPr>
          <w:p>
            <w:pPr>
              <w:spacing w:after="0"/>
              <w:rPr>
                <w:sz w:val="11"/>
                <w:szCs w:val="11"/>
                <w:color w:val="auto"/>
              </w:rPr>
            </w:pPr>
          </w:p>
        </w:tc>
        <w:tc>
          <w:tcPr>
            <w:tcW w:w="1080" w:type="dxa"/>
            <w:vAlign w:val="bottom"/>
            <w:shd w:val="clear" w:color="auto" w:fill="D8D8D8"/>
          </w:tcPr>
          <w:p>
            <w:pPr>
              <w:spacing w:after="0"/>
              <w:rPr>
                <w:sz w:val="11"/>
                <w:szCs w:val="11"/>
                <w:color w:val="auto"/>
              </w:rPr>
            </w:pPr>
          </w:p>
        </w:tc>
        <w:tc>
          <w:tcPr>
            <w:tcW w:w="1040" w:type="dxa"/>
            <w:vAlign w:val="bottom"/>
            <w:shd w:val="clear" w:color="auto" w:fill="D8D8D8"/>
          </w:tcPr>
          <w:p>
            <w:pPr>
              <w:spacing w:after="0"/>
              <w:rPr>
                <w:sz w:val="11"/>
                <w:szCs w:val="11"/>
                <w:color w:val="auto"/>
              </w:rPr>
            </w:pPr>
          </w:p>
        </w:tc>
        <w:tc>
          <w:tcPr>
            <w:tcW w:w="114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60" w:type="dxa"/>
            <w:vAlign w:val="bottom"/>
            <w:shd w:val="clear" w:color="auto" w:fill="D8D8D8"/>
          </w:tcPr>
          <w:p>
            <w:pPr>
              <w:spacing w:after="0"/>
              <w:rPr>
                <w:sz w:val="12"/>
                <w:szCs w:val="12"/>
                <w:color w:val="auto"/>
              </w:rPr>
            </w:pPr>
          </w:p>
        </w:tc>
        <w:tc>
          <w:tcPr>
            <w:tcW w:w="940" w:type="dxa"/>
            <w:vAlign w:val="bottom"/>
            <w:shd w:val="clear" w:color="auto" w:fill="D8D8D8"/>
          </w:tcPr>
          <w:p>
            <w:pPr>
              <w:spacing w:after="0"/>
              <w:rPr>
                <w:sz w:val="12"/>
                <w:szCs w:val="12"/>
                <w:color w:val="auto"/>
              </w:rPr>
            </w:pPr>
          </w:p>
        </w:tc>
        <w:tc>
          <w:tcPr>
            <w:tcW w:w="100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7,416 (2)</w:t>
            </w:r>
          </w:p>
        </w:tc>
        <w:tc>
          <w:tcPr>
            <w:tcW w:w="660" w:type="dxa"/>
            <w:vAlign w:val="bottom"/>
            <w:shd w:val="clear" w:color="auto" w:fill="D8D8D8"/>
          </w:tcPr>
          <w:p>
            <w:pPr>
              <w:jc w:val="right"/>
              <w:ind w:right="18"/>
              <w:spacing w:after="0"/>
              <w:rPr>
                <w:sz w:val="20"/>
                <w:szCs w:val="20"/>
                <w:color w:val="auto"/>
              </w:rPr>
            </w:pPr>
            <w:r>
              <w:rPr>
                <w:rFonts w:ascii="Arial" w:cs="Arial" w:eastAsia="Arial" w:hAnsi="Arial"/>
                <w:sz w:val="12"/>
                <w:szCs w:val="12"/>
                <w:color w:val="auto"/>
              </w:rPr>
              <w:t>119.86</w:t>
            </w:r>
          </w:p>
        </w:tc>
        <w:tc>
          <w:tcPr>
            <w:tcW w:w="80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2/14/2030</w:t>
            </w: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80" w:type="dxa"/>
            <w:vAlign w:val="bottom"/>
            <w:shd w:val="clear" w:color="auto" w:fill="D8D8D8"/>
          </w:tcPr>
          <w:p>
            <w:pPr>
              <w:spacing w:after="0"/>
              <w:rPr>
                <w:sz w:val="12"/>
                <w:szCs w:val="12"/>
                <w:color w:val="auto"/>
              </w:rPr>
            </w:pPr>
          </w:p>
        </w:tc>
        <w:tc>
          <w:tcPr>
            <w:tcW w:w="1040" w:type="dxa"/>
            <w:vAlign w:val="bottom"/>
            <w:shd w:val="clear" w:color="auto" w:fill="D8D8D8"/>
          </w:tcPr>
          <w:p>
            <w:pPr>
              <w:spacing w:after="0"/>
              <w:rPr>
                <w:sz w:val="12"/>
                <w:szCs w:val="12"/>
                <w:color w:val="auto"/>
              </w:rPr>
            </w:pPr>
          </w:p>
        </w:tc>
        <w:tc>
          <w:tcPr>
            <w:tcW w:w="114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60" w:type="dxa"/>
            <w:vAlign w:val="bottom"/>
            <w:shd w:val="clear" w:color="auto" w:fill="D8D8D8"/>
          </w:tcPr>
          <w:p>
            <w:pPr>
              <w:spacing w:after="0"/>
              <w:rPr>
                <w:sz w:val="12"/>
                <w:szCs w:val="12"/>
                <w:color w:val="auto"/>
              </w:rPr>
            </w:pPr>
          </w:p>
        </w:tc>
        <w:tc>
          <w:tcPr>
            <w:tcW w:w="940" w:type="dxa"/>
            <w:vAlign w:val="bottom"/>
            <w:shd w:val="clear" w:color="auto" w:fill="D8D8D8"/>
          </w:tcPr>
          <w:p>
            <w:pPr>
              <w:spacing w:after="0"/>
              <w:rPr>
                <w:sz w:val="12"/>
                <w:szCs w:val="12"/>
                <w:color w:val="auto"/>
              </w:rPr>
            </w:pPr>
          </w:p>
        </w:tc>
        <w:tc>
          <w:tcPr>
            <w:tcW w:w="100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11,842 (3)</w:t>
            </w:r>
          </w:p>
        </w:tc>
        <w:tc>
          <w:tcPr>
            <w:tcW w:w="660" w:type="dxa"/>
            <w:vAlign w:val="bottom"/>
            <w:shd w:val="clear" w:color="auto" w:fill="D8D8D8"/>
          </w:tcPr>
          <w:p>
            <w:pPr>
              <w:jc w:val="right"/>
              <w:ind w:right="18"/>
              <w:spacing w:after="0"/>
              <w:rPr>
                <w:sz w:val="20"/>
                <w:szCs w:val="20"/>
                <w:color w:val="auto"/>
              </w:rPr>
            </w:pPr>
            <w:r>
              <w:rPr>
                <w:rFonts w:ascii="Arial" w:cs="Arial" w:eastAsia="Arial" w:hAnsi="Arial"/>
                <w:sz w:val="12"/>
                <w:szCs w:val="12"/>
                <w:color w:val="auto"/>
              </w:rPr>
              <w:t>91.20</w:t>
            </w:r>
          </w:p>
        </w:tc>
        <w:tc>
          <w:tcPr>
            <w:tcW w:w="80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2/15/2029</w:t>
            </w: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80" w:type="dxa"/>
            <w:vAlign w:val="bottom"/>
            <w:shd w:val="clear" w:color="auto" w:fill="D8D8D8"/>
          </w:tcPr>
          <w:p>
            <w:pPr>
              <w:spacing w:after="0"/>
              <w:rPr>
                <w:sz w:val="12"/>
                <w:szCs w:val="12"/>
                <w:color w:val="auto"/>
              </w:rPr>
            </w:pPr>
          </w:p>
        </w:tc>
        <w:tc>
          <w:tcPr>
            <w:tcW w:w="1040" w:type="dxa"/>
            <w:vAlign w:val="bottom"/>
            <w:shd w:val="clear" w:color="auto" w:fill="D8D8D8"/>
          </w:tcPr>
          <w:p>
            <w:pPr>
              <w:spacing w:after="0"/>
              <w:rPr>
                <w:sz w:val="12"/>
                <w:szCs w:val="12"/>
                <w:color w:val="auto"/>
              </w:rPr>
            </w:pPr>
          </w:p>
        </w:tc>
        <w:tc>
          <w:tcPr>
            <w:tcW w:w="114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60" w:type="dxa"/>
            <w:vAlign w:val="bottom"/>
            <w:shd w:val="clear" w:color="auto" w:fill="D8D8D8"/>
          </w:tcPr>
          <w:p>
            <w:pPr>
              <w:spacing w:after="0"/>
              <w:rPr>
                <w:sz w:val="12"/>
                <w:szCs w:val="12"/>
                <w:color w:val="auto"/>
              </w:rPr>
            </w:pPr>
          </w:p>
        </w:tc>
        <w:tc>
          <w:tcPr>
            <w:tcW w:w="940" w:type="dxa"/>
            <w:vAlign w:val="bottom"/>
            <w:shd w:val="clear" w:color="auto" w:fill="D8D8D8"/>
          </w:tcPr>
          <w:p>
            <w:pPr>
              <w:jc w:val="right"/>
              <w:ind w:right="78"/>
              <w:spacing w:after="0"/>
              <w:rPr>
                <w:sz w:val="20"/>
                <w:szCs w:val="20"/>
                <w:color w:val="auto"/>
              </w:rPr>
            </w:pPr>
            <w:r>
              <w:rPr>
                <w:rFonts w:ascii="Arial" w:cs="Arial" w:eastAsia="Arial" w:hAnsi="Arial"/>
                <w:sz w:val="12"/>
                <w:szCs w:val="12"/>
                <w:color w:val="auto"/>
              </w:rPr>
              <w:t>11,695 (5)</w:t>
            </w:r>
          </w:p>
        </w:tc>
        <w:tc>
          <w:tcPr>
            <w:tcW w:w="1000" w:type="dxa"/>
            <w:vAlign w:val="bottom"/>
            <w:shd w:val="clear" w:color="auto" w:fill="D8D8D8"/>
          </w:tcPr>
          <w:p>
            <w:pPr>
              <w:spacing w:after="0"/>
              <w:rPr>
                <w:sz w:val="12"/>
                <w:szCs w:val="12"/>
                <w:color w:val="auto"/>
              </w:rPr>
            </w:pPr>
          </w:p>
        </w:tc>
        <w:tc>
          <w:tcPr>
            <w:tcW w:w="660" w:type="dxa"/>
            <w:vAlign w:val="bottom"/>
            <w:shd w:val="clear" w:color="auto" w:fill="D8D8D8"/>
          </w:tcPr>
          <w:p>
            <w:pPr>
              <w:jc w:val="right"/>
              <w:ind w:right="18"/>
              <w:spacing w:after="0"/>
              <w:rPr>
                <w:sz w:val="20"/>
                <w:szCs w:val="20"/>
                <w:color w:val="auto"/>
              </w:rPr>
            </w:pPr>
            <w:r>
              <w:rPr>
                <w:rFonts w:ascii="Arial" w:cs="Arial" w:eastAsia="Arial" w:hAnsi="Arial"/>
                <w:sz w:val="12"/>
                <w:szCs w:val="12"/>
                <w:color w:val="auto"/>
              </w:rPr>
              <w:t>82.09</w:t>
            </w:r>
          </w:p>
        </w:tc>
        <w:tc>
          <w:tcPr>
            <w:tcW w:w="80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2/9/2028</w:t>
            </w:r>
          </w:p>
        </w:tc>
        <w:tc>
          <w:tcPr>
            <w:tcW w:w="220" w:type="dxa"/>
            <w:vAlign w:val="bottom"/>
            <w:shd w:val="clear" w:color="auto" w:fill="D8D8D8"/>
          </w:tcPr>
          <w:p>
            <w:pPr>
              <w:spacing w:after="0"/>
              <w:rPr>
                <w:sz w:val="12"/>
                <w:szCs w:val="12"/>
                <w:color w:val="auto"/>
              </w:rPr>
            </w:pPr>
          </w:p>
        </w:tc>
        <w:tc>
          <w:tcPr>
            <w:tcW w:w="880" w:type="dxa"/>
            <w:vAlign w:val="bottom"/>
            <w:vMerge w:val="restart"/>
            <w:shd w:val="clear" w:color="auto" w:fill="D8D8D8"/>
          </w:tcPr>
          <w:p>
            <w:pPr>
              <w:jc w:val="right"/>
              <w:ind w:right="58"/>
              <w:spacing w:after="0"/>
              <w:rPr>
                <w:sz w:val="20"/>
                <w:szCs w:val="20"/>
                <w:color w:val="auto"/>
              </w:rPr>
            </w:pPr>
            <w:r>
              <w:rPr>
                <w:rFonts w:ascii="Arial" w:cs="Arial" w:eastAsia="Arial" w:hAnsi="Arial"/>
                <w:sz w:val="12"/>
                <w:szCs w:val="12"/>
                <w:color w:val="auto"/>
              </w:rPr>
              <w:t>815 (11)</w:t>
            </w:r>
          </w:p>
        </w:tc>
        <w:tc>
          <w:tcPr>
            <w:tcW w:w="1080" w:type="dxa"/>
            <w:vAlign w:val="bottom"/>
            <w:vMerge w:val="restart"/>
            <w:shd w:val="clear" w:color="auto" w:fill="D8D8D8"/>
          </w:tcPr>
          <w:p>
            <w:pPr>
              <w:jc w:val="right"/>
              <w:ind w:right="38"/>
              <w:spacing w:after="0"/>
              <w:rPr>
                <w:sz w:val="20"/>
                <w:szCs w:val="20"/>
                <w:color w:val="auto"/>
              </w:rPr>
            </w:pPr>
            <w:r>
              <w:rPr>
                <w:rFonts w:ascii="Arial" w:cs="Arial" w:eastAsia="Arial" w:hAnsi="Arial"/>
                <w:sz w:val="12"/>
                <w:szCs w:val="12"/>
                <w:color w:val="auto"/>
              </w:rPr>
              <w:t>148,004 (15)</w:t>
            </w:r>
          </w:p>
        </w:tc>
        <w:tc>
          <w:tcPr>
            <w:tcW w:w="1040" w:type="dxa"/>
            <w:vAlign w:val="bottom"/>
            <w:vMerge w:val="restart"/>
            <w:shd w:val="clear" w:color="auto" w:fill="D8D8D8"/>
          </w:tcPr>
          <w:p>
            <w:pPr>
              <w:jc w:val="right"/>
              <w:ind w:right="38"/>
              <w:spacing w:after="0"/>
              <w:rPr>
                <w:sz w:val="20"/>
                <w:szCs w:val="20"/>
                <w:color w:val="auto"/>
              </w:rPr>
            </w:pPr>
            <w:r>
              <w:rPr>
                <w:rFonts w:ascii="Arial" w:cs="Arial" w:eastAsia="Arial" w:hAnsi="Arial"/>
                <w:sz w:val="12"/>
                <w:szCs w:val="12"/>
                <w:color w:val="auto"/>
              </w:rPr>
              <w:t>1,630 (16)</w:t>
            </w:r>
          </w:p>
        </w:tc>
        <w:tc>
          <w:tcPr>
            <w:tcW w:w="1140" w:type="dxa"/>
            <w:vAlign w:val="bottom"/>
            <w:vMerge w:val="restart"/>
            <w:shd w:val="clear" w:color="auto" w:fill="D8D8D8"/>
          </w:tcPr>
          <w:p>
            <w:pPr>
              <w:jc w:val="right"/>
              <w:ind w:right="38"/>
              <w:spacing w:after="0"/>
              <w:rPr>
                <w:sz w:val="20"/>
                <w:szCs w:val="20"/>
                <w:color w:val="auto"/>
              </w:rPr>
            </w:pPr>
            <w:r>
              <w:rPr>
                <w:rFonts w:ascii="Arial" w:cs="Arial" w:eastAsia="Arial" w:hAnsi="Arial"/>
                <w:sz w:val="12"/>
                <w:szCs w:val="12"/>
                <w:color w:val="auto"/>
              </w:rPr>
              <w:t>296,008 (18)</w:t>
            </w:r>
          </w:p>
        </w:tc>
        <w:tc>
          <w:tcPr>
            <w:tcW w:w="0" w:type="dxa"/>
            <w:vAlign w:val="bottom"/>
          </w:tcPr>
          <w:p>
            <w:pPr>
              <w:spacing w:after="0"/>
              <w:rPr>
                <w:sz w:val="1"/>
                <w:szCs w:val="1"/>
                <w:color w:val="auto"/>
              </w:rPr>
            </w:pPr>
          </w:p>
        </w:tc>
      </w:tr>
      <w:tr>
        <w:trPr>
          <w:trHeight w:val="147"/>
        </w:trPr>
        <w:tc>
          <w:tcPr>
            <w:tcW w:w="3160" w:type="dxa"/>
            <w:vAlign w:val="bottom"/>
            <w:shd w:val="clear" w:color="auto" w:fill="D8D8D8"/>
          </w:tcPr>
          <w:p>
            <w:pPr>
              <w:spacing w:after="0"/>
              <w:rPr>
                <w:sz w:val="12"/>
                <w:szCs w:val="12"/>
                <w:color w:val="auto"/>
              </w:rPr>
            </w:pPr>
          </w:p>
        </w:tc>
        <w:tc>
          <w:tcPr>
            <w:tcW w:w="940" w:type="dxa"/>
            <w:vAlign w:val="bottom"/>
            <w:shd w:val="clear" w:color="auto" w:fill="D8D8D8"/>
          </w:tcPr>
          <w:p>
            <w:pPr>
              <w:spacing w:after="0"/>
              <w:rPr>
                <w:sz w:val="12"/>
                <w:szCs w:val="12"/>
                <w:color w:val="auto"/>
              </w:rPr>
            </w:pPr>
          </w:p>
        </w:tc>
        <w:tc>
          <w:tcPr>
            <w:tcW w:w="100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80" w:type="dxa"/>
            <w:vAlign w:val="bottom"/>
            <w:vMerge w:val="continue"/>
            <w:shd w:val="clear" w:color="auto" w:fill="D8D8D8"/>
          </w:tcPr>
          <w:p>
            <w:pPr>
              <w:spacing w:after="0"/>
              <w:rPr>
                <w:sz w:val="12"/>
                <w:szCs w:val="12"/>
                <w:color w:val="auto"/>
              </w:rPr>
            </w:pPr>
          </w:p>
        </w:tc>
        <w:tc>
          <w:tcPr>
            <w:tcW w:w="1080" w:type="dxa"/>
            <w:vAlign w:val="bottom"/>
            <w:vMerge w:val="continue"/>
            <w:shd w:val="clear" w:color="auto" w:fill="D8D8D8"/>
          </w:tcPr>
          <w:p>
            <w:pPr>
              <w:spacing w:after="0"/>
              <w:rPr>
                <w:sz w:val="12"/>
                <w:szCs w:val="12"/>
                <w:color w:val="auto"/>
              </w:rPr>
            </w:pPr>
          </w:p>
        </w:tc>
        <w:tc>
          <w:tcPr>
            <w:tcW w:w="1040" w:type="dxa"/>
            <w:vAlign w:val="bottom"/>
            <w:vMerge w:val="continue"/>
            <w:shd w:val="clear" w:color="auto" w:fill="D8D8D8"/>
          </w:tcPr>
          <w:p>
            <w:pPr>
              <w:spacing w:after="0"/>
              <w:rPr>
                <w:sz w:val="12"/>
                <w:szCs w:val="12"/>
                <w:color w:val="auto"/>
              </w:rPr>
            </w:pPr>
          </w:p>
        </w:tc>
        <w:tc>
          <w:tcPr>
            <w:tcW w:w="1140" w:type="dxa"/>
            <w:vAlign w:val="bottom"/>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60" w:type="dxa"/>
            <w:vAlign w:val="bottom"/>
            <w:shd w:val="clear" w:color="auto" w:fill="D8D8D8"/>
          </w:tcPr>
          <w:p>
            <w:pPr>
              <w:spacing w:after="0"/>
              <w:rPr>
                <w:sz w:val="12"/>
                <w:szCs w:val="12"/>
                <w:color w:val="auto"/>
              </w:rPr>
            </w:pPr>
          </w:p>
        </w:tc>
        <w:tc>
          <w:tcPr>
            <w:tcW w:w="940" w:type="dxa"/>
            <w:vAlign w:val="bottom"/>
            <w:shd w:val="clear" w:color="auto" w:fill="D8D8D8"/>
          </w:tcPr>
          <w:p>
            <w:pPr>
              <w:spacing w:after="0"/>
              <w:rPr>
                <w:sz w:val="12"/>
                <w:szCs w:val="12"/>
                <w:color w:val="auto"/>
              </w:rPr>
            </w:pPr>
          </w:p>
        </w:tc>
        <w:tc>
          <w:tcPr>
            <w:tcW w:w="100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jc w:val="right"/>
              <w:ind w:right="58"/>
              <w:spacing w:after="0"/>
              <w:rPr>
                <w:sz w:val="20"/>
                <w:szCs w:val="20"/>
                <w:color w:val="auto"/>
              </w:rPr>
            </w:pPr>
            <w:r>
              <w:rPr>
                <w:rFonts w:ascii="Arial" w:cs="Arial" w:eastAsia="Arial" w:hAnsi="Arial"/>
                <w:sz w:val="12"/>
                <w:szCs w:val="12"/>
                <w:color w:val="auto"/>
              </w:rPr>
              <w:t>556 (12)</w:t>
            </w:r>
          </w:p>
        </w:tc>
        <w:tc>
          <w:tcPr>
            <w:tcW w:w="108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100,970 (15)</w:t>
            </w:r>
          </w:p>
        </w:tc>
        <w:tc>
          <w:tcPr>
            <w:tcW w:w="104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1,669 (17)</w:t>
            </w:r>
          </w:p>
        </w:tc>
        <w:tc>
          <w:tcPr>
            <w:tcW w:w="114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303,090 (18)</w:t>
            </w:r>
          </w:p>
        </w:tc>
        <w:tc>
          <w:tcPr>
            <w:tcW w:w="0" w:type="dxa"/>
            <w:vAlign w:val="bottom"/>
          </w:tcPr>
          <w:p>
            <w:pPr>
              <w:spacing w:after="0"/>
              <w:rPr>
                <w:sz w:val="1"/>
                <w:szCs w:val="1"/>
                <w:color w:val="auto"/>
              </w:rPr>
            </w:pPr>
          </w:p>
        </w:tc>
      </w:tr>
      <w:tr>
        <w:trPr>
          <w:trHeight w:val="147"/>
        </w:trPr>
        <w:tc>
          <w:tcPr>
            <w:tcW w:w="3160" w:type="dxa"/>
            <w:vAlign w:val="bottom"/>
            <w:shd w:val="clear" w:color="auto" w:fill="D8D8D8"/>
          </w:tcPr>
          <w:p>
            <w:pPr>
              <w:spacing w:after="0"/>
              <w:rPr>
                <w:sz w:val="12"/>
                <w:szCs w:val="12"/>
                <w:color w:val="auto"/>
              </w:rPr>
            </w:pPr>
          </w:p>
        </w:tc>
        <w:tc>
          <w:tcPr>
            <w:tcW w:w="940" w:type="dxa"/>
            <w:vAlign w:val="bottom"/>
            <w:shd w:val="clear" w:color="auto" w:fill="D8D8D8"/>
          </w:tcPr>
          <w:p>
            <w:pPr>
              <w:spacing w:after="0"/>
              <w:rPr>
                <w:sz w:val="12"/>
                <w:szCs w:val="12"/>
                <w:color w:val="auto"/>
              </w:rPr>
            </w:pPr>
          </w:p>
        </w:tc>
        <w:tc>
          <w:tcPr>
            <w:tcW w:w="100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jc w:val="right"/>
              <w:ind w:right="58"/>
              <w:spacing w:after="0"/>
              <w:rPr>
                <w:sz w:val="20"/>
                <w:szCs w:val="20"/>
                <w:color w:val="auto"/>
              </w:rPr>
            </w:pPr>
            <w:r>
              <w:rPr>
                <w:rFonts w:ascii="Arial" w:cs="Arial" w:eastAsia="Arial" w:hAnsi="Arial"/>
                <w:sz w:val="12"/>
                <w:szCs w:val="12"/>
                <w:color w:val="auto"/>
              </w:rPr>
              <w:t>329 (13)</w:t>
            </w:r>
          </w:p>
        </w:tc>
        <w:tc>
          <w:tcPr>
            <w:tcW w:w="108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59,746 (15)</w:t>
            </w:r>
          </w:p>
        </w:tc>
        <w:tc>
          <w:tcPr>
            <w:tcW w:w="1040" w:type="dxa"/>
            <w:vAlign w:val="bottom"/>
            <w:shd w:val="clear" w:color="auto" w:fill="D8D8D8"/>
          </w:tcPr>
          <w:p>
            <w:pPr>
              <w:spacing w:after="0"/>
              <w:rPr>
                <w:sz w:val="12"/>
                <w:szCs w:val="12"/>
                <w:color w:val="auto"/>
              </w:rPr>
            </w:pPr>
          </w:p>
        </w:tc>
        <w:tc>
          <w:tcPr>
            <w:tcW w:w="114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60" w:type="dxa"/>
            <w:vAlign w:val="bottom"/>
          </w:tcPr>
          <w:p>
            <w:pPr>
              <w:ind w:left="80"/>
              <w:spacing w:after="0"/>
              <w:rPr>
                <w:sz w:val="20"/>
                <w:szCs w:val="20"/>
                <w:color w:val="auto"/>
              </w:rPr>
            </w:pPr>
            <w:r>
              <w:rPr>
                <w:rFonts w:ascii="Arial" w:cs="Arial" w:eastAsia="Arial" w:hAnsi="Arial"/>
                <w:sz w:val="12"/>
                <w:szCs w:val="12"/>
                <w:color w:val="auto"/>
              </w:rPr>
              <w:t>Ivonne M. Cabrera</w:t>
            </w:r>
          </w:p>
        </w:tc>
        <w:tc>
          <w:tcPr>
            <w:tcW w:w="9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11,588 (1)</w:t>
            </w:r>
          </w:p>
        </w:tc>
        <w:tc>
          <w:tcPr>
            <w:tcW w:w="660" w:type="dxa"/>
            <w:vAlign w:val="bottom"/>
            <w:vMerge w:val="restart"/>
          </w:tcPr>
          <w:p>
            <w:pPr>
              <w:jc w:val="right"/>
              <w:ind w:right="18"/>
              <w:spacing w:after="0"/>
              <w:rPr>
                <w:sz w:val="20"/>
                <w:szCs w:val="20"/>
                <w:color w:val="auto"/>
              </w:rPr>
            </w:pPr>
            <w:r>
              <w:rPr>
                <w:rFonts w:ascii="Arial" w:cs="Arial" w:eastAsia="Arial" w:hAnsi="Arial"/>
                <w:sz w:val="12"/>
                <w:szCs w:val="12"/>
                <w:color w:val="auto"/>
              </w:rPr>
              <w:t>122.73</w:t>
            </w:r>
          </w:p>
        </w:tc>
        <w:tc>
          <w:tcPr>
            <w:tcW w:w="800" w:type="dxa"/>
            <w:vAlign w:val="bottom"/>
            <w:vMerge w:val="restart"/>
          </w:tcPr>
          <w:p>
            <w:pPr>
              <w:jc w:val="right"/>
              <w:ind w:right="38"/>
              <w:spacing w:after="0"/>
              <w:rPr>
                <w:sz w:val="20"/>
                <w:szCs w:val="20"/>
                <w:color w:val="auto"/>
              </w:rPr>
            </w:pPr>
            <w:r>
              <w:rPr>
                <w:rFonts w:ascii="Arial" w:cs="Arial" w:eastAsia="Arial" w:hAnsi="Arial"/>
                <w:sz w:val="12"/>
                <w:szCs w:val="12"/>
                <w:color w:val="auto"/>
              </w:rPr>
              <w:t>2/12/2031</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3160" w:type="dxa"/>
            <w:vAlign w:val="bottom"/>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880" w:type="dxa"/>
            <w:vAlign w:val="bottom"/>
            <w:tcBorders>
              <w:bottom w:val="single" w:sz="8" w:color="999999"/>
            </w:tcBorders>
          </w:tcPr>
          <w:p>
            <w:pPr>
              <w:spacing w:after="0"/>
              <w:rPr>
                <w:sz w:val="2"/>
                <w:szCs w:val="2"/>
                <w:color w:val="auto"/>
              </w:rPr>
            </w:pPr>
          </w:p>
        </w:tc>
        <w:tc>
          <w:tcPr>
            <w:tcW w:w="1080" w:type="dxa"/>
            <w:vAlign w:val="bottom"/>
            <w:tcBorders>
              <w:bottom w:val="single" w:sz="8" w:color="999999"/>
            </w:tcBorders>
          </w:tcPr>
          <w:p>
            <w:pPr>
              <w:spacing w:after="0"/>
              <w:rPr>
                <w:sz w:val="2"/>
                <w:szCs w:val="2"/>
                <w:color w:val="auto"/>
              </w:rPr>
            </w:pPr>
          </w:p>
        </w:tc>
        <w:tc>
          <w:tcPr>
            <w:tcW w:w="104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11,866 (2)</w:t>
            </w: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119.86</w:t>
            </w: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2/14/2030</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880" w:type="dxa"/>
            <w:vAlign w:val="bottom"/>
            <w:tcBorders>
              <w:bottom w:val="single" w:sz="8" w:color="999999"/>
            </w:tcBorders>
          </w:tcPr>
          <w:p>
            <w:pPr>
              <w:spacing w:after="0"/>
              <w:rPr>
                <w:sz w:val="2"/>
                <w:szCs w:val="2"/>
                <w:color w:val="auto"/>
              </w:rPr>
            </w:pPr>
          </w:p>
        </w:tc>
        <w:tc>
          <w:tcPr>
            <w:tcW w:w="1080" w:type="dxa"/>
            <w:vAlign w:val="bottom"/>
            <w:tcBorders>
              <w:bottom w:val="single" w:sz="8" w:color="999999"/>
            </w:tcBorders>
          </w:tcPr>
          <w:p>
            <w:pPr>
              <w:spacing w:after="0"/>
              <w:rPr>
                <w:sz w:val="2"/>
                <w:szCs w:val="2"/>
                <w:color w:val="auto"/>
              </w:rPr>
            </w:pPr>
          </w:p>
        </w:tc>
        <w:tc>
          <w:tcPr>
            <w:tcW w:w="104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21,053 (3)</w:t>
            </w: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91.20</w:t>
            </w: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2/15/2029</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880" w:type="dxa"/>
            <w:vAlign w:val="bottom"/>
            <w:tcBorders>
              <w:bottom w:val="single" w:sz="8" w:color="999999"/>
            </w:tcBorders>
          </w:tcPr>
          <w:p>
            <w:pPr>
              <w:spacing w:after="0"/>
              <w:rPr>
                <w:sz w:val="2"/>
                <w:szCs w:val="2"/>
                <w:color w:val="auto"/>
              </w:rPr>
            </w:pPr>
          </w:p>
        </w:tc>
        <w:tc>
          <w:tcPr>
            <w:tcW w:w="1080" w:type="dxa"/>
            <w:vAlign w:val="bottom"/>
            <w:tcBorders>
              <w:bottom w:val="single" w:sz="8" w:color="999999"/>
            </w:tcBorders>
          </w:tcPr>
          <w:p>
            <w:pPr>
              <w:spacing w:after="0"/>
              <w:rPr>
                <w:sz w:val="2"/>
                <w:szCs w:val="2"/>
                <w:color w:val="auto"/>
              </w:rPr>
            </w:pPr>
          </w:p>
        </w:tc>
        <w:tc>
          <w:tcPr>
            <w:tcW w:w="104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23,391 (5)</w:t>
            </w:r>
          </w:p>
        </w:tc>
        <w:tc>
          <w:tcPr>
            <w:tcW w:w="1000" w:type="dxa"/>
            <w:vAlign w:val="bottom"/>
          </w:tcPr>
          <w:p>
            <w:pPr>
              <w:spacing w:after="0"/>
              <w:rPr>
                <w:sz w:val="15"/>
                <w:szCs w:val="15"/>
                <w:color w:val="auto"/>
              </w:rPr>
            </w:pP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82.09</w:t>
            </w: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2/9/2028</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880" w:type="dxa"/>
            <w:vAlign w:val="bottom"/>
            <w:tcBorders>
              <w:bottom w:val="single" w:sz="8" w:color="999999"/>
            </w:tcBorders>
          </w:tcPr>
          <w:p>
            <w:pPr>
              <w:spacing w:after="0"/>
              <w:rPr>
                <w:sz w:val="2"/>
                <w:szCs w:val="2"/>
                <w:color w:val="auto"/>
              </w:rPr>
            </w:pPr>
          </w:p>
        </w:tc>
        <w:tc>
          <w:tcPr>
            <w:tcW w:w="1080" w:type="dxa"/>
            <w:vAlign w:val="bottom"/>
            <w:tcBorders>
              <w:bottom w:val="single" w:sz="8" w:color="999999"/>
            </w:tcBorders>
          </w:tcPr>
          <w:p>
            <w:pPr>
              <w:spacing w:after="0"/>
              <w:rPr>
                <w:sz w:val="2"/>
                <w:szCs w:val="2"/>
                <w:color w:val="auto"/>
              </w:rPr>
            </w:pPr>
          </w:p>
        </w:tc>
        <w:tc>
          <w:tcPr>
            <w:tcW w:w="104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28,722 (6)</w:t>
            </w:r>
          </w:p>
        </w:tc>
        <w:tc>
          <w:tcPr>
            <w:tcW w:w="1000" w:type="dxa"/>
            <w:vAlign w:val="bottom"/>
          </w:tcPr>
          <w:p>
            <w:pPr>
              <w:spacing w:after="0"/>
              <w:rPr>
                <w:sz w:val="15"/>
                <w:szCs w:val="15"/>
                <w:color w:val="auto"/>
              </w:rPr>
            </w:pP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66.85</w:t>
            </w: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2/10/2027</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880" w:type="dxa"/>
            <w:vAlign w:val="bottom"/>
            <w:tcBorders>
              <w:bottom w:val="single" w:sz="8" w:color="999999"/>
            </w:tcBorders>
          </w:tcPr>
          <w:p>
            <w:pPr>
              <w:spacing w:after="0"/>
              <w:rPr>
                <w:sz w:val="2"/>
                <w:szCs w:val="2"/>
                <w:color w:val="auto"/>
              </w:rPr>
            </w:pPr>
          </w:p>
        </w:tc>
        <w:tc>
          <w:tcPr>
            <w:tcW w:w="1080" w:type="dxa"/>
            <w:vAlign w:val="bottom"/>
            <w:tcBorders>
              <w:bottom w:val="single" w:sz="8" w:color="999999"/>
            </w:tcBorders>
          </w:tcPr>
          <w:p>
            <w:pPr>
              <w:spacing w:after="0"/>
              <w:rPr>
                <w:sz w:val="2"/>
                <w:szCs w:val="2"/>
                <w:color w:val="auto"/>
              </w:rPr>
            </w:pPr>
          </w:p>
        </w:tc>
        <w:tc>
          <w:tcPr>
            <w:tcW w:w="104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39,775 (7)</w:t>
            </w:r>
          </w:p>
        </w:tc>
        <w:tc>
          <w:tcPr>
            <w:tcW w:w="1000" w:type="dxa"/>
            <w:vAlign w:val="bottom"/>
          </w:tcPr>
          <w:p>
            <w:pPr>
              <w:spacing w:after="0"/>
              <w:rPr>
                <w:sz w:val="15"/>
                <w:szCs w:val="15"/>
                <w:color w:val="auto"/>
              </w:rPr>
            </w:pP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48.28</w:t>
            </w: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2/11/2026</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880" w:type="dxa"/>
            <w:vAlign w:val="bottom"/>
            <w:tcBorders>
              <w:bottom w:val="single" w:sz="8" w:color="999999"/>
            </w:tcBorders>
          </w:tcPr>
          <w:p>
            <w:pPr>
              <w:spacing w:after="0"/>
              <w:rPr>
                <w:sz w:val="2"/>
                <w:szCs w:val="2"/>
                <w:color w:val="auto"/>
              </w:rPr>
            </w:pPr>
          </w:p>
        </w:tc>
        <w:tc>
          <w:tcPr>
            <w:tcW w:w="1080" w:type="dxa"/>
            <w:vAlign w:val="bottom"/>
            <w:tcBorders>
              <w:bottom w:val="single" w:sz="8" w:color="999999"/>
            </w:tcBorders>
          </w:tcPr>
          <w:p>
            <w:pPr>
              <w:spacing w:after="0"/>
              <w:rPr>
                <w:sz w:val="2"/>
                <w:szCs w:val="2"/>
                <w:color w:val="auto"/>
              </w:rPr>
            </w:pPr>
          </w:p>
        </w:tc>
        <w:tc>
          <w:tcPr>
            <w:tcW w:w="104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31,074 (8)</w:t>
            </w:r>
          </w:p>
        </w:tc>
        <w:tc>
          <w:tcPr>
            <w:tcW w:w="1000" w:type="dxa"/>
            <w:vAlign w:val="bottom"/>
          </w:tcPr>
          <w:p>
            <w:pPr>
              <w:spacing w:after="0"/>
              <w:rPr>
                <w:sz w:val="15"/>
                <w:szCs w:val="15"/>
                <w:color w:val="auto"/>
              </w:rPr>
            </w:pP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61.79</w:t>
            </w: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2/12/2025</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880" w:type="dxa"/>
            <w:vAlign w:val="bottom"/>
            <w:tcBorders>
              <w:bottom w:val="single" w:sz="8" w:color="999999"/>
            </w:tcBorders>
          </w:tcPr>
          <w:p>
            <w:pPr>
              <w:spacing w:after="0"/>
              <w:rPr>
                <w:sz w:val="2"/>
                <w:szCs w:val="2"/>
                <w:color w:val="auto"/>
              </w:rPr>
            </w:pPr>
          </w:p>
        </w:tc>
        <w:tc>
          <w:tcPr>
            <w:tcW w:w="1080" w:type="dxa"/>
            <w:vAlign w:val="bottom"/>
            <w:tcBorders>
              <w:bottom w:val="single" w:sz="8" w:color="999999"/>
            </w:tcBorders>
          </w:tcPr>
          <w:p>
            <w:pPr>
              <w:spacing w:after="0"/>
              <w:rPr>
                <w:sz w:val="2"/>
                <w:szCs w:val="2"/>
                <w:color w:val="auto"/>
              </w:rPr>
            </w:pPr>
          </w:p>
        </w:tc>
        <w:tc>
          <w:tcPr>
            <w:tcW w:w="104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25,873 (9)</w:t>
            </w:r>
          </w:p>
        </w:tc>
        <w:tc>
          <w:tcPr>
            <w:tcW w:w="1000" w:type="dxa"/>
            <w:vAlign w:val="bottom"/>
          </w:tcPr>
          <w:p>
            <w:pPr>
              <w:spacing w:after="0"/>
              <w:rPr>
                <w:sz w:val="15"/>
                <w:szCs w:val="15"/>
                <w:color w:val="auto"/>
              </w:rPr>
            </w:pP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69.57</w:t>
            </w: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3/10/2024</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880" w:type="dxa"/>
            <w:vAlign w:val="bottom"/>
            <w:tcBorders>
              <w:bottom w:val="single" w:sz="8" w:color="999999"/>
            </w:tcBorders>
          </w:tcPr>
          <w:p>
            <w:pPr>
              <w:spacing w:after="0"/>
              <w:rPr>
                <w:sz w:val="2"/>
                <w:szCs w:val="2"/>
                <w:color w:val="auto"/>
              </w:rPr>
            </w:pPr>
          </w:p>
        </w:tc>
        <w:tc>
          <w:tcPr>
            <w:tcW w:w="1080" w:type="dxa"/>
            <w:vAlign w:val="bottom"/>
            <w:tcBorders>
              <w:bottom w:val="single" w:sz="8" w:color="999999"/>
            </w:tcBorders>
          </w:tcPr>
          <w:p>
            <w:pPr>
              <w:spacing w:after="0"/>
              <w:rPr>
                <w:sz w:val="2"/>
                <w:szCs w:val="2"/>
                <w:color w:val="auto"/>
              </w:rPr>
            </w:pPr>
          </w:p>
        </w:tc>
        <w:tc>
          <w:tcPr>
            <w:tcW w:w="104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28,841 (10)</w:t>
            </w:r>
          </w:p>
        </w:tc>
        <w:tc>
          <w:tcPr>
            <w:tcW w:w="1000" w:type="dxa"/>
            <w:vAlign w:val="bottom"/>
          </w:tcPr>
          <w:p>
            <w:pPr>
              <w:spacing w:after="0"/>
              <w:rPr>
                <w:sz w:val="15"/>
                <w:szCs w:val="15"/>
                <w:color w:val="auto"/>
              </w:rPr>
            </w:pP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53.40</w:t>
            </w: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2/14/2023</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880" w:type="dxa"/>
            <w:vAlign w:val="bottom"/>
            <w:tcBorders>
              <w:bottom w:val="single" w:sz="8" w:color="999999"/>
            </w:tcBorders>
          </w:tcPr>
          <w:p>
            <w:pPr>
              <w:spacing w:after="0"/>
              <w:rPr>
                <w:sz w:val="2"/>
                <w:szCs w:val="2"/>
                <w:color w:val="auto"/>
              </w:rPr>
            </w:pPr>
          </w:p>
        </w:tc>
        <w:tc>
          <w:tcPr>
            <w:tcW w:w="1080" w:type="dxa"/>
            <w:vAlign w:val="bottom"/>
            <w:tcBorders>
              <w:bottom w:val="single" w:sz="8" w:color="999999"/>
            </w:tcBorders>
          </w:tcPr>
          <w:p>
            <w:pPr>
              <w:spacing w:after="0"/>
              <w:rPr>
                <w:sz w:val="2"/>
                <w:szCs w:val="2"/>
                <w:color w:val="auto"/>
              </w:rPr>
            </w:pPr>
          </w:p>
        </w:tc>
        <w:tc>
          <w:tcPr>
            <w:tcW w:w="104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8"/>
              <w:spacing w:after="0"/>
              <w:rPr>
                <w:sz w:val="20"/>
                <w:szCs w:val="20"/>
                <w:color w:val="auto"/>
              </w:rPr>
            </w:pPr>
            <w:r>
              <w:rPr>
                <w:rFonts w:ascii="Arial" w:cs="Arial" w:eastAsia="Arial" w:hAnsi="Arial"/>
                <w:sz w:val="12"/>
                <w:szCs w:val="12"/>
                <w:color w:val="auto"/>
              </w:rPr>
              <w:t>1,304 (11)</w:t>
            </w:r>
          </w:p>
        </w:tc>
        <w:tc>
          <w:tcPr>
            <w:tcW w:w="1080" w:type="dxa"/>
            <w:vAlign w:val="bottom"/>
          </w:tcPr>
          <w:p>
            <w:pPr>
              <w:jc w:val="right"/>
              <w:spacing w:after="0"/>
              <w:rPr>
                <w:sz w:val="20"/>
                <w:szCs w:val="20"/>
                <w:color w:val="auto"/>
              </w:rPr>
            </w:pPr>
            <w:r>
              <w:rPr>
                <w:rFonts w:ascii="Arial" w:cs="Arial" w:eastAsia="Arial" w:hAnsi="Arial"/>
                <w:sz w:val="12"/>
                <w:szCs w:val="12"/>
                <w:color w:val="auto"/>
              </w:rPr>
              <w:t>236,806 (15)</w:t>
            </w:r>
          </w:p>
        </w:tc>
        <w:tc>
          <w:tcPr>
            <w:tcW w:w="1040" w:type="dxa"/>
            <w:vAlign w:val="bottom"/>
          </w:tcPr>
          <w:p>
            <w:pPr>
              <w:ind w:left="400"/>
              <w:spacing w:after="0"/>
              <w:rPr>
                <w:sz w:val="20"/>
                <w:szCs w:val="20"/>
                <w:color w:val="auto"/>
              </w:rPr>
            </w:pPr>
            <w:r>
              <w:rPr>
                <w:rFonts w:ascii="Arial" w:cs="Arial" w:eastAsia="Arial" w:hAnsi="Arial"/>
                <w:sz w:val="12"/>
                <w:szCs w:val="12"/>
                <w:color w:val="auto"/>
              </w:rPr>
              <w:t>2,607 (16)</w:t>
            </w:r>
          </w:p>
        </w:tc>
        <w:tc>
          <w:tcPr>
            <w:tcW w:w="1140" w:type="dxa"/>
            <w:vAlign w:val="bottom"/>
          </w:tcPr>
          <w:p>
            <w:pPr>
              <w:ind w:left="360"/>
              <w:spacing w:after="0"/>
              <w:rPr>
                <w:sz w:val="20"/>
                <w:szCs w:val="20"/>
                <w:color w:val="auto"/>
              </w:rPr>
            </w:pPr>
            <w:r>
              <w:rPr>
                <w:rFonts w:ascii="Arial" w:cs="Arial" w:eastAsia="Arial" w:hAnsi="Arial"/>
                <w:sz w:val="12"/>
                <w:szCs w:val="12"/>
                <w:color w:val="auto"/>
              </w:rPr>
              <w:t>473,431 (18)</w:t>
            </w: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880" w:type="dxa"/>
            <w:vAlign w:val="bottom"/>
            <w:tcBorders>
              <w:bottom w:val="single" w:sz="8" w:color="999999"/>
            </w:tcBorders>
          </w:tcPr>
          <w:p>
            <w:pPr>
              <w:spacing w:after="0"/>
              <w:rPr>
                <w:sz w:val="2"/>
                <w:szCs w:val="2"/>
                <w:color w:val="auto"/>
              </w:rPr>
            </w:pPr>
          </w:p>
        </w:tc>
        <w:tc>
          <w:tcPr>
            <w:tcW w:w="1080" w:type="dxa"/>
            <w:vAlign w:val="bottom"/>
            <w:tcBorders>
              <w:bottom w:val="single" w:sz="8" w:color="999999"/>
            </w:tcBorders>
          </w:tcPr>
          <w:p>
            <w:pPr>
              <w:spacing w:after="0"/>
              <w:rPr>
                <w:sz w:val="2"/>
                <w:szCs w:val="2"/>
                <w:color w:val="auto"/>
              </w:rPr>
            </w:pPr>
          </w:p>
        </w:tc>
        <w:tc>
          <w:tcPr>
            <w:tcW w:w="104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8"/>
              <w:spacing w:after="0"/>
              <w:rPr>
                <w:sz w:val="20"/>
                <w:szCs w:val="20"/>
                <w:color w:val="auto"/>
              </w:rPr>
            </w:pPr>
            <w:r>
              <w:rPr>
                <w:rFonts w:ascii="Arial" w:cs="Arial" w:eastAsia="Arial" w:hAnsi="Arial"/>
                <w:sz w:val="12"/>
                <w:szCs w:val="12"/>
                <w:color w:val="auto"/>
              </w:rPr>
              <w:t>890 (12)</w:t>
            </w:r>
          </w:p>
        </w:tc>
        <w:tc>
          <w:tcPr>
            <w:tcW w:w="1080" w:type="dxa"/>
            <w:vAlign w:val="bottom"/>
          </w:tcPr>
          <w:p>
            <w:pPr>
              <w:jc w:val="right"/>
              <w:spacing w:after="0"/>
              <w:rPr>
                <w:sz w:val="20"/>
                <w:szCs w:val="20"/>
                <w:color w:val="auto"/>
              </w:rPr>
            </w:pPr>
            <w:r>
              <w:rPr>
                <w:rFonts w:ascii="Arial" w:cs="Arial" w:eastAsia="Arial" w:hAnsi="Arial"/>
                <w:sz w:val="12"/>
                <w:szCs w:val="12"/>
                <w:color w:val="auto"/>
              </w:rPr>
              <w:t>161,624 (15)</w:t>
            </w:r>
          </w:p>
        </w:tc>
        <w:tc>
          <w:tcPr>
            <w:tcW w:w="1040" w:type="dxa"/>
            <w:vAlign w:val="bottom"/>
          </w:tcPr>
          <w:p>
            <w:pPr>
              <w:ind w:left="400"/>
              <w:spacing w:after="0"/>
              <w:rPr>
                <w:sz w:val="20"/>
                <w:szCs w:val="20"/>
                <w:color w:val="auto"/>
              </w:rPr>
            </w:pPr>
            <w:r>
              <w:rPr>
                <w:rFonts w:ascii="Arial" w:cs="Arial" w:eastAsia="Arial" w:hAnsi="Arial"/>
                <w:sz w:val="12"/>
                <w:szCs w:val="12"/>
                <w:color w:val="auto"/>
              </w:rPr>
              <w:t>2,670 (17)</w:t>
            </w:r>
          </w:p>
        </w:tc>
        <w:tc>
          <w:tcPr>
            <w:tcW w:w="1140" w:type="dxa"/>
            <w:vAlign w:val="bottom"/>
          </w:tcPr>
          <w:p>
            <w:pPr>
              <w:ind w:left="360"/>
              <w:spacing w:after="0"/>
              <w:rPr>
                <w:sz w:val="20"/>
                <w:szCs w:val="20"/>
                <w:color w:val="auto"/>
              </w:rPr>
            </w:pPr>
            <w:r>
              <w:rPr>
                <w:rFonts w:ascii="Arial" w:cs="Arial" w:eastAsia="Arial" w:hAnsi="Arial"/>
                <w:sz w:val="12"/>
                <w:szCs w:val="12"/>
                <w:color w:val="auto"/>
              </w:rPr>
              <w:t>484,872 (18)</w:t>
            </w: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880" w:type="dxa"/>
            <w:vAlign w:val="bottom"/>
            <w:tcBorders>
              <w:bottom w:val="single" w:sz="8" w:color="999999"/>
            </w:tcBorders>
          </w:tcPr>
          <w:p>
            <w:pPr>
              <w:spacing w:after="0"/>
              <w:rPr>
                <w:sz w:val="2"/>
                <w:szCs w:val="2"/>
                <w:color w:val="auto"/>
              </w:rPr>
            </w:pPr>
          </w:p>
        </w:tc>
        <w:tc>
          <w:tcPr>
            <w:tcW w:w="1080" w:type="dxa"/>
            <w:vAlign w:val="bottom"/>
            <w:tcBorders>
              <w:bottom w:val="single" w:sz="8" w:color="999999"/>
            </w:tcBorders>
          </w:tcPr>
          <w:p>
            <w:pPr>
              <w:spacing w:after="0"/>
              <w:rPr>
                <w:sz w:val="2"/>
                <w:szCs w:val="2"/>
                <w:color w:val="auto"/>
              </w:rPr>
            </w:pPr>
          </w:p>
        </w:tc>
        <w:tc>
          <w:tcPr>
            <w:tcW w:w="104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8"/>
              <w:spacing w:after="0"/>
              <w:rPr>
                <w:sz w:val="20"/>
                <w:szCs w:val="20"/>
                <w:color w:val="auto"/>
              </w:rPr>
            </w:pPr>
            <w:r>
              <w:rPr>
                <w:rFonts w:ascii="Arial" w:cs="Arial" w:eastAsia="Arial" w:hAnsi="Arial"/>
                <w:sz w:val="12"/>
                <w:szCs w:val="12"/>
                <w:color w:val="auto"/>
              </w:rPr>
              <w:t>585 (13)</w:t>
            </w:r>
          </w:p>
        </w:tc>
        <w:tc>
          <w:tcPr>
            <w:tcW w:w="1080" w:type="dxa"/>
            <w:vAlign w:val="bottom"/>
          </w:tcPr>
          <w:p>
            <w:pPr>
              <w:jc w:val="right"/>
              <w:spacing w:after="0"/>
              <w:rPr>
                <w:sz w:val="20"/>
                <w:szCs w:val="20"/>
                <w:color w:val="auto"/>
              </w:rPr>
            </w:pPr>
            <w:r>
              <w:rPr>
                <w:rFonts w:ascii="Arial" w:cs="Arial" w:eastAsia="Arial" w:hAnsi="Arial"/>
                <w:sz w:val="12"/>
                <w:szCs w:val="12"/>
                <w:color w:val="auto"/>
              </w:rPr>
              <w:t>106,236 (15)</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3160" w:type="dxa"/>
            <w:vAlign w:val="bottom"/>
            <w:tcBorders>
              <w:bottom w:val="single" w:sz="8" w:color="D8D8D8"/>
            </w:tcBorders>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66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880" w:type="dxa"/>
            <w:vAlign w:val="bottom"/>
            <w:tcBorders>
              <w:bottom w:val="single" w:sz="8" w:color="999999"/>
            </w:tcBorders>
          </w:tcPr>
          <w:p>
            <w:pPr>
              <w:spacing w:after="0"/>
              <w:rPr>
                <w:sz w:val="2"/>
                <w:szCs w:val="2"/>
                <w:color w:val="auto"/>
              </w:rPr>
            </w:pPr>
          </w:p>
        </w:tc>
        <w:tc>
          <w:tcPr>
            <w:tcW w:w="1080" w:type="dxa"/>
            <w:vAlign w:val="bottom"/>
            <w:tcBorders>
              <w:bottom w:val="single" w:sz="8" w:color="999999"/>
            </w:tcBorders>
          </w:tcPr>
          <w:p>
            <w:pPr>
              <w:spacing w:after="0"/>
              <w:rPr>
                <w:sz w:val="2"/>
                <w:szCs w:val="2"/>
                <w:color w:val="auto"/>
              </w:rPr>
            </w:pPr>
          </w:p>
        </w:tc>
        <w:tc>
          <w:tcPr>
            <w:tcW w:w="104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160" w:type="dxa"/>
            <w:vAlign w:val="bottom"/>
            <w:shd w:val="clear" w:color="auto" w:fill="D8D8D8"/>
          </w:tcPr>
          <w:p>
            <w:pPr>
              <w:ind w:left="80"/>
              <w:spacing w:after="0" w:line="129" w:lineRule="exact"/>
              <w:rPr>
                <w:sz w:val="20"/>
                <w:szCs w:val="20"/>
                <w:color w:val="auto"/>
              </w:rPr>
            </w:pPr>
            <w:r>
              <w:rPr>
                <w:rFonts w:ascii="Arial" w:cs="Arial" w:eastAsia="Arial" w:hAnsi="Arial"/>
                <w:sz w:val="12"/>
                <w:szCs w:val="12"/>
                <w:color w:val="auto"/>
              </w:rPr>
              <w:t>Kimberly K. Bors</w:t>
            </w:r>
          </w:p>
        </w:tc>
        <w:tc>
          <w:tcPr>
            <w:tcW w:w="940" w:type="dxa"/>
            <w:vAlign w:val="bottom"/>
            <w:shd w:val="clear" w:color="auto" w:fill="D8D8D8"/>
          </w:tcPr>
          <w:p>
            <w:pPr>
              <w:spacing w:after="0"/>
              <w:rPr>
                <w:sz w:val="11"/>
                <w:szCs w:val="11"/>
                <w:color w:val="auto"/>
              </w:rPr>
            </w:pPr>
          </w:p>
        </w:tc>
        <w:tc>
          <w:tcPr>
            <w:tcW w:w="1000" w:type="dxa"/>
            <w:vAlign w:val="bottom"/>
            <w:vMerge w:val="restart"/>
            <w:shd w:val="clear" w:color="auto" w:fill="D8D8D8"/>
          </w:tcPr>
          <w:p>
            <w:pPr>
              <w:jc w:val="right"/>
              <w:spacing w:after="0"/>
              <w:rPr>
                <w:sz w:val="20"/>
                <w:szCs w:val="20"/>
                <w:color w:val="auto"/>
              </w:rPr>
            </w:pPr>
            <w:r>
              <w:rPr>
                <w:rFonts w:ascii="Arial" w:cs="Arial" w:eastAsia="Arial" w:hAnsi="Arial"/>
                <w:sz w:val="12"/>
                <w:szCs w:val="12"/>
                <w:color w:val="auto"/>
              </w:rPr>
              <w:t>7,677 (1)</w:t>
            </w:r>
          </w:p>
        </w:tc>
        <w:tc>
          <w:tcPr>
            <w:tcW w:w="660" w:type="dxa"/>
            <w:vAlign w:val="bottom"/>
            <w:vMerge w:val="restart"/>
            <w:shd w:val="clear" w:color="auto" w:fill="D8D8D8"/>
          </w:tcPr>
          <w:p>
            <w:pPr>
              <w:jc w:val="right"/>
              <w:ind w:right="18"/>
              <w:spacing w:after="0"/>
              <w:rPr>
                <w:sz w:val="20"/>
                <w:szCs w:val="20"/>
                <w:color w:val="auto"/>
              </w:rPr>
            </w:pPr>
            <w:r>
              <w:rPr>
                <w:rFonts w:ascii="Arial" w:cs="Arial" w:eastAsia="Arial" w:hAnsi="Arial"/>
                <w:sz w:val="12"/>
                <w:szCs w:val="12"/>
                <w:color w:val="auto"/>
              </w:rPr>
              <w:t>122.73</w:t>
            </w:r>
          </w:p>
        </w:tc>
        <w:tc>
          <w:tcPr>
            <w:tcW w:w="800" w:type="dxa"/>
            <w:vAlign w:val="bottom"/>
            <w:vMerge w:val="restart"/>
            <w:shd w:val="clear" w:color="auto" w:fill="D8D8D8"/>
          </w:tcPr>
          <w:p>
            <w:pPr>
              <w:jc w:val="right"/>
              <w:ind w:right="38"/>
              <w:spacing w:after="0"/>
              <w:rPr>
                <w:sz w:val="20"/>
                <w:szCs w:val="20"/>
                <w:color w:val="auto"/>
              </w:rPr>
            </w:pPr>
            <w:r>
              <w:rPr>
                <w:rFonts w:ascii="Arial" w:cs="Arial" w:eastAsia="Arial" w:hAnsi="Arial"/>
                <w:sz w:val="12"/>
                <w:szCs w:val="12"/>
                <w:color w:val="auto"/>
              </w:rPr>
              <w:t>2/12/2031</w:t>
            </w:r>
          </w:p>
        </w:tc>
        <w:tc>
          <w:tcPr>
            <w:tcW w:w="220" w:type="dxa"/>
            <w:vAlign w:val="bottom"/>
            <w:shd w:val="clear" w:color="auto" w:fill="D8D8D8"/>
          </w:tcPr>
          <w:p>
            <w:pPr>
              <w:spacing w:after="0"/>
              <w:rPr>
                <w:sz w:val="11"/>
                <w:szCs w:val="11"/>
                <w:color w:val="auto"/>
              </w:rPr>
            </w:pPr>
          </w:p>
        </w:tc>
        <w:tc>
          <w:tcPr>
            <w:tcW w:w="880" w:type="dxa"/>
            <w:vAlign w:val="bottom"/>
            <w:shd w:val="clear" w:color="auto" w:fill="D8D8D8"/>
          </w:tcPr>
          <w:p>
            <w:pPr>
              <w:spacing w:after="0"/>
              <w:rPr>
                <w:sz w:val="11"/>
                <w:szCs w:val="11"/>
                <w:color w:val="auto"/>
              </w:rPr>
            </w:pPr>
          </w:p>
        </w:tc>
        <w:tc>
          <w:tcPr>
            <w:tcW w:w="1080" w:type="dxa"/>
            <w:vAlign w:val="bottom"/>
            <w:shd w:val="clear" w:color="auto" w:fill="D8D8D8"/>
          </w:tcPr>
          <w:p>
            <w:pPr>
              <w:spacing w:after="0"/>
              <w:rPr>
                <w:sz w:val="11"/>
                <w:szCs w:val="11"/>
                <w:color w:val="auto"/>
              </w:rPr>
            </w:pPr>
          </w:p>
        </w:tc>
        <w:tc>
          <w:tcPr>
            <w:tcW w:w="1040" w:type="dxa"/>
            <w:vAlign w:val="bottom"/>
            <w:shd w:val="clear" w:color="auto" w:fill="D8D8D8"/>
          </w:tcPr>
          <w:p>
            <w:pPr>
              <w:spacing w:after="0"/>
              <w:rPr>
                <w:sz w:val="11"/>
                <w:szCs w:val="11"/>
                <w:color w:val="auto"/>
              </w:rPr>
            </w:pPr>
          </w:p>
        </w:tc>
        <w:tc>
          <w:tcPr>
            <w:tcW w:w="114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160" w:type="dxa"/>
            <w:vAlign w:val="bottom"/>
            <w:shd w:val="clear" w:color="auto" w:fill="D8D8D8"/>
          </w:tcPr>
          <w:p>
            <w:pPr>
              <w:spacing w:after="0"/>
              <w:rPr>
                <w:sz w:val="4"/>
                <w:szCs w:val="4"/>
                <w:color w:val="auto"/>
              </w:rPr>
            </w:pPr>
          </w:p>
        </w:tc>
        <w:tc>
          <w:tcPr>
            <w:tcW w:w="940" w:type="dxa"/>
            <w:vAlign w:val="bottom"/>
            <w:shd w:val="clear" w:color="auto" w:fill="D8D8D8"/>
          </w:tcPr>
          <w:p>
            <w:pPr>
              <w:spacing w:after="0"/>
              <w:rPr>
                <w:sz w:val="4"/>
                <w:szCs w:val="4"/>
                <w:color w:val="auto"/>
              </w:rPr>
            </w:pPr>
          </w:p>
        </w:tc>
        <w:tc>
          <w:tcPr>
            <w:tcW w:w="1000" w:type="dxa"/>
            <w:vAlign w:val="bottom"/>
            <w:vMerge w:val="continue"/>
            <w:shd w:val="clear" w:color="auto" w:fill="D8D8D8"/>
          </w:tcPr>
          <w:p>
            <w:pPr>
              <w:spacing w:after="0"/>
              <w:rPr>
                <w:sz w:val="4"/>
                <w:szCs w:val="4"/>
                <w:color w:val="auto"/>
              </w:rPr>
            </w:pPr>
          </w:p>
        </w:tc>
        <w:tc>
          <w:tcPr>
            <w:tcW w:w="660" w:type="dxa"/>
            <w:vAlign w:val="bottom"/>
            <w:vMerge w:val="continue"/>
            <w:shd w:val="clear" w:color="auto" w:fill="D8D8D8"/>
          </w:tcPr>
          <w:p>
            <w:pPr>
              <w:spacing w:after="0"/>
              <w:rPr>
                <w:sz w:val="4"/>
                <w:szCs w:val="4"/>
                <w:color w:val="auto"/>
              </w:rPr>
            </w:pPr>
          </w:p>
        </w:tc>
        <w:tc>
          <w:tcPr>
            <w:tcW w:w="800" w:type="dxa"/>
            <w:vAlign w:val="bottom"/>
            <w:vMerge w:val="continue"/>
            <w:shd w:val="clear" w:color="auto" w:fill="D8D8D8"/>
          </w:tcPr>
          <w:p>
            <w:pPr>
              <w:spacing w:after="0"/>
              <w:rPr>
                <w:sz w:val="4"/>
                <w:szCs w:val="4"/>
                <w:color w:val="auto"/>
              </w:rPr>
            </w:pPr>
          </w:p>
        </w:tc>
        <w:tc>
          <w:tcPr>
            <w:tcW w:w="220" w:type="dxa"/>
            <w:vAlign w:val="bottom"/>
            <w:shd w:val="clear" w:color="auto" w:fill="D8D8D8"/>
          </w:tcPr>
          <w:p>
            <w:pPr>
              <w:spacing w:after="0"/>
              <w:rPr>
                <w:sz w:val="4"/>
                <w:szCs w:val="4"/>
                <w:color w:val="auto"/>
              </w:rPr>
            </w:pPr>
          </w:p>
        </w:tc>
        <w:tc>
          <w:tcPr>
            <w:tcW w:w="880" w:type="dxa"/>
            <w:vAlign w:val="bottom"/>
            <w:shd w:val="clear" w:color="auto" w:fill="D8D8D8"/>
          </w:tcPr>
          <w:p>
            <w:pPr>
              <w:spacing w:after="0"/>
              <w:rPr>
                <w:sz w:val="4"/>
                <w:szCs w:val="4"/>
                <w:color w:val="auto"/>
              </w:rPr>
            </w:pPr>
          </w:p>
        </w:tc>
        <w:tc>
          <w:tcPr>
            <w:tcW w:w="1080" w:type="dxa"/>
            <w:vAlign w:val="bottom"/>
            <w:shd w:val="clear" w:color="auto" w:fill="D8D8D8"/>
          </w:tcPr>
          <w:p>
            <w:pPr>
              <w:spacing w:after="0"/>
              <w:rPr>
                <w:sz w:val="4"/>
                <w:szCs w:val="4"/>
                <w:color w:val="auto"/>
              </w:rPr>
            </w:pPr>
          </w:p>
        </w:tc>
        <w:tc>
          <w:tcPr>
            <w:tcW w:w="1040" w:type="dxa"/>
            <w:vAlign w:val="bottom"/>
            <w:shd w:val="clear" w:color="auto" w:fill="D8D8D8"/>
          </w:tcPr>
          <w:p>
            <w:pPr>
              <w:spacing w:after="0"/>
              <w:rPr>
                <w:sz w:val="4"/>
                <w:szCs w:val="4"/>
                <w:color w:val="auto"/>
              </w:rPr>
            </w:pPr>
          </w:p>
        </w:tc>
        <w:tc>
          <w:tcPr>
            <w:tcW w:w="1140" w:type="dxa"/>
            <w:vAlign w:val="bottom"/>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16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2"/>
                <w:szCs w:val="12"/>
                <w:color w:val="auto"/>
              </w:rPr>
              <w:t>7,416 (2)</w:t>
            </w:r>
          </w:p>
        </w:tc>
        <w:tc>
          <w:tcPr>
            <w:tcW w:w="660" w:type="dxa"/>
            <w:vAlign w:val="bottom"/>
            <w:shd w:val="clear" w:color="auto" w:fill="D8D8D8"/>
          </w:tcPr>
          <w:p>
            <w:pPr>
              <w:jc w:val="right"/>
              <w:ind w:right="18"/>
              <w:spacing w:after="0"/>
              <w:rPr>
                <w:sz w:val="20"/>
                <w:szCs w:val="20"/>
                <w:color w:val="auto"/>
              </w:rPr>
            </w:pPr>
            <w:r>
              <w:rPr>
                <w:rFonts w:ascii="Arial" w:cs="Arial" w:eastAsia="Arial" w:hAnsi="Arial"/>
                <w:sz w:val="12"/>
                <w:szCs w:val="12"/>
                <w:color w:val="auto"/>
              </w:rPr>
              <w:t>119.86</w:t>
            </w:r>
          </w:p>
        </w:tc>
        <w:tc>
          <w:tcPr>
            <w:tcW w:w="800" w:type="dxa"/>
            <w:vAlign w:val="bottom"/>
            <w:shd w:val="clear" w:color="auto" w:fill="D8D8D8"/>
          </w:tcPr>
          <w:p>
            <w:pPr>
              <w:jc w:val="right"/>
              <w:ind w:right="38"/>
              <w:spacing w:after="0"/>
              <w:rPr>
                <w:sz w:val="20"/>
                <w:szCs w:val="20"/>
                <w:color w:val="auto"/>
              </w:rPr>
            </w:pPr>
            <w:r>
              <w:rPr>
                <w:rFonts w:ascii="Arial" w:cs="Arial" w:eastAsia="Arial" w:hAnsi="Arial"/>
                <w:sz w:val="12"/>
                <w:szCs w:val="12"/>
                <w:color w:val="auto"/>
              </w:rPr>
              <w:t>2/14/2030</w:t>
            </w: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6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1000" w:type="dxa"/>
            <w:vAlign w:val="bottom"/>
            <w:shd w:val="clear" w:color="auto" w:fill="D8D8D8"/>
          </w:tcPr>
          <w:p>
            <w:pPr>
              <w:spacing w:after="0"/>
              <w:rPr>
                <w:sz w:val="19"/>
                <w:szCs w:val="19"/>
                <w:color w:val="auto"/>
              </w:rPr>
            </w:pPr>
          </w:p>
        </w:tc>
        <w:tc>
          <w:tcPr>
            <w:tcW w:w="66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18"/>
              <w:spacing w:after="0"/>
              <w:rPr>
                <w:sz w:val="20"/>
                <w:szCs w:val="20"/>
                <w:color w:val="auto"/>
              </w:rPr>
            </w:pPr>
            <w:r>
              <w:rPr>
                <w:rFonts w:ascii="Arial" w:cs="Arial" w:eastAsia="Arial" w:hAnsi="Arial"/>
                <w:sz w:val="12"/>
                <w:szCs w:val="12"/>
                <w:color w:val="auto"/>
              </w:rPr>
              <w:t>864 (11)</w:t>
            </w:r>
          </w:p>
        </w:tc>
        <w:tc>
          <w:tcPr>
            <w:tcW w:w="1080" w:type="dxa"/>
            <w:vAlign w:val="bottom"/>
            <w:shd w:val="clear" w:color="auto" w:fill="D8D8D8"/>
          </w:tcPr>
          <w:p>
            <w:pPr>
              <w:jc w:val="right"/>
              <w:spacing w:after="0"/>
              <w:rPr>
                <w:sz w:val="20"/>
                <w:szCs w:val="20"/>
                <w:color w:val="auto"/>
              </w:rPr>
            </w:pPr>
            <w:r>
              <w:rPr>
                <w:rFonts w:ascii="Arial" w:cs="Arial" w:eastAsia="Arial" w:hAnsi="Arial"/>
                <w:sz w:val="12"/>
                <w:szCs w:val="12"/>
                <w:color w:val="auto"/>
              </w:rPr>
              <w:t>156,902 (15)</w:t>
            </w:r>
          </w:p>
        </w:tc>
        <w:tc>
          <w:tcPr>
            <w:tcW w:w="1040" w:type="dxa"/>
            <w:vAlign w:val="bottom"/>
            <w:shd w:val="clear" w:color="auto" w:fill="D8D8D8"/>
          </w:tcPr>
          <w:p>
            <w:pPr>
              <w:ind w:left="400"/>
              <w:spacing w:after="0"/>
              <w:rPr>
                <w:sz w:val="20"/>
                <w:szCs w:val="20"/>
                <w:color w:val="auto"/>
              </w:rPr>
            </w:pPr>
            <w:r>
              <w:rPr>
                <w:rFonts w:ascii="Arial" w:cs="Arial" w:eastAsia="Arial" w:hAnsi="Arial"/>
                <w:sz w:val="12"/>
                <w:szCs w:val="12"/>
                <w:color w:val="auto"/>
              </w:rPr>
              <w:t>1,727 (16)</w:t>
            </w:r>
          </w:p>
        </w:tc>
        <w:tc>
          <w:tcPr>
            <w:tcW w:w="1140" w:type="dxa"/>
            <w:vAlign w:val="bottom"/>
            <w:shd w:val="clear" w:color="auto" w:fill="D8D8D8"/>
          </w:tcPr>
          <w:p>
            <w:pPr>
              <w:ind w:left="360"/>
              <w:spacing w:after="0"/>
              <w:rPr>
                <w:sz w:val="20"/>
                <w:szCs w:val="20"/>
                <w:color w:val="auto"/>
              </w:rPr>
            </w:pPr>
            <w:r>
              <w:rPr>
                <w:rFonts w:ascii="Arial" w:cs="Arial" w:eastAsia="Arial" w:hAnsi="Arial"/>
                <w:sz w:val="12"/>
                <w:szCs w:val="12"/>
                <w:color w:val="auto"/>
              </w:rPr>
              <w:t>313,623 (18)</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D8D8D8"/>
            </w:tcBorders>
            <w:shd w:val="clear" w:color="auto" w:fill="D8D8D8"/>
          </w:tcPr>
          <w:p>
            <w:pPr>
              <w:spacing w:after="0"/>
              <w:rPr>
                <w:sz w:val="20"/>
                <w:szCs w:val="20"/>
                <w:color w:val="auto"/>
              </w:rPr>
            </w:pPr>
          </w:p>
        </w:tc>
        <w:tc>
          <w:tcPr>
            <w:tcW w:w="940" w:type="dxa"/>
            <w:vAlign w:val="bottom"/>
            <w:tcBorders>
              <w:bottom w:val="single" w:sz="8" w:color="D8D8D8"/>
            </w:tcBorders>
            <w:shd w:val="clear" w:color="auto" w:fill="D8D8D8"/>
          </w:tcPr>
          <w:p>
            <w:pPr>
              <w:spacing w:after="0"/>
              <w:rPr>
                <w:sz w:val="20"/>
                <w:szCs w:val="20"/>
                <w:color w:val="auto"/>
              </w:rPr>
            </w:pPr>
          </w:p>
        </w:tc>
        <w:tc>
          <w:tcPr>
            <w:tcW w:w="1000" w:type="dxa"/>
            <w:vAlign w:val="bottom"/>
            <w:tcBorders>
              <w:bottom w:val="single" w:sz="8" w:color="D8D8D8"/>
            </w:tcBorders>
            <w:shd w:val="clear" w:color="auto" w:fill="D8D8D8"/>
          </w:tcPr>
          <w:p>
            <w:pPr>
              <w:spacing w:after="0"/>
              <w:rPr>
                <w:sz w:val="20"/>
                <w:szCs w:val="20"/>
                <w:color w:val="auto"/>
              </w:rPr>
            </w:pPr>
          </w:p>
        </w:tc>
        <w:tc>
          <w:tcPr>
            <w:tcW w:w="660" w:type="dxa"/>
            <w:vAlign w:val="bottom"/>
            <w:tcBorders>
              <w:bottom w:val="single" w:sz="8" w:color="D8D8D8"/>
            </w:tcBorders>
            <w:shd w:val="clear" w:color="auto" w:fill="D8D8D8"/>
          </w:tcPr>
          <w:p>
            <w:pPr>
              <w:spacing w:after="0"/>
              <w:rPr>
                <w:sz w:val="20"/>
                <w:szCs w:val="20"/>
                <w:color w:val="auto"/>
              </w:rPr>
            </w:pPr>
          </w:p>
        </w:tc>
        <w:tc>
          <w:tcPr>
            <w:tcW w:w="800" w:type="dxa"/>
            <w:vAlign w:val="bottom"/>
            <w:tcBorders>
              <w:bottom w:val="single" w:sz="8" w:color="D8D8D8"/>
            </w:tcBorders>
            <w:shd w:val="clear" w:color="auto" w:fill="D8D8D8"/>
          </w:tcPr>
          <w:p>
            <w:pPr>
              <w:spacing w:after="0"/>
              <w:rPr>
                <w:sz w:val="20"/>
                <w:szCs w:val="20"/>
                <w:color w:val="auto"/>
              </w:rPr>
            </w:pPr>
          </w:p>
        </w:tc>
        <w:tc>
          <w:tcPr>
            <w:tcW w:w="220" w:type="dxa"/>
            <w:vAlign w:val="bottom"/>
            <w:tcBorders>
              <w:bottom w:val="single" w:sz="8" w:color="D8D8D8"/>
            </w:tcBorders>
            <w:shd w:val="clear" w:color="auto" w:fill="D8D8D8"/>
          </w:tcPr>
          <w:p>
            <w:pPr>
              <w:spacing w:after="0"/>
              <w:rPr>
                <w:sz w:val="20"/>
                <w:szCs w:val="20"/>
                <w:color w:val="auto"/>
              </w:rPr>
            </w:pPr>
          </w:p>
        </w:tc>
        <w:tc>
          <w:tcPr>
            <w:tcW w:w="880" w:type="dxa"/>
            <w:vAlign w:val="bottom"/>
            <w:tcBorders>
              <w:bottom w:val="single" w:sz="8" w:color="D8D8D8"/>
            </w:tcBorders>
            <w:shd w:val="clear" w:color="auto" w:fill="D8D8D8"/>
          </w:tcPr>
          <w:p>
            <w:pPr>
              <w:jc w:val="right"/>
              <w:ind w:right="18"/>
              <w:spacing w:after="0"/>
              <w:rPr>
                <w:sz w:val="20"/>
                <w:szCs w:val="20"/>
                <w:color w:val="auto"/>
              </w:rPr>
            </w:pPr>
            <w:r>
              <w:rPr>
                <w:rFonts w:ascii="Arial" w:cs="Arial" w:eastAsia="Arial" w:hAnsi="Arial"/>
                <w:sz w:val="12"/>
                <w:szCs w:val="12"/>
                <w:color w:val="auto"/>
              </w:rPr>
              <w:t>556 (12)</w:t>
            </w:r>
          </w:p>
        </w:tc>
        <w:tc>
          <w:tcPr>
            <w:tcW w:w="10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2"/>
                <w:szCs w:val="12"/>
                <w:color w:val="auto"/>
              </w:rPr>
              <w:t>100,970 (15)</w:t>
            </w:r>
          </w:p>
        </w:tc>
        <w:tc>
          <w:tcPr>
            <w:tcW w:w="1040" w:type="dxa"/>
            <w:vAlign w:val="bottom"/>
            <w:tcBorders>
              <w:bottom w:val="single" w:sz="8" w:color="D8D8D8"/>
            </w:tcBorders>
            <w:shd w:val="clear" w:color="auto" w:fill="D8D8D8"/>
          </w:tcPr>
          <w:p>
            <w:pPr>
              <w:ind w:left="400"/>
              <w:spacing w:after="0"/>
              <w:rPr>
                <w:sz w:val="20"/>
                <w:szCs w:val="20"/>
                <w:color w:val="auto"/>
              </w:rPr>
            </w:pPr>
            <w:r>
              <w:rPr>
                <w:rFonts w:ascii="Arial" w:cs="Arial" w:eastAsia="Arial" w:hAnsi="Arial"/>
                <w:sz w:val="12"/>
                <w:szCs w:val="12"/>
                <w:color w:val="auto"/>
              </w:rPr>
              <w:t>1,669 (17)</w:t>
            </w:r>
          </w:p>
        </w:tc>
        <w:tc>
          <w:tcPr>
            <w:tcW w:w="1140" w:type="dxa"/>
            <w:vAlign w:val="bottom"/>
            <w:tcBorders>
              <w:bottom w:val="single" w:sz="8" w:color="D8D8D8"/>
            </w:tcBorders>
            <w:shd w:val="clear" w:color="auto" w:fill="D8D8D8"/>
          </w:tcPr>
          <w:p>
            <w:pPr>
              <w:ind w:left="360"/>
              <w:spacing w:after="0"/>
              <w:rPr>
                <w:sz w:val="20"/>
                <w:szCs w:val="20"/>
                <w:color w:val="auto"/>
              </w:rPr>
            </w:pPr>
            <w:r>
              <w:rPr>
                <w:rFonts w:ascii="Arial" w:cs="Arial" w:eastAsia="Arial" w:hAnsi="Arial"/>
                <w:sz w:val="12"/>
                <w:szCs w:val="12"/>
                <w:color w:val="auto"/>
              </w:rPr>
              <w:t>303,090 (18)</w:t>
            </w:r>
          </w:p>
        </w:tc>
        <w:tc>
          <w:tcPr>
            <w:tcW w:w="0" w:type="dxa"/>
            <w:vAlign w:val="bottom"/>
          </w:tcPr>
          <w:p>
            <w:pPr>
              <w:spacing w:after="0"/>
              <w:rPr>
                <w:sz w:val="1"/>
                <w:szCs w:val="1"/>
                <w:color w:val="auto"/>
              </w:rPr>
            </w:pPr>
          </w:p>
        </w:tc>
      </w:tr>
      <w:tr>
        <w:trPr>
          <w:trHeight w:val="20"/>
        </w:trPr>
        <w:tc>
          <w:tcPr>
            <w:tcW w:w="3160" w:type="dxa"/>
            <w:vAlign w:val="bottom"/>
            <w:shd w:val="clear" w:color="auto" w:fill="021496"/>
          </w:tcPr>
          <w:p>
            <w:pPr>
              <w:spacing w:after="0" w:line="20" w:lineRule="exact"/>
              <w:rPr>
                <w:sz w:val="1"/>
                <w:szCs w:val="1"/>
                <w:color w:val="auto"/>
              </w:rPr>
            </w:pPr>
          </w:p>
        </w:tc>
        <w:tc>
          <w:tcPr>
            <w:tcW w:w="940" w:type="dxa"/>
            <w:vAlign w:val="bottom"/>
            <w:shd w:val="clear" w:color="auto" w:fill="021496"/>
          </w:tcPr>
          <w:p>
            <w:pPr>
              <w:spacing w:after="0" w:line="20" w:lineRule="exact"/>
              <w:rPr>
                <w:sz w:val="1"/>
                <w:szCs w:val="1"/>
                <w:color w:val="auto"/>
              </w:rPr>
            </w:pPr>
          </w:p>
        </w:tc>
        <w:tc>
          <w:tcPr>
            <w:tcW w:w="1000" w:type="dxa"/>
            <w:vAlign w:val="bottom"/>
            <w:shd w:val="clear" w:color="auto" w:fill="021496"/>
          </w:tcPr>
          <w:p>
            <w:pPr>
              <w:spacing w:after="0" w:line="20" w:lineRule="exact"/>
              <w:rPr>
                <w:sz w:val="1"/>
                <w:szCs w:val="1"/>
                <w:color w:val="auto"/>
              </w:rPr>
            </w:pPr>
          </w:p>
        </w:tc>
        <w:tc>
          <w:tcPr>
            <w:tcW w:w="660" w:type="dxa"/>
            <w:vAlign w:val="bottom"/>
            <w:shd w:val="clear" w:color="auto" w:fill="021496"/>
          </w:tcPr>
          <w:p>
            <w:pPr>
              <w:spacing w:after="0" w:line="20" w:lineRule="exact"/>
              <w:rPr>
                <w:sz w:val="1"/>
                <w:szCs w:val="1"/>
                <w:color w:val="auto"/>
              </w:rPr>
            </w:pPr>
          </w:p>
        </w:tc>
        <w:tc>
          <w:tcPr>
            <w:tcW w:w="800" w:type="dxa"/>
            <w:vAlign w:val="bottom"/>
            <w:shd w:val="clear" w:color="auto" w:fill="021496"/>
          </w:tcPr>
          <w:p>
            <w:pPr>
              <w:spacing w:after="0" w:line="20" w:lineRule="exact"/>
              <w:rPr>
                <w:sz w:val="1"/>
                <w:szCs w:val="1"/>
                <w:color w:val="auto"/>
              </w:rPr>
            </w:pPr>
          </w:p>
        </w:tc>
        <w:tc>
          <w:tcPr>
            <w:tcW w:w="220" w:type="dxa"/>
            <w:vAlign w:val="bottom"/>
            <w:shd w:val="clear" w:color="auto" w:fill="021496"/>
          </w:tcPr>
          <w:p>
            <w:pPr>
              <w:spacing w:after="0" w:line="20" w:lineRule="exact"/>
              <w:rPr>
                <w:sz w:val="1"/>
                <w:szCs w:val="1"/>
                <w:color w:val="auto"/>
              </w:rPr>
            </w:pPr>
          </w:p>
        </w:tc>
        <w:tc>
          <w:tcPr>
            <w:tcW w:w="880" w:type="dxa"/>
            <w:vAlign w:val="bottom"/>
            <w:shd w:val="clear" w:color="auto" w:fill="021496"/>
          </w:tcPr>
          <w:p>
            <w:pPr>
              <w:spacing w:after="0" w:line="20" w:lineRule="exact"/>
              <w:rPr>
                <w:sz w:val="1"/>
                <w:szCs w:val="1"/>
                <w:color w:val="auto"/>
              </w:rPr>
            </w:pPr>
          </w:p>
        </w:tc>
        <w:tc>
          <w:tcPr>
            <w:tcW w:w="1080" w:type="dxa"/>
            <w:vAlign w:val="bottom"/>
            <w:shd w:val="clear" w:color="auto" w:fill="021496"/>
          </w:tcPr>
          <w:p>
            <w:pPr>
              <w:spacing w:after="0" w:line="20" w:lineRule="exact"/>
              <w:rPr>
                <w:sz w:val="1"/>
                <w:szCs w:val="1"/>
                <w:color w:val="auto"/>
              </w:rPr>
            </w:pPr>
          </w:p>
        </w:tc>
        <w:tc>
          <w:tcPr>
            <w:tcW w:w="1040" w:type="dxa"/>
            <w:vAlign w:val="bottom"/>
            <w:shd w:val="clear" w:color="auto" w:fill="021496"/>
          </w:tcPr>
          <w:p>
            <w:pPr>
              <w:spacing w:after="0" w:line="20" w:lineRule="exact"/>
              <w:rPr>
                <w:sz w:val="1"/>
                <w:szCs w:val="1"/>
                <w:color w:val="auto"/>
              </w:rPr>
            </w:pPr>
          </w:p>
        </w:tc>
        <w:tc>
          <w:tcPr>
            <w:tcW w:w="1140" w:type="dxa"/>
            <w:vAlign w:val="bottom"/>
            <w:shd w:val="clear" w:color="auto" w:fill="0214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-152400</wp:posOffset>
            </wp:positionV>
            <wp:extent cx="49256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2569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-296545</wp:posOffset>
            </wp:positionV>
            <wp:extent cx="49256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2569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-440690</wp:posOffset>
            </wp:positionV>
            <wp:extent cx="49256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2569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-2402840</wp:posOffset>
            </wp:positionV>
            <wp:extent cx="49256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2569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-2496185</wp:posOffset>
            </wp:positionV>
            <wp:extent cx="49256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2569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-2589530</wp:posOffset>
            </wp:positionV>
            <wp:extent cx="49256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2569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-2682875</wp:posOffset>
            </wp:positionV>
            <wp:extent cx="49256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2569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-2776220</wp:posOffset>
            </wp:positionV>
            <wp:extent cx="49256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2569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-2869565</wp:posOffset>
            </wp:positionV>
            <wp:extent cx="49256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2569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-3973830</wp:posOffset>
            </wp:positionV>
            <wp:extent cx="49256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2569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-4067175</wp:posOffset>
            </wp:positionV>
            <wp:extent cx="49256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2569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-4160520</wp:posOffset>
            </wp:positionV>
            <wp:extent cx="49256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2569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-4253865</wp:posOffset>
            </wp:positionV>
            <wp:extent cx="49256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2569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-4347210</wp:posOffset>
            </wp:positionV>
            <wp:extent cx="49256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2569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-4441190</wp:posOffset>
            </wp:positionV>
            <wp:extent cx="49256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25695"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-4534535</wp:posOffset>
            </wp:positionV>
            <wp:extent cx="49256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25695" cy="8255"/>
                    </a:xfrm>
                    <a:prstGeom prst="rect">
                      <a:avLst/>
                    </a:prstGeom>
                    <a:noFill/>
                  </pic:spPr>
                </pic:pic>
              </a:graphicData>
            </a:graphic>
          </wp:anchor>
        </w:drawing>
      </w:r>
    </w:p>
    <w:p>
      <w:pPr>
        <w:spacing w:after="0" w:line="109"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66</w:t>
      </w:r>
    </w:p>
    <w:p>
      <w:pPr>
        <w:sectPr>
          <w:pgSz w:w="11900" w:h="16838" w:orient="portrait"/>
          <w:cols w:equalWidth="0" w:num="1">
            <w:col w:w="11080"/>
          </w:cols>
          <w:pgMar w:left="320" w:top="456"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4" w:lineRule="exact"/>
        <w:rPr>
          <w:sz w:val="20"/>
          <w:szCs w:val="20"/>
          <w:color w:val="auto"/>
        </w:rPr>
      </w:pPr>
    </w:p>
    <w:p>
      <w:pPr>
        <w:ind w:left="700" w:hanging="426"/>
        <w:spacing w:after="0"/>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12, 2021 that are not exercisable until February 12, 2024.</w:t>
      </w:r>
    </w:p>
    <w:p>
      <w:pPr>
        <w:spacing w:after="0" w:line="19" w:lineRule="exact"/>
        <w:rPr>
          <w:rFonts w:ascii="Arial" w:cs="Arial" w:eastAsia="Arial" w:hAnsi="Arial"/>
          <w:sz w:val="16"/>
          <w:szCs w:val="16"/>
          <w:i w:val="1"/>
          <w:iCs w:val="1"/>
          <w:color w:val="auto"/>
        </w:rPr>
      </w:pPr>
    </w:p>
    <w:p>
      <w:pPr>
        <w:ind w:left="700" w:hanging="426"/>
        <w:spacing w:after="0"/>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14, 2020 that are not exercisable until February 14, 2023.</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15, 2019 that became exercisable on February 15, 2022.</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May 23, 2018 that became exercisable on May 23, 2021.</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9, 2018 that became exercisable on February 9, 2021.</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10, 2017 that became exercisable on February 10, 2020.</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11, 2016 that became exercisable on February 11, 2019.</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12, 2015 that became exercisable on February 12, 2018.</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March 10, 2014 that became exercisable on March 10, 2017.</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14, 2013 that became exercisable on February 14, 2016.</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Unvested RSUs granted on February 12, 2021. The units vest in three equal annual installments beginning on March 15, 2022</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Unvested portion of RSUs granted on February 14, 2020. The units vest in three equal annual installments beginning on March 15, 2021</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Unvested portion of RSUs granted on February 15, 2019. The units vest in three equal annual installments beginning on March 15, 2020.</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Unvested portion of RSUs granted on May 23, 2018. The units vest in five equal annual installments beginning on December 15, 2018.</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reflects the number of units granted multiplied by $181.60, the closing price of our common stock on December 31, 2021.</w:t>
      </w:r>
    </w:p>
    <w:p>
      <w:pPr>
        <w:spacing w:after="0" w:line="3" w:lineRule="exact"/>
        <w:rPr>
          <w:rFonts w:ascii="Arial" w:cs="Arial" w:eastAsia="Arial" w:hAnsi="Arial"/>
          <w:sz w:val="16"/>
          <w:szCs w:val="16"/>
          <w:i w:val="1"/>
          <w:iCs w:val="1"/>
          <w:color w:val="auto"/>
        </w:rPr>
      </w:pPr>
    </w:p>
    <w:p>
      <w:pPr>
        <w:jc w:val="both"/>
        <w:ind w:left="700" w:right="560" w:hanging="426"/>
        <w:spacing w:after="0" w:line="244" w:lineRule="auto"/>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shares granted on February 12, 2021 become payable after December 31, 2023 subject to the achievement of the applicable performance goal. The amount reflected in the table represents the number of shares payable based on achievement of the target level of performance (100%).</w:t>
      </w:r>
    </w:p>
    <w:p>
      <w:pPr>
        <w:jc w:val="both"/>
        <w:ind w:left="700" w:right="560" w:hanging="426"/>
        <w:spacing w:after="0" w:line="244" w:lineRule="auto"/>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shares granted on February 14, 2020 become payable after December 31, 2022 subject to the achievement of the applicable performance goal. The amount reflected in the table represents the number of shares payable based on achievement of the target level of performance (100%).</w:t>
      </w:r>
    </w:p>
    <w:p>
      <w:pPr>
        <w:ind w:left="700" w:right="180" w:hanging="426"/>
        <w:spacing w:after="0" w:line="256" w:lineRule="auto"/>
        <w:tabs>
          <w:tab w:leader="none" w:pos="70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reflects the number of performance shares payable based on achievement of the target level of performance multiplied by $181.60, the closing price of our common stock on December 31, 2021.</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Option Exercises and Stock Vested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175260</wp:posOffset>
            </wp:positionV>
            <wp:extent cx="69297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3"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300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Number of Shares</w:t>
            </w:r>
          </w:p>
        </w:tc>
        <w:tc>
          <w:tcPr>
            <w:tcW w:w="1760" w:type="dxa"/>
            <w:vAlign w:val="bottom"/>
          </w:tcPr>
          <w:p>
            <w:pPr>
              <w:ind w:left="240"/>
              <w:spacing w:after="0"/>
              <w:rPr>
                <w:sz w:val="20"/>
                <w:szCs w:val="20"/>
                <w:color w:val="auto"/>
              </w:rPr>
            </w:pPr>
            <w:r>
              <w:rPr>
                <w:rFonts w:ascii="Arial" w:cs="Arial" w:eastAsia="Arial" w:hAnsi="Arial"/>
                <w:sz w:val="14"/>
                <w:szCs w:val="14"/>
                <w:b w:val="1"/>
                <w:bCs w:val="1"/>
                <w:color w:val="auto"/>
              </w:rPr>
              <w:t>Value Realized</w:t>
            </w:r>
          </w:p>
        </w:tc>
        <w:tc>
          <w:tcPr>
            <w:tcW w:w="1980" w:type="dxa"/>
            <w:vAlign w:val="bottom"/>
          </w:tcPr>
          <w:p>
            <w:pPr>
              <w:ind w:left="520"/>
              <w:spacing w:after="0"/>
              <w:rPr>
                <w:sz w:val="20"/>
                <w:szCs w:val="20"/>
                <w:color w:val="auto"/>
              </w:rPr>
            </w:pPr>
            <w:r>
              <w:rPr>
                <w:rFonts w:ascii="Arial" w:cs="Arial" w:eastAsia="Arial" w:hAnsi="Arial"/>
                <w:sz w:val="14"/>
                <w:szCs w:val="14"/>
                <w:b w:val="1"/>
                <w:bCs w:val="1"/>
                <w:color w:val="auto"/>
              </w:rPr>
              <w:t>Number of Shares</w:t>
            </w:r>
          </w:p>
        </w:tc>
        <w:tc>
          <w:tcPr>
            <w:tcW w:w="1300" w:type="dxa"/>
            <w:vAlign w:val="bottom"/>
          </w:tcPr>
          <w:p>
            <w:pPr>
              <w:ind w:left="240"/>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17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on Exercise</w:t>
            </w:r>
          </w:p>
        </w:tc>
        <w:tc>
          <w:tcPr>
            <w:tcW w:w="19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Acquired on</w:t>
            </w:r>
          </w:p>
        </w:tc>
        <w:tc>
          <w:tcPr>
            <w:tcW w:w="13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300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Acquired on</w:t>
            </w:r>
          </w:p>
        </w:tc>
        <w:tc>
          <w:tcPr>
            <w:tcW w:w="176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880" w:type="dxa"/>
            <w:vAlign w:val="bottom"/>
          </w:tcPr>
          <w:p>
            <w:pPr>
              <w:spacing w:after="0"/>
              <w:rPr>
                <w:sz w:val="4"/>
                <w:szCs w:val="4"/>
                <w:color w:val="auto"/>
              </w:rPr>
            </w:pPr>
          </w:p>
        </w:tc>
        <w:tc>
          <w:tcPr>
            <w:tcW w:w="3000" w:type="dxa"/>
            <w:vAlign w:val="bottom"/>
            <w:vMerge w:val="continue"/>
          </w:tcPr>
          <w:p>
            <w:pPr>
              <w:spacing w:after="0"/>
              <w:rPr>
                <w:sz w:val="4"/>
                <w:szCs w:val="4"/>
                <w:color w:val="auto"/>
              </w:rPr>
            </w:pPr>
          </w:p>
        </w:tc>
        <w:tc>
          <w:tcPr>
            <w:tcW w:w="17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($)(2)</w:t>
            </w:r>
          </w:p>
        </w:tc>
        <w:tc>
          <w:tcPr>
            <w:tcW w:w="19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Vesting (#)(3)</w:t>
            </w:r>
          </w:p>
        </w:tc>
        <w:tc>
          <w:tcPr>
            <w:tcW w:w="13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74"/>
        </w:trPr>
        <w:tc>
          <w:tcPr>
            <w:tcW w:w="2880" w:type="dxa"/>
            <w:vAlign w:val="bottom"/>
            <w:tcBorders>
              <w:bottom w:val="single" w:sz="8" w:color="021496"/>
            </w:tcBorders>
          </w:tcPr>
          <w:p>
            <w:pPr>
              <w:spacing w:after="0"/>
              <w:rPr>
                <w:sz w:val="20"/>
                <w:szCs w:val="20"/>
                <w:color w:val="auto"/>
              </w:rPr>
            </w:pPr>
            <w:r>
              <w:rPr>
                <w:rFonts w:ascii="Arial" w:cs="Arial" w:eastAsia="Arial" w:hAnsi="Arial"/>
                <w:sz w:val="14"/>
                <w:szCs w:val="14"/>
                <w:b w:val="1"/>
                <w:bCs w:val="1"/>
                <w:color w:val="auto"/>
              </w:rPr>
              <w:t>Name</w:t>
            </w:r>
          </w:p>
        </w:tc>
        <w:tc>
          <w:tcPr>
            <w:tcW w:w="3000" w:type="dxa"/>
            <w:vAlign w:val="bottom"/>
            <w:tcBorders>
              <w:bottom w:val="single" w:sz="8" w:color="021496"/>
            </w:tcBorders>
          </w:tcPr>
          <w:p>
            <w:pPr>
              <w:ind w:left="1520"/>
              <w:spacing w:after="0"/>
              <w:rPr>
                <w:sz w:val="20"/>
                <w:szCs w:val="20"/>
                <w:color w:val="auto"/>
              </w:rPr>
            </w:pPr>
            <w:r>
              <w:rPr>
                <w:rFonts w:ascii="Arial" w:cs="Arial" w:eastAsia="Arial" w:hAnsi="Arial"/>
                <w:sz w:val="14"/>
                <w:szCs w:val="14"/>
                <w:b w:val="1"/>
                <w:bCs w:val="1"/>
                <w:color w:val="auto"/>
              </w:rPr>
              <w:t>Exercise (#)(1)</w:t>
            </w:r>
          </w:p>
        </w:tc>
        <w:tc>
          <w:tcPr>
            <w:tcW w:w="1760" w:type="dxa"/>
            <w:vAlign w:val="bottom"/>
            <w:tcBorders>
              <w:bottom w:val="single" w:sz="8" w:color="021496"/>
            </w:tcBorders>
            <w:vMerge w:val="continue"/>
          </w:tcPr>
          <w:p>
            <w:pPr>
              <w:spacing w:after="0"/>
              <w:rPr>
                <w:sz w:val="15"/>
                <w:szCs w:val="15"/>
                <w:color w:val="auto"/>
              </w:rPr>
            </w:pPr>
          </w:p>
        </w:tc>
        <w:tc>
          <w:tcPr>
            <w:tcW w:w="1980" w:type="dxa"/>
            <w:vAlign w:val="bottom"/>
            <w:tcBorders>
              <w:bottom w:val="single" w:sz="8" w:color="021496"/>
            </w:tcBorders>
            <w:vMerge w:val="continue"/>
          </w:tcPr>
          <w:p>
            <w:pPr>
              <w:spacing w:after="0"/>
              <w:rPr>
                <w:sz w:val="15"/>
                <w:szCs w:val="15"/>
                <w:color w:val="auto"/>
              </w:rPr>
            </w:pPr>
          </w:p>
        </w:tc>
        <w:tc>
          <w:tcPr>
            <w:tcW w:w="1300" w:type="dxa"/>
            <w:vAlign w:val="bottom"/>
            <w:tcBorders>
              <w:bottom w:val="single" w:sz="8" w:color="021496"/>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880" w:type="dxa"/>
            <w:vAlign w:val="bottom"/>
            <w:shd w:val="clear" w:color="auto" w:fill="D8D8D8"/>
          </w:tcPr>
          <w:p>
            <w:pPr>
              <w:spacing w:after="0"/>
              <w:rPr>
                <w:sz w:val="20"/>
                <w:szCs w:val="20"/>
                <w:color w:val="auto"/>
              </w:rPr>
            </w:pPr>
            <w:r>
              <w:rPr>
                <w:rFonts w:ascii="Arial" w:cs="Arial" w:eastAsia="Arial" w:hAnsi="Arial"/>
                <w:sz w:val="16"/>
                <w:szCs w:val="16"/>
                <w:color w:val="auto"/>
              </w:rPr>
              <w:t>Richard J. Tobin</w:t>
            </w:r>
          </w:p>
        </w:tc>
        <w:tc>
          <w:tcPr>
            <w:tcW w:w="3000" w:type="dxa"/>
            <w:vAlign w:val="bottom"/>
            <w:shd w:val="clear" w:color="auto" w:fill="D8D8D8"/>
          </w:tcPr>
          <w:p>
            <w:pPr>
              <w:spacing w:after="0"/>
              <w:rPr>
                <w:sz w:val="18"/>
                <w:szCs w:val="18"/>
                <w:color w:val="auto"/>
              </w:rPr>
            </w:pPr>
          </w:p>
        </w:tc>
        <w:tc>
          <w:tcPr>
            <w:tcW w:w="1760" w:type="dxa"/>
            <w:vAlign w:val="bottom"/>
            <w:shd w:val="clear" w:color="auto" w:fill="D8D8D8"/>
          </w:tcPr>
          <w:p>
            <w:pPr>
              <w:spacing w:after="0"/>
              <w:rPr>
                <w:sz w:val="18"/>
                <w:szCs w:val="18"/>
                <w:color w:val="auto"/>
              </w:rPr>
            </w:pPr>
          </w:p>
        </w:tc>
        <w:tc>
          <w:tcPr>
            <w:tcW w:w="1980" w:type="dxa"/>
            <w:vAlign w:val="bottom"/>
            <w:shd w:val="clear" w:color="auto" w:fill="D8D8D8"/>
          </w:tcPr>
          <w:p>
            <w:pPr>
              <w:jc w:val="right"/>
              <w:ind w:right="163"/>
              <w:spacing w:after="0"/>
              <w:rPr>
                <w:sz w:val="20"/>
                <w:szCs w:val="20"/>
                <w:color w:val="auto"/>
              </w:rPr>
            </w:pPr>
            <w:r>
              <w:rPr>
                <w:rFonts w:ascii="Arial" w:cs="Arial" w:eastAsia="Arial" w:hAnsi="Arial"/>
                <w:sz w:val="16"/>
                <w:szCs w:val="16"/>
                <w:color w:val="auto"/>
              </w:rPr>
              <w:t>94,449</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16,041,842</w:t>
            </w:r>
          </w:p>
        </w:tc>
        <w:tc>
          <w:tcPr>
            <w:tcW w:w="0" w:type="dxa"/>
            <w:vAlign w:val="bottom"/>
          </w:tcPr>
          <w:p>
            <w:pPr>
              <w:spacing w:after="0"/>
              <w:rPr>
                <w:sz w:val="1"/>
                <w:szCs w:val="1"/>
                <w:color w:val="auto"/>
              </w:rPr>
            </w:pPr>
          </w:p>
        </w:tc>
      </w:tr>
      <w:tr>
        <w:trPr>
          <w:trHeight w:val="214"/>
        </w:trPr>
        <w:tc>
          <w:tcPr>
            <w:tcW w:w="2880" w:type="dxa"/>
            <w:vAlign w:val="bottom"/>
          </w:tcPr>
          <w:p>
            <w:pPr>
              <w:spacing w:after="0"/>
              <w:rPr>
                <w:sz w:val="20"/>
                <w:szCs w:val="20"/>
                <w:color w:val="auto"/>
              </w:rPr>
            </w:pPr>
            <w:r>
              <w:rPr>
                <w:rFonts w:ascii="Arial" w:cs="Arial" w:eastAsia="Arial" w:hAnsi="Arial"/>
                <w:sz w:val="16"/>
                <w:szCs w:val="16"/>
                <w:color w:val="auto"/>
              </w:rPr>
              <w:t>Brad M. Cerepak</w:t>
            </w:r>
          </w:p>
        </w:tc>
        <w:tc>
          <w:tcPr>
            <w:tcW w:w="3000" w:type="dxa"/>
            <w:vAlign w:val="bottom"/>
          </w:tcPr>
          <w:p>
            <w:pPr>
              <w:jc w:val="right"/>
              <w:ind w:right="165"/>
              <w:spacing w:after="0"/>
              <w:rPr>
                <w:sz w:val="20"/>
                <w:szCs w:val="20"/>
                <w:color w:val="auto"/>
              </w:rPr>
            </w:pPr>
            <w:r>
              <w:rPr>
                <w:rFonts w:ascii="Arial" w:cs="Arial" w:eastAsia="Arial" w:hAnsi="Arial"/>
                <w:sz w:val="16"/>
                <w:szCs w:val="16"/>
                <w:color w:val="auto"/>
              </w:rPr>
              <w:t>60,371</w:t>
            </w:r>
          </w:p>
        </w:tc>
        <w:tc>
          <w:tcPr>
            <w:tcW w:w="1760" w:type="dxa"/>
            <w:vAlign w:val="bottom"/>
          </w:tcPr>
          <w:p>
            <w:pPr>
              <w:jc w:val="right"/>
              <w:ind w:right="445"/>
              <w:spacing w:after="0"/>
              <w:rPr>
                <w:sz w:val="20"/>
                <w:szCs w:val="20"/>
                <w:color w:val="auto"/>
              </w:rPr>
            </w:pPr>
            <w:r>
              <w:rPr>
                <w:rFonts w:ascii="Arial" w:cs="Arial" w:eastAsia="Arial" w:hAnsi="Arial"/>
                <w:sz w:val="16"/>
                <w:szCs w:val="16"/>
                <w:color w:val="auto"/>
              </w:rPr>
              <w:t>6,409,891</w:t>
            </w:r>
          </w:p>
        </w:tc>
        <w:tc>
          <w:tcPr>
            <w:tcW w:w="1980" w:type="dxa"/>
            <w:vAlign w:val="bottom"/>
          </w:tcPr>
          <w:p>
            <w:pPr>
              <w:jc w:val="right"/>
              <w:ind w:right="163"/>
              <w:spacing w:after="0"/>
              <w:rPr>
                <w:sz w:val="20"/>
                <w:szCs w:val="20"/>
                <w:color w:val="auto"/>
              </w:rPr>
            </w:pPr>
            <w:r>
              <w:rPr>
                <w:rFonts w:ascii="Arial" w:cs="Arial" w:eastAsia="Arial" w:hAnsi="Arial"/>
                <w:sz w:val="16"/>
                <w:szCs w:val="16"/>
                <w:color w:val="auto"/>
              </w:rPr>
              <w:t>17,357</w:t>
            </w:r>
          </w:p>
        </w:tc>
        <w:tc>
          <w:tcPr>
            <w:tcW w:w="1300" w:type="dxa"/>
            <w:vAlign w:val="bottom"/>
          </w:tcPr>
          <w:p>
            <w:pPr>
              <w:jc w:val="right"/>
              <w:spacing w:after="0"/>
              <w:rPr>
                <w:sz w:val="20"/>
                <w:szCs w:val="20"/>
                <w:color w:val="auto"/>
              </w:rPr>
            </w:pPr>
            <w:r>
              <w:rPr>
                <w:rFonts w:ascii="Arial" w:cs="Arial" w:eastAsia="Arial" w:hAnsi="Arial"/>
                <w:sz w:val="16"/>
                <w:szCs w:val="16"/>
                <w:color w:val="auto"/>
              </w:rPr>
              <w:t>2,954,804</w:t>
            </w:r>
          </w:p>
        </w:tc>
        <w:tc>
          <w:tcPr>
            <w:tcW w:w="0" w:type="dxa"/>
            <w:vAlign w:val="bottom"/>
          </w:tcPr>
          <w:p>
            <w:pPr>
              <w:spacing w:after="0"/>
              <w:rPr>
                <w:sz w:val="1"/>
                <w:szCs w:val="1"/>
                <w:color w:val="auto"/>
              </w:rPr>
            </w:pPr>
          </w:p>
        </w:tc>
      </w:tr>
      <w:tr>
        <w:trPr>
          <w:trHeight w:val="214"/>
        </w:trPr>
        <w:tc>
          <w:tcPr>
            <w:tcW w:w="2880" w:type="dxa"/>
            <w:vAlign w:val="bottom"/>
            <w:shd w:val="clear" w:color="auto" w:fill="D8D8D8"/>
          </w:tcPr>
          <w:p>
            <w:pPr>
              <w:spacing w:after="0"/>
              <w:rPr>
                <w:sz w:val="20"/>
                <w:szCs w:val="20"/>
                <w:color w:val="auto"/>
              </w:rPr>
            </w:pPr>
            <w:r>
              <w:rPr>
                <w:rFonts w:ascii="Arial" w:cs="Arial" w:eastAsia="Arial" w:hAnsi="Arial"/>
                <w:sz w:val="16"/>
                <w:szCs w:val="16"/>
                <w:color w:val="auto"/>
              </w:rPr>
              <w:t>Girish Juneja</w:t>
            </w:r>
          </w:p>
        </w:tc>
        <w:tc>
          <w:tcPr>
            <w:tcW w:w="3000" w:type="dxa"/>
            <w:vAlign w:val="bottom"/>
            <w:shd w:val="clear" w:color="auto" w:fill="D8D8D8"/>
          </w:tcPr>
          <w:p>
            <w:pPr>
              <w:spacing w:after="0"/>
              <w:rPr>
                <w:sz w:val="18"/>
                <w:szCs w:val="18"/>
                <w:color w:val="auto"/>
              </w:rPr>
            </w:pPr>
          </w:p>
        </w:tc>
        <w:tc>
          <w:tcPr>
            <w:tcW w:w="1760" w:type="dxa"/>
            <w:vAlign w:val="bottom"/>
            <w:shd w:val="clear" w:color="auto" w:fill="D8D8D8"/>
          </w:tcPr>
          <w:p>
            <w:pPr>
              <w:spacing w:after="0"/>
              <w:rPr>
                <w:sz w:val="18"/>
                <w:szCs w:val="18"/>
                <w:color w:val="auto"/>
              </w:rPr>
            </w:pPr>
          </w:p>
        </w:tc>
        <w:tc>
          <w:tcPr>
            <w:tcW w:w="1980" w:type="dxa"/>
            <w:vAlign w:val="bottom"/>
            <w:shd w:val="clear" w:color="auto" w:fill="D8D8D8"/>
          </w:tcPr>
          <w:p>
            <w:pPr>
              <w:jc w:val="right"/>
              <w:ind w:right="163"/>
              <w:spacing w:after="0"/>
              <w:rPr>
                <w:sz w:val="20"/>
                <w:szCs w:val="20"/>
                <w:color w:val="auto"/>
              </w:rPr>
            </w:pPr>
            <w:r>
              <w:rPr>
                <w:rFonts w:ascii="Arial" w:cs="Arial" w:eastAsia="Arial" w:hAnsi="Arial"/>
                <w:sz w:val="16"/>
                <w:szCs w:val="16"/>
                <w:color w:val="auto"/>
              </w:rPr>
              <w:t>3,893</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663,193</w:t>
            </w:r>
          </w:p>
        </w:tc>
        <w:tc>
          <w:tcPr>
            <w:tcW w:w="0" w:type="dxa"/>
            <w:vAlign w:val="bottom"/>
          </w:tcPr>
          <w:p>
            <w:pPr>
              <w:spacing w:after="0"/>
              <w:rPr>
                <w:sz w:val="1"/>
                <w:szCs w:val="1"/>
                <w:color w:val="auto"/>
              </w:rPr>
            </w:pPr>
          </w:p>
        </w:tc>
      </w:tr>
      <w:tr>
        <w:trPr>
          <w:trHeight w:val="214"/>
        </w:trPr>
        <w:tc>
          <w:tcPr>
            <w:tcW w:w="2880" w:type="dxa"/>
            <w:vAlign w:val="bottom"/>
          </w:tcPr>
          <w:p>
            <w:pPr>
              <w:spacing w:after="0"/>
              <w:rPr>
                <w:sz w:val="20"/>
                <w:szCs w:val="20"/>
                <w:color w:val="auto"/>
              </w:rPr>
            </w:pPr>
            <w:r>
              <w:rPr>
                <w:rFonts w:ascii="Arial" w:cs="Arial" w:eastAsia="Arial" w:hAnsi="Arial"/>
                <w:sz w:val="16"/>
                <w:szCs w:val="16"/>
                <w:color w:val="auto"/>
              </w:rPr>
              <w:t>Ivonne M. Cabrera</w:t>
            </w:r>
          </w:p>
        </w:tc>
        <w:tc>
          <w:tcPr>
            <w:tcW w:w="3000" w:type="dxa"/>
            <w:vAlign w:val="bottom"/>
          </w:tcPr>
          <w:p>
            <w:pPr>
              <w:jc w:val="right"/>
              <w:ind w:right="165"/>
              <w:spacing w:after="0"/>
              <w:rPr>
                <w:sz w:val="20"/>
                <w:szCs w:val="20"/>
                <w:color w:val="auto"/>
              </w:rPr>
            </w:pPr>
            <w:r>
              <w:rPr>
                <w:rFonts w:ascii="Arial" w:cs="Arial" w:eastAsia="Arial" w:hAnsi="Arial"/>
                <w:sz w:val="16"/>
                <w:szCs w:val="16"/>
                <w:color w:val="auto"/>
              </w:rPr>
              <w:t>9,880</w:t>
            </w:r>
          </w:p>
        </w:tc>
        <w:tc>
          <w:tcPr>
            <w:tcW w:w="1760" w:type="dxa"/>
            <w:vAlign w:val="bottom"/>
          </w:tcPr>
          <w:p>
            <w:pPr>
              <w:jc w:val="right"/>
              <w:ind w:right="445"/>
              <w:spacing w:after="0"/>
              <w:rPr>
                <w:sz w:val="20"/>
                <w:szCs w:val="20"/>
                <w:color w:val="auto"/>
              </w:rPr>
            </w:pPr>
            <w:r>
              <w:rPr>
                <w:rFonts w:ascii="Arial" w:cs="Arial" w:eastAsia="Arial" w:hAnsi="Arial"/>
                <w:sz w:val="16"/>
                <w:szCs w:val="16"/>
                <w:color w:val="auto"/>
              </w:rPr>
              <w:t>784,423</w:t>
            </w:r>
          </w:p>
        </w:tc>
        <w:tc>
          <w:tcPr>
            <w:tcW w:w="1980" w:type="dxa"/>
            <w:vAlign w:val="bottom"/>
          </w:tcPr>
          <w:p>
            <w:pPr>
              <w:jc w:val="right"/>
              <w:ind w:right="163"/>
              <w:spacing w:after="0"/>
              <w:rPr>
                <w:sz w:val="20"/>
                <w:szCs w:val="20"/>
                <w:color w:val="auto"/>
              </w:rPr>
            </w:pPr>
            <w:r>
              <w:rPr>
                <w:rFonts w:ascii="Arial" w:cs="Arial" w:eastAsia="Arial" w:hAnsi="Arial"/>
                <w:sz w:val="16"/>
                <w:szCs w:val="16"/>
                <w:color w:val="auto"/>
              </w:rPr>
              <w:t>6,942</w:t>
            </w:r>
          </w:p>
        </w:tc>
        <w:tc>
          <w:tcPr>
            <w:tcW w:w="1300" w:type="dxa"/>
            <w:vAlign w:val="bottom"/>
          </w:tcPr>
          <w:p>
            <w:pPr>
              <w:jc w:val="right"/>
              <w:spacing w:after="0"/>
              <w:rPr>
                <w:sz w:val="20"/>
                <w:szCs w:val="20"/>
                <w:color w:val="auto"/>
              </w:rPr>
            </w:pPr>
            <w:r>
              <w:rPr>
                <w:rFonts w:ascii="Arial" w:cs="Arial" w:eastAsia="Arial" w:hAnsi="Arial"/>
                <w:sz w:val="16"/>
                <w:szCs w:val="16"/>
                <w:color w:val="auto"/>
              </w:rPr>
              <w:t>1,181,758</w:t>
            </w:r>
          </w:p>
        </w:tc>
        <w:tc>
          <w:tcPr>
            <w:tcW w:w="0" w:type="dxa"/>
            <w:vAlign w:val="bottom"/>
          </w:tcPr>
          <w:p>
            <w:pPr>
              <w:spacing w:after="0"/>
              <w:rPr>
                <w:sz w:val="1"/>
                <w:szCs w:val="1"/>
                <w:color w:val="auto"/>
              </w:rPr>
            </w:pPr>
          </w:p>
        </w:tc>
      </w:tr>
      <w:tr>
        <w:trPr>
          <w:trHeight w:val="214"/>
        </w:trPr>
        <w:tc>
          <w:tcPr>
            <w:tcW w:w="2880" w:type="dxa"/>
            <w:vAlign w:val="bottom"/>
            <w:tcBorders>
              <w:bottom w:val="single" w:sz="8" w:color="021496"/>
            </w:tcBorders>
            <w:shd w:val="clear" w:color="auto" w:fill="D8D8D8"/>
          </w:tcPr>
          <w:p>
            <w:pPr>
              <w:spacing w:after="0"/>
              <w:rPr>
                <w:sz w:val="20"/>
                <w:szCs w:val="20"/>
                <w:color w:val="auto"/>
              </w:rPr>
            </w:pPr>
            <w:r>
              <w:rPr>
                <w:rFonts w:ascii="Arial" w:cs="Arial" w:eastAsia="Arial" w:hAnsi="Arial"/>
                <w:sz w:val="16"/>
                <w:szCs w:val="16"/>
                <w:color w:val="auto"/>
              </w:rPr>
              <w:t>Kimberly K. Bors</w:t>
            </w:r>
          </w:p>
        </w:tc>
        <w:tc>
          <w:tcPr>
            <w:tcW w:w="3000" w:type="dxa"/>
            <w:vAlign w:val="bottom"/>
            <w:tcBorders>
              <w:bottom w:val="single" w:sz="8" w:color="021496"/>
            </w:tcBorders>
            <w:shd w:val="clear" w:color="auto" w:fill="D8D8D8"/>
          </w:tcPr>
          <w:p>
            <w:pPr>
              <w:spacing w:after="0"/>
              <w:rPr>
                <w:sz w:val="18"/>
                <w:szCs w:val="18"/>
                <w:color w:val="auto"/>
              </w:rPr>
            </w:pPr>
          </w:p>
        </w:tc>
        <w:tc>
          <w:tcPr>
            <w:tcW w:w="1760" w:type="dxa"/>
            <w:vAlign w:val="bottom"/>
            <w:tcBorders>
              <w:bottom w:val="single" w:sz="8" w:color="021496"/>
            </w:tcBorders>
            <w:shd w:val="clear" w:color="auto" w:fill="D8D8D8"/>
          </w:tcPr>
          <w:p>
            <w:pPr>
              <w:spacing w:after="0"/>
              <w:rPr>
                <w:sz w:val="18"/>
                <w:szCs w:val="18"/>
                <w:color w:val="auto"/>
              </w:rPr>
            </w:pPr>
          </w:p>
        </w:tc>
        <w:tc>
          <w:tcPr>
            <w:tcW w:w="1980" w:type="dxa"/>
            <w:vAlign w:val="bottom"/>
            <w:tcBorders>
              <w:bottom w:val="single" w:sz="8" w:color="021496"/>
            </w:tcBorders>
            <w:shd w:val="clear" w:color="auto" w:fill="D8D8D8"/>
          </w:tcPr>
          <w:p>
            <w:pPr>
              <w:jc w:val="right"/>
              <w:ind w:right="163"/>
              <w:spacing w:after="0"/>
              <w:rPr>
                <w:sz w:val="20"/>
                <w:szCs w:val="20"/>
                <w:color w:val="auto"/>
              </w:rPr>
            </w:pPr>
            <w:r>
              <w:rPr>
                <w:rFonts w:ascii="Arial" w:cs="Arial" w:eastAsia="Arial" w:hAnsi="Arial"/>
                <w:sz w:val="16"/>
                <w:szCs w:val="16"/>
                <w:color w:val="auto"/>
              </w:rPr>
              <w:t>278</w:t>
            </w:r>
          </w:p>
        </w:tc>
        <w:tc>
          <w:tcPr>
            <w:tcW w:w="130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37,427</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700" w:right="320" w:hanging="426"/>
        <w:spacing w:after="0" w:line="254" w:lineRule="auto"/>
        <w:tabs>
          <w:tab w:leader="none" w:pos="700"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exercise of SSARs; number of shares reported as acquired is the total number of shares underlying the SSAR, rather than the net number of shares received by the NEO.</w:t>
      </w:r>
    </w:p>
    <w:p>
      <w:pPr>
        <w:spacing w:after="0" w:line="1" w:lineRule="exact"/>
        <w:rPr>
          <w:rFonts w:ascii="Arial" w:cs="Arial" w:eastAsia="Arial" w:hAnsi="Arial"/>
          <w:sz w:val="16"/>
          <w:szCs w:val="16"/>
          <w:i w:val="1"/>
          <w:iCs w:val="1"/>
          <w:color w:val="auto"/>
        </w:rPr>
      </w:pPr>
    </w:p>
    <w:p>
      <w:pPr>
        <w:ind w:left="700" w:right="440" w:hanging="426"/>
        <w:spacing w:after="0" w:line="244" w:lineRule="auto"/>
        <w:tabs>
          <w:tab w:leader="none" w:pos="700"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The “value realized on exercise” provided in the table represents the difference between the average of the high and low trading price on the exercise date and the exercise or base price, multiplied by the number of shares acquired upon exercise of the award.</w:t>
      </w:r>
    </w:p>
    <w:p>
      <w:pPr>
        <w:ind w:left="700" w:right="120" w:hanging="426"/>
        <w:spacing w:after="0" w:line="244" w:lineRule="auto"/>
        <w:tabs>
          <w:tab w:leader="none" w:pos="700"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This column represents the vesting of a portion of the 2018, 2019, and 2020 grants of RSUs for Messrs. Tobin, Cerepak, and Juneja, and Ms. Cabrera as well as a performance share payout for the performance period ended December 31, 2021. This column also represents the vesting of a portion of the 2020 grants of RSUs for Ms. Bors. For Mr. Tobin, this column also represents the vesting of a portion of the May 23, 2018 one-time make-whole grant of RSUs. The number of shares reported as acquired is the full number of RSUs vested or performance shares paid out, not the net number of shares received by the NEO after withholding shares for satisfaction of taxes.</w:t>
      </w:r>
    </w:p>
    <w:p>
      <w:pPr>
        <w:ind w:left="700" w:right="460" w:hanging="426"/>
        <w:spacing w:after="0" w:line="250" w:lineRule="auto"/>
        <w:tabs>
          <w:tab w:leader="none" w:pos="700"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This value represents the average of the high and low trading price on the date of vesting multiplied by the number of RSUs vesting plus the number of performance shares paid for the period ended December 31, 2021 multiplied by $181.60, the closing price of our stock on December 31, 2021.</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67</w:t>
      </w:r>
    </w:p>
    <w:p>
      <w:pPr>
        <w:sectPr>
          <w:pgSz w:w="11900" w:h="16838" w:orient="portrait"/>
          <w:cols w:equalWidth="0" w:num="1">
            <w:col w:w="110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Pension Benefits through 2021</w:t>
      </w:r>
    </w:p>
    <w:p>
      <w:pPr>
        <w:spacing w:after="0" w:line="25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80" w:type="dxa"/>
            <w:vAlign w:val="bottom"/>
            <w:tcBorders>
              <w:top w:val="single" w:sz="8" w:color="021496"/>
            </w:tcBorders>
          </w:tcPr>
          <w:p>
            <w:pPr>
              <w:spacing w:after="0"/>
              <w:rPr>
                <w:sz w:val="13"/>
                <w:szCs w:val="13"/>
                <w:color w:val="auto"/>
              </w:rPr>
            </w:pPr>
          </w:p>
        </w:tc>
        <w:tc>
          <w:tcPr>
            <w:tcW w:w="500" w:type="dxa"/>
            <w:vAlign w:val="bottom"/>
            <w:tcBorders>
              <w:top w:val="single" w:sz="8" w:color="021496"/>
            </w:tcBorders>
          </w:tcPr>
          <w:p>
            <w:pPr>
              <w:spacing w:after="0"/>
              <w:rPr>
                <w:sz w:val="13"/>
                <w:szCs w:val="13"/>
                <w:color w:val="auto"/>
              </w:rPr>
            </w:pPr>
          </w:p>
        </w:tc>
        <w:tc>
          <w:tcPr>
            <w:tcW w:w="1200" w:type="dxa"/>
            <w:vAlign w:val="bottom"/>
            <w:tcBorders>
              <w:top w:val="single" w:sz="8" w:color="021496"/>
            </w:tcBorders>
          </w:tcPr>
          <w:p>
            <w:pPr>
              <w:spacing w:after="0"/>
              <w:rPr>
                <w:sz w:val="13"/>
                <w:szCs w:val="13"/>
                <w:color w:val="auto"/>
              </w:rPr>
            </w:pPr>
          </w:p>
        </w:tc>
        <w:tc>
          <w:tcPr>
            <w:tcW w:w="1520" w:type="dxa"/>
            <w:vAlign w:val="bottom"/>
            <w:tcBorders>
              <w:top w:val="single" w:sz="8" w:color="021496"/>
            </w:tcBorders>
          </w:tcPr>
          <w:p>
            <w:pPr>
              <w:spacing w:after="0"/>
              <w:rPr>
                <w:sz w:val="13"/>
                <w:szCs w:val="13"/>
                <w:color w:val="auto"/>
              </w:rPr>
            </w:pPr>
          </w:p>
        </w:tc>
        <w:tc>
          <w:tcPr>
            <w:tcW w:w="1300" w:type="dxa"/>
            <w:vAlign w:val="bottom"/>
            <w:tcBorders>
              <w:top w:val="single" w:sz="8" w:color="021496"/>
            </w:tcBorders>
          </w:tcPr>
          <w:p>
            <w:pPr>
              <w:spacing w:after="0"/>
              <w:rPr>
                <w:sz w:val="13"/>
                <w:szCs w:val="13"/>
                <w:color w:val="auto"/>
              </w:rPr>
            </w:pPr>
          </w:p>
        </w:tc>
        <w:tc>
          <w:tcPr>
            <w:tcW w:w="1580" w:type="dxa"/>
            <w:vAlign w:val="bottom"/>
            <w:tcBorders>
              <w:top w:val="single" w:sz="8" w:color="021496"/>
            </w:tcBorders>
          </w:tcPr>
          <w:p>
            <w:pPr>
              <w:spacing w:after="0"/>
              <w:rPr>
                <w:sz w:val="13"/>
                <w:szCs w:val="13"/>
                <w:color w:val="auto"/>
              </w:rPr>
            </w:pPr>
          </w:p>
        </w:tc>
        <w:tc>
          <w:tcPr>
            <w:tcW w:w="1140" w:type="dxa"/>
            <w:vAlign w:val="bottom"/>
            <w:tcBorders>
              <w:top w:val="single" w:sz="8" w:color="021496"/>
            </w:tcBorders>
          </w:tcPr>
          <w:p>
            <w:pPr>
              <w:ind w:left="24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60"/>
        </w:trPr>
        <w:tc>
          <w:tcPr>
            <w:tcW w:w="3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20" w:type="dxa"/>
            <w:vAlign w:val="bottom"/>
          </w:tcPr>
          <w:p>
            <w:pPr>
              <w:ind w:left="240"/>
              <w:spacing w:after="0"/>
              <w:rPr>
                <w:sz w:val="20"/>
                <w:szCs w:val="20"/>
                <w:color w:val="auto"/>
              </w:rPr>
            </w:pPr>
            <w:r>
              <w:rPr>
                <w:rFonts w:ascii="Arial" w:cs="Arial" w:eastAsia="Arial" w:hAnsi="Arial"/>
                <w:sz w:val="14"/>
                <w:szCs w:val="14"/>
                <w:b w:val="1"/>
                <w:bCs w:val="1"/>
                <w:color w:val="auto"/>
              </w:rPr>
              <w:t>Number of</w:t>
            </w:r>
          </w:p>
        </w:tc>
        <w:tc>
          <w:tcPr>
            <w:tcW w:w="1300" w:type="dxa"/>
            <w:vAlign w:val="bottom"/>
          </w:tcPr>
          <w:p>
            <w:pPr>
              <w:ind w:left="280"/>
              <w:spacing w:after="0"/>
              <w:rPr>
                <w:sz w:val="20"/>
                <w:szCs w:val="20"/>
                <w:color w:val="auto"/>
              </w:rPr>
            </w:pPr>
            <w:r>
              <w:rPr>
                <w:rFonts w:ascii="Arial" w:cs="Arial" w:eastAsia="Arial" w:hAnsi="Arial"/>
                <w:sz w:val="14"/>
                <w:szCs w:val="14"/>
                <w:b w:val="1"/>
                <w:bCs w:val="1"/>
                <w:color w:val="auto"/>
              </w:rPr>
              <w:t>Normal</w:t>
            </w:r>
          </w:p>
        </w:tc>
        <w:tc>
          <w:tcPr>
            <w:tcW w:w="1580" w:type="dxa"/>
            <w:vAlign w:val="bottom"/>
          </w:tcPr>
          <w:p>
            <w:pPr>
              <w:ind w:left="280"/>
              <w:spacing w:after="0"/>
              <w:rPr>
                <w:sz w:val="20"/>
                <w:szCs w:val="20"/>
                <w:color w:val="auto"/>
              </w:rPr>
            </w:pPr>
            <w:r>
              <w:rPr>
                <w:rFonts w:ascii="Arial" w:cs="Arial" w:eastAsia="Arial" w:hAnsi="Arial"/>
                <w:sz w:val="14"/>
                <w:szCs w:val="14"/>
                <w:b w:val="1"/>
                <w:bCs w:val="1"/>
                <w:color w:val="auto"/>
              </w:rPr>
              <w:t>Present Value</w:t>
            </w: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During Last</w:t>
            </w:r>
          </w:p>
        </w:tc>
        <w:tc>
          <w:tcPr>
            <w:tcW w:w="0" w:type="dxa"/>
            <w:vAlign w:val="bottom"/>
          </w:tcPr>
          <w:p>
            <w:pPr>
              <w:spacing w:after="0"/>
              <w:rPr>
                <w:sz w:val="1"/>
                <w:szCs w:val="1"/>
                <w:color w:val="auto"/>
              </w:rPr>
            </w:pPr>
          </w:p>
        </w:tc>
      </w:tr>
      <w:tr>
        <w:trPr>
          <w:trHeight w:val="160"/>
        </w:trPr>
        <w:tc>
          <w:tcPr>
            <w:tcW w:w="3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20" w:type="dxa"/>
            <w:vAlign w:val="bottom"/>
          </w:tcPr>
          <w:p>
            <w:pPr>
              <w:jc w:val="right"/>
              <w:ind w:right="202"/>
              <w:spacing w:after="0"/>
              <w:rPr>
                <w:sz w:val="20"/>
                <w:szCs w:val="20"/>
                <w:color w:val="auto"/>
              </w:rPr>
            </w:pPr>
            <w:r>
              <w:rPr>
                <w:rFonts w:ascii="Arial" w:cs="Arial" w:eastAsia="Arial" w:hAnsi="Arial"/>
                <w:sz w:val="14"/>
                <w:szCs w:val="14"/>
                <w:b w:val="1"/>
                <w:bCs w:val="1"/>
                <w:color w:val="auto"/>
              </w:rPr>
              <w:t>Years Credited</w:t>
            </w:r>
          </w:p>
        </w:tc>
        <w:tc>
          <w:tcPr>
            <w:tcW w:w="1300" w:type="dxa"/>
            <w:vAlign w:val="bottom"/>
          </w:tcPr>
          <w:p>
            <w:pPr>
              <w:jc w:val="right"/>
              <w:ind w:right="202"/>
              <w:spacing w:after="0"/>
              <w:rPr>
                <w:sz w:val="20"/>
                <w:szCs w:val="20"/>
                <w:color w:val="auto"/>
              </w:rPr>
            </w:pPr>
            <w:r>
              <w:rPr>
                <w:rFonts w:ascii="Arial" w:cs="Arial" w:eastAsia="Arial" w:hAnsi="Arial"/>
                <w:sz w:val="14"/>
                <w:szCs w:val="14"/>
                <w:b w:val="1"/>
                <w:bCs w:val="1"/>
                <w:color w:val="auto"/>
              </w:rPr>
              <w:t>Retirement</w:t>
            </w:r>
          </w:p>
        </w:tc>
        <w:tc>
          <w:tcPr>
            <w:tcW w:w="1580" w:type="dxa"/>
            <w:vAlign w:val="bottom"/>
          </w:tcPr>
          <w:p>
            <w:pPr>
              <w:jc w:val="right"/>
              <w:ind w:right="162"/>
              <w:spacing w:after="0"/>
              <w:rPr>
                <w:sz w:val="20"/>
                <w:szCs w:val="20"/>
                <w:color w:val="auto"/>
              </w:rPr>
            </w:pPr>
            <w:r>
              <w:rPr>
                <w:rFonts w:ascii="Arial" w:cs="Arial" w:eastAsia="Arial" w:hAnsi="Arial"/>
                <w:sz w:val="14"/>
                <w:szCs w:val="14"/>
                <w:b w:val="1"/>
                <w:bCs w:val="1"/>
                <w:color w:val="auto"/>
              </w:rPr>
              <w:t>of Accumulated</w:t>
            </w: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74"/>
        </w:trPr>
        <w:tc>
          <w:tcPr>
            <w:tcW w:w="3680" w:type="dxa"/>
            <w:vAlign w:val="bottom"/>
            <w:tcBorders>
              <w:bottom w:val="single" w:sz="8" w:color="021496"/>
            </w:tcBorders>
          </w:tcPr>
          <w:p>
            <w:pPr>
              <w:ind w:left="80"/>
              <w:spacing w:after="0"/>
              <w:rPr>
                <w:sz w:val="20"/>
                <w:szCs w:val="20"/>
                <w:color w:val="auto"/>
              </w:rPr>
            </w:pPr>
            <w:r>
              <w:rPr>
                <w:rFonts w:ascii="Arial" w:cs="Arial" w:eastAsia="Arial" w:hAnsi="Arial"/>
                <w:sz w:val="14"/>
                <w:szCs w:val="14"/>
                <w:b w:val="1"/>
                <w:bCs w:val="1"/>
                <w:color w:val="auto"/>
              </w:rPr>
              <w:t>Name</w:t>
            </w:r>
          </w:p>
        </w:tc>
        <w:tc>
          <w:tcPr>
            <w:tcW w:w="500" w:type="dxa"/>
            <w:vAlign w:val="bottom"/>
            <w:tcBorders>
              <w:bottom w:val="single" w:sz="8" w:color="021496"/>
            </w:tcBorders>
          </w:tcPr>
          <w:p>
            <w:pPr>
              <w:spacing w:after="0"/>
              <w:rPr>
                <w:sz w:val="15"/>
                <w:szCs w:val="15"/>
                <w:color w:val="auto"/>
              </w:rPr>
            </w:pPr>
          </w:p>
        </w:tc>
        <w:tc>
          <w:tcPr>
            <w:tcW w:w="1200" w:type="dxa"/>
            <w:vAlign w:val="bottom"/>
            <w:tcBorders>
              <w:bottom w:val="single" w:sz="8" w:color="021496"/>
            </w:tcBorders>
          </w:tcPr>
          <w:p>
            <w:pPr>
              <w:spacing w:after="0"/>
              <w:rPr>
                <w:sz w:val="20"/>
                <w:szCs w:val="20"/>
                <w:color w:val="auto"/>
              </w:rPr>
            </w:pPr>
            <w:r>
              <w:rPr>
                <w:rFonts w:ascii="Arial" w:cs="Arial" w:eastAsia="Arial" w:hAnsi="Arial"/>
                <w:sz w:val="14"/>
                <w:szCs w:val="14"/>
                <w:b w:val="1"/>
                <w:bCs w:val="1"/>
                <w:color w:val="auto"/>
              </w:rPr>
              <w:t>Plan Name</w:t>
            </w:r>
          </w:p>
        </w:tc>
        <w:tc>
          <w:tcPr>
            <w:tcW w:w="1520" w:type="dxa"/>
            <w:vAlign w:val="bottom"/>
            <w:tcBorders>
              <w:bottom w:val="single" w:sz="8" w:color="021496"/>
            </w:tcBorders>
          </w:tcPr>
          <w:p>
            <w:pPr>
              <w:ind w:left="240"/>
              <w:spacing w:after="0"/>
              <w:rPr>
                <w:sz w:val="20"/>
                <w:szCs w:val="20"/>
                <w:color w:val="auto"/>
              </w:rPr>
            </w:pPr>
            <w:r>
              <w:rPr>
                <w:rFonts w:ascii="Arial" w:cs="Arial" w:eastAsia="Arial" w:hAnsi="Arial"/>
                <w:sz w:val="14"/>
                <w:szCs w:val="14"/>
                <w:b w:val="1"/>
                <w:bCs w:val="1"/>
                <w:color w:val="auto"/>
              </w:rPr>
              <w:t>Service (#)</w:t>
            </w:r>
          </w:p>
        </w:tc>
        <w:tc>
          <w:tcPr>
            <w:tcW w:w="1300" w:type="dxa"/>
            <w:vAlign w:val="bottom"/>
            <w:tcBorders>
              <w:bottom w:val="single" w:sz="8" w:color="021496"/>
            </w:tcBorders>
          </w:tcPr>
          <w:p>
            <w:pPr>
              <w:ind w:left="280"/>
              <w:spacing w:after="0"/>
              <w:rPr>
                <w:sz w:val="20"/>
                <w:szCs w:val="20"/>
                <w:color w:val="auto"/>
              </w:rPr>
            </w:pPr>
            <w:r>
              <w:rPr>
                <w:rFonts w:ascii="Arial" w:cs="Arial" w:eastAsia="Arial" w:hAnsi="Arial"/>
                <w:sz w:val="14"/>
                <w:szCs w:val="14"/>
                <w:b w:val="1"/>
                <w:bCs w:val="1"/>
                <w:color w:val="auto"/>
              </w:rPr>
              <w:t>Age (#)</w:t>
            </w:r>
          </w:p>
        </w:tc>
        <w:tc>
          <w:tcPr>
            <w:tcW w:w="1580" w:type="dxa"/>
            <w:vAlign w:val="bottom"/>
            <w:tcBorders>
              <w:bottom w:val="single" w:sz="8" w:color="021496"/>
            </w:tcBorders>
          </w:tcPr>
          <w:p>
            <w:pPr>
              <w:ind w:left="280"/>
              <w:spacing w:after="0"/>
              <w:rPr>
                <w:sz w:val="20"/>
                <w:szCs w:val="20"/>
                <w:color w:val="auto"/>
              </w:rPr>
            </w:pPr>
            <w:r>
              <w:rPr>
                <w:rFonts w:ascii="Arial" w:cs="Arial" w:eastAsia="Arial" w:hAnsi="Arial"/>
                <w:sz w:val="14"/>
                <w:szCs w:val="14"/>
                <w:b w:val="1"/>
                <w:bCs w:val="1"/>
                <w:color w:val="auto"/>
              </w:rPr>
              <w:t>Benefit ($)(1)</w:t>
            </w:r>
          </w:p>
        </w:tc>
        <w:tc>
          <w:tcPr>
            <w:tcW w:w="1140" w:type="dxa"/>
            <w:vAlign w:val="bottom"/>
            <w:tcBorders>
              <w:bottom w:val="single" w:sz="8" w:color="021496"/>
            </w:tcBorders>
          </w:tcPr>
          <w:p>
            <w:pPr>
              <w:ind w:left="2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3680" w:type="dxa"/>
            <w:vAlign w:val="bottom"/>
            <w:vMerge w:val="restart"/>
          </w:tcPr>
          <w:p>
            <w:pPr>
              <w:ind w:left="100"/>
              <w:spacing w:after="0"/>
              <w:rPr>
                <w:sz w:val="20"/>
                <w:szCs w:val="20"/>
                <w:color w:val="auto"/>
              </w:rPr>
            </w:pPr>
            <w:r>
              <w:rPr>
                <w:rFonts w:ascii="Arial" w:cs="Arial" w:eastAsia="Arial" w:hAnsi="Arial"/>
                <w:sz w:val="16"/>
                <w:szCs w:val="16"/>
                <w:color w:val="auto"/>
              </w:rPr>
              <w:t>Richard J. Tobin (2)</w:t>
            </w:r>
          </w:p>
        </w:tc>
        <w:tc>
          <w:tcPr>
            <w:tcW w:w="500" w:type="dxa"/>
            <w:vAlign w:val="bottom"/>
          </w:tcPr>
          <w:p>
            <w:pPr>
              <w:spacing w:after="0"/>
              <w:rPr>
                <w:sz w:val="15"/>
                <w:szCs w:val="15"/>
                <w:color w:val="auto"/>
              </w:rPr>
            </w:pPr>
          </w:p>
        </w:tc>
        <w:tc>
          <w:tcPr>
            <w:tcW w:w="1200" w:type="dxa"/>
            <w:vAlign w:val="bottom"/>
          </w:tcPr>
          <w:p>
            <w:pPr>
              <w:spacing w:after="0" w:line="183" w:lineRule="exact"/>
              <w:rPr>
                <w:sz w:val="20"/>
                <w:szCs w:val="20"/>
                <w:color w:val="auto"/>
              </w:rPr>
            </w:pPr>
            <w:r>
              <w:rPr>
                <w:rFonts w:ascii="Arial" w:cs="Arial" w:eastAsia="Arial" w:hAnsi="Arial"/>
                <w:sz w:val="16"/>
                <w:szCs w:val="16"/>
                <w:color w:val="auto"/>
              </w:rPr>
              <w:t>Pension Plan</w:t>
            </w:r>
          </w:p>
        </w:tc>
        <w:tc>
          <w:tcPr>
            <w:tcW w:w="1520" w:type="dxa"/>
            <w:vAlign w:val="bottom"/>
          </w:tcPr>
          <w:p>
            <w:pPr>
              <w:jc w:val="right"/>
              <w:ind w:right="202"/>
              <w:spacing w:after="0" w:line="183" w:lineRule="exact"/>
              <w:rPr>
                <w:sz w:val="20"/>
                <w:szCs w:val="20"/>
                <w:color w:val="auto"/>
              </w:rPr>
            </w:pPr>
            <w:r>
              <w:rPr>
                <w:rFonts w:ascii="Arial" w:cs="Arial" w:eastAsia="Arial" w:hAnsi="Arial"/>
                <w:sz w:val="16"/>
                <w:szCs w:val="16"/>
                <w:color w:val="auto"/>
              </w:rPr>
              <w:t>N/A</w:t>
            </w:r>
          </w:p>
        </w:tc>
        <w:tc>
          <w:tcPr>
            <w:tcW w:w="1300" w:type="dxa"/>
            <w:vAlign w:val="bottom"/>
          </w:tcPr>
          <w:p>
            <w:pPr>
              <w:jc w:val="right"/>
              <w:ind w:right="202"/>
              <w:spacing w:after="0" w:line="183" w:lineRule="exact"/>
              <w:rPr>
                <w:sz w:val="20"/>
                <w:szCs w:val="20"/>
                <w:color w:val="auto"/>
              </w:rPr>
            </w:pPr>
            <w:r>
              <w:rPr>
                <w:rFonts w:ascii="Arial" w:cs="Arial" w:eastAsia="Arial" w:hAnsi="Arial"/>
                <w:sz w:val="16"/>
                <w:szCs w:val="16"/>
                <w:color w:val="auto"/>
              </w:rPr>
              <w:t>N/A</w:t>
            </w:r>
          </w:p>
        </w:tc>
        <w:tc>
          <w:tcPr>
            <w:tcW w:w="1580" w:type="dxa"/>
            <w:vAlign w:val="bottom"/>
          </w:tcPr>
          <w:p>
            <w:pPr>
              <w:jc w:val="right"/>
              <w:ind w:right="162"/>
              <w:spacing w:after="0" w:line="183" w:lineRule="exact"/>
              <w:rPr>
                <w:sz w:val="20"/>
                <w:szCs w:val="20"/>
                <w:color w:val="auto"/>
              </w:rPr>
            </w:pPr>
            <w:r>
              <w:rPr>
                <w:rFonts w:ascii="Arial" w:cs="Arial" w:eastAsia="Arial" w:hAnsi="Arial"/>
                <w:sz w:val="16"/>
                <w:szCs w:val="16"/>
                <w:color w:val="auto"/>
              </w:rPr>
              <w:t>N/A</w:t>
            </w:r>
          </w:p>
        </w:tc>
        <w:tc>
          <w:tcPr>
            <w:tcW w:w="1140" w:type="dxa"/>
            <w:vAlign w:val="bottom"/>
          </w:tcPr>
          <w:p>
            <w:pPr>
              <w:ind w:left="780"/>
              <w:spacing w:after="0" w:line="183"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0"/>
        </w:trPr>
        <w:tc>
          <w:tcPr>
            <w:tcW w:w="36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restart"/>
          </w:tcPr>
          <w:p>
            <w:pPr>
              <w:spacing w:after="0"/>
              <w:rPr>
                <w:sz w:val="20"/>
                <w:szCs w:val="20"/>
                <w:color w:val="auto"/>
              </w:rPr>
            </w:pPr>
            <w:r>
              <w:rPr>
                <w:rFonts w:ascii="Arial" w:cs="Arial" w:eastAsia="Arial" w:hAnsi="Arial"/>
                <w:sz w:val="16"/>
                <w:szCs w:val="16"/>
                <w:color w:val="auto"/>
              </w:rPr>
              <w:t>PRP</w:t>
            </w:r>
          </w:p>
        </w:tc>
        <w:tc>
          <w:tcPr>
            <w:tcW w:w="1520" w:type="dxa"/>
            <w:vAlign w:val="bottom"/>
            <w:vMerge w:val="restart"/>
          </w:tcPr>
          <w:p>
            <w:pPr>
              <w:jc w:val="right"/>
              <w:ind w:right="202"/>
              <w:spacing w:after="0"/>
              <w:rPr>
                <w:sz w:val="20"/>
                <w:szCs w:val="20"/>
                <w:color w:val="auto"/>
              </w:rPr>
            </w:pPr>
            <w:r>
              <w:rPr>
                <w:rFonts w:ascii="Arial" w:cs="Arial" w:eastAsia="Arial" w:hAnsi="Arial"/>
                <w:sz w:val="16"/>
                <w:szCs w:val="16"/>
                <w:color w:val="auto"/>
              </w:rPr>
              <w:t>N/A</w:t>
            </w:r>
          </w:p>
        </w:tc>
        <w:tc>
          <w:tcPr>
            <w:tcW w:w="1300" w:type="dxa"/>
            <w:vAlign w:val="bottom"/>
            <w:vMerge w:val="restart"/>
          </w:tcPr>
          <w:p>
            <w:pPr>
              <w:jc w:val="right"/>
              <w:ind w:right="202"/>
              <w:spacing w:after="0"/>
              <w:rPr>
                <w:sz w:val="20"/>
                <w:szCs w:val="20"/>
                <w:color w:val="auto"/>
              </w:rPr>
            </w:pPr>
            <w:r>
              <w:rPr>
                <w:rFonts w:ascii="Arial" w:cs="Arial" w:eastAsia="Arial" w:hAnsi="Arial"/>
                <w:sz w:val="16"/>
                <w:szCs w:val="16"/>
                <w:color w:val="auto"/>
              </w:rPr>
              <w:t>N/A</w:t>
            </w:r>
          </w:p>
        </w:tc>
        <w:tc>
          <w:tcPr>
            <w:tcW w:w="1580" w:type="dxa"/>
            <w:vAlign w:val="bottom"/>
            <w:vMerge w:val="restart"/>
          </w:tcPr>
          <w:p>
            <w:pPr>
              <w:jc w:val="right"/>
              <w:ind w:right="162"/>
              <w:spacing w:after="0"/>
              <w:rPr>
                <w:sz w:val="20"/>
                <w:szCs w:val="20"/>
                <w:color w:val="auto"/>
              </w:rPr>
            </w:pPr>
            <w:r>
              <w:rPr>
                <w:rFonts w:ascii="Arial" w:cs="Arial" w:eastAsia="Arial" w:hAnsi="Arial"/>
                <w:sz w:val="16"/>
                <w:szCs w:val="16"/>
                <w:color w:val="auto"/>
              </w:rPr>
              <w:t>N/A</w:t>
            </w:r>
          </w:p>
        </w:tc>
        <w:tc>
          <w:tcPr>
            <w:tcW w:w="1140" w:type="dxa"/>
            <w:vAlign w:val="bottom"/>
            <w:vMerge w:val="restart"/>
          </w:tcPr>
          <w:p>
            <w:pPr>
              <w:ind w:left="7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86"/>
        </w:trPr>
        <w:tc>
          <w:tcPr>
            <w:tcW w:w="3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368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Brad M. Cerepak</w:t>
            </w:r>
          </w:p>
        </w:tc>
        <w:tc>
          <w:tcPr>
            <w:tcW w:w="500" w:type="dxa"/>
            <w:vAlign w:val="bottom"/>
            <w:shd w:val="clear" w:color="auto" w:fill="D8D8D8"/>
          </w:tcPr>
          <w:p>
            <w:pPr>
              <w:spacing w:after="0"/>
              <w:rPr>
                <w:sz w:val="16"/>
                <w:szCs w:val="16"/>
                <w:color w:val="auto"/>
              </w:rPr>
            </w:pPr>
          </w:p>
        </w:tc>
        <w:tc>
          <w:tcPr>
            <w:tcW w:w="1200" w:type="dxa"/>
            <w:vAlign w:val="bottom"/>
            <w:shd w:val="clear" w:color="auto" w:fill="D8D8D8"/>
          </w:tcPr>
          <w:p>
            <w:pPr>
              <w:spacing w:after="0"/>
              <w:rPr>
                <w:sz w:val="20"/>
                <w:szCs w:val="20"/>
                <w:color w:val="auto"/>
              </w:rPr>
            </w:pPr>
            <w:r>
              <w:rPr>
                <w:rFonts w:ascii="Arial" w:cs="Arial" w:eastAsia="Arial" w:hAnsi="Arial"/>
                <w:sz w:val="16"/>
                <w:szCs w:val="16"/>
                <w:color w:val="auto"/>
              </w:rPr>
              <w:t>Pension Plan</w:t>
            </w:r>
          </w:p>
        </w:tc>
        <w:tc>
          <w:tcPr>
            <w:tcW w:w="1520" w:type="dxa"/>
            <w:vAlign w:val="bottom"/>
            <w:shd w:val="clear" w:color="auto" w:fill="D8D8D8"/>
          </w:tcPr>
          <w:p>
            <w:pPr>
              <w:jc w:val="right"/>
              <w:ind w:right="202"/>
              <w:spacing w:after="0"/>
              <w:rPr>
                <w:sz w:val="20"/>
                <w:szCs w:val="20"/>
                <w:color w:val="auto"/>
              </w:rPr>
            </w:pPr>
            <w:r>
              <w:rPr>
                <w:rFonts w:ascii="Arial" w:cs="Arial" w:eastAsia="Arial" w:hAnsi="Arial"/>
                <w:sz w:val="16"/>
                <w:szCs w:val="16"/>
                <w:color w:val="auto"/>
              </w:rPr>
              <w:t>13.0</w:t>
            </w:r>
          </w:p>
        </w:tc>
        <w:tc>
          <w:tcPr>
            <w:tcW w:w="1300" w:type="dxa"/>
            <w:vAlign w:val="bottom"/>
            <w:shd w:val="clear" w:color="auto" w:fill="D8D8D8"/>
          </w:tcPr>
          <w:p>
            <w:pPr>
              <w:jc w:val="right"/>
              <w:ind w:right="202"/>
              <w:spacing w:after="0"/>
              <w:rPr>
                <w:sz w:val="20"/>
                <w:szCs w:val="20"/>
                <w:color w:val="auto"/>
              </w:rPr>
            </w:pPr>
            <w:r>
              <w:rPr>
                <w:rFonts w:ascii="Arial" w:cs="Arial" w:eastAsia="Arial" w:hAnsi="Arial"/>
                <w:sz w:val="16"/>
                <w:szCs w:val="16"/>
                <w:color w:val="auto"/>
              </w:rPr>
              <w:t>65</w:t>
            </w:r>
          </w:p>
        </w:tc>
        <w:tc>
          <w:tcPr>
            <w:tcW w:w="1580" w:type="dxa"/>
            <w:vAlign w:val="bottom"/>
            <w:shd w:val="clear" w:color="auto" w:fill="D8D8D8"/>
          </w:tcPr>
          <w:p>
            <w:pPr>
              <w:jc w:val="right"/>
              <w:ind w:right="162"/>
              <w:spacing w:after="0"/>
              <w:rPr>
                <w:sz w:val="20"/>
                <w:szCs w:val="20"/>
                <w:color w:val="auto"/>
              </w:rPr>
            </w:pPr>
            <w:r>
              <w:rPr>
                <w:rFonts w:ascii="Arial" w:cs="Arial" w:eastAsia="Arial" w:hAnsi="Arial"/>
                <w:sz w:val="16"/>
                <w:szCs w:val="16"/>
                <w:color w:val="auto"/>
              </w:rPr>
              <w:t>659,470</w:t>
            </w:r>
          </w:p>
        </w:tc>
        <w:tc>
          <w:tcPr>
            <w:tcW w:w="1140" w:type="dxa"/>
            <w:vAlign w:val="bottom"/>
            <w:shd w:val="clear" w:color="auto" w:fill="D8D8D8"/>
          </w:tcPr>
          <w:p>
            <w:pPr>
              <w:ind w:left="7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1"/>
        </w:trPr>
        <w:tc>
          <w:tcPr>
            <w:tcW w:w="3680" w:type="dxa"/>
            <w:vAlign w:val="bottom"/>
            <w:vMerge w:val="continue"/>
            <w:shd w:val="clear" w:color="auto" w:fill="D8D8D8"/>
          </w:tcPr>
          <w:p>
            <w:pPr>
              <w:spacing w:after="0"/>
              <w:rPr>
                <w:sz w:val="8"/>
                <w:szCs w:val="8"/>
                <w:color w:val="auto"/>
              </w:rPr>
            </w:pPr>
          </w:p>
        </w:tc>
        <w:tc>
          <w:tcPr>
            <w:tcW w:w="500" w:type="dxa"/>
            <w:vAlign w:val="bottom"/>
            <w:shd w:val="clear" w:color="auto" w:fill="D8D8D8"/>
          </w:tcPr>
          <w:p>
            <w:pPr>
              <w:spacing w:after="0"/>
              <w:rPr>
                <w:sz w:val="8"/>
                <w:szCs w:val="8"/>
                <w:color w:val="auto"/>
              </w:rPr>
            </w:pPr>
          </w:p>
        </w:tc>
        <w:tc>
          <w:tcPr>
            <w:tcW w:w="120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PRP</w:t>
            </w:r>
          </w:p>
        </w:tc>
        <w:tc>
          <w:tcPr>
            <w:tcW w:w="1520" w:type="dxa"/>
            <w:vAlign w:val="bottom"/>
            <w:vMerge w:val="restart"/>
            <w:shd w:val="clear" w:color="auto" w:fill="D8D8D8"/>
          </w:tcPr>
          <w:p>
            <w:pPr>
              <w:jc w:val="right"/>
              <w:ind w:right="202"/>
              <w:spacing w:after="0"/>
              <w:rPr>
                <w:sz w:val="20"/>
                <w:szCs w:val="20"/>
                <w:color w:val="auto"/>
              </w:rPr>
            </w:pPr>
            <w:r>
              <w:rPr>
                <w:rFonts w:ascii="Arial" w:cs="Arial" w:eastAsia="Arial" w:hAnsi="Arial"/>
                <w:sz w:val="16"/>
                <w:szCs w:val="16"/>
                <w:color w:val="auto"/>
              </w:rPr>
              <w:t>12.6</w:t>
            </w:r>
          </w:p>
        </w:tc>
        <w:tc>
          <w:tcPr>
            <w:tcW w:w="1300" w:type="dxa"/>
            <w:vAlign w:val="bottom"/>
            <w:vMerge w:val="restart"/>
            <w:shd w:val="clear" w:color="auto" w:fill="D8D8D8"/>
          </w:tcPr>
          <w:p>
            <w:pPr>
              <w:jc w:val="right"/>
              <w:ind w:right="202"/>
              <w:spacing w:after="0"/>
              <w:rPr>
                <w:sz w:val="20"/>
                <w:szCs w:val="20"/>
                <w:color w:val="auto"/>
              </w:rPr>
            </w:pPr>
            <w:r>
              <w:rPr>
                <w:rFonts w:ascii="Arial" w:cs="Arial" w:eastAsia="Arial" w:hAnsi="Arial"/>
                <w:sz w:val="16"/>
                <w:szCs w:val="16"/>
                <w:color w:val="auto"/>
              </w:rPr>
              <w:t>65</w:t>
            </w:r>
          </w:p>
        </w:tc>
        <w:tc>
          <w:tcPr>
            <w:tcW w:w="1580" w:type="dxa"/>
            <w:vAlign w:val="bottom"/>
            <w:vMerge w:val="restart"/>
            <w:shd w:val="clear" w:color="auto" w:fill="D8D8D8"/>
          </w:tcPr>
          <w:p>
            <w:pPr>
              <w:jc w:val="right"/>
              <w:ind w:right="162"/>
              <w:spacing w:after="0"/>
              <w:rPr>
                <w:sz w:val="20"/>
                <w:szCs w:val="20"/>
                <w:color w:val="auto"/>
              </w:rPr>
            </w:pPr>
            <w:r>
              <w:rPr>
                <w:rFonts w:ascii="Arial" w:cs="Arial" w:eastAsia="Arial" w:hAnsi="Arial"/>
                <w:sz w:val="16"/>
                <w:szCs w:val="16"/>
                <w:color w:val="auto"/>
              </w:rPr>
              <w:t>2,594,332</w:t>
            </w:r>
          </w:p>
        </w:tc>
        <w:tc>
          <w:tcPr>
            <w:tcW w:w="1140" w:type="dxa"/>
            <w:vAlign w:val="bottom"/>
            <w:vMerge w:val="restart"/>
            <w:shd w:val="clear" w:color="auto" w:fill="D8D8D8"/>
          </w:tcPr>
          <w:p>
            <w:pPr>
              <w:ind w:left="7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9"/>
        </w:trPr>
        <w:tc>
          <w:tcPr>
            <w:tcW w:w="3680" w:type="dxa"/>
            <w:vAlign w:val="bottom"/>
            <w:shd w:val="clear" w:color="auto" w:fill="D8D8D8"/>
          </w:tcPr>
          <w:p>
            <w:pPr>
              <w:spacing w:after="0"/>
              <w:rPr>
                <w:sz w:val="8"/>
                <w:szCs w:val="8"/>
                <w:color w:val="auto"/>
              </w:rPr>
            </w:pPr>
          </w:p>
        </w:tc>
        <w:tc>
          <w:tcPr>
            <w:tcW w:w="500" w:type="dxa"/>
            <w:vAlign w:val="bottom"/>
            <w:shd w:val="clear" w:color="auto" w:fill="D8D8D8"/>
          </w:tcPr>
          <w:p>
            <w:pPr>
              <w:spacing w:after="0"/>
              <w:rPr>
                <w:sz w:val="8"/>
                <w:szCs w:val="8"/>
                <w:color w:val="auto"/>
              </w:rPr>
            </w:pPr>
          </w:p>
        </w:tc>
        <w:tc>
          <w:tcPr>
            <w:tcW w:w="1200" w:type="dxa"/>
            <w:vAlign w:val="bottom"/>
            <w:vMerge w:val="continue"/>
            <w:shd w:val="clear" w:color="auto" w:fill="D8D8D8"/>
          </w:tcPr>
          <w:p>
            <w:pPr>
              <w:spacing w:after="0"/>
              <w:rPr>
                <w:sz w:val="8"/>
                <w:szCs w:val="8"/>
                <w:color w:val="auto"/>
              </w:rPr>
            </w:pPr>
          </w:p>
        </w:tc>
        <w:tc>
          <w:tcPr>
            <w:tcW w:w="1520" w:type="dxa"/>
            <w:vAlign w:val="bottom"/>
            <w:vMerge w:val="continue"/>
            <w:shd w:val="clear" w:color="auto" w:fill="D8D8D8"/>
          </w:tcPr>
          <w:p>
            <w:pPr>
              <w:spacing w:after="0"/>
              <w:rPr>
                <w:sz w:val="8"/>
                <w:szCs w:val="8"/>
                <w:color w:val="auto"/>
              </w:rPr>
            </w:pPr>
          </w:p>
        </w:tc>
        <w:tc>
          <w:tcPr>
            <w:tcW w:w="1300" w:type="dxa"/>
            <w:vAlign w:val="bottom"/>
            <w:vMerge w:val="continue"/>
            <w:shd w:val="clear" w:color="auto" w:fill="D8D8D8"/>
          </w:tcPr>
          <w:p>
            <w:pPr>
              <w:spacing w:after="0"/>
              <w:rPr>
                <w:sz w:val="8"/>
                <w:szCs w:val="8"/>
                <w:color w:val="auto"/>
              </w:rPr>
            </w:pPr>
          </w:p>
        </w:tc>
        <w:tc>
          <w:tcPr>
            <w:tcW w:w="1580" w:type="dxa"/>
            <w:vAlign w:val="bottom"/>
            <w:vMerge w:val="continue"/>
            <w:shd w:val="clear" w:color="auto" w:fill="D8D8D8"/>
          </w:tcPr>
          <w:p>
            <w:pPr>
              <w:spacing w:after="0"/>
              <w:rPr>
                <w:sz w:val="8"/>
                <w:szCs w:val="8"/>
                <w:color w:val="auto"/>
              </w:rPr>
            </w:pPr>
          </w:p>
        </w:tc>
        <w:tc>
          <w:tcPr>
            <w:tcW w:w="114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680" w:type="dxa"/>
            <w:vAlign w:val="bottom"/>
            <w:vMerge w:val="restart"/>
          </w:tcPr>
          <w:p>
            <w:pPr>
              <w:ind w:left="100"/>
              <w:spacing w:after="0"/>
              <w:rPr>
                <w:sz w:val="20"/>
                <w:szCs w:val="20"/>
                <w:color w:val="auto"/>
              </w:rPr>
            </w:pPr>
            <w:r>
              <w:rPr>
                <w:rFonts w:ascii="Arial" w:cs="Arial" w:eastAsia="Arial" w:hAnsi="Arial"/>
                <w:sz w:val="16"/>
                <w:szCs w:val="16"/>
                <w:color w:val="auto"/>
              </w:rPr>
              <w:t>Girish Juneja (2)</w:t>
            </w:r>
          </w:p>
        </w:tc>
        <w:tc>
          <w:tcPr>
            <w:tcW w:w="500" w:type="dxa"/>
            <w:vAlign w:val="bottom"/>
            <w:tcBorders>
              <w:bottom w:val="single" w:sz="8" w:color="999999"/>
            </w:tcBorders>
          </w:tcPr>
          <w:p>
            <w:pPr>
              <w:spacing w:after="0"/>
              <w:rPr>
                <w:sz w:val="16"/>
                <w:szCs w:val="16"/>
                <w:color w:val="auto"/>
              </w:rPr>
            </w:pPr>
          </w:p>
        </w:tc>
        <w:tc>
          <w:tcPr>
            <w:tcW w:w="120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Pension Plan</w:t>
            </w:r>
          </w:p>
        </w:tc>
        <w:tc>
          <w:tcPr>
            <w:tcW w:w="1520" w:type="dxa"/>
            <w:vAlign w:val="bottom"/>
            <w:tcBorders>
              <w:bottom w:val="single" w:sz="8" w:color="999999"/>
            </w:tcBorders>
          </w:tcPr>
          <w:p>
            <w:pPr>
              <w:jc w:val="right"/>
              <w:ind w:right="202"/>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999999"/>
            </w:tcBorders>
          </w:tcPr>
          <w:p>
            <w:pPr>
              <w:jc w:val="right"/>
              <w:ind w:right="202"/>
              <w:spacing w:after="0"/>
              <w:rPr>
                <w:sz w:val="20"/>
                <w:szCs w:val="20"/>
                <w:color w:val="auto"/>
              </w:rPr>
            </w:pPr>
            <w:r>
              <w:rPr>
                <w:rFonts w:ascii="Arial" w:cs="Arial" w:eastAsia="Arial" w:hAnsi="Arial"/>
                <w:sz w:val="16"/>
                <w:szCs w:val="16"/>
                <w:color w:val="auto"/>
              </w:rPr>
              <w:t>N/A</w:t>
            </w:r>
          </w:p>
        </w:tc>
        <w:tc>
          <w:tcPr>
            <w:tcW w:w="1580" w:type="dxa"/>
            <w:vAlign w:val="bottom"/>
            <w:tcBorders>
              <w:bottom w:val="single" w:sz="8" w:color="999999"/>
            </w:tcBorders>
          </w:tcPr>
          <w:p>
            <w:pPr>
              <w:jc w:val="right"/>
              <w:ind w:right="162"/>
              <w:spacing w:after="0"/>
              <w:rPr>
                <w:sz w:val="20"/>
                <w:szCs w:val="20"/>
                <w:color w:val="auto"/>
              </w:rPr>
            </w:pPr>
            <w:r>
              <w:rPr>
                <w:rFonts w:ascii="Arial" w:cs="Arial" w:eastAsia="Arial" w:hAnsi="Arial"/>
                <w:sz w:val="16"/>
                <w:szCs w:val="16"/>
                <w:color w:val="auto"/>
              </w:rPr>
              <w:t>N/A</w:t>
            </w:r>
          </w:p>
        </w:tc>
        <w:tc>
          <w:tcPr>
            <w:tcW w:w="1140" w:type="dxa"/>
            <w:vAlign w:val="bottom"/>
            <w:tcBorders>
              <w:bottom w:val="single" w:sz="8" w:color="999999"/>
            </w:tcBorders>
          </w:tcPr>
          <w:p>
            <w:pPr>
              <w:ind w:left="7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81"/>
        </w:trPr>
        <w:tc>
          <w:tcPr>
            <w:tcW w:w="36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vMerge w:val="restart"/>
          </w:tcPr>
          <w:p>
            <w:pPr>
              <w:spacing w:after="0" w:line="181" w:lineRule="exact"/>
              <w:rPr>
                <w:sz w:val="20"/>
                <w:szCs w:val="20"/>
                <w:color w:val="auto"/>
              </w:rPr>
            </w:pPr>
            <w:r>
              <w:rPr>
                <w:rFonts w:ascii="Arial" w:cs="Arial" w:eastAsia="Arial" w:hAnsi="Arial"/>
                <w:sz w:val="16"/>
                <w:szCs w:val="16"/>
                <w:color w:val="auto"/>
              </w:rPr>
              <w:t>PRP</w:t>
            </w:r>
          </w:p>
        </w:tc>
        <w:tc>
          <w:tcPr>
            <w:tcW w:w="1520" w:type="dxa"/>
            <w:vAlign w:val="bottom"/>
            <w:vMerge w:val="restart"/>
          </w:tcPr>
          <w:p>
            <w:pPr>
              <w:jc w:val="right"/>
              <w:ind w:right="202"/>
              <w:spacing w:after="0" w:line="181" w:lineRule="exact"/>
              <w:rPr>
                <w:sz w:val="20"/>
                <w:szCs w:val="20"/>
                <w:color w:val="auto"/>
              </w:rPr>
            </w:pPr>
            <w:r>
              <w:rPr>
                <w:rFonts w:ascii="Arial" w:cs="Arial" w:eastAsia="Arial" w:hAnsi="Arial"/>
                <w:sz w:val="16"/>
                <w:szCs w:val="16"/>
                <w:color w:val="auto"/>
              </w:rPr>
              <w:t>N/A</w:t>
            </w:r>
          </w:p>
        </w:tc>
        <w:tc>
          <w:tcPr>
            <w:tcW w:w="1300" w:type="dxa"/>
            <w:vAlign w:val="bottom"/>
            <w:vMerge w:val="restart"/>
          </w:tcPr>
          <w:p>
            <w:pPr>
              <w:jc w:val="right"/>
              <w:ind w:right="202"/>
              <w:spacing w:after="0" w:line="181" w:lineRule="exact"/>
              <w:rPr>
                <w:sz w:val="20"/>
                <w:szCs w:val="20"/>
                <w:color w:val="auto"/>
              </w:rPr>
            </w:pPr>
            <w:r>
              <w:rPr>
                <w:rFonts w:ascii="Arial" w:cs="Arial" w:eastAsia="Arial" w:hAnsi="Arial"/>
                <w:sz w:val="16"/>
                <w:szCs w:val="16"/>
                <w:color w:val="auto"/>
              </w:rPr>
              <w:t>N/A</w:t>
            </w:r>
          </w:p>
        </w:tc>
        <w:tc>
          <w:tcPr>
            <w:tcW w:w="1580" w:type="dxa"/>
            <w:vAlign w:val="bottom"/>
            <w:vMerge w:val="restart"/>
          </w:tcPr>
          <w:p>
            <w:pPr>
              <w:jc w:val="right"/>
              <w:ind w:right="162"/>
              <w:spacing w:after="0" w:line="181" w:lineRule="exact"/>
              <w:rPr>
                <w:sz w:val="20"/>
                <w:szCs w:val="20"/>
                <w:color w:val="auto"/>
              </w:rPr>
            </w:pPr>
            <w:r>
              <w:rPr>
                <w:rFonts w:ascii="Arial" w:cs="Arial" w:eastAsia="Arial" w:hAnsi="Arial"/>
                <w:sz w:val="16"/>
                <w:szCs w:val="16"/>
                <w:color w:val="auto"/>
              </w:rPr>
              <w:t>N/A</w:t>
            </w:r>
          </w:p>
        </w:tc>
        <w:tc>
          <w:tcPr>
            <w:tcW w:w="1140" w:type="dxa"/>
            <w:vAlign w:val="bottom"/>
            <w:vMerge w:val="restart"/>
          </w:tcPr>
          <w:p>
            <w:pPr>
              <w:ind w:left="780"/>
              <w:spacing w:after="0" w:line="181"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9"/>
        </w:trPr>
        <w:tc>
          <w:tcPr>
            <w:tcW w:w="3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68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Ivonne M. Cabrera (3)</w:t>
            </w:r>
          </w:p>
        </w:tc>
        <w:tc>
          <w:tcPr>
            <w:tcW w:w="500" w:type="dxa"/>
            <w:vAlign w:val="bottom"/>
            <w:shd w:val="clear" w:color="auto" w:fill="D8D8D8"/>
          </w:tcPr>
          <w:p>
            <w:pPr>
              <w:spacing w:after="0"/>
              <w:rPr>
                <w:sz w:val="16"/>
                <w:szCs w:val="16"/>
                <w:color w:val="auto"/>
              </w:rPr>
            </w:pPr>
          </w:p>
        </w:tc>
        <w:tc>
          <w:tcPr>
            <w:tcW w:w="1200" w:type="dxa"/>
            <w:vAlign w:val="bottom"/>
            <w:shd w:val="clear" w:color="auto" w:fill="D8D8D8"/>
          </w:tcPr>
          <w:p>
            <w:pPr>
              <w:spacing w:after="0"/>
              <w:rPr>
                <w:sz w:val="20"/>
                <w:szCs w:val="20"/>
                <w:color w:val="auto"/>
              </w:rPr>
            </w:pPr>
            <w:r>
              <w:rPr>
                <w:rFonts w:ascii="Arial" w:cs="Arial" w:eastAsia="Arial" w:hAnsi="Arial"/>
                <w:sz w:val="16"/>
                <w:szCs w:val="16"/>
                <w:color w:val="auto"/>
              </w:rPr>
              <w:t>Pension Plan</w:t>
            </w:r>
          </w:p>
        </w:tc>
        <w:tc>
          <w:tcPr>
            <w:tcW w:w="1520" w:type="dxa"/>
            <w:vAlign w:val="bottom"/>
            <w:shd w:val="clear" w:color="auto" w:fill="D8D8D8"/>
          </w:tcPr>
          <w:p>
            <w:pPr>
              <w:jc w:val="right"/>
              <w:ind w:right="202"/>
              <w:spacing w:after="0"/>
              <w:rPr>
                <w:sz w:val="20"/>
                <w:szCs w:val="20"/>
                <w:color w:val="auto"/>
              </w:rPr>
            </w:pPr>
            <w:r>
              <w:rPr>
                <w:rFonts w:ascii="Arial" w:cs="Arial" w:eastAsia="Arial" w:hAnsi="Arial"/>
                <w:sz w:val="16"/>
                <w:szCs w:val="16"/>
                <w:color w:val="auto"/>
              </w:rPr>
              <w:t>18.6</w:t>
            </w:r>
          </w:p>
        </w:tc>
        <w:tc>
          <w:tcPr>
            <w:tcW w:w="1300" w:type="dxa"/>
            <w:vAlign w:val="bottom"/>
            <w:shd w:val="clear" w:color="auto" w:fill="D8D8D8"/>
          </w:tcPr>
          <w:p>
            <w:pPr>
              <w:jc w:val="right"/>
              <w:ind w:right="202"/>
              <w:spacing w:after="0"/>
              <w:rPr>
                <w:sz w:val="20"/>
                <w:szCs w:val="20"/>
                <w:color w:val="auto"/>
              </w:rPr>
            </w:pPr>
            <w:r>
              <w:rPr>
                <w:rFonts w:ascii="Arial" w:cs="Arial" w:eastAsia="Arial" w:hAnsi="Arial"/>
                <w:sz w:val="16"/>
                <w:szCs w:val="16"/>
                <w:color w:val="auto"/>
              </w:rPr>
              <w:t>65</w:t>
            </w:r>
          </w:p>
        </w:tc>
        <w:tc>
          <w:tcPr>
            <w:tcW w:w="1580" w:type="dxa"/>
            <w:vAlign w:val="bottom"/>
            <w:shd w:val="clear" w:color="auto" w:fill="D8D8D8"/>
          </w:tcPr>
          <w:p>
            <w:pPr>
              <w:jc w:val="right"/>
              <w:ind w:right="162"/>
              <w:spacing w:after="0"/>
              <w:rPr>
                <w:sz w:val="20"/>
                <w:szCs w:val="20"/>
                <w:color w:val="auto"/>
              </w:rPr>
            </w:pPr>
            <w:r>
              <w:rPr>
                <w:rFonts w:ascii="Arial" w:cs="Arial" w:eastAsia="Arial" w:hAnsi="Arial"/>
                <w:sz w:val="16"/>
                <w:szCs w:val="16"/>
                <w:color w:val="auto"/>
              </w:rPr>
              <w:t>730,962</w:t>
            </w:r>
          </w:p>
        </w:tc>
        <w:tc>
          <w:tcPr>
            <w:tcW w:w="1140" w:type="dxa"/>
            <w:vAlign w:val="bottom"/>
            <w:shd w:val="clear" w:color="auto" w:fill="D8D8D8"/>
          </w:tcPr>
          <w:p>
            <w:pPr>
              <w:ind w:left="7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1"/>
        </w:trPr>
        <w:tc>
          <w:tcPr>
            <w:tcW w:w="3680" w:type="dxa"/>
            <w:vAlign w:val="bottom"/>
            <w:vMerge w:val="continue"/>
            <w:shd w:val="clear" w:color="auto" w:fill="D8D8D8"/>
          </w:tcPr>
          <w:p>
            <w:pPr>
              <w:spacing w:after="0"/>
              <w:rPr>
                <w:sz w:val="8"/>
                <w:szCs w:val="8"/>
                <w:color w:val="auto"/>
              </w:rPr>
            </w:pPr>
          </w:p>
        </w:tc>
        <w:tc>
          <w:tcPr>
            <w:tcW w:w="500" w:type="dxa"/>
            <w:vAlign w:val="bottom"/>
            <w:shd w:val="clear" w:color="auto" w:fill="D8D8D8"/>
          </w:tcPr>
          <w:p>
            <w:pPr>
              <w:spacing w:after="0"/>
              <w:rPr>
                <w:sz w:val="8"/>
                <w:szCs w:val="8"/>
                <w:color w:val="auto"/>
              </w:rPr>
            </w:pPr>
          </w:p>
        </w:tc>
        <w:tc>
          <w:tcPr>
            <w:tcW w:w="120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PRP</w:t>
            </w:r>
          </w:p>
        </w:tc>
        <w:tc>
          <w:tcPr>
            <w:tcW w:w="1520" w:type="dxa"/>
            <w:vAlign w:val="bottom"/>
            <w:vMerge w:val="restart"/>
            <w:shd w:val="clear" w:color="auto" w:fill="D8D8D8"/>
          </w:tcPr>
          <w:p>
            <w:pPr>
              <w:jc w:val="right"/>
              <w:ind w:right="202"/>
              <w:spacing w:after="0"/>
              <w:rPr>
                <w:sz w:val="20"/>
                <w:szCs w:val="20"/>
                <w:color w:val="auto"/>
              </w:rPr>
            </w:pPr>
            <w:r>
              <w:rPr>
                <w:rFonts w:ascii="Arial" w:cs="Arial" w:eastAsia="Arial" w:hAnsi="Arial"/>
                <w:sz w:val="16"/>
                <w:szCs w:val="16"/>
                <w:color w:val="auto"/>
              </w:rPr>
              <w:t>17.9</w:t>
            </w:r>
          </w:p>
        </w:tc>
        <w:tc>
          <w:tcPr>
            <w:tcW w:w="1300" w:type="dxa"/>
            <w:vAlign w:val="bottom"/>
            <w:vMerge w:val="restart"/>
            <w:shd w:val="clear" w:color="auto" w:fill="D8D8D8"/>
          </w:tcPr>
          <w:p>
            <w:pPr>
              <w:jc w:val="right"/>
              <w:ind w:right="202"/>
              <w:spacing w:after="0"/>
              <w:rPr>
                <w:sz w:val="20"/>
                <w:szCs w:val="20"/>
                <w:color w:val="auto"/>
              </w:rPr>
            </w:pPr>
            <w:r>
              <w:rPr>
                <w:rFonts w:ascii="Arial" w:cs="Arial" w:eastAsia="Arial" w:hAnsi="Arial"/>
                <w:sz w:val="16"/>
                <w:szCs w:val="16"/>
                <w:color w:val="auto"/>
              </w:rPr>
              <w:t>65</w:t>
            </w:r>
          </w:p>
        </w:tc>
        <w:tc>
          <w:tcPr>
            <w:tcW w:w="1580" w:type="dxa"/>
            <w:vAlign w:val="bottom"/>
            <w:vMerge w:val="restart"/>
            <w:shd w:val="clear" w:color="auto" w:fill="D8D8D8"/>
          </w:tcPr>
          <w:p>
            <w:pPr>
              <w:jc w:val="right"/>
              <w:ind w:right="162"/>
              <w:spacing w:after="0"/>
              <w:rPr>
                <w:sz w:val="20"/>
                <w:szCs w:val="20"/>
                <w:color w:val="auto"/>
              </w:rPr>
            </w:pPr>
            <w:r>
              <w:rPr>
                <w:rFonts w:ascii="Arial" w:cs="Arial" w:eastAsia="Arial" w:hAnsi="Arial"/>
                <w:sz w:val="16"/>
                <w:szCs w:val="16"/>
                <w:color w:val="auto"/>
              </w:rPr>
              <w:t>1,555,674</w:t>
            </w:r>
          </w:p>
        </w:tc>
        <w:tc>
          <w:tcPr>
            <w:tcW w:w="1140" w:type="dxa"/>
            <w:vAlign w:val="bottom"/>
            <w:vMerge w:val="restart"/>
            <w:shd w:val="clear" w:color="auto" w:fill="D8D8D8"/>
          </w:tcPr>
          <w:p>
            <w:pPr>
              <w:ind w:left="7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9"/>
        </w:trPr>
        <w:tc>
          <w:tcPr>
            <w:tcW w:w="3680" w:type="dxa"/>
            <w:vAlign w:val="bottom"/>
            <w:shd w:val="clear" w:color="auto" w:fill="D8D8D8"/>
          </w:tcPr>
          <w:p>
            <w:pPr>
              <w:spacing w:after="0"/>
              <w:rPr>
                <w:sz w:val="8"/>
                <w:szCs w:val="8"/>
                <w:color w:val="auto"/>
              </w:rPr>
            </w:pPr>
          </w:p>
        </w:tc>
        <w:tc>
          <w:tcPr>
            <w:tcW w:w="500" w:type="dxa"/>
            <w:vAlign w:val="bottom"/>
            <w:shd w:val="clear" w:color="auto" w:fill="D8D8D8"/>
          </w:tcPr>
          <w:p>
            <w:pPr>
              <w:spacing w:after="0"/>
              <w:rPr>
                <w:sz w:val="8"/>
                <w:szCs w:val="8"/>
                <w:color w:val="auto"/>
              </w:rPr>
            </w:pPr>
          </w:p>
        </w:tc>
        <w:tc>
          <w:tcPr>
            <w:tcW w:w="1200" w:type="dxa"/>
            <w:vAlign w:val="bottom"/>
            <w:vMerge w:val="continue"/>
            <w:shd w:val="clear" w:color="auto" w:fill="D8D8D8"/>
          </w:tcPr>
          <w:p>
            <w:pPr>
              <w:spacing w:after="0"/>
              <w:rPr>
                <w:sz w:val="8"/>
                <w:szCs w:val="8"/>
                <w:color w:val="auto"/>
              </w:rPr>
            </w:pPr>
          </w:p>
        </w:tc>
        <w:tc>
          <w:tcPr>
            <w:tcW w:w="1520" w:type="dxa"/>
            <w:vAlign w:val="bottom"/>
            <w:vMerge w:val="continue"/>
            <w:shd w:val="clear" w:color="auto" w:fill="D8D8D8"/>
          </w:tcPr>
          <w:p>
            <w:pPr>
              <w:spacing w:after="0"/>
              <w:rPr>
                <w:sz w:val="8"/>
                <w:szCs w:val="8"/>
                <w:color w:val="auto"/>
              </w:rPr>
            </w:pPr>
          </w:p>
        </w:tc>
        <w:tc>
          <w:tcPr>
            <w:tcW w:w="1300" w:type="dxa"/>
            <w:vAlign w:val="bottom"/>
            <w:vMerge w:val="continue"/>
            <w:shd w:val="clear" w:color="auto" w:fill="D8D8D8"/>
          </w:tcPr>
          <w:p>
            <w:pPr>
              <w:spacing w:after="0"/>
              <w:rPr>
                <w:sz w:val="8"/>
                <w:szCs w:val="8"/>
                <w:color w:val="auto"/>
              </w:rPr>
            </w:pPr>
          </w:p>
        </w:tc>
        <w:tc>
          <w:tcPr>
            <w:tcW w:w="1580" w:type="dxa"/>
            <w:vAlign w:val="bottom"/>
            <w:vMerge w:val="continue"/>
            <w:shd w:val="clear" w:color="auto" w:fill="D8D8D8"/>
          </w:tcPr>
          <w:p>
            <w:pPr>
              <w:spacing w:after="0"/>
              <w:rPr>
                <w:sz w:val="8"/>
                <w:szCs w:val="8"/>
                <w:color w:val="auto"/>
              </w:rPr>
            </w:pPr>
          </w:p>
        </w:tc>
        <w:tc>
          <w:tcPr>
            <w:tcW w:w="114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680" w:type="dxa"/>
            <w:vAlign w:val="bottom"/>
            <w:vMerge w:val="restart"/>
          </w:tcPr>
          <w:p>
            <w:pPr>
              <w:ind w:left="100"/>
              <w:spacing w:after="0"/>
              <w:rPr>
                <w:sz w:val="20"/>
                <w:szCs w:val="20"/>
                <w:color w:val="auto"/>
              </w:rPr>
            </w:pPr>
            <w:r>
              <w:rPr>
                <w:rFonts w:ascii="Arial" w:cs="Arial" w:eastAsia="Arial" w:hAnsi="Arial"/>
                <w:sz w:val="16"/>
                <w:szCs w:val="16"/>
                <w:color w:val="auto"/>
              </w:rPr>
              <w:t>Kimberly K. Bors</w:t>
            </w:r>
          </w:p>
        </w:tc>
        <w:tc>
          <w:tcPr>
            <w:tcW w:w="500" w:type="dxa"/>
            <w:vAlign w:val="bottom"/>
            <w:tcBorders>
              <w:bottom w:val="single" w:sz="8" w:color="999999"/>
            </w:tcBorders>
          </w:tcPr>
          <w:p>
            <w:pPr>
              <w:spacing w:after="0"/>
              <w:rPr>
                <w:sz w:val="16"/>
                <w:szCs w:val="16"/>
                <w:color w:val="auto"/>
              </w:rPr>
            </w:pPr>
          </w:p>
        </w:tc>
        <w:tc>
          <w:tcPr>
            <w:tcW w:w="120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Pension Plan</w:t>
            </w:r>
          </w:p>
        </w:tc>
        <w:tc>
          <w:tcPr>
            <w:tcW w:w="1520" w:type="dxa"/>
            <w:vAlign w:val="bottom"/>
            <w:tcBorders>
              <w:bottom w:val="single" w:sz="8" w:color="999999"/>
            </w:tcBorders>
          </w:tcPr>
          <w:p>
            <w:pPr>
              <w:jc w:val="right"/>
              <w:ind w:right="202"/>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999999"/>
            </w:tcBorders>
          </w:tcPr>
          <w:p>
            <w:pPr>
              <w:jc w:val="right"/>
              <w:ind w:right="202"/>
              <w:spacing w:after="0"/>
              <w:rPr>
                <w:sz w:val="20"/>
                <w:szCs w:val="20"/>
                <w:color w:val="auto"/>
              </w:rPr>
            </w:pPr>
            <w:r>
              <w:rPr>
                <w:rFonts w:ascii="Arial" w:cs="Arial" w:eastAsia="Arial" w:hAnsi="Arial"/>
                <w:sz w:val="16"/>
                <w:szCs w:val="16"/>
                <w:color w:val="auto"/>
              </w:rPr>
              <w:t>N/A</w:t>
            </w:r>
          </w:p>
        </w:tc>
        <w:tc>
          <w:tcPr>
            <w:tcW w:w="1580" w:type="dxa"/>
            <w:vAlign w:val="bottom"/>
            <w:tcBorders>
              <w:bottom w:val="single" w:sz="8" w:color="999999"/>
            </w:tcBorders>
          </w:tcPr>
          <w:p>
            <w:pPr>
              <w:jc w:val="right"/>
              <w:ind w:right="162"/>
              <w:spacing w:after="0"/>
              <w:rPr>
                <w:sz w:val="20"/>
                <w:szCs w:val="20"/>
                <w:color w:val="auto"/>
              </w:rPr>
            </w:pPr>
            <w:r>
              <w:rPr>
                <w:rFonts w:ascii="Arial" w:cs="Arial" w:eastAsia="Arial" w:hAnsi="Arial"/>
                <w:sz w:val="16"/>
                <w:szCs w:val="16"/>
                <w:color w:val="auto"/>
              </w:rPr>
              <w:t>N/A</w:t>
            </w:r>
          </w:p>
        </w:tc>
        <w:tc>
          <w:tcPr>
            <w:tcW w:w="1140" w:type="dxa"/>
            <w:vAlign w:val="bottom"/>
            <w:tcBorders>
              <w:bottom w:val="single" w:sz="8" w:color="999999"/>
            </w:tcBorders>
          </w:tcPr>
          <w:p>
            <w:pPr>
              <w:ind w:left="7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81"/>
        </w:trPr>
        <w:tc>
          <w:tcPr>
            <w:tcW w:w="36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vMerge w:val="restart"/>
          </w:tcPr>
          <w:p>
            <w:pPr>
              <w:spacing w:after="0" w:line="181" w:lineRule="exact"/>
              <w:rPr>
                <w:sz w:val="20"/>
                <w:szCs w:val="20"/>
                <w:color w:val="auto"/>
              </w:rPr>
            </w:pPr>
            <w:r>
              <w:rPr>
                <w:rFonts w:ascii="Arial" w:cs="Arial" w:eastAsia="Arial" w:hAnsi="Arial"/>
                <w:sz w:val="16"/>
                <w:szCs w:val="16"/>
                <w:color w:val="auto"/>
              </w:rPr>
              <w:t>PRP</w:t>
            </w:r>
          </w:p>
        </w:tc>
        <w:tc>
          <w:tcPr>
            <w:tcW w:w="1520" w:type="dxa"/>
            <w:vAlign w:val="bottom"/>
            <w:vMerge w:val="restart"/>
          </w:tcPr>
          <w:p>
            <w:pPr>
              <w:jc w:val="right"/>
              <w:ind w:right="202"/>
              <w:spacing w:after="0" w:line="181" w:lineRule="exact"/>
              <w:rPr>
                <w:sz w:val="20"/>
                <w:szCs w:val="20"/>
                <w:color w:val="auto"/>
              </w:rPr>
            </w:pPr>
            <w:r>
              <w:rPr>
                <w:rFonts w:ascii="Arial" w:cs="Arial" w:eastAsia="Arial" w:hAnsi="Arial"/>
                <w:sz w:val="16"/>
                <w:szCs w:val="16"/>
                <w:color w:val="auto"/>
              </w:rPr>
              <w:t>N/A</w:t>
            </w:r>
          </w:p>
        </w:tc>
        <w:tc>
          <w:tcPr>
            <w:tcW w:w="1300" w:type="dxa"/>
            <w:vAlign w:val="bottom"/>
            <w:vMerge w:val="restart"/>
          </w:tcPr>
          <w:p>
            <w:pPr>
              <w:jc w:val="right"/>
              <w:ind w:right="202"/>
              <w:spacing w:after="0" w:line="181" w:lineRule="exact"/>
              <w:rPr>
                <w:sz w:val="20"/>
                <w:szCs w:val="20"/>
                <w:color w:val="auto"/>
              </w:rPr>
            </w:pPr>
            <w:r>
              <w:rPr>
                <w:rFonts w:ascii="Arial" w:cs="Arial" w:eastAsia="Arial" w:hAnsi="Arial"/>
                <w:sz w:val="16"/>
                <w:szCs w:val="16"/>
                <w:color w:val="auto"/>
              </w:rPr>
              <w:t>N/A</w:t>
            </w:r>
          </w:p>
        </w:tc>
        <w:tc>
          <w:tcPr>
            <w:tcW w:w="1580" w:type="dxa"/>
            <w:vAlign w:val="bottom"/>
            <w:vMerge w:val="restart"/>
          </w:tcPr>
          <w:p>
            <w:pPr>
              <w:jc w:val="right"/>
              <w:ind w:right="162"/>
              <w:spacing w:after="0" w:line="181" w:lineRule="exact"/>
              <w:rPr>
                <w:sz w:val="20"/>
                <w:szCs w:val="20"/>
                <w:color w:val="auto"/>
              </w:rPr>
            </w:pPr>
            <w:r>
              <w:rPr>
                <w:rFonts w:ascii="Arial" w:cs="Arial" w:eastAsia="Arial" w:hAnsi="Arial"/>
                <w:sz w:val="16"/>
                <w:szCs w:val="16"/>
                <w:color w:val="auto"/>
              </w:rPr>
              <w:t>N/A</w:t>
            </w:r>
          </w:p>
        </w:tc>
        <w:tc>
          <w:tcPr>
            <w:tcW w:w="1140" w:type="dxa"/>
            <w:vAlign w:val="bottom"/>
            <w:vMerge w:val="restart"/>
          </w:tcPr>
          <w:p>
            <w:pPr>
              <w:ind w:left="780"/>
              <w:spacing w:after="0" w:line="181"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9"/>
        </w:trPr>
        <w:tc>
          <w:tcPr>
            <w:tcW w:w="3680" w:type="dxa"/>
            <w:vAlign w:val="bottom"/>
            <w:tcBorders>
              <w:bottom w:val="single" w:sz="8" w:color="021496"/>
            </w:tcBorders>
          </w:tcPr>
          <w:p>
            <w:pPr>
              <w:spacing w:after="0"/>
              <w:rPr>
                <w:sz w:val="8"/>
                <w:szCs w:val="8"/>
                <w:color w:val="auto"/>
              </w:rPr>
            </w:pPr>
          </w:p>
        </w:tc>
        <w:tc>
          <w:tcPr>
            <w:tcW w:w="500" w:type="dxa"/>
            <w:vAlign w:val="bottom"/>
            <w:tcBorders>
              <w:bottom w:val="single" w:sz="8" w:color="021496"/>
            </w:tcBorders>
          </w:tcPr>
          <w:p>
            <w:pPr>
              <w:spacing w:after="0"/>
              <w:rPr>
                <w:sz w:val="8"/>
                <w:szCs w:val="8"/>
                <w:color w:val="auto"/>
              </w:rPr>
            </w:pPr>
          </w:p>
        </w:tc>
        <w:tc>
          <w:tcPr>
            <w:tcW w:w="1200" w:type="dxa"/>
            <w:vAlign w:val="bottom"/>
            <w:tcBorders>
              <w:bottom w:val="single" w:sz="8" w:color="021496"/>
            </w:tcBorders>
            <w:vMerge w:val="continue"/>
          </w:tcPr>
          <w:p>
            <w:pPr>
              <w:spacing w:after="0"/>
              <w:rPr>
                <w:sz w:val="8"/>
                <w:szCs w:val="8"/>
                <w:color w:val="auto"/>
              </w:rPr>
            </w:pPr>
          </w:p>
        </w:tc>
        <w:tc>
          <w:tcPr>
            <w:tcW w:w="1520" w:type="dxa"/>
            <w:vAlign w:val="bottom"/>
            <w:tcBorders>
              <w:bottom w:val="single" w:sz="8" w:color="021496"/>
            </w:tcBorders>
            <w:vMerge w:val="continue"/>
          </w:tcPr>
          <w:p>
            <w:pPr>
              <w:spacing w:after="0"/>
              <w:rPr>
                <w:sz w:val="8"/>
                <w:szCs w:val="8"/>
                <w:color w:val="auto"/>
              </w:rPr>
            </w:pPr>
          </w:p>
        </w:tc>
        <w:tc>
          <w:tcPr>
            <w:tcW w:w="1300" w:type="dxa"/>
            <w:vAlign w:val="bottom"/>
            <w:tcBorders>
              <w:bottom w:val="single" w:sz="8" w:color="021496"/>
            </w:tcBorders>
            <w:vMerge w:val="continue"/>
          </w:tcPr>
          <w:p>
            <w:pPr>
              <w:spacing w:after="0"/>
              <w:rPr>
                <w:sz w:val="8"/>
                <w:szCs w:val="8"/>
                <w:color w:val="auto"/>
              </w:rPr>
            </w:pPr>
          </w:p>
        </w:tc>
        <w:tc>
          <w:tcPr>
            <w:tcW w:w="1580" w:type="dxa"/>
            <w:vAlign w:val="bottom"/>
            <w:tcBorders>
              <w:bottom w:val="single" w:sz="8" w:color="021496"/>
            </w:tcBorders>
            <w:vMerge w:val="continue"/>
          </w:tcPr>
          <w:p>
            <w:pPr>
              <w:spacing w:after="0"/>
              <w:rPr>
                <w:sz w:val="8"/>
                <w:szCs w:val="8"/>
                <w:color w:val="auto"/>
              </w:rPr>
            </w:pPr>
          </w:p>
        </w:tc>
        <w:tc>
          <w:tcPr>
            <w:tcW w:w="1140" w:type="dxa"/>
            <w:vAlign w:val="bottom"/>
            <w:tcBorders>
              <w:bottom w:val="single" w:sz="8" w:color="021496"/>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-381635</wp:posOffset>
            </wp:positionV>
            <wp:extent cx="45942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594225" cy="8255"/>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-874395</wp:posOffset>
            </wp:positionV>
            <wp:extent cx="45942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594225" cy="8255"/>
                    </a:xfrm>
                    <a:prstGeom prst="rect">
                      <a:avLst/>
                    </a:prstGeom>
                    <a:noFill/>
                  </pic:spPr>
                </pic:pic>
              </a:graphicData>
            </a:graphic>
          </wp:anchor>
        </w:drawing>
      </w:r>
    </w:p>
    <w:p>
      <w:pPr>
        <w:spacing w:after="0" w:line="33" w:lineRule="exact"/>
        <w:rPr>
          <w:sz w:val="20"/>
          <w:szCs w:val="20"/>
          <w:color w:val="auto"/>
        </w:rPr>
      </w:pPr>
    </w:p>
    <w:p>
      <w:pPr>
        <w:ind w:left="700" w:right="500" w:hanging="426"/>
        <w:spacing w:after="0" w:line="254" w:lineRule="auto"/>
        <w:tabs>
          <w:tab w:leader="none" w:pos="700" w:val="left"/>
        </w:tabs>
        <w:numPr>
          <w:ilvl w:val="0"/>
          <w:numId w:val="74"/>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was earned by the NEOs over his or her years of service. For Mr. Cerepak and Ms. Cabrera, the present value of benefits was calculated assuming that the executive will receive a single lump sum payment upon retirement at age 65.</w:t>
      </w:r>
    </w:p>
    <w:p>
      <w:pPr>
        <w:spacing w:after="0" w:line="1" w:lineRule="exact"/>
        <w:rPr>
          <w:rFonts w:ascii="Arial" w:cs="Arial" w:eastAsia="Arial" w:hAnsi="Arial"/>
          <w:sz w:val="16"/>
          <w:szCs w:val="16"/>
          <w:i w:val="1"/>
          <w:iCs w:val="1"/>
          <w:color w:val="auto"/>
        </w:rPr>
      </w:pPr>
    </w:p>
    <w:p>
      <w:pPr>
        <w:ind w:left="700" w:right="140" w:hanging="426"/>
        <w:spacing w:after="0" w:line="244" w:lineRule="auto"/>
        <w:tabs>
          <w:tab w:leader="none" w:pos="700" w:val="left"/>
        </w:tabs>
        <w:numPr>
          <w:ilvl w:val="0"/>
          <w:numId w:val="74"/>
        </w:numPr>
        <w:rPr>
          <w:rFonts w:ascii="Arial" w:cs="Arial" w:eastAsia="Arial" w:hAnsi="Arial"/>
          <w:sz w:val="16"/>
          <w:szCs w:val="16"/>
          <w:i w:val="1"/>
          <w:iCs w:val="1"/>
          <w:color w:val="auto"/>
        </w:rPr>
      </w:pPr>
      <w:r>
        <w:rPr>
          <w:rFonts w:ascii="Arial" w:cs="Arial" w:eastAsia="Arial" w:hAnsi="Arial"/>
          <w:sz w:val="16"/>
          <w:szCs w:val="16"/>
          <w:i w:val="1"/>
          <w:iCs w:val="1"/>
          <w:color w:val="auto"/>
        </w:rPr>
        <w:t>Mr. Tobin, Mr. Juneja and Ms. Bors are not eligible to participate in the Dover pension plan or the PRP, since the pension plan and the PRP were closed to new employees on December 31, 2013.</w:t>
      </w:r>
    </w:p>
    <w:p>
      <w:pPr>
        <w:ind w:left="700" w:right="20" w:hanging="426"/>
        <w:spacing w:after="0" w:line="250" w:lineRule="auto"/>
        <w:tabs>
          <w:tab w:leader="none" w:pos="700" w:val="left"/>
        </w:tabs>
        <w:numPr>
          <w:ilvl w:val="0"/>
          <w:numId w:val="74"/>
        </w:numPr>
        <w:rPr>
          <w:rFonts w:ascii="Arial" w:cs="Arial" w:eastAsia="Arial" w:hAnsi="Arial"/>
          <w:sz w:val="16"/>
          <w:szCs w:val="16"/>
          <w:i w:val="1"/>
          <w:iCs w:val="1"/>
          <w:color w:val="auto"/>
        </w:rPr>
      </w:pPr>
      <w:r>
        <w:rPr>
          <w:rFonts w:ascii="Arial" w:cs="Arial" w:eastAsia="Arial" w:hAnsi="Arial"/>
          <w:sz w:val="16"/>
          <w:szCs w:val="16"/>
          <w:i w:val="1"/>
          <w:iCs w:val="1"/>
          <w:color w:val="auto"/>
        </w:rPr>
        <w:t>Ms. Cabrera is eligible to retire with the portion of her PRP benefit accrued through December 31, 2009 payable unreduced at age 62 with 10 years of service, and the portion of her PRP benefit accrued from January 1, 2010 through December 31, 2021 payable unreduced at age 65. The present value of her PRP benefits assuming age 62 retirement age is $1,772,744.</w:t>
      </w:r>
    </w:p>
    <w:p>
      <w:pPr>
        <w:spacing w:after="0" w:line="174"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auto"/>
        </w:rPr>
        <w:t>The amounts shown in the Pension Benefits table above are actuarial present values of the benefits accumulated through December 31, 2021. An actuarial present value is calculated by estimating expected future payments starting at an assumed retirement age, weighting the estimated payments by the estimated probability of surviving to each post-retirement age, and discounting the weighted payments at an assumed discount rate to reflect the time value of money. The actuarial present value represents an estimate of the amount which, if invested today at the assumed discount rate, would be sufficient on an average basis to provide estimated future payments totaling the current accumulated benefit. For purposes of the table, the assumed retirement age for each NEO is 65, the normal retirement age under each plan. Actual benefit present values will vary from these estimates depending on many factors, including an executive’s actual retirement age.</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Pension Plan</w:t>
      </w:r>
    </w:p>
    <w:p>
      <w:pPr>
        <w:spacing w:after="0" w:line="80" w:lineRule="exact"/>
        <w:rPr>
          <w:sz w:val="20"/>
          <w:szCs w:val="20"/>
          <w:color w:val="auto"/>
        </w:rPr>
      </w:pPr>
    </w:p>
    <w:p>
      <w:pPr>
        <w:ind w:left="160" w:right="100"/>
        <w:spacing w:after="0" w:line="247" w:lineRule="auto"/>
        <w:rPr>
          <w:sz w:val="20"/>
          <w:szCs w:val="20"/>
          <w:color w:val="auto"/>
        </w:rPr>
      </w:pPr>
      <w:r>
        <w:rPr>
          <w:rFonts w:ascii="Arial" w:cs="Arial" w:eastAsia="Arial" w:hAnsi="Arial"/>
          <w:sz w:val="16"/>
          <w:szCs w:val="16"/>
          <w:color w:val="auto"/>
        </w:rPr>
        <w:t>We have a pension plan for which eligible Dover employees, and the salaried employees of our participating subsidiaries, were eligible to become participants after they completed one year of service. Benefits under the pension plan for Dover employees, including those for the applicable NEOs, are determined by multiplying a participant’s years of credited service (up to a maximum of 35 years) by a percentage of their final average compensation, subject to statutory limits applicable to tax-qualified pension plans. Benefits for a number of the participating subsidiaries are determined under different benefit formulae.</w:t>
      </w:r>
    </w:p>
    <w:p>
      <w:pPr>
        <w:spacing w:after="0" w:line="163"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Pension plan participants generally vest in their benefits after five years of employment or, if earlier, upon reaching age 65, which is the normal retirement age under the plan. All NEOs who participate in the pension plan are vested in their pension plan benefits and are eligible to begin receiving reduced benefits if their employment terminates before normal retirement age.</w:t>
      </w:r>
    </w:p>
    <w:p>
      <w:pPr>
        <w:spacing w:after="0" w:line="174"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Effective December 31, 2013, the pension plan is closed to new employees. All pension eligible employees as of December 31, 2013 will continue to earn pension benefits through December 31, 2023 as long as they remain employed by an operating company participating in the plan. It is Dover’s present intention to eliminate any future benefit accruals after December 31, 2023.</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68</w:t>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Pension Replacement Plan</w:t>
      </w:r>
    </w:p>
    <w:p>
      <w:pPr>
        <w:spacing w:after="0" w:line="94"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We also maintain the PRP, which is a non-qualified plan for tax purposes, to provide benefits to certain employees whose compensation and pension plan benefits are greater than the compensation and benefit limits applicable to tax-qualified pension plans. Prior to January 1, 2010, our plan which provided non-qualified retirement benefits was the Supplemental Executive Retirement Plan (“SERP”). Effective January 1, 2010, the SERP was amended to provide reduced benefits that are more consistent with the benefits provided under the pension plan and its name was changed to the PRP.</w:t>
      </w:r>
    </w:p>
    <w:p>
      <w:pPr>
        <w:spacing w:after="0" w:line="162" w:lineRule="exact"/>
        <w:rPr>
          <w:sz w:val="20"/>
          <w:szCs w:val="20"/>
          <w:color w:val="auto"/>
        </w:rPr>
      </w:pPr>
    </w:p>
    <w:p>
      <w:pPr>
        <w:ind w:left="160" w:right="100"/>
        <w:spacing w:after="0" w:line="250" w:lineRule="auto"/>
        <w:rPr>
          <w:sz w:val="20"/>
          <w:szCs w:val="20"/>
          <w:color w:val="auto"/>
        </w:rPr>
      </w:pPr>
      <w:r>
        <w:rPr>
          <w:rFonts w:ascii="Arial" w:cs="Arial" w:eastAsia="Arial" w:hAnsi="Arial"/>
          <w:sz w:val="16"/>
          <w:szCs w:val="16"/>
          <w:color w:val="auto"/>
        </w:rPr>
        <w:t>Employees are eligible to participate in the PRP if they hold certain positions within Dover, or its subsidiaries, are U.S. taxpayers and earn more than a set percentage above the Internal Revenue Code’s compensation limits for tax-qualified pension plans. Dover’s CEO may designate other employees as eligible and may revoke the eligibility of participants.</w:t>
      </w:r>
    </w:p>
    <w:p>
      <w:pPr>
        <w:spacing w:after="0" w:line="161" w:lineRule="exact"/>
        <w:rPr>
          <w:sz w:val="20"/>
          <w:szCs w:val="20"/>
          <w:color w:val="auto"/>
        </w:rPr>
      </w:pPr>
    </w:p>
    <w:p>
      <w:pPr>
        <w:ind w:left="160" w:right="240"/>
        <w:spacing w:after="0" w:line="248" w:lineRule="auto"/>
        <w:rPr>
          <w:sz w:val="20"/>
          <w:szCs w:val="20"/>
          <w:color w:val="auto"/>
        </w:rPr>
      </w:pPr>
      <w:r>
        <w:rPr>
          <w:rFonts w:ascii="Arial" w:cs="Arial" w:eastAsia="Arial" w:hAnsi="Arial"/>
          <w:sz w:val="16"/>
          <w:szCs w:val="16"/>
          <w:color w:val="auto"/>
        </w:rPr>
        <w:t>The formula for determining benefits accrued under the PRP after December 31, 2009, before offsets, is determined using the same benefit formula as under the pension plan, except that the Internal Revenue Code’s limits on compensation and benefits applicable to tax-qualified pension plans will not apply. Benefits under the former SERP, before offsets, were determined by multiplying the participant’s years of actual service with Dover companies, plus, in limited cases, prior service credit by a percentage of the participant’s final average compensation as defined under the plan.</w:t>
      </w:r>
    </w:p>
    <w:p>
      <w:pPr>
        <w:spacing w:after="0" w:line="176" w:lineRule="exact"/>
        <w:rPr>
          <w:sz w:val="20"/>
          <w:szCs w:val="20"/>
          <w:color w:val="auto"/>
        </w:rPr>
      </w:pPr>
    </w:p>
    <w:p>
      <w:pPr>
        <w:ind w:left="160" w:right="180"/>
        <w:spacing w:after="0" w:line="247" w:lineRule="auto"/>
        <w:rPr>
          <w:sz w:val="20"/>
          <w:szCs w:val="20"/>
          <w:color w:val="auto"/>
        </w:rPr>
      </w:pPr>
      <w:r>
        <w:rPr>
          <w:rFonts w:ascii="Arial" w:cs="Arial" w:eastAsia="Arial" w:hAnsi="Arial"/>
          <w:sz w:val="16"/>
          <w:szCs w:val="16"/>
          <w:color w:val="auto"/>
        </w:rPr>
        <w:t>Benefits payable under the PRP or SERP are reduced by the amount of Company-provided benefits under any other retirement plans, including the pension plan, as well as the Company-paid portion of social security benefits. PRP participants must complete five years of service to vest in their benefits. All NEOs who participate in the PRP are fully vested in their benefits and will commence receiving benefits upon termination of employment. PRP benefits may be forfeited for “cause” (defined as conviction of a felony which places a Dover company at legal or other risk or is expected to cause substantial harm to the business of a Dover company or its relationships with employees, distributors, customers or suppliers).</w:t>
      </w:r>
    </w:p>
    <w:p>
      <w:pPr>
        <w:spacing w:after="0" w:line="163" w:lineRule="exact"/>
        <w:rPr>
          <w:sz w:val="20"/>
          <w:szCs w:val="20"/>
          <w:color w:val="auto"/>
        </w:rPr>
      </w:pPr>
    </w:p>
    <w:p>
      <w:pPr>
        <w:ind w:left="160" w:right="60"/>
        <w:spacing w:after="0" w:line="248" w:lineRule="auto"/>
        <w:rPr>
          <w:sz w:val="20"/>
          <w:szCs w:val="20"/>
          <w:color w:val="auto"/>
        </w:rPr>
      </w:pPr>
      <w:r>
        <w:rPr>
          <w:rFonts w:ascii="Arial" w:cs="Arial" w:eastAsia="Arial" w:hAnsi="Arial"/>
          <w:sz w:val="16"/>
          <w:szCs w:val="16"/>
          <w:color w:val="auto"/>
        </w:rPr>
        <w:t>Normal retirement age for purposes of the PRP is age 65. Certain employees who were participants on or before March 1, 2010 will be entitled to receive the portion of their benefits that accrued through December 31, 2009 without any reduction due to early retirement if they retire after they reach age 62 and complete 10 years of service. Generally, benefits accrued after December 31, 2009 will be subject to early retirement reduction factors consistent with the reduction factors in the pension plan.</w:t>
      </w:r>
    </w:p>
    <w:p>
      <w:pPr>
        <w:spacing w:after="0" w:line="162" w:lineRule="exact"/>
        <w:rPr>
          <w:sz w:val="20"/>
          <w:szCs w:val="20"/>
          <w:color w:val="auto"/>
        </w:rPr>
      </w:pPr>
    </w:p>
    <w:p>
      <w:pPr>
        <w:jc w:val="both"/>
        <w:ind w:left="160" w:right="300"/>
        <w:spacing w:after="0" w:line="250" w:lineRule="auto"/>
        <w:rPr>
          <w:sz w:val="20"/>
          <w:szCs w:val="20"/>
          <w:color w:val="auto"/>
        </w:rPr>
      </w:pPr>
      <w:r>
        <w:rPr>
          <w:rFonts w:ascii="Arial" w:cs="Arial" w:eastAsia="Arial" w:hAnsi="Arial"/>
          <w:sz w:val="16"/>
          <w:szCs w:val="16"/>
          <w:color w:val="auto"/>
        </w:rPr>
        <w:t>Effective December 31, 2013, the PRP is closed to new employees. All eligible employees as of December 31, 2013 will continue to earn to their PRP benefits through December 31, 2023 as long as they remain employed by Dover and its affiliates. It is Dover’s intention to eliminate any future benefit accruals after December 31, 2023, consistent with the freezing of benefit accruals under the pension plan.</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Nonqualified Deferred Compensation in 2021</w:t>
      </w:r>
    </w:p>
    <w:p>
      <w:pPr>
        <w:spacing w:after="0" w:line="25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460" w:type="dxa"/>
            <w:vAlign w:val="bottom"/>
            <w:tcBorders>
              <w:top w:val="single" w:sz="8" w:color="021496"/>
            </w:tcBorders>
          </w:tcPr>
          <w:p>
            <w:pPr>
              <w:spacing w:after="0"/>
              <w:rPr>
                <w:sz w:val="13"/>
                <w:szCs w:val="13"/>
                <w:color w:val="auto"/>
              </w:rPr>
            </w:pPr>
          </w:p>
        </w:tc>
        <w:tc>
          <w:tcPr>
            <w:tcW w:w="2600" w:type="dxa"/>
            <w:vAlign w:val="bottom"/>
            <w:tcBorders>
              <w:top w:val="single" w:sz="8" w:color="021496"/>
            </w:tcBorders>
          </w:tcPr>
          <w:p>
            <w:pPr>
              <w:spacing w:after="0"/>
              <w:rPr>
                <w:sz w:val="13"/>
                <w:szCs w:val="13"/>
                <w:color w:val="auto"/>
              </w:rPr>
            </w:pPr>
          </w:p>
        </w:tc>
        <w:tc>
          <w:tcPr>
            <w:tcW w:w="1260" w:type="dxa"/>
            <w:vAlign w:val="bottom"/>
            <w:tcBorders>
              <w:top w:val="single" w:sz="8" w:color="021496"/>
            </w:tcBorders>
          </w:tcPr>
          <w:p>
            <w:pPr>
              <w:ind w:left="160"/>
              <w:spacing w:after="0"/>
              <w:rPr>
                <w:sz w:val="20"/>
                <w:szCs w:val="20"/>
                <w:color w:val="auto"/>
              </w:rPr>
            </w:pPr>
            <w:r>
              <w:rPr>
                <w:rFonts w:ascii="Arial" w:cs="Arial" w:eastAsia="Arial" w:hAnsi="Arial"/>
                <w:sz w:val="14"/>
                <w:szCs w:val="14"/>
                <w:b w:val="1"/>
                <w:bCs w:val="1"/>
                <w:color w:val="auto"/>
              </w:rPr>
              <w:t>Executive</w:t>
            </w:r>
          </w:p>
        </w:tc>
        <w:tc>
          <w:tcPr>
            <w:tcW w:w="1300" w:type="dxa"/>
            <w:vAlign w:val="bottom"/>
            <w:tcBorders>
              <w:top w:val="single" w:sz="8" w:color="021496"/>
            </w:tcBorders>
          </w:tcPr>
          <w:p>
            <w:pPr>
              <w:ind w:left="180"/>
              <w:spacing w:after="0"/>
              <w:rPr>
                <w:sz w:val="20"/>
                <w:szCs w:val="20"/>
                <w:color w:val="auto"/>
              </w:rPr>
            </w:pPr>
            <w:r>
              <w:rPr>
                <w:rFonts w:ascii="Arial" w:cs="Arial" w:eastAsia="Arial" w:hAnsi="Arial"/>
                <w:sz w:val="14"/>
                <w:szCs w:val="14"/>
                <w:b w:val="1"/>
                <w:bCs w:val="1"/>
                <w:color w:val="auto"/>
              </w:rPr>
              <w:t>Registrant</w:t>
            </w:r>
          </w:p>
        </w:tc>
        <w:tc>
          <w:tcPr>
            <w:tcW w:w="1060" w:type="dxa"/>
            <w:vAlign w:val="bottom"/>
            <w:tcBorders>
              <w:top w:val="single" w:sz="8" w:color="021496"/>
            </w:tcBorders>
          </w:tcPr>
          <w:p>
            <w:pPr>
              <w:ind w:left="180"/>
              <w:spacing w:after="0"/>
              <w:rPr>
                <w:sz w:val="20"/>
                <w:szCs w:val="20"/>
                <w:color w:val="auto"/>
              </w:rPr>
            </w:pPr>
            <w:r>
              <w:rPr>
                <w:rFonts w:ascii="Arial" w:cs="Arial" w:eastAsia="Arial" w:hAnsi="Arial"/>
                <w:sz w:val="14"/>
                <w:szCs w:val="14"/>
                <w:b w:val="1"/>
                <w:bCs w:val="1"/>
                <w:color w:val="auto"/>
              </w:rPr>
              <w:t>Aggregate</w:t>
            </w:r>
          </w:p>
        </w:tc>
        <w:tc>
          <w:tcPr>
            <w:tcW w:w="1240" w:type="dxa"/>
            <w:vAlign w:val="bottom"/>
            <w:tcBorders>
              <w:top w:val="single" w:sz="8" w:color="021496"/>
            </w:tcBorders>
          </w:tcPr>
          <w:p>
            <w:pPr>
              <w:ind w:left="180"/>
              <w:spacing w:after="0"/>
              <w:rPr>
                <w:sz w:val="20"/>
                <w:szCs w:val="20"/>
                <w:color w:val="auto"/>
              </w:rPr>
            </w:pPr>
            <w:r>
              <w:rPr>
                <w:rFonts w:ascii="Arial" w:cs="Arial" w:eastAsia="Arial" w:hAnsi="Arial"/>
                <w:sz w:val="14"/>
                <w:szCs w:val="14"/>
                <w:b w:val="1"/>
                <w:bCs w:val="1"/>
                <w:color w:val="auto"/>
              </w:rPr>
              <w:t>Aggregate</w:t>
            </w:r>
          </w:p>
        </w:tc>
        <w:tc>
          <w:tcPr>
            <w:tcW w:w="1000" w:type="dxa"/>
            <w:vAlign w:val="bottom"/>
            <w:tcBorders>
              <w:top w:val="single" w:sz="8" w:color="021496"/>
            </w:tcBorders>
          </w:tcPr>
          <w:p>
            <w:pPr>
              <w:ind w:left="1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0"/>
        </w:trPr>
        <w:tc>
          <w:tcPr>
            <w:tcW w:w="24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contributions</w:t>
            </w:r>
          </w:p>
        </w:tc>
        <w:tc>
          <w:tcPr>
            <w:tcW w:w="1300" w:type="dxa"/>
            <w:vAlign w:val="bottom"/>
          </w:tcPr>
          <w:p>
            <w:pPr>
              <w:ind w:left="180"/>
              <w:spacing w:after="0"/>
              <w:rPr>
                <w:sz w:val="20"/>
                <w:szCs w:val="20"/>
                <w:color w:val="auto"/>
              </w:rPr>
            </w:pPr>
            <w:r>
              <w:rPr>
                <w:rFonts w:ascii="Arial" w:cs="Arial" w:eastAsia="Arial" w:hAnsi="Arial"/>
                <w:sz w:val="14"/>
                <w:szCs w:val="14"/>
                <w:b w:val="1"/>
                <w:bCs w:val="1"/>
                <w:color w:val="auto"/>
              </w:rPr>
              <w:t>contributions</w:t>
            </w: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1240" w:type="dxa"/>
            <w:vAlign w:val="bottom"/>
          </w:tcPr>
          <w:p>
            <w:pPr>
              <w:ind w:left="180"/>
              <w:spacing w:after="0"/>
              <w:rPr>
                <w:sz w:val="20"/>
                <w:szCs w:val="20"/>
                <w:color w:val="auto"/>
              </w:rPr>
            </w:pPr>
            <w:r>
              <w:rPr>
                <w:rFonts w:ascii="Arial" w:cs="Arial" w:eastAsia="Arial" w:hAnsi="Arial"/>
                <w:sz w:val="14"/>
                <w:szCs w:val="14"/>
                <w:b w:val="1"/>
                <w:bCs w:val="1"/>
                <w:color w:val="auto"/>
              </w:rPr>
              <w:t>withdrawals/</w:t>
            </w: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0"/>
        </w:trPr>
        <w:tc>
          <w:tcPr>
            <w:tcW w:w="24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in last FY</w:t>
            </w:r>
          </w:p>
        </w:tc>
        <w:tc>
          <w:tcPr>
            <w:tcW w:w="1300" w:type="dxa"/>
            <w:vAlign w:val="bottom"/>
          </w:tcPr>
          <w:p>
            <w:pPr>
              <w:ind w:left="180"/>
              <w:spacing w:after="0"/>
              <w:rPr>
                <w:sz w:val="20"/>
                <w:szCs w:val="20"/>
                <w:color w:val="auto"/>
              </w:rPr>
            </w:pPr>
            <w:r>
              <w:rPr>
                <w:rFonts w:ascii="Arial" w:cs="Arial" w:eastAsia="Arial" w:hAnsi="Arial"/>
                <w:sz w:val="14"/>
                <w:szCs w:val="14"/>
                <w:b w:val="1"/>
                <w:bCs w:val="1"/>
                <w:color w:val="auto"/>
              </w:rPr>
              <w:t>in last FY</w:t>
            </w: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in last FY</w:t>
            </w:r>
          </w:p>
        </w:tc>
        <w:tc>
          <w:tcPr>
            <w:tcW w:w="1240" w:type="dxa"/>
            <w:vAlign w:val="bottom"/>
          </w:tcPr>
          <w:p>
            <w:pPr>
              <w:jc w:val="right"/>
              <w:ind w:right="124"/>
              <w:spacing w:after="0"/>
              <w:rPr>
                <w:sz w:val="20"/>
                <w:szCs w:val="20"/>
                <w:color w:val="auto"/>
              </w:rPr>
            </w:pPr>
            <w:r>
              <w:rPr>
                <w:rFonts w:ascii="Arial" w:cs="Arial" w:eastAsia="Arial" w:hAnsi="Arial"/>
                <w:sz w:val="14"/>
                <w:szCs w:val="14"/>
                <w:b w:val="1"/>
                <w:bCs w:val="1"/>
                <w:color w:val="auto"/>
              </w:rPr>
              <w:t>distributions</w:t>
            </w: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at last FYE</w:t>
            </w:r>
          </w:p>
        </w:tc>
        <w:tc>
          <w:tcPr>
            <w:tcW w:w="0" w:type="dxa"/>
            <w:vAlign w:val="bottom"/>
          </w:tcPr>
          <w:p>
            <w:pPr>
              <w:spacing w:after="0"/>
              <w:rPr>
                <w:sz w:val="1"/>
                <w:szCs w:val="1"/>
                <w:color w:val="auto"/>
              </w:rPr>
            </w:pPr>
          </w:p>
        </w:tc>
      </w:tr>
      <w:tr>
        <w:trPr>
          <w:trHeight w:val="187"/>
        </w:trPr>
        <w:tc>
          <w:tcPr>
            <w:tcW w:w="2460" w:type="dxa"/>
            <w:vAlign w:val="bottom"/>
            <w:tcBorders>
              <w:bottom w:val="single" w:sz="8" w:color="021496"/>
            </w:tcBorders>
          </w:tcPr>
          <w:p>
            <w:pPr>
              <w:ind w:left="120"/>
              <w:spacing w:after="0"/>
              <w:rPr>
                <w:sz w:val="20"/>
                <w:szCs w:val="20"/>
                <w:color w:val="auto"/>
              </w:rPr>
            </w:pPr>
            <w:r>
              <w:rPr>
                <w:rFonts w:ascii="Arial" w:cs="Arial" w:eastAsia="Arial" w:hAnsi="Arial"/>
                <w:sz w:val="14"/>
                <w:szCs w:val="14"/>
                <w:b w:val="1"/>
                <w:bCs w:val="1"/>
                <w:color w:val="auto"/>
              </w:rPr>
              <w:t>Name</w:t>
            </w:r>
          </w:p>
        </w:tc>
        <w:tc>
          <w:tcPr>
            <w:tcW w:w="2600" w:type="dxa"/>
            <w:vAlign w:val="bottom"/>
            <w:tcBorders>
              <w:bottom w:val="single" w:sz="8" w:color="021496"/>
            </w:tcBorders>
          </w:tcPr>
          <w:p>
            <w:pPr>
              <w:ind w:left="1380"/>
              <w:spacing w:after="0"/>
              <w:rPr>
                <w:sz w:val="20"/>
                <w:szCs w:val="20"/>
                <w:color w:val="auto"/>
              </w:rPr>
            </w:pPr>
            <w:r>
              <w:rPr>
                <w:rFonts w:ascii="Arial" w:cs="Arial" w:eastAsia="Arial" w:hAnsi="Arial"/>
                <w:sz w:val="14"/>
                <w:szCs w:val="14"/>
                <w:b w:val="1"/>
                <w:bCs w:val="1"/>
                <w:color w:val="auto"/>
              </w:rPr>
              <w:t>Plan Name</w:t>
            </w:r>
          </w:p>
        </w:tc>
        <w:tc>
          <w:tcPr>
            <w:tcW w:w="1260" w:type="dxa"/>
            <w:vAlign w:val="bottom"/>
            <w:tcBorders>
              <w:bottom w:val="single" w:sz="8" w:color="021496"/>
            </w:tcBorders>
          </w:tcPr>
          <w:p>
            <w:pPr>
              <w:ind w:left="160"/>
              <w:spacing w:after="0"/>
              <w:rPr>
                <w:sz w:val="20"/>
                <w:szCs w:val="20"/>
                <w:color w:val="auto"/>
              </w:rPr>
            </w:pPr>
            <w:r>
              <w:rPr>
                <w:rFonts w:ascii="Arial" w:cs="Arial" w:eastAsia="Arial" w:hAnsi="Arial"/>
                <w:sz w:val="14"/>
                <w:szCs w:val="14"/>
                <w:b w:val="1"/>
                <w:bCs w:val="1"/>
                <w:color w:val="auto"/>
              </w:rPr>
              <w:t>($)(1)</w:t>
            </w:r>
          </w:p>
        </w:tc>
        <w:tc>
          <w:tcPr>
            <w:tcW w:w="1300" w:type="dxa"/>
            <w:vAlign w:val="bottom"/>
            <w:tcBorders>
              <w:bottom w:val="single" w:sz="8" w:color="021496"/>
            </w:tcBorders>
          </w:tcPr>
          <w:p>
            <w:pPr>
              <w:ind w:left="18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21496"/>
            </w:tcBorders>
          </w:tcPr>
          <w:p>
            <w:pPr>
              <w:ind w:left="180"/>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021496"/>
            </w:tcBorders>
          </w:tcPr>
          <w:p>
            <w:pPr>
              <w:ind w:left="18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21496"/>
            </w:tcBorders>
          </w:tcPr>
          <w:p>
            <w:pPr>
              <w:ind w:left="1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246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Richard J. Tobin</w:t>
            </w:r>
          </w:p>
        </w:tc>
        <w:tc>
          <w:tcPr>
            <w:tcW w:w="2600" w:type="dxa"/>
            <w:vAlign w:val="bottom"/>
            <w:shd w:val="clear" w:color="auto" w:fill="D8D8D8"/>
          </w:tcPr>
          <w:p>
            <w:pPr>
              <w:ind w:left="1060"/>
              <w:spacing w:after="0" w:line="183" w:lineRule="exact"/>
              <w:rPr>
                <w:sz w:val="20"/>
                <w:szCs w:val="20"/>
                <w:color w:val="auto"/>
              </w:rPr>
            </w:pPr>
            <w:r>
              <w:rPr>
                <w:rFonts w:ascii="Arial" w:cs="Arial" w:eastAsia="Arial" w:hAnsi="Arial"/>
                <w:sz w:val="16"/>
                <w:szCs w:val="16"/>
                <w:color w:val="auto"/>
              </w:rPr>
              <w:t>Deferred</w:t>
            </w:r>
          </w:p>
        </w:tc>
        <w:tc>
          <w:tcPr>
            <w:tcW w:w="1260" w:type="dxa"/>
            <w:vAlign w:val="bottom"/>
            <w:shd w:val="clear" w:color="auto" w:fill="D8D8D8"/>
          </w:tcPr>
          <w:p>
            <w:pPr>
              <w:spacing w:after="0"/>
              <w:rPr>
                <w:sz w:val="15"/>
                <w:szCs w:val="15"/>
                <w:color w:val="auto"/>
              </w:rPr>
            </w:pPr>
          </w:p>
        </w:tc>
        <w:tc>
          <w:tcPr>
            <w:tcW w:w="1300" w:type="dxa"/>
            <w:vAlign w:val="bottom"/>
            <w:shd w:val="clear" w:color="auto" w:fill="D8D8D8"/>
          </w:tcPr>
          <w:p>
            <w:pPr>
              <w:spacing w:after="0"/>
              <w:rPr>
                <w:sz w:val="15"/>
                <w:szCs w:val="15"/>
                <w:color w:val="auto"/>
              </w:rPr>
            </w:pPr>
          </w:p>
        </w:tc>
        <w:tc>
          <w:tcPr>
            <w:tcW w:w="106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10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460" w:type="dxa"/>
            <w:vAlign w:val="bottom"/>
            <w:vMerge w:val="continue"/>
            <w:shd w:val="clear" w:color="auto" w:fill="D8D8D8"/>
          </w:tcPr>
          <w:p>
            <w:pPr>
              <w:spacing w:after="0"/>
              <w:rPr>
                <w:sz w:val="8"/>
                <w:szCs w:val="8"/>
                <w:color w:val="auto"/>
              </w:rPr>
            </w:pPr>
          </w:p>
        </w:tc>
        <w:tc>
          <w:tcPr>
            <w:tcW w:w="2600" w:type="dxa"/>
            <w:vAlign w:val="bottom"/>
            <w:vMerge w:val="restart"/>
            <w:shd w:val="clear" w:color="auto" w:fill="D8D8D8"/>
          </w:tcPr>
          <w:p>
            <w:pPr>
              <w:ind w:left="106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shd w:val="clear" w:color="auto" w:fill="D8D8D8"/>
          </w:tcPr>
          <w:p>
            <w:pPr>
              <w:jc w:val="right"/>
              <w:ind w:right="104"/>
              <w:spacing w:after="0"/>
              <w:rPr>
                <w:sz w:val="20"/>
                <w:szCs w:val="20"/>
                <w:color w:val="auto"/>
              </w:rPr>
            </w:pPr>
            <w:r>
              <w:rPr>
                <w:rFonts w:ascii="Arial" w:cs="Arial" w:eastAsia="Arial" w:hAnsi="Arial"/>
                <w:sz w:val="16"/>
                <w:szCs w:val="16"/>
                <w:color w:val="auto"/>
              </w:rPr>
              <w:t>1,048,206</w:t>
            </w:r>
          </w:p>
        </w:tc>
        <w:tc>
          <w:tcPr>
            <w:tcW w:w="1300" w:type="dxa"/>
            <w:vAlign w:val="bottom"/>
            <w:vMerge w:val="restart"/>
            <w:shd w:val="clear" w:color="auto" w:fill="D8D8D8"/>
          </w:tcPr>
          <w:p>
            <w:pPr>
              <w:jc w:val="right"/>
              <w:ind w:right="124"/>
              <w:spacing w:after="0"/>
              <w:rPr>
                <w:sz w:val="20"/>
                <w:szCs w:val="20"/>
                <w:color w:val="auto"/>
              </w:rPr>
            </w:pPr>
            <w:r>
              <w:rPr>
                <w:rFonts w:ascii="Arial" w:cs="Arial" w:eastAsia="Arial" w:hAnsi="Arial"/>
                <w:sz w:val="16"/>
                <w:szCs w:val="16"/>
                <w:color w:val="auto"/>
              </w:rPr>
              <w:t>116,845</w:t>
            </w:r>
          </w:p>
        </w:tc>
        <w:tc>
          <w:tcPr>
            <w:tcW w:w="1060" w:type="dxa"/>
            <w:vAlign w:val="bottom"/>
            <w:vMerge w:val="restart"/>
            <w:shd w:val="clear" w:color="auto" w:fill="D8D8D8"/>
          </w:tcPr>
          <w:p>
            <w:pPr>
              <w:jc w:val="right"/>
              <w:ind w:right="104"/>
              <w:spacing w:after="0"/>
              <w:rPr>
                <w:sz w:val="20"/>
                <w:szCs w:val="20"/>
                <w:color w:val="auto"/>
              </w:rPr>
            </w:pPr>
            <w:r>
              <w:rPr>
                <w:rFonts w:ascii="Arial" w:cs="Arial" w:eastAsia="Arial" w:hAnsi="Arial"/>
                <w:sz w:val="16"/>
                <w:szCs w:val="16"/>
                <w:color w:val="auto"/>
              </w:rPr>
              <w:t>47,504</w:t>
            </w:r>
          </w:p>
        </w:tc>
        <w:tc>
          <w:tcPr>
            <w:tcW w:w="1240" w:type="dxa"/>
            <w:vAlign w:val="bottom"/>
            <w:vMerge w:val="restart"/>
            <w:shd w:val="clear" w:color="auto" w:fill="D8D8D8"/>
          </w:tcPr>
          <w:p>
            <w:pPr>
              <w:jc w:val="right"/>
              <w:ind w:right="104"/>
              <w:spacing w:after="0"/>
              <w:rPr>
                <w:sz w:val="20"/>
                <w:szCs w:val="20"/>
                <w:color w:val="auto"/>
              </w:rPr>
            </w:pPr>
            <w:r>
              <w:rPr>
                <w:rFonts w:ascii="Arial" w:cs="Arial" w:eastAsia="Arial" w:hAnsi="Arial"/>
                <w:sz w:val="16"/>
                <w:szCs w:val="16"/>
                <w:color w:val="auto"/>
              </w:rPr>
              <w:t>N/A</w:t>
            </w:r>
          </w:p>
        </w:tc>
        <w:tc>
          <w:tcPr>
            <w:tcW w:w="10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2,978,962</w:t>
            </w:r>
          </w:p>
        </w:tc>
        <w:tc>
          <w:tcPr>
            <w:tcW w:w="0" w:type="dxa"/>
            <w:vAlign w:val="bottom"/>
          </w:tcPr>
          <w:p>
            <w:pPr>
              <w:spacing w:after="0"/>
              <w:rPr>
                <w:sz w:val="1"/>
                <w:szCs w:val="1"/>
                <w:color w:val="auto"/>
              </w:rPr>
            </w:pPr>
          </w:p>
        </w:tc>
      </w:tr>
      <w:tr>
        <w:trPr>
          <w:trHeight w:val="99"/>
        </w:trPr>
        <w:tc>
          <w:tcPr>
            <w:tcW w:w="2460" w:type="dxa"/>
            <w:vAlign w:val="bottom"/>
            <w:shd w:val="clear" w:color="auto" w:fill="D8D8D8"/>
          </w:tcPr>
          <w:p>
            <w:pPr>
              <w:spacing w:after="0"/>
              <w:rPr>
                <w:sz w:val="8"/>
                <w:szCs w:val="8"/>
                <w:color w:val="auto"/>
              </w:rPr>
            </w:pPr>
          </w:p>
        </w:tc>
        <w:tc>
          <w:tcPr>
            <w:tcW w:w="2600" w:type="dxa"/>
            <w:vAlign w:val="bottom"/>
            <w:vMerge w:val="continue"/>
            <w:shd w:val="clear" w:color="auto" w:fill="D8D8D8"/>
          </w:tcPr>
          <w:p>
            <w:pPr>
              <w:spacing w:after="0"/>
              <w:rPr>
                <w:sz w:val="8"/>
                <w:szCs w:val="8"/>
                <w:color w:val="auto"/>
              </w:rPr>
            </w:pPr>
          </w:p>
        </w:tc>
        <w:tc>
          <w:tcPr>
            <w:tcW w:w="1260" w:type="dxa"/>
            <w:vAlign w:val="bottom"/>
            <w:vMerge w:val="continue"/>
            <w:shd w:val="clear" w:color="auto" w:fill="D8D8D8"/>
          </w:tcPr>
          <w:p>
            <w:pPr>
              <w:spacing w:after="0"/>
              <w:rPr>
                <w:sz w:val="8"/>
                <w:szCs w:val="8"/>
                <w:color w:val="auto"/>
              </w:rPr>
            </w:pPr>
          </w:p>
        </w:tc>
        <w:tc>
          <w:tcPr>
            <w:tcW w:w="1300" w:type="dxa"/>
            <w:vAlign w:val="bottom"/>
            <w:vMerge w:val="continue"/>
            <w:shd w:val="clear" w:color="auto" w:fill="D8D8D8"/>
          </w:tcPr>
          <w:p>
            <w:pPr>
              <w:spacing w:after="0"/>
              <w:rPr>
                <w:sz w:val="8"/>
                <w:szCs w:val="8"/>
                <w:color w:val="auto"/>
              </w:rPr>
            </w:pPr>
          </w:p>
        </w:tc>
        <w:tc>
          <w:tcPr>
            <w:tcW w:w="1060" w:type="dxa"/>
            <w:vAlign w:val="bottom"/>
            <w:vMerge w:val="continue"/>
            <w:shd w:val="clear" w:color="auto" w:fill="D8D8D8"/>
          </w:tcPr>
          <w:p>
            <w:pPr>
              <w:spacing w:after="0"/>
              <w:rPr>
                <w:sz w:val="8"/>
                <w:szCs w:val="8"/>
                <w:color w:val="auto"/>
              </w:rPr>
            </w:pPr>
          </w:p>
        </w:tc>
        <w:tc>
          <w:tcPr>
            <w:tcW w:w="1240" w:type="dxa"/>
            <w:vAlign w:val="bottom"/>
            <w:vMerge w:val="continue"/>
            <w:shd w:val="clear" w:color="auto" w:fill="D8D8D8"/>
          </w:tcPr>
          <w:p>
            <w:pPr>
              <w:spacing w:after="0"/>
              <w:rPr>
                <w:sz w:val="8"/>
                <w:szCs w:val="8"/>
                <w:color w:val="auto"/>
              </w:rPr>
            </w:pPr>
          </w:p>
        </w:tc>
        <w:tc>
          <w:tcPr>
            <w:tcW w:w="100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60" w:type="dxa"/>
            <w:vAlign w:val="bottom"/>
            <w:vMerge w:val="restart"/>
          </w:tcPr>
          <w:p>
            <w:pPr>
              <w:ind w:left="100"/>
              <w:spacing w:after="0"/>
              <w:rPr>
                <w:sz w:val="20"/>
                <w:szCs w:val="20"/>
                <w:color w:val="auto"/>
              </w:rPr>
            </w:pPr>
            <w:r>
              <w:rPr>
                <w:rFonts w:ascii="Arial" w:cs="Arial" w:eastAsia="Arial" w:hAnsi="Arial"/>
                <w:sz w:val="16"/>
                <w:szCs w:val="16"/>
                <w:color w:val="auto"/>
              </w:rPr>
              <w:t>Brad M. Cerepak</w:t>
            </w:r>
          </w:p>
        </w:tc>
        <w:tc>
          <w:tcPr>
            <w:tcW w:w="2600" w:type="dxa"/>
            <w:vAlign w:val="bottom"/>
          </w:tcPr>
          <w:p>
            <w:pPr>
              <w:ind w:left="1060"/>
              <w:spacing w:after="0"/>
              <w:rPr>
                <w:sz w:val="20"/>
                <w:szCs w:val="20"/>
                <w:color w:val="auto"/>
              </w:rPr>
            </w:pPr>
            <w:r>
              <w:rPr>
                <w:rFonts w:ascii="Arial" w:cs="Arial" w:eastAsia="Arial" w:hAnsi="Arial"/>
                <w:sz w:val="16"/>
                <w:szCs w:val="16"/>
                <w:color w:val="auto"/>
              </w:rPr>
              <w:t>Deferred</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2460" w:type="dxa"/>
            <w:vAlign w:val="bottom"/>
            <w:vMerge w:val="continue"/>
          </w:tcPr>
          <w:p>
            <w:pPr>
              <w:spacing w:after="0"/>
              <w:rPr>
                <w:sz w:val="8"/>
                <w:szCs w:val="8"/>
                <w:color w:val="auto"/>
              </w:rPr>
            </w:pPr>
          </w:p>
        </w:tc>
        <w:tc>
          <w:tcPr>
            <w:tcW w:w="2600" w:type="dxa"/>
            <w:vAlign w:val="bottom"/>
            <w:vMerge w:val="restart"/>
          </w:tcPr>
          <w:p>
            <w:pPr>
              <w:ind w:left="106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tcPr>
          <w:p>
            <w:pPr>
              <w:ind w:left="820"/>
              <w:spacing w:after="0"/>
              <w:rPr>
                <w:sz w:val="20"/>
                <w:szCs w:val="20"/>
                <w:color w:val="auto"/>
              </w:rPr>
            </w:pPr>
            <w:r>
              <w:rPr>
                <w:rFonts w:ascii="Arial" w:cs="Arial" w:eastAsia="Arial" w:hAnsi="Arial"/>
                <w:sz w:val="16"/>
                <w:szCs w:val="16"/>
                <w:color w:val="auto"/>
              </w:rPr>
              <w:t>N/A</w:t>
            </w:r>
          </w:p>
        </w:tc>
        <w:tc>
          <w:tcPr>
            <w:tcW w:w="1300" w:type="dxa"/>
            <w:vAlign w:val="bottom"/>
            <w:vMerge w:val="restart"/>
          </w:tcPr>
          <w:p>
            <w:pPr>
              <w:ind w:left="840"/>
              <w:spacing w:after="0"/>
              <w:rPr>
                <w:sz w:val="20"/>
                <w:szCs w:val="20"/>
                <w:color w:val="auto"/>
              </w:rPr>
            </w:pPr>
            <w:r>
              <w:rPr>
                <w:rFonts w:ascii="Arial" w:cs="Arial" w:eastAsia="Arial" w:hAnsi="Arial"/>
                <w:sz w:val="16"/>
                <w:szCs w:val="16"/>
                <w:color w:val="auto"/>
              </w:rPr>
              <w:t>N/A</w:t>
            </w:r>
          </w:p>
        </w:tc>
        <w:tc>
          <w:tcPr>
            <w:tcW w:w="1060" w:type="dxa"/>
            <w:vAlign w:val="bottom"/>
            <w:vMerge w:val="restart"/>
          </w:tcPr>
          <w:p>
            <w:pPr>
              <w:ind w:left="620"/>
              <w:spacing w:after="0"/>
              <w:rPr>
                <w:sz w:val="20"/>
                <w:szCs w:val="20"/>
                <w:color w:val="auto"/>
              </w:rPr>
            </w:pPr>
            <w:r>
              <w:rPr>
                <w:rFonts w:ascii="Arial" w:cs="Arial" w:eastAsia="Arial" w:hAnsi="Arial"/>
                <w:sz w:val="16"/>
                <w:szCs w:val="16"/>
                <w:color w:val="auto"/>
              </w:rPr>
              <w:t>N/A</w:t>
            </w:r>
          </w:p>
        </w:tc>
        <w:tc>
          <w:tcPr>
            <w:tcW w:w="1240" w:type="dxa"/>
            <w:vAlign w:val="bottom"/>
            <w:vMerge w:val="restart"/>
          </w:tcPr>
          <w:p>
            <w:pPr>
              <w:jc w:val="right"/>
              <w:ind w:right="104"/>
              <w:spacing w:after="0"/>
              <w:rPr>
                <w:sz w:val="20"/>
                <w:szCs w:val="20"/>
                <w:color w:val="auto"/>
              </w:rPr>
            </w:pPr>
            <w:r>
              <w:rPr>
                <w:rFonts w:ascii="Arial" w:cs="Arial" w:eastAsia="Arial" w:hAnsi="Arial"/>
                <w:sz w:val="16"/>
                <w:szCs w:val="16"/>
                <w:color w:val="auto"/>
              </w:rPr>
              <w:t>N/A</w:t>
            </w:r>
          </w:p>
        </w:tc>
        <w:tc>
          <w:tcPr>
            <w:tcW w:w="1000" w:type="dxa"/>
            <w:vAlign w:val="bottom"/>
            <w:vMerge w:val="restart"/>
          </w:tcPr>
          <w:p>
            <w:pPr>
              <w:ind w:left="6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6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Girish Juneja</w:t>
            </w:r>
          </w:p>
        </w:tc>
        <w:tc>
          <w:tcPr>
            <w:tcW w:w="2600" w:type="dxa"/>
            <w:vAlign w:val="bottom"/>
            <w:shd w:val="clear" w:color="auto" w:fill="D8D8D8"/>
          </w:tcPr>
          <w:p>
            <w:pPr>
              <w:ind w:left="1060"/>
              <w:spacing w:after="0"/>
              <w:rPr>
                <w:sz w:val="20"/>
                <w:szCs w:val="20"/>
                <w:color w:val="auto"/>
              </w:rPr>
            </w:pPr>
            <w:r>
              <w:rPr>
                <w:rFonts w:ascii="Arial" w:cs="Arial" w:eastAsia="Arial" w:hAnsi="Arial"/>
                <w:sz w:val="16"/>
                <w:szCs w:val="16"/>
                <w:color w:val="auto"/>
              </w:rPr>
              <w:t>Deferred</w:t>
            </w:r>
          </w:p>
        </w:tc>
        <w:tc>
          <w:tcPr>
            <w:tcW w:w="126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1060" w:type="dxa"/>
            <w:vAlign w:val="bottom"/>
            <w:shd w:val="clear" w:color="auto" w:fill="D8D8D8"/>
          </w:tcPr>
          <w:p>
            <w:pPr>
              <w:spacing w:after="0"/>
              <w:rPr>
                <w:sz w:val="16"/>
                <w:szCs w:val="16"/>
                <w:color w:val="auto"/>
              </w:rPr>
            </w:pPr>
          </w:p>
        </w:tc>
        <w:tc>
          <w:tcPr>
            <w:tcW w:w="1240" w:type="dxa"/>
            <w:vAlign w:val="bottom"/>
            <w:shd w:val="clear" w:color="auto" w:fill="D8D8D8"/>
          </w:tcPr>
          <w:p>
            <w:pPr>
              <w:spacing w:after="0"/>
              <w:rPr>
                <w:sz w:val="16"/>
                <w:szCs w:val="16"/>
                <w:color w:val="auto"/>
              </w:rPr>
            </w:pPr>
          </w:p>
        </w:tc>
        <w:tc>
          <w:tcPr>
            <w:tcW w:w="10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2460" w:type="dxa"/>
            <w:vAlign w:val="bottom"/>
            <w:vMerge w:val="continue"/>
            <w:shd w:val="clear" w:color="auto" w:fill="D8D8D8"/>
          </w:tcPr>
          <w:p>
            <w:pPr>
              <w:spacing w:after="0"/>
              <w:rPr>
                <w:sz w:val="8"/>
                <w:szCs w:val="8"/>
                <w:color w:val="auto"/>
              </w:rPr>
            </w:pPr>
          </w:p>
        </w:tc>
        <w:tc>
          <w:tcPr>
            <w:tcW w:w="2600" w:type="dxa"/>
            <w:vAlign w:val="bottom"/>
            <w:vMerge w:val="restart"/>
            <w:shd w:val="clear" w:color="auto" w:fill="D8D8D8"/>
          </w:tcPr>
          <w:p>
            <w:pPr>
              <w:ind w:left="106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shd w:val="clear" w:color="auto" w:fill="D8D8D8"/>
          </w:tcPr>
          <w:p>
            <w:pPr>
              <w:jc w:val="right"/>
              <w:ind w:right="104"/>
              <w:spacing w:after="0"/>
              <w:rPr>
                <w:sz w:val="20"/>
                <w:szCs w:val="20"/>
                <w:color w:val="auto"/>
              </w:rPr>
            </w:pPr>
            <w:r>
              <w:rPr>
                <w:rFonts w:ascii="Arial" w:cs="Arial" w:eastAsia="Arial" w:hAnsi="Arial"/>
                <w:sz w:val="16"/>
                <w:szCs w:val="16"/>
                <w:color w:val="auto"/>
              </w:rPr>
              <w:t>564,108</w:t>
            </w:r>
          </w:p>
        </w:tc>
        <w:tc>
          <w:tcPr>
            <w:tcW w:w="1300" w:type="dxa"/>
            <w:vAlign w:val="bottom"/>
            <w:vMerge w:val="restart"/>
            <w:shd w:val="clear" w:color="auto" w:fill="D8D8D8"/>
          </w:tcPr>
          <w:p>
            <w:pPr>
              <w:jc w:val="right"/>
              <w:ind w:right="124"/>
              <w:spacing w:after="0"/>
              <w:rPr>
                <w:sz w:val="20"/>
                <w:szCs w:val="20"/>
                <w:color w:val="auto"/>
              </w:rPr>
            </w:pPr>
            <w:r>
              <w:rPr>
                <w:rFonts w:ascii="Arial" w:cs="Arial" w:eastAsia="Arial" w:hAnsi="Arial"/>
                <w:sz w:val="16"/>
                <w:szCs w:val="16"/>
                <w:color w:val="auto"/>
              </w:rPr>
              <w:t>20,604</w:t>
            </w:r>
          </w:p>
        </w:tc>
        <w:tc>
          <w:tcPr>
            <w:tcW w:w="1060" w:type="dxa"/>
            <w:vAlign w:val="bottom"/>
            <w:vMerge w:val="restart"/>
            <w:shd w:val="clear" w:color="auto" w:fill="D8D8D8"/>
          </w:tcPr>
          <w:p>
            <w:pPr>
              <w:jc w:val="right"/>
              <w:ind w:right="104"/>
              <w:spacing w:after="0"/>
              <w:rPr>
                <w:sz w:val="20"/>
                <w:szCs w:val="20"/>
                <w:color w:val="auto"/>
              </w:rPr>
            </w:pPr>
            <w:r>
              <w:rPr>
                <w:rFonts w:ascii="Arial" w:cs="Arial" w:eastAsia="Arial" w:hAnsi="Arial"/>
                <w:sz w:val="16"/>
                <w:szCs w:val="16"/>
                <w:color w:val="auto"/>
              </w:rPr>
              <w:t>57,348</w:t>
            </w:r>
          </w:p>
        </w:tc>
        <w:tc>
          <w:tcPr>
            <w:tcW w:w="1240" w:type="dxa"/>
            <w:vAlign w:val="bottom"/>
            <w:vMerge w:val="restart"/>
            <w:shd w:val="clear" w:color="auto" w:fill="D8D8D8"/>
          </w:tcPr>
          <w:p>
            <w:pPr>
              <w:jc w:val="right"/>
              <w:ind w:right="104"/>
              <w:spacing w:after="0"/>
              <w:rPr>
                <w:sz w:val="20"/>
                <w:szCs w:val="20"/>
                <w:color w:val="auto"/>
              </w:rPr>
            </w:pPr>
            <w:r>
              <w:rPr>
                <w:rFonts w:ascii="Arial" w:cs="Arial" w:eastAsia="Arial" w:hAnsi="Arial"/>
                <w:sz w:val="16"/>
                <w:szCs w:val="16"/>
                <w:color w:val="auto"/>
              </w:rPr>
              <w:t>N/A</w:t>
            </w:r>
          </w:p>
        </w:tc>
        <w:tc>
          <w:tcPr>
            <w:tcW w:w="10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2,208,499</w:t>
            </w:r>
          </w:p>
        </w:tc>
        <w:tc>
          <w:tcPr>
            <w:tcW w:w="0" w:type="dxa"/>
            <w:vAlign w:val="bottom"/>
          </w:tcPr>
          <w:p>
            <w:pPr>
              <w:spacing w:after="0"/>
              <w:rPr>
                <w:sz w:val="1"/>
                <w:szCs w:val="1"/>
                <w:color w:val="auto"/>
              </w:rPr>
            </w:pPr>
          </w:p>
        </w:tc>
      </w:tr>
      <w:tr>
        <w:trPr>
          <w:trHeight w:val="99"/>
        </w:trPr>
        <w:tc>
          <w:tcPr>
            <w:tcW w:w="2460" w:type="dxa"/>
            <w:vAlign w:val="bottom"/>
            <w:shd w:val="clear" w:color="auto" w:fill="D8D8D8"/>
          </w:tcPr>
          <w:p>
            <w:pPr>
              <w:spacing w:after="0"/>
              <w:rPr>
                <w:sz w:val="8"/>
                <w:szCs w:val="8"/>
                <w:color w:val="auto"/>
              </w:rPr>
            </w:pPr>
          </w:p>
        </w:tc>
        <w:tc>
          <w:tcPr>
            <w:tcW w:w="2600" w:type="dxa"/>
            <w:vAlign w:val="bottom"/>
            <w:vMerge w:val="continue"/>
            <w:shd w:val="clear" w:color="auto" w:fill="D8D8D8"/>
          </w:tcPr>
          <w:p>
            <w:pPr>
              <w:spacing w:after="0"/>
              <w:rPr>
                <w:sz w:val="8"/>
                <w:szCs w:val="8"/>
                <w:color w:val="auto"/>
              </w:rPr>
            </w:pPr>
          </w:p>
        </w:tc>
        <w:tc>
          <w:tcPr>
            <w:tcW w:w="1260" w:type="dxa"/>
            <w:vAlign w:val="bottom"/>
            <w:vMerge w:val="continue"/>
            <w:shd w:val="clear" w:color="auto" w:fill="D8D8D8"/>
          </w:tcPr>
          <w:p>
            <w:pPr>
              <w:spacing w:after="0"/>
              <w:rPr>
                <w:sz w:val="8"/>
                <w:szCs w:val="8"/>
                <w:color w:val="auto"/>
              </w:rPr>
            </w:pPr>
          </w:p>
        </w:tc>
        <w:tc>
          <w:tcPr>
            <w:tcW w:w="1300" w:type="dxa"/>
            <w:vAlign w:val="bottom"/>
            <w:vMerge w:val="continue"/>
            <w:shd w:val="clear" w:color="auto" w:fill="D8D8D8"/>
          </w:tcPr>
          <w:p>
            <w:pPr>
              <w:spacing w:after="0"/>
              <w:rPr>
                <w:sz w:val="8"/>
                <w:szCs w:val="8"/>
                <w:color w:val="auto"/>
              </w:rPr>
            </w:pPr>
          </w:p>
        </w:tc>
        <w:tc>
          <w:tcPr>
            <w:tcW w:w="1060" w:type="dxa"/>
            <w:vAlign w:val="bottom"/>
            <w:vMerge w:val="continue"/>
            <w:shd w:val="clear" w:color="auto" w:fill="D8D8D8"/>
          </w:tcPr>
          <w:p>
            <w:pPr>
              <w:spacing w:after="0"/>
              <w:rPr>
                <w:sz w:val="8"/>
                <w:szCs w:val="8"/>
                <w:color w:val="auto"/>
              </w:rPr>
            </w:pPr>
          </w:p>
        </w:tc>
        <w:tc>
          <w:tcPr>
            <w:tcW w:w="1240" w:type="dxa"/>
            <w:vAlign w:val="bottom"/>
            <w:vMerge w:val="continue"/>
            <w:shd w:val="clear" w:color="auto" w:fill="D8D8D8"/>
          </w:tcPr>
          <w:p>
            <w:pPr>
              <w:spacing w:after="0"/>
              <w:rPr>
                <w:sz w:val="8"/>
                <w:szCs w:val="8"/>
                <w:color w:val="auto"/>
              </w:rPr>
            </w:pPr>
          </w:p>
        </w:tc>
        <w:tc>
          <w:tcPr>
            <w:tcW w:w="100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60" w:type="dxa"/>
            <w:vAlign w:val="bottom"/>
            <w:vMerge w:val="restart"/>
          </w:tcPr>
          <w:p>
            <w:pPr>
              <w:ind w:left="100"/>
              <w:spacing w:after="0"/>
              <w:rPr>
                <w:sz w:val="20"/>
                <w:szCs w:val="20"/>
                <w:color w:val="auto"/>
              </w:rPr>
            </w:pPr>
            <w:r>
              <w:rPr>
                <w:rFonts w:ascii="Arial" w:cs="Arial" w:eastAsia="Arial" w:hAnsi="Arial"/>
                <w:sz w:val="16"/>
                <w:szCs w:val="16"/>
                <w:color w:val="auto"/>
              </w:rPr>
              <w:t>Ivonne M. Cabrera</w:t>
            </w:r>
          </w:p>
        </w:tc>
        <w:tc>
          <w:tcPr>
            <w:tcW w:w="2600" w:type="dxa"/>
            <w:vAlign w:val="bottom"/>
          </w:tcPr>
          <w:p>
            <w:pPr>
              <w:ind w:left="1060"/>
              <w:spacing w:after="0"/>
              <w:rPr>
                <w:sz w:val="20"/>
                <w:szCs w:val="20"/>
                <w:color w:val="auto"/>
              </w:rPr>
            </w:pPr>
            <w:r>
              <w:rPr>
                <w:rFonts w:ascii="Arial" w:cs="Arial" w:eastAsia="Arial" w:hAnsi="Arial"/>
                <w:sz w:val="16"/>
                <w:szCs w:val="16"/>
                <w:color w:val="auto"/>
              </w:rPr>
              <w:t>Deferred</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2460" w:type="dxa"/>
            <w:vAlign w:val="bottom"/>
            <w:vMerge w:val="continue"/>
          </w:tcPr>
          <w:p>
            <w:pPr>
              <w:spacing w:after="0"/>
              <w:rPr>
                <w:sz w:val="8"/>
                <w:szCs w:val="8"/>
                <w:color w:val="auto"/>
              </w:rPr>
            </w:pPr>
          </w:p>
        </w:tc>
        <w:tc>
          <w:tcPr>
            <w:tcW w:w="2600" w:type="dxa"/>
            <w:vAlign w:val="bottom"/>
            <w:vMerge w:val="restart"/>
          </w:tcPr>
          <w:p>
            <w:pPr>
              <w:ind w:left="106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tcPr>
          <w:p>
            <w:pPr>
              <w:ind w:left="820"/>
              <w:spacing w:after="0"/>
              <w:rPr>
                <w:sz w:val="20"/>
                <w:szCs w:val="20"/>
                <w:color w:val="auto"/>
              </w:rPr>
            </w:pPr>
            <w:r>
              <w:rPr>
                <w:rFonts w:ascii="Arial" w:cs="Arial" w:eastAsia="Arial" w:hAnsi="Arial"/>
                <w:sz w:val="16"/>
                <w:szCs w:val="16"/>
                <w:color w:val="auto"/>
              </w:rPr>
              <w:t>N/A</w:t>
            </w:r>
          </w:p>
        </w:tc>
        <w:tc>
          <w:tcPr>
            <w:tcW w:w="1300" w:type="dxa"/>
            <w:vAlign w:val="bottom"/>
            <w:vMerge w:val="restart"/>
          </w:tcPr>
          <w:p>
            <w:pPr>
              <w:ind w:left="840"/>
              <w:spacing w:after="0"/>
              <w:rPr>
                <w:sz w:val="20"/>
                <w:szCs w:val="20"/>
                <w:color w:val="auto"/>
              </w:rPr>
            </w:pPr>
            <w:r>
              <w:rPr>
                <w:rFonts w:ascii="Arial" w:cs="Arial" w:eastAsia="Arial" w:hAnsi="Arial"/>
                <w:sz w:val="16"/>
                <w:szCs w:val="16"/>
                <w:color w:val="auto"/>
              </w:rPr>
              <w:t>N/A</w:t>
            </w:r>
          </w:p>
        </w:tc>
        <w:tc>
          <w:tcPr>
            <w:tcW w:w="1060" w:type="dxa"/>
            <w:vAlign w:val="bottom"/>
            <w:vMerge w:val="restart"/>
          </w:tcPr>
          <w:p>
            <w:pPr>
              <w:jc w:val="right"/>
              <w:ind w:right="104"/>
              <w:spacing w:after="0"/>
              <w:rPr>
                <w:sz w:val="20"/>
                <w:szCs w:val="20"/>
                <w:color w:val="auto"/>
              </w:rPr>
            </w:pPr>
            <w:r>
              <w:rPr>
                <w:rFonts w:ascii="Arial" w:cs="Arial" w:eastAsia="Arial" w:hAnsi="Arial"/>
                <w:sz w:val="16"/>
                <w:szCs w:val="16"/>
                <w:color w:val="auto"/>
              </w:rPr>
              <w:t>40,416</w:t>
            </w:r>
          </w:p>
        </w:tc>
        <w:tc>
          <w:tcPr>
            <w:tcW w:w="1240" w:type="dxa"/>
            <w:vAlign w:val="bottom"/>
            <w:vMerge w:val="restart"/>
          </w:tcPr>
          <w:p>
            <w:pPr>
              <w:jc w:val="right"/>
              <w:ind w:right="104"/>
              <w:spacing w:after="0"/>
              <w:rPr>
                <w:sz w:val="20"/>
                <w:szCs w:val="20"/>
                <w:color w:val="auto"/>
              </w:rPr>
            </w:pPr>
            <w:r>
              <w:rPr>
                <w:rFonts w:ascii="Arial" w:cs="Arial" w:eastAsia="Arial" w:hAnsi="Arial"/>
                <w:sz w:val="16"/>
                <w:szCs w:val="16"/>
                <w:color w:val="auto"/>
              </w:rPr>
              <w:t>N/A</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212,351</w:t>
            </w: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6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Kimberly K. Bors</w:t>
            </w:r>
          </w:p>
        </w:tc>
        <w:tc>
          <w:tcPr>
            <w:tcW w:w="2600" w:type="dxa"/>
            <w:vAlign w:val="bottom"/>
            <w:shd w:val="clear" w:color="auto" w:fill="D8D8D8"/>
          </w:tcPr>
          <w:p>
            <w:pPr>
              <w:ind w:left="1060"/>
              <w:spacing w:after="0"/>
              <w:rPr>
                <w:sz w:val="20"/>
                <w:szCs w:val="20"/>
                <w:color w:val="auto"/>
              </w:rPr>
            </w:pPr>
            <w:r>
              <w:rPr>
                <w:rFonts w:ascii="Arial" w:cs="Arial" w:eastAsia="Arial" w:hAnsi="Arial"/>
                <w:sz w:val="16"/>
                <w:szCs w:val="16"/>
                <w:color w:val="auto"/>
              </w:rPr>
              <w:t>Deferred</w:t>
            </w:r>
          </w:p>
        </w:tc>
        <w:tc>
          <w:tcPr>
            <w:tcW w:w="126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1060" w:type="dxa"/>
            <w:vAlign w:val="bottom"/>
            <w:shd w:val="clear" w:color="auto" w:fill="D8D8D8"/>
          </w:tcPr>
          <w:p>
            <w:pPr>
              <w:spacing w:after="0"/>
              <w:rPr>
                <w:sz w:val="16"/>
                <w:szCs w:val="16"/>
                <w:color w:val="auto"/>
              </w:rPr>
            </w:pPr>
          </w:p>
        </w:tc>
        <w:tc>
          <w:tcPr>
            <w:tcW w:w="1240" w:type="dxa"/>
            <w:vAlign w:val="bottom"/>
            <w:shd w:val="clear" w:color="auto" w:fill="D8D8D8"/>
          </w:tcPr>
          <w:p>
            <w:pPr>
              <w:spacing w:after="0"/>
              <w:rPr>
                <w:sz w:val="16"/>
                <w:szCs w:val="16"/>
                <w:color w:val="auto"/>
              </w:rPr>
            </w:pPr>
          </w:p>
        </w:tc>
        <w:tc>
          <w:tcPr>
            <w:tcW w:w="10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2460" w:type="dxa"/>
            <w:vAlign w:val="bottom"/>
            <w:vMerge w:val="continue"/>
            <w:shd w:val="clear" w:color="auto" w:fill="D8D8D8"/>
          </w:tcPr>
          <w:p>
            <w:pPr>
              <w:spacing w:after="0"/>
              <w:rPr>
                <w:sz w:val="8"/>
                <w:szCs w:val="8"/>
                <w:color w:val="auto"/>
              </w:rPr>
            </w:pPr>
          </w:p>
        </w:tc>
        <w:tc>
          <w:tcPr>
            <w:tcW w:w="2600" w:type="dxa"/>
            <w:vAlign w:val="bottom"/>
            <w:vMerge w:val="restart"/>
            <w:shd w:val="clear" w:color="auto" w:fill="D8D8D8"/>
          </w:tcPr>
          <w:p>
            <w:pPr>
              <w:ind w:left="106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shd w:val="clear" w:color="auto" w:fill="D8D8D8"/>
          </w:tcPr>
          <w:p>
            <w:pPr>
              <w:jc w:val="right"/>
              <w:ind w:right="104"/>
              <w:spacing w:after="0"/>
              <w:rPr>
                <w:sz w:val="20"/>
                <w:szCs w:val="20"/>
                <w:color w:val="auto"/>
              </w:rPr>
            </w:pPr>
            <w:r>
              <w:rPr>
                <w:rFonts w:ascii="Arial" w:cs="Arial" w:eastAsia="Arial" w:hAnsi="Arial"/>
                <w:sz w:val="16"/>
                <w:szCs w:val="16"/>
                <w:color w:val="auto"/>
              </w:rPr>
              <w:t>44,577</w:t>
            </w:r>
          </w:p>
        </w:tc>
        <w:tc>
          <w:tcPr>
            <w:tcW w:w="1300" w:type="dxa"/>
            <w:vAlign w:val="bottom"/>
            <w:vMerge w:val="restart"/>
            <w:shd w:val="clear" w:color="auto" w:fill="D8D8D8"/>
          </w:tcPr>
          <w:p>
            <w:pPr>
              <w:jc w:val="right"/>
              <w:ind w:right="104"/>
              <w:spacing w:after="0"/>
              <w:rPr>
                <w:sz w:val="20"/>
                <w:szCs w:val="20"/>
                <w:color w:val="auto"/>
              </w:rPr>
            </w:pPr>
            <w:r>
              <w:rPr>
                <w:rFonts w:ascii="Arial" w:cs="Arial" w:eastAsia="Arial" w:hAnsi="Arial"/>
                <w:sz w:val="16"/>
                <w:szCs w:val="16"/>
                <w:color w:val="auto"/>
              </w:rPr>
              <w:t>1,477</w:t>
            </w:r>
          </w:p>
        </w:tc>
        <w:tc>
          <w:tcPr>
            <w:tcW w:w="1060" w:type="dxa"/>
            <w:vAlign w:val="bottom"/>
            <w:vMerge w:val="restart"/>
            <w:shd w:val="clear" w:color="auto" w:fill="D8D8D8"/>
          </w:tcPr>
          <w:p>
            <w:pPr>
              <w:jc w:val="right"/>
              <w:ind w:right="104"/>
              <w:spacing w:after="0"/>
              <w:rPr>
                <w:sz w:val="20"/>
                <w:szCs w:val="20"/>
                <w:color w:val="auto"/>
              </w:rPr>
            </w:pPr>
            <w:r>
              <w:rPr>
                <w:rFonts w:ascii="Arial" w:cs="Arial" w:eastAsia="Arial" w:hAnsi="Arial"/>
                <w:sz w:val="16"/>
                <w:szCs w:val="16"/>
                <w:color w:val="auto"/>
              </w:rPr>
              <w:t>2,620</w:t>
            </w:r>
          </w:p>
        </w:tc>
        <w:tc>
          <w:tcPr>
            <w:tcW w:w="1240" w:type="dxa"/>
            <w:vAlign w:val="bottom"/>
            <w:vMerge w:val="restart"/>
            <w:shd w:val="clear" w:color="auto" w:fill="D8D8D8"/>
          </w:tcPr>
          <w:p>
            <w:pPr>
              <w:jc w:val="right"/>
              <w:ind w:right="104"/>
              <w:spacing w:after="0"/>
              <w:rPr>
                <w:sz w:val="20"/>
                <w:szCs w:val="20"/>
                <w:color w:val="auto"/>
              </w:rPr>
            </w:pPr>
            <w:r>
              <w:rPr>
                <w:rFonts w:ascii="Arial" w:cs="Arial" w:eastAsia="Arial" w:hAnsi="Arial"/>
                <w:sz w:val="16"/>
                <w:szCs w:val="16"/>
                <w:color w:val="auto"/>
              </w:rPr>
              <w:t>N/A</w:t>
            </w:r>
          </w:p>
        </w:tc>
        <w:tc>
          <w:tcPr>
            <w:tcW w:w="10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75,289</w:t>
            </w:r>
          </w:p>
        </w:tc>
        <w:tc>
          <w:tcPr>
            <w:tcW w:w="0" w:type="dxa"/>
            <w:vAlign w:val="bottom"/>
          </w:tcPr>
          <w:p>
            <w:pPr>
              <w:spacing w:after="0"/>
              <w:rPr>
                <w:sz w:val="1"/>
                <w:szCs w:val="1"/>
                <w:color w:val="auto"/>
              </w:rPr>
            </w:pPr>
          </w:p>
        </w:tc>
      </w:tr>
      <w:tr>
        <w:trPr>
          <w:trHeight w:val="119"/>
        </w:trPr>
        <w:tc>
          <w:tcPr>
            <w:tcW w:w="2460" w:type="dxa"/>
            <w:vAlign w:val="bottom"/>
            <w:tcBorders>
              <w:bottom w:val="single" w:sz="8" w:color="021496"/>
            </w:tcBorders>
            <w:shd w:val="clear" w:color="auto" w:fill="D8D8D8"/>
          </w:tcPr>
          <w:p>
            <w:pPr>
              <w:spacing w:after="0"/>
              <w:rPr>
                <w:sz w:val="10"/>
                <w:szCs w:val="10"/>
                <w:color w:val="auto"/>
              </w:rPr>
            </w:pPr>
          </w:p>
        </w:tc>
        <w:tc>
          <w:tcPr>
            <w:tcW w:w="2600" w:type="dxa"/>
            <w:vAlign w:val="bottom"/>
            <w:tcBorders>
              <w:bottom w:val="single" w:sz="8" w:color="021496"/>
            </w:tcBorders>
            <w:vMerge w:val="continue"/>
            <w:shd w:val="clear" w:color="auto" w:fill="D8D8D8"/>
          </w:tcPr>
          <w:p>
            <w:pPr>
              <w:spacing w:after="0"/>
              <w:rPr>
                <w:sz w:val="10"/>
                <w:szCs w:val="10"/>
                <w:color w:val="auto"/>
              </w:rPr>
            </w:pPr>
          </w:p>
        </w:tc>
        <w:tc>
          <w:tcPr>
            <w:tcW w:w="1260" w:type="dxa"/>
            <w:vAlign w:val="bottom"/>
            <w:tcBorders>
              <w:bottom w:val="single" w:sz="8" w:color="021496"/>
            </w:tcBorders>
            <w:vMerge w:val="continue"/>
            <w:shd w:val="clear" w:color="auto" w:fill="D8D8D8"/>
          </w:tcPr>
          <w:p>
            <w:pPr>
              <w:spacing w:after="0"/>
              <w:rPr>
                <w:sz w:val="10"/>
                <w:szCs w:val="10"/>
                <w:color w:val="auto"/>
              </w:rPr>
            </w:pPr>
          </w:p>
        </w:tc>
        <w:tc>
          <w:tcPr>
            <w:tcW w:w="1300" w:type="dxa"/>
            <w:vAlign w:val="bottom"/>
            <w:tcBorders>
              <w:bottom w:val="single" w:sz="8" w:color="021496"/>
            </w:tcBorders>
            <w:vMerge w:val="continue"/>
            <w:shd w:val="clear" w:color="auto" w:fill="D8D8D8"/>
          </w:tcPr>
          <w:p>
            <w:pPr>
              <w:spacing w:after="0"/>
              <w:rPr>
                <w:sz w:val="10"/>
                <w:szCs w:val="10"/>
                <w:color w:val="auto"/>
              </w:rPr>
            </w:pPr>
          </w:p>
        </w:tc>
        <w:tc>
          <w:tcPr>
            <w:tcW w:w="1060" w:type="dxa"/>
            <w:vAlign w:val="bottom"/>
            <w:tcBorders>
              <w:bottom w:val="single" w:sz="8" w:color="021496"/>
            </w:tcBorders>
            <w:vMerge w:val="continue"/>
            <w:shd w:val="clear" w:color="auto" w:fill="D8D8D8"/>
          </w:tcPr>
          <w:p>
            <w:pPr>
              <w:spacing w:after="0"/>
              <w:rPr>
                <w:sz w:val="10"/>
                <w:szCs w:val="10"/>
                <w:color w:val="auto"/>
              </w:rPr>
            </w:pPr>
          </w:p>
        </w:tc>
        <w:tc>
          <w:tcPr>
            <w:tcW w:w="1240" w:type="dxa"/>
            <w:vAlign w:val="bottom"/>
            <w:tcBorders>
              <w:bottom w:val="single" w:sz="8" w:color="021496"/>
            </w:tcBorders>
            <w:vMerge w:val="continue"/>
            <w:shd w:val="clear" w:color="auto" w:fill="D8D8D8"/>
          </w:tcPr>
          <w:p>
            <w:pPr>
              <w:spacing w:after="0"/>
              <w:rPr>
                <w:sz w:val="10"/>
                <w:szCs w:val="10"/>
                <w:color w:val="auto"/>
              </w:rPr>
            </w:pPr>
          </w:p>
        </w:tc>
        <w:tc>
          <w:tcPr>
            <w:tcW w:w="1000" w:type="dxa"/>
            <w:vAlign w:val="bottom"/>
            <w:tcBorders>
              <w:bottom w:val="single" w:sz="8" w:color="021496"/>
            </w:tcBorders>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00" w:right="460" w:hanging="426"/>
        <w:spacing w:after="0" w:line="277" w:lineRule="auto"/>
        <w:tabs>
          <w:tab w:leader="none" w:pos="700" w:val="left"/>
        </w:tabs>
        <w:numPr>
          <w:ilvl w:val="0"/>
          <w:numId w:val="75"/>
        </w:numPr>
        <w:rPr>
          <w:rFonts w:ascii="Arial" w:cs="Arial" w:eastAsia="Arial" w:hAnsi="Arial"/>
          <w:sz w:val="16"/>
          <w:szCs w:val="16"/>
          <w:i w:val="1"/>
          <w:iCs w:val="1"/>
          <w:color w:val="auto"/>
        </w:rPr>
      </w:pPr>
      <w:r>
        <w:rPr>
          <w:rFonts w:ascii="Arial" w:cs="Arial" w:eastAsia="Arial" w:hAnsi="Arial"/>
          <w:sz w:val="16"/>
          <w:szCs w:val="16"/>
          <w:i w:val="1"/>
          <w:iCs w:val="1"/>
          <w:color w:val="auto"/>
        </w:rPr>
        <w:t>If any amounts were shown as executive contributions in 2021, they would be included in the Summary Compensation Table in the salary or bonus columns, as appropriate, for the respective officers.</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69</w:t>
      </w:r>
    </w:p>
    <w:p>
      <w:pPr>
        <w:sectPr>
          <w:pgSz w:w="11900" w:h="16838" w:orient="portrait"/>
          <w:cols w:equalWidth="0" w:num="1">
            <w:col w:w="11080"/>
          </w:cols>
          <w:pgMar w:left="320" w:top="45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70"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auto"/>
        </w:rPr>
        <w:t>Our deferred compensation plan is a nonqualified plan that permits select key management and highly compensated employees on a U.S. payroll with an annual salary equal to or greater than $175,000 for 2021 deferrals and $250,000 for 2022 deferrals to irrevocably elect to defer a portion of their salary and bonus. The deferred compensation plan provides participants who are not eligible to participate in the PRP with the same level of matching and other employer contributions that they would have received if certain compensation limits under our Retirement Savings plan did not apply. Only Mr. Cerepak and Ms. Cabrera participate in the PRP and are therefore not eligible to receive matching and other employer contributions under the deferred compensation plan. The plan, as amended effective January 1, 2022, operates similar to an “excess” deferred compensation plan in that it provides for employer contributions on salary and bonuses in excess of the compensation limit permitted under the tax-qualified retirement savings plan.</w:t>
      </w:r>
    </w:p>
    <w:p>
      <w:pPr>
        <w:spacing w:after="0" w:line="178"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Under the amended deferred compensation plan, an eligible participant’s account will be credited each year with automatic employer contributions equal to 4.5% of the amount by which the eligible participant’s salary and bonus exceed the limitation imposed under Internal Revenue Code Section 401(a)(17) for such year</w:t>
      </w:r>
    </w:p>
    <w:p>
      <w:pPr>
        <w:spacing w:after="0" w:line="161" w:lineRule="exact"/>
        <w:rPr>
          <w:sz w:val="20"/>
          <w:szCs w:val="20"/>
          <w:color w:val="auto"/>
        </w:rPr>
      </w:pPr>
    </w:p>
    <w:p>
      <w:pPr>
        <w:ind w:left="160" w:right="80"/>
        <w:spacing w:after="0" w:line="245" w:lineRule="auto"/>
        <w:rPr>
          <w:sz w:val="20"/>
          <w:szCs w:val="20"/>
          <w:color w:val="auto"/>
        </w:rPr>
      </w:pPr>
      <w:r>
        <w:rPr>
          <w:rFonts w:ascii="Arial" w:cs="Arial" w:eastAsia="Arial" w:hAnsi="Arial"/>
          <w:sz w:val="16"/>
          <w:szCs w:val="16"/>
          <w:color w:val="auto"/>
        </w:rPr>
        <w:t>Amounts deferred under the plan are credited with hypothetical investment earnings based on the participant’s investment elections made from investment options designated under the plan. Participants are 100% vested in all amounts they defer, as adjusted for any earnings and losses on such deferred amounts. Effective as of January 1, 2010, a hypothetical investment option that tracks the value of Dover common stock, including any dividend payments, was added to the plan. This Dover stock unit fund does not actually hold any Dover stock, and participants who elect to participate in this option do not own any Dover common stock, or have any voting or other rights associated with the ownership of our common stock. Participants’ accounts are credited with the net returns of shares of our common stock equal to the number of stock units held by the participant. All distributions from the stock unit fund will be paid in cash. Balances allocated into the stock unit fund must remain in the stock unit fund for the remainder of the participant’s participation in the plan.</w:t>
      </w:r>
    </w:p>
    <w:p>
      <w:pPr>
        <w:spacing w:after="0" w:line="169" w:lineRule="exact"/>
        <w:rPr>
          <w:sz w:val="20"/>
          <w:szCs w:val="20"/>
          <w:color w:val="auto"/>
        </w:rPr>
      </w:pPr>
    </w:p>
    <w:p>
      <w:pPr>
        <w:ind w:left="160" w:right="360"/>
        <w:spacing w:after="0" w:line="256" w:lineRule="auto"/>
        <w:rPr>
          <w:sz w:val="20"/>
          <w:szCs w:val="20"/>
          <w:color w:val="auto"/>
        </w:rPr>
      </w:pPr>
      <w:r>
        <w:rPr>
          <w:rFonts w:ascii="Arial" w:cs="Arial" w:eastAsia="Arial" w:hAnsi="Arial"/>
          <w:sz w:val="16"/>
          <w:szCs w:val="16"/>
          <w:color w:val="auto"/>
        </w:rPr>
        <w:t>Generally, deferred amounts will be distributed from the plan only on account of retirement at age 65 (or age 55 with 10 years of service), disability or other termination of service, or at a scheduled in-service withdrawal date chosen by the participant.</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Potential Payments upon Termination or Change in Control</w:t>
      </w:r>
    </w:p>
    <w:p>
      <w:pPr>
        <w:spacing w:after="0" w:line="104" w:lineRule="exact"/>
        <w:rPr>
          <w:sz w:val="20"/>
          <w:szCs w:val="20"/>
          <w:color w:val="auto"/>
        </w:rPr>
      </w:pPr>
    </w:p>
    <w:p>
      <w:pPr>
        <w:ind w:left="160" w:right="180"/>
        <w:spacing w:after="0" w:line="248" w:lineRule="auto"/>
        <w:rPr>
          <w:sz w:val="20"/>
          <w:szCs w:val="20"/>
          <w:color w:val="auto"/>
        </w:rPr>
      </w:pPr>
      <w:r>
        <w:rPr>
          <w:rFonts w:ascii="Arial" w:cs="Arial" w:eastAsia="Arial" w:hAnsi="Arial"/>
          <w:sz w:val="16"/>
          <w:szCs w:val="16"/>
          <w:color w:val="auto"/>
        </w:rPr>
        <w:t>The discussion and table below describe the incremental payments or values to which each of the NEOs would be entitled in the event of termination of such executive’s employment or a change in control. The only compensation plans under which an executive may be entitled to incremental payments are the severance plan, the CIC Severance Plan and the 2012 and 2021 LTIP. No incremental values would be payable under the PRP, pension plan or deferred compensation plan as a result of a termination event or change in control.</w:t>
      </w:r>
    </w:p>
    <w:p>
      <w:pPr>
        <w:spacing w:after="0" w:line="146" w:lineRule="exact"/>
        <w:rPr>
          <w:sz w:val="20"/>
          <w:szCs w:val="20"/>
          <w:color w:val="auto"/>
        </w:rPr>
      </w:pPr>
    </w:p>
    <w:p>
      <w:pPr>
        <w:ind w:left="160" w:right="240"/>
        <w:spacing w:after="0" w:line="277" w:lineRule="auto"/>
        <w:rPr>
          <w:sz w:val="20"/>
          <w:szCs w:val="20"/>
          <w:color w:val="auto"/>
        </w:rPr>
      </w:pPr>
      <w:r>
        <w:rPr>
          <w:rFonts w:ascii="Arial" w:cs="Arial" w:eastAsia="Arial" w:hAnsi="Arial"/>
          <w:sz w:val="16"/>
          <w:szCs w:val="16"/>
          <w:i w:val="1"/>
          <w:iCs w:val="1"/>
          <w:color w:val="021496"/>
        </w:rPr>
        <w:t xml:space="preserve">Voluntary termination. </w:t>
      </w:r>
      <w:r>
        <w:rPr>
          <w:rFonts w:ascii="Arial" w:cs="Arial" w:eastAsia="Arial" w:hAnsi="Arial"/>
          <w:sz w:val="16"/>
          <w:szCs w:val="16"/>
          <w:color w:val="000000"/>
        </w:rPr>
        <w:t>If an NEO voluntarily terminates his or her employment, he or she will not be entitled to any incremental payments and unvested</w:t>
      </w:r>
      <w:r>
        <w:rPr>
          <w:rFonts w:ascii="Arial" w:cs="Arial" w:eastAsia="Arial" w:hAnsi="Arial"/>
          <w:sz w:val="16"/>
          <w:szCs w:val="16"/>
          <w:i w:val="1"/>
          <w:iCs w:val="1"/>
          <w:color w:val="021496"/>
        </w:rPr>
        <w:t xml:space="preserve"> </w:t>
      </w:r>
      <w:r>
        <w:rPr>
          <w:rFonts w:ascii="Arial" w:cs="Arial" w:eastAsia="Arial" w:hAnsi="Arial"/>
          <w:sz w:val="16"/>
          <w:szCs w:val="16"/>
          <w:color w:val="000000"/>
        </w:rPr>
        <w:t>equity awards will be forfeited, unless the executive is eligible for normal or early retirement under the 2012 and 2021 LTIP as discussed below.</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 xml:space="preserve">Involuntary termination without cause. </w:t>
      </w:r>
      <w:r>
        <w:rPr>
          <w:rFonts w:ascii="Arial" w:cs="Arial" w:eastAsia="Arial" w:hAnsi="Arial"/>
          <w:sz w:val="16"/>
          <w:szCs w:val="16"/>
          <w:color w:val="000000"/>
        </w:rPr>
        <w:t>If Dover terminates the employment of an NEO without cause (excluding termination due to death or disability), the</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NEO will be entitled to a cash severance payment under the severance plan consisting of:</w:t>
      </w:r>
    </w:p>
    <w:p>
      <w:pPr>
        <w:spacing w:after="0" w:line="217" w:lineRule="exact"/>
        <w:rPr>
          <w:sz w:val="20"/>
          <w:szCs w:val="20"/>
          <w:color w:val="auto"/>
        </w:rPr>
      </w:pPr>
    </w:p>
    <w:p>
      <w:pPr>
        <w:ind w:left="1020" w:hanging="318"/>
        <w:spacing w:after="0"/>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 amount equal to base salary plus target annual cash bonus for 12 months following the date of termination;</w:t>
      </w:r>
    </w:p>
    <w:p>
      <w:pPr>
        <w:spacing w:after="0" w:line="83" w:lineRule="exact"/>
        <w:rPr>
          <w:rFonts w:ascii="Arial" w:cs="Arial" w:eastAsia="Arial" w:hAnsi="Arial"/>
          <w:sz w:val="16"/>
          <w:szCs w:val="16"/>
          <w:color w:val="auto"/>
        </w:rPr>
      </w:pPr>
    </w:p>
    <w:p>
      <w:pPr>
        <w:ind w:left="1020" w:right="120" w:hanging="318"/>
        <w:spacing w:after="0" w:line="250" w:lineRule="auto"/>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pro rata portion (based on the completed calendar months worked in the year of termination) of the NEO’s target annual incentive bonus payable for the year of termination, subject to potential reduction in the discretion of the Compensation Committee based upon attainment of the applicable performance criteria;</w:t>
      </w:r>
    </w:p>
    <w:p>
      <w:pPr>
        <w:spacing w:after="0" w:line="66" w:lineRule="exact"/>
        <w:rPr>
          <w:rFonts w:ascii="Arial" w:cs="Arial" w:eastAsia="Arial" w:hAnsi="Arial"/>
          <w:sz w:val="16"/>
          <w:szCs w:val="16"/>
          <w:color w:val="auto"/>
        </w:rPr>
      </w:pPr>
    </w:p>
    <w:p>
      <w:pPr>
        <w:ind w:left="1020" w:right="200" w:hanging="318"/>
        <w:spacing w:after="0" w:line="250" w:lineRule="auto"/>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pro rata performance share award granted under the 2012 or 2021 LTIP having a scheduled payment date next following the date of termination (based on the completed calendar months worked in the year of termination) based upon attainment of the performance criteria applicable to the award as determined by the Compensation Committee;</w:t>
      </w:r>
    </w:p>
    <w:p>
      <w:pPr>
        <w:spacing w:after="0" w:line="66" w:lineRule="exact"/>
        <w:rPr>
          <w:rFonts w:ascii="Arial" w:cs="Arial" w:eastAsia="Arial" w:hAnsi="Arial"/>
          <w:sz w:val="16"/>
          <w:szCs w:val="16"/>
          <w:color w:val="auto"/>
        </w:rPr>
      </w:pPr>
    </w:p>
    <w:p>
      <w:pPr>
        <w:ind w:left="1020" w:hanging="318"/>
        <w:spacing w:after="0"/>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Outplacement services, at the company’s discretion, for 12 months up to a maximum cost of $25,000; and</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70</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70" w:lineRule="exact"/>
        <w:rPr>
          <w:sz w:val="20"/>
          <w:szCs w:val="20"/>
          <w:color w:val="auto"/>
        </w:rPr>
      </w:pPr>
    </w:p>
    <w:p>
      <w:pPr>
        <w:ind w:left="1020" w:right="140" w:hanging="318"/>
        <w:spacing w:after="0" w:line="256" w:lineRule="auto"/>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lump sum payment equal to the then cost of COBRA health continuation coverage, based on the level of health care coverage in effect on the termination date, for 12 months.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Unvested equity awards will be forfeited.</w:t>
      </w:r>
    </w:p>
    <w:p>
      <w:pPr>
        <w:spacing w:after="0" w:line="161"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i w:val="1"/>
          <w:iCs w:val="1"/>
          <w:color w:val="021496"/>
        </w:rPr>
        <w:t xml:space="preserve">Retirement (for awards made in 2020 and earlier). </w:t>
      </w:r>
      <w:r>
        <w:rPr>
          <w:rFonts w:ascii="Arial" w:cs="Arial" w:eastAsia="Arial" w:hAnsi="Arial"/>
          <w:sz w:val="16"/>
          <w:szCs w:val="16"/>
          <w:color w:val="000000"/>
        </w:rPr>
        <w:t>Under the 2012 LTIP, an NEO eligible for normal or early retirement will be entitled to continued vesting</w:t>
      </w:r>
      <w:r>
        <w:rPr>
          <w:rFonts w:ascii="Arial" w:cs="Arial" w:eastAsia="Arial" w:hAnsi="Arial"/>
          <w:sz w:val="16"/>
          <w:szCs w:val="16"/>
          <w:i w:val="1"/>
          <w:iCs w:val="1"/>
          <w:color w:val="021496"/>
        </w:rPr>
        <w:t xml:space="preserve"> </w:t>
      </w:r>
      <w:r>
        <w:rPr>
          <w:rFonts w:ascii="Arial" w:cs="Arial" w:eastAsia="Arial" w:hAnsi="Arial"/>
          <w:sz w:val="16"/>
          <w:szCs w:val="16"/>
          <w:color w:val="000000"/>
        </w:rPr>
        <w:t>of SSARs and restricted stock unit awards for 24 months in the case of early retirement under the Rule of 65, 36 months in the case of early retirement under the Rule of 70 and 60 months in the case of normal retirement at or after age 65. In the case of normal retirement, the outstanding performance share awards for the performance period ending the soonest will continue to vest, subject to the satisfaction of the applicable performance targets. In the case of early retirement under the Rule of 65 or 70, outstanding performance share awards are payable, subject to the satisfaction of the applicable performance targets, only at the Compensation Committee’s discretion.</w:t>
      </w:r>
    </w:p>
    <w:p>
      <w:pPr>
        <w:spacing w:after="0" w:line="163" w:lineRule="exact"/>
        <w:rPr>
          <w:sz w:val="20"/>
          <w:szCs w:val="20"/>
          <w:color w:val="auto"/>
        </w:rPr>
      </w:pPr>
    </w:p>
    <w:p>
      <w:pPr>
        <w:ind w:left="160" w:right="240"/>
        <w:spacing w:after="0" w:line="256" w:lineRule="auto"/>
        <w:rPr>
          <w:sz w:val="20"/>
          <w:szCs w:val="20"/>
          <w:color w:val="auto"/>
        </w:rPr>
      </w:pPr>
      <w:r>
        <w:rPr>
          <w:rFonts w:ascii="Arial" w:cs="Arial" w:eastAsia="Arial" w:hAnsi="Arial"/>
          <w:sz w:val="16"/>
          <w:szCs w:val="16"/>
          <w:color w:val="auto"/>
        </w:rPr>
        <w:t>Early retirement under the 2012 LTIP is defined as termination for any reason other than normal retirement, death, disability or cause, under one of the following circumstances applicable to the NEOs:</w:t>
      </w:r>
    </w:p>
    <w:p>
      <w:pPr>
        <w:spacing w:after="0" w:line="62" w:lineRule="exact"/>
        <w:rPr>
          <w:sz w:val="20"/>
          <w:szCs w:val="20"/>
          <w:color w:val="auto"/>
        </w:rPr>
      </w:pPr>
    </w:p>
    <w:p>
      <w:pPr>
        <w:ind w:left="1020" w:right="20" w:hanging="318"/>
        <w:spacing w:after="0" w:line="250"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executive has at least 10 years of service with a Dover company, the sum of his or her age and years of service on the date of termination equals at least 65, and for awards granted on or after August 6, 2014, is at least 55 years old (the “Rule of 65”), and the executive complies with certain notice requirements; or</w:t>
      </w:r>
    </w:p>
    <w:p>
      <w:pPr>
        <w:spacing w:after="0" w:line="66" w:lineRule="exact"/>
        <w:rPr>
          <w:rFonts w:ascii="Arial" w:cs="Arial" w:eastAsia="Arial" w:hAnsi="Arial"/>
          <w:sz w:val="16"/>
          <w:szCs w:val="16"/>
          <w:color w:val="auto"/>
        </w:rPr>
      </w:pPr>
    </w:p>
    <w:p>
      <w:pPr>
        <w:ind w:left="1020" w:right="20" w:hanging="318"/>
        <w:spacing w:after="0" w:line="250"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executive has at least 15 years of service with a Dover company, the sum of his or her age and years of service on the date of termination equals at least 70, and for awards granted on or after August 6, 2014, is at least 60 years old (the “Rule of 70”), and the executive complies with certain notice requirements.</w:t>
      </w:r>
    </w:p>
    <w:p>
      <w:pPr>
        <w:spacing w:after="0" w:line="174"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auto"/>
        </w:rPr>
        <w:t>Any person who takes early or normal retirement under the 2012 LTIP is deemed to have expressly agreed that he or she will not compete with us or any of our companies at which he or she was employed within the three years immediately prior to his or her termination, in the geographic areas in which we or that company actively carried on business at the end of the participant’s employment, for the period during which such retirement affords him or her enhanced benefits (24 months in the case of the Rule of 65, 36 months in the case of the Rule of 70 or 60 months in the case of normal retirement). If the participant fails to comply with the non-compete provision, he or she forfeits any enhanced benefits under the 2012 LTIP and must return to Dover the economic value previously realized by reason of such benefits.</w:t>
      </w:r>
    </w:p>
    <w:p>
      <w:pPr>
        <w:spacing w:after="0" w:line="150" w:lineRule="exact"/>
        <w:rPr>
          <w:sz w:val="20"/>
          <w:szCs w:val="20"/>
          <w:color w:val="auto"/>
        </w:rPr>
      </w:pPr>
    </w:p>
    <w:p>
      <w:pPr>
        <w:ind w:left="160"/>
        <w:spacing w:after="0" w:line="252" w:lineRule="auto"/>
        <w:rPr>
          <w:sz w:val="20"/>
          <w:szCs w:val="20"/>
          <w:color w:val="auto"/>
        </w:rPr>
      </w:pPr>
      <w:r>
        <w:rPr>
          <w:rFonts w:ascii="Arial" w:cs="Arial" w:eastAsia="Arial" w:hAnsi="Arial"/>
          <w:sz w:val="16"/>
          <w:szCs w:val="16"/>
          <w:i w:val="1"/>
          <w:iCs w:val="1"/>
          <w:color w:val="021496"/>
        </w:rPr>
        <w:t xml:space="preserve">Retirement (for awards made in 2021 onwards). </w:t>
      </w:r>
      <w:r>
        <w:rPr>
          <w:rFonts w:ascii="Arial" w:cs="Arial" w:eastAsia="Arial" w:hAnsi="Arial"/>
          <w:sz w:val="16"/>
          <w:szCs w:val="16"/>
          <w:color w:val="000000"/>
        </w:rPr>
        <w:t>Under the 2012 and 2021 LTIP, an NEO eligible for normal or early retirement will be entitled to continued</w:t>
      </w:r>
      <w:r>
        <w:rPr>
          <w:rFonts w:ascii="Arial" w:cs="Arial" w:eastAsia="Arial" w:hAnsi="Arial"/>
          <w:sz w:val="16"/>
          <w:szCs w:val="16"/>
          <w:i w:val="1"/>
          <w:iCs w:val="1"/>
          <w:color w:val="021496"/>
        </w:rPr>
        <w:t xml:space="preserve"> </w:t>
      </w:r>
      <w:r>
        <w:rPr>
          <w:rFonts w:ascii="Arial" w:cs="Arial" w:eastAsia="Arial" w:hAnsi="Arial"/>
          <w:sz w:val="16"/>
          <w:szCs w:val="16"/>
          <w:color w:val="000000"/>
        </w:rPr>
        <w:t>vesting of SSARs and restricted stock unit awards for 36 months in the case of early retirement and 60 months in the case of normal retirement at or after age 62. In the case of normal retirement, the outstanding performance share awards for the performance period ending the soonest will continue to vest, subject to the satisfaction of the applicable performance targets. In the case of early retirement, outstanding performance share awards are payable, subject to the satisfaction of the applicable performance targets, only at the Compensation Committee’s discretion.</w:t>
      </w:r>
    </w:p>
    <w:p>
      <w:pPr>
        <w:spacing w:after="0" w:line="160" w:lineRule="exact"/>
        <w:rPr>
          <w:sz w:val="20"/>
          <w:szCs w:val="20"/>
          <w:color w:val="auto"/>
        </w:rPr>
      </w:pPr>
    </w:p>
    <w:p>
      <w:pPr>
        <w:ind w:left="160" w:right="420"/>
        <w:spacing w:after="0" w:line="250" w:lineRule="auto"/>
        <w:rPr>
          <w:sz w:val="20"/>
          <w:szCs w:val="20"/>
          <w:color w:val="auto"/>
        </w:rPr>
      </w:pPr>
      <w:r>
        <w:rPr>
          <w:rFonts w:ascii="Arial" w:cs="Arial" w:eastAsia="Arial" w:hAnsi="Arial"/>
          <w:sz w:val="16"/>
          <w:szCs w:val="16"/>
          <w:color w:val="auto"/>
        </w:rPr>
        <w:t>Early retirement under the 2012 and 2021 LTIP is defined as any reason other than normal retirement, death, disability or cause, under the following circumstance: The executive has at least 10 years of service with a Dover company, is at least 55 years old, and complies with certain notice requirements.</w:t>
      </w:r>
    </w:p>
    <w:p>
      <w:pPr>
        <w:spacing w:after="0" w:line="174"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color w:val="auto"/>
        </w:rPr>
        <w:t>Any person who takes early or normal retirement under the 2012 or 2021 LTIP is deemed to have expressly agreed that he or she will not compete with us or any of our companies at which he or she was employed within the three years immediately prior to his or her termination, in the geographic areas in which we or that company actively carried on business at the end of the participant’s employment, for the period during which such retirement affords him or her enhanced benefits (36 months in the case of early retirement or 60 months in the case of normal retirement). If the participant fails to comply with the non-compete provision, he or she forfeits any enhanced benefits under the 2012 and 2021 LTIP and must return to Dover the economic value previously realized by reason of such benefits.</w:t>
      </w:r>
    </w:p>
    <w:p>
      <w:pPr>
        <w:spacing w:after="0" w:line="150" w:lineRule="exact"/>
        <w:rPr>
          <w:sz w:val="20"/>
          <w:szCs w:val="20"/>
          <w:color w:val="auto"/>
        </w:rPr>
      </w:pPr>
    </w:p>
    <w:p>
      <w:pPr>
        <w:ind w:left="160" w:right="120"/>
        <w:spacing w:after="0" w:line="252" w:lineRule="auto"/>
        <w:rPr>
          <w:sz w:val="20"/>
          <w:szCs w:val="20"/>
          <w:color w:val="auto"/>
        </w:rPr>
      </w:pPr>
      <w:r>
        <w:rPr>
          <w:rFonts w:ascii="Arial" w:cs="Arial" w:eastAsia="Arial" w:hAnsi="Arial"/>
          <w:sz w:val="16"/>
          <w:szCs w:val="16"/>
          <w:i w:val="1"/>
          <w:iCs w:val="1"/>
          <w:color w:val="021496"/>
        </w:rPr>
        <w:t xml:space="preserve">Change in Control (without termination of employment). </w:t>
      </w:r>
      <w:r>
        <w:rPr>
          <w:rFonts w:ascii="Arial" w:cs="Arial" w:eastAsia="Arial" w:hAnsi="Arial"/>
          <w:sz w:val="16"/>
          <w:szCs w:val="16"/>
          <w:color w:val="000000"/>
        </w:rPr>
        <w:t>All the change in control provisions in Dover’s compensation plans are double-trigger.</w:t>
      </w:r>
      <w:r>
        <w:rPr>
          <w:rFonts w:ascii="Arial" w:cs="Arial" w:eastAsia="Arial" w:hAnsi="Arial"/>
          <w:sz w:val="16"/>
          <w:szCs w:val="16"/>
          <w:i w:val="1"/>
          <w:iCs w:val="1"/>
          <w:color w:val="021496"/>
        </w:rPr>
        <w:t xml:space="preserve"> </w:t>
      </w:r>
      <w:r>
        <w:rPr>
          <w:rFonts w:ascii="Arial" w:cs="Arial" w:eastAsia="Arial" w:hAnsi="Arial"/>
          <w:sz w:val="16"/>
          <w:szCs w:val="16"/>
          <w:color w:val="000000"/>
        </w:rPr>
        <w:t>Accordingly, an NEO’s compensation generally will not be affected by a change in control without termination of his or her employment. An executive will be entitled to incremental payments or values upon a change in control without termination of employment only if an executive’s outstanding awards under the 2012 or 2021 LTIP are impaired. In that circumstance, all unvested SSARs and restricted stock units will immediately vest on the date of the change in control and</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71</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70"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outstanding performance share awards will immediately vest and become payable on the date of the change in control on a pro-rata basis for a shortened performance period.</w:t>
      </w:r>
    </w:p>
    <w:p>
      <w:pPr>
        <w:spacing w:after="0" w:line="169"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Each person granted an award under the 2012 or 2021 LTIP is deemed to agree that, upon a tender or exchange offer, proxy solicitation or other action seeking to effect a change in control of Dover, he or she will not voluntarily terminate employment with us or any of our companies and, unless terminated by us, will continue to render services to us until the person seeking to effect a change in control of our Company has abandoned, terminated or succeeded in such person’s efforts to effect the change in control.</w:t>
      </w:r>
    </w:p>
    <w:p>
      <w:pPr>
        <w:spacing w:after="0" w:line="162"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color w:val="auto"/>
        </w:rPr>
        <w:t>Under the PRP, upon a change in control, each participant will become entitled to receive the actuarial value of the participant’s benefit accrued through the date of the change in control. No additional incremental amounts are payable under the PRP upon a change in control.</w:t>
      </w:r>
    </w:p>
    <w:p>
      <w:pPr>
        <w:spacing w:after="0" w:line="140" w:lineRule="exact"/>
        <w:rPr>
          <w:sz w:val="20"/>
          <w:szCs w:val="20"/>
          <w:color w:val="auto"/>
        </w:rPr>
      </w:pPr>
    </w:p>
    <w:p>
      <w:pPr>
        <w:ind w:left="160" w:right="160"/>
        <w:spacing w:after="0" w:line="277" w:lineRule="auto"/>
        <w:rPr>
          <w:sz w:val="20"/>
          <w:szCs w:val="20"/>
          <w:color w:val="auto"/>
        </w:rPr>
      </w:pPr>
      <w:r>
        <w:rPr>
          <w:rFonts w:ascii="Arial" w:cs="Arial" w:eastAsia="Arial" w:hAnsi="Arial"/>
          <w:sz w:val="16"/>
          <w:szCs w:val="16"/>
          <w:i w:val="1"/>
          <w:iCs w:val="1"/>
          <w:color w:val="021496"/>
        </w:rPr>
        <w:t xml:space="preserve">Termination following a change in control. </w:t>
      </w:r>
      <w:r>
        <w:rPr>
          <w:rFonts w:ascii="Arial" w:cs="Arial" w:eastAsia="Arial" w:hAnsi="Arial"/>
          <w:sz w:val="16"/>
          <w:szCs w:val="16"/>
          <w:color w:val="000000"/>
        </w:rPr>
        <w:t>Upon the double-trigger events of a termination of employment following a change in control, an NEO may be</w:t>
      </w:r>
      <w:r>
        <w:rPr>
          <w:rFonts w:ascii="Arial" w:cs="Arial" w:eastAsia="Arial" w:hAnsi="Arial"/>
          <w:sz w:val="16"/>
          <w:szCs w:val="16"/>
          <w:i w:val="1"/>
          <w:iCs w:val="1"/>
          <w:color w:val="021496"/>
        </w:rPr>
        <w:t xml:space="preserve"> </w:t>
      </w:r>
      <w:r>
        <w:rPr>
          <w:rFonts w:ascii="Arial" w:cs="Arial" w:eastAsia="Arial" w:hAnsi="Arial"/>
          <w:sz w:val="16"/>
          <w:szCs w:val="16"/>
          <w:color w:val="000000"/>
        </w:rPr>
        <w:t>eligible for certain cash severance payments and accelerated vesting of equity awards as described below.</w:t>
      </w:r>
    </w:p>
    <w:p>
      <w:pPr>
        <w:spacing w:after="0" w:line="153" w:lineRule="exact"/>
        <w:rPr>
          <w:sz w:val="20"/>
          <w:szCs w:val="20"/>
          <w:color w:val="auto"/>
        </w:rPr>
      </w:pPr>
    </w:p>
    <w:p>
      <w:pPr>
        <w:ind w:left="160" w:right="180"/>
        <w:spacing w:after="0" w:line="250" w:lineRule="auto"/>
        <w:rPr>
          <w:sz w:val="20"/>
          <w:szCs w:val="20"/>
          <w:color w:val="auto"/>
        </w:rPr>
      </w:pPr>
      <w:r>
        <w:rPr>
          <w:rFonts w:ascii="Arial" w:cs="Arial" w:eastAsia="Arial" w:hAnsi="Arial"/>
          <w:sz w:val="16"/>
          <w:szCs w:val="16"/>
          <w:color w:val="auto"/>
        </w:rPr>
        <w:t>An NEO will be entitled to receive severance payments if, within 24 months after the change in control, either his or her employment is terminated by Dover without “cause” or the executive terminates employment for “good reason,” under and as such terms are defined in the CIC Severance Plan. The severance payments will consist of the following:</w:t>
      </w:r>
    </w:p>
    <w:p>
      <w:pPr>
        <w:spacing w:after="0" w:line="201" w:lineRule="exact"/>
        <w:rPr>
          <w:sz w:val="20"/>
          <w:szCs w:val="20"/>
          <w:color w:val="auto"/>
        </w:rPr>
      </w:pPr>
    </w:p>
    <w:p>
      <w:pPr>
        <w:jc w:val="both"/>
        <w:ind w:left="1020" w:right="240" w:hanging="318"/>
        <w:spacing w:after="0" w:line="250" w:lineRule="auto"/>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lump sum payment equal to 2.0 multiplied by the sum of (i) the executive’s annual salary on the termination date or the change in control date, whichever is higher, and (ii) his or her target annual incentive bonus for the year in which the termination or the date of the change in control occurs, whichever is higher;</w:t>
      </w:r>
    </w:p>
    <w:p>
      <w:pPr>
        <w:spacing w:after="0" w:line="66" w:lineRule="exact"/>
        <w:rPr>
          <w:rFonts w:ascii="Arial" w:cs="Arial" w:eastAsia="Arial" w:hAnsi="Arial"/>
          <w:sz w:val="16"/>
          <w:szCs w:val="16"/>
          <w:color w:val="auto"/>
        </w:rPr>
      </w:pPr>
    </w:p>
    <w:p>
      <w:pPr>
        <w:ind w:left="1020" w:right="200" w:hanging="318"/>
        <w:spacing w:after="0" w:line="256" w:lineRule="auto"/>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lump sum payment equal to the pro rata portion (based on the completed days worked in the year in which the date of termination occurs divided by the number of days in such year) of the NEO’s target annual incentive bonus;</w:t>
      </w:r>
    </w:p>
    <w:p>
      <w:pPr>
        <w:spacing w:after="0" w:line="62" w:lineRule="exact"/>
        <w:rPr>
          <w:rFonts w:ascii="Arial" w:cs="Arial" w:eastAsia="Arial" w:hAnsi="Arial"/>
          <w:sz w:val="16"/>
          <w:szCs w:val="16"/>
          <w:color w:val="auto"/>
        </w:rPr>
      </w:pPr>
    </w:p>
    <w:p>
      <w:pPr>
        <w:ind w:left="1020" w:hanging="318"/>
        <w:spacing w:after="0"/>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12 months of outplacement services up to a maximum of $25,000, as adjusted upwards for inflation; and</w:t>
      </w:r>
    </w:p>
    <w:p>
      <w:pPr>
        <w:spacing w:after="0" w:line="83" w:lineRule="exact"/>
        <w:rPr>
          <w:rFonts w:ascii="Arial" w:cs="Arial" w:eastAsia="Arial" w:hAnsi="Arial"/>
          <w:sz w:val="16"/>
          <w:szCs w:val="16"/>
          <w:color w:val="auto"/>
        </w:rPr>
      </w:pPr>
    </w:p>
    <w:p>
      <w:pPr>
        <w:ind w:left="1020" w:right="140" w:hanging="318"/>
        <w:spacing w:after="0" w:line="256" w:lineRule="auto"/>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lump sum payment equal to the then cost of COBRA health continuation coverage, based on the level of health care coverage in effect on the termination date, if any, for 24 months.</w:t>
      </w:r>
    </w:p>
    <w:p>
      <w:pPr>
        <w:spacing w:after="0" w:line="156"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auto"/>
        </w:rPr>
        <w:t>No executive may receive severance benefits under more than one plan or arrangement. If Dover determines that (i) any payment or distribution to an executive in connection with change in control, whether under the CIC Severance Plan or otherwise, would be subject to excise tax as an excess parachute payment under the Internal Revenue Code and (ii) the executive would receive a greater net-after-tax amount by reducing the amount of the severance payment, Dover will reduce the severance payments made under the CIC Severance Plan to the maximum amount that might be paid (but not less than zero) without the executive becoming subject to the excise tax. The CIC Severance Plan does not provide any gross-up for excise taxes.</w:t>
      </w:r>
    </w:p>
    <w:p>
      <w:pPr>
        <w:spacing w:after="0" w:line="163"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In addition, if, within 24 months following a change in control of Dover (as defined in the 2012 or 2021 LTIP) the executive is either involuntarily terminated other than for cause, death or disability or an event or condition that constitutes “good reason” occurs, and the executive subsequently resigns for good reason within applicable time limits and other requirements under the 2012 or 2021 LTIP:</w:t>
      </w:r>
    </w:p>
    <w:p>
      <w:pPr>
        <w:spacing w:after="0" w:line="201" w:lineRule="exact"/>
        <w:rPr>
          <w:sz w:val="20"/>
          <w:szCs w:val="20"/>
          <w:color w:val="auto"/>
        </w:rPr>
      </w:pPr>
    </w:p>
    <w:p>
      <w:pPr>
        <w:ind w:left="1020" w:right="240" w:hanging="318"/>
        <w:spacing w:after="0" w:line="256"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All unvested SSARs and RSUs immediately vest upon the date of termination and become exercisable in accordance with the terms of the applicable award agreement; and</w:t>
      </w:r>
    </w:p>
    <w:p>
      <w:pPr>
        <w:spacing w:after="0" w:line="62" w:lineRule="exact"/>
        <w:rPr>
          <w:rFonts w:ascii="Arial" w:cs="Arial" w:eastAsia="Arial" w:hAnsi="Arial"/>
          <w:sz w:val="16"/>
          <w:szCs w:val="16"/>
          <w:color w:val="auto"/>
        </w:rPr>
      </w:pPr>
    </w:p>
    <w:p>
      <w:pPr>
        <w:ind w:left="1020" w:right="440" w:hanging="318"/>
        <w:spacing w:after="0" w:line="256"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All performance share awards will be deemed to have been earned “at target” as if the performance target had been achieved and such awards will immediately vest and become immediately due and payable on the date of termination</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72</w:t>
      </w:r>
    </w:p>
    <w:p>
      <w:pPr>
        <w:sectPr>
          <w:pgSz w:w="11900" w:h="16838" w:orient="portrait"/>
          <w:cols w:equalWidth="0" w:num="1">
            <w:col w:w="1108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4" w:lineRule="exact"/>
        <w:rPr>
          <w:sz w:val="20"/>
          <w:szCs w:val="20"/>
          <w:color w:val="auto"/>
        </w:rPr>
      </w:pPr>
    </w:p>
    <w:p>
      <w:pPr>
        <w:ind w:left="160" w:right="360"/>
        <w:spacing w:after="0" w:line="260" w:lineRule="auto"/>
        <w:rPr>
          <w:sz w:val="20"/>
          <w:szCs w:val="20"/>
          <w:color w:val="auto"/>
        </w:rPr>
      </w:pPr>
      <w:r>
        <w:rPr>
          <w:rFonts w:ascii="Arial" w:cs="Arial" w:eastAsia="Arial" w:hAnsi="Arial"/>
          <w:sz w:val="16"/>
          <w:szCs w:val="16"/>
          <w:i w:val="1"/>
          <w:iCs w:val="1"/>
          <w:color w:val="021496"/>
        </w:rPr>
        <w:t xml:space="preserve">Potential Payments upon Termination or Change in Control Table. </w:t>
      </w:r>
      <w:r>
        <w:rPr>
          <w:rFonts w:ascii="Arial" w:cs="Arial" w:eastAsia="Arial" w:hAnsi="Arial"/>
          <w:sz w:val="16"/>
          <w:szCs w:val="16"/>
          <w:color w:val="000000"/>
        </w:rPr>
        <w:t>The table below shows the incremental amounts payable to each NEO if his or her</w:t>
      </w:r>
      <w:r>
        <w:rPr>
          <w:rFonts w:ascii="Arial" w:cs="Arial" w:eastAsia="Arial" w:hAnsi="Arial"/>
          <w:sz w:val="16"/>
          <w:szCs w:val="16"/>
          <w:i w:val="1"/>
          <w:iCs w:val="1"/>
          <w:color w:val="021496"/>
        </w:rPr>
        <w:t xml:space="preserve"> </w:t>
      </w:r>
      <w:r>
        <w:rPr>
          <w:rFonts w:ascii="Arial" w:cs="Arial" w:eastAsia="Arial" w:hAnsi="Arial"/>
          <w:sz w:val="16"/>
          <w:szCs w:val="16"/>
          <w:color w:val="000000"/>
        </w:rPr>
        <w:t>employment had terminated in certain circumstances on December 31, 2021. The amounts shown assume that termination was effective as of December 31, 2021. The actual amounts to be paid out can only be determined at the time of each executive’s separation from Dover.</w:t>
      </w:r>
    </w:p>
    <w:p>
      <w:pPr>
        <w:spacing w:after="0" w:line="19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820" w:type="dxa"/>
            <w:vAlign w:val="bottom"/>
            <w:tcBorders>
              <w:top w:val="single" w:sz="8" w:color="021496"/>
            </w:tcBorders>
          </w:tcPr>
          <w:p>
            <w:pPr>
              <w:spacing w:after="0"/>
              <w:rPr>
                <w:sz w:val="13"/>
                <w:szCs w:val="13"/>
                <w:color w:val="auto"/>
              </w:rPr>
            </w:pPr>
          </w:p>
        </w:tc>
        <w:tc>
          <w:tcPr>
            <w:tcW w:w="1380" w:type="dxa"/>
            <w:vAlign w:val="bottom"/>
            <w:tcBorders>
              <w:top w:val="single" w:sz="8" w:color="021496"/>
            </w:tcBorders>
          </w:tcPr>
          <w:p>
            <w:pPr>
              <w:spacing w:after="0"/>
              <w:rPr>
                <w:sz w:val="13"/>
                <w:szCs w:val="13"/>
                <w:color w:val="auto"/>
              </w:rPr>
            </w:pPr>
          </w:p>
        </w:tc>
        <w:tc>
          <w:tcPr>
            <w:tcW w:w="2000" w:type="dxa"/>
            <w:vAlign w:val="bottom"/>
            <w:tcBorders>
              <w:top w:val="single" w:sz="8" w:color="021496"/>
            </w:tcBorders>
          </w:tcPr>
          <w:p>
            <w:pPr>
              <w:spacing w:after="0"/>
              <w:rPr>
                <w:sz w:val="13"/>
                <w:szCs w:val="13"/>
                <w:color w:val="auto"/>
              </w:rPr>
            </w:pPr>
          </w:p>
        </w:tc>
        <w:tc>
          <w:tcPr>
            <w:tcW w:w="1340" w:type="dxa"/>
            <w:vAlign w:val="bottom"/>
            <w:tcBorders>
              <w:top w:val="single" w:sz="8" w:color="021496"/>
            </w:tcBorders>
          </w:tcPr>
          <w:p>
            <w:pPr>
              <w:spacing w:after="0"/>
              <w:rPr>
                <w:sz w:val="13"/>
                <w:szCs w:val="13"/>
                <w:color w:val="auto"/>
              </w:rPr>
            </w:pPr>
          </w:p>
        </w:tc>
        <w:tc>
          <w:tcPr>
            <w:tcW w:w="1740" w:type="dxa"/>
            <w:vAlign w:val="bottom"/>
            <w:tcBorders>
              <w:top w:val="single" w:sz="8" w:color="021496"/>
            </w:tcBorders>
          </w:tcPr>
          <w:p>
            <w:pPr>
              <w:ind w:left="260"/>
              <w:spacing w:after="0"/>
              <w:rPr>
                <w:sz w:val="20"/>
                <w:szCs w:val="20"/>
                <w:color w:val="auto"/>
              </w:rPr>
            </w:pPr>
            <w:r>
              <w:rPr>
                <w:rFonts w:ascii="Arial" w:cs="Arial" w:eastAsia="Arial" w:hAnsi="Arial"/>
                <w:sz w:val="14"/>
                <w:szCs w:val="14"/>
                <w:b w:val="1"/>
                <w:bCs w:val="1"/>
                <w:color w:val="auto"/>
              </w:rPr>
              <w:t>Normal</w:t>
            </w:r>
          </w:p>
        </w:tc>
        <w:tc>
          <w:tcPr>
            <w:tcW w:w="1360" w:type="dxa"/>
            <w:vAlign w:val="bottom"/>
            <w:tcBorders>
              <w:top w:val="single" w:sz="8" w:color="021496"/>
            </w:tcBorders>
          </w:tcPr>
          <w:p>
            <w:pPr>
              <w:ind w:left="320"/>
              <w:spacing w:after="0"/>
              <w:rPr>
                <w:sz w:val="20"/>
                <w:szCs w:val="20"/>
                <w:color w:val="auto"/>
              </w:rPr>
            </w:pPr>
            <w:r>
              <w:rPr>
                <w:rFonts w:ascii="Arial" w:cs="Arial" w:eastAsia="Arial" w:hAnsi="Arial"/>
                <w:sz w:val="14"/>
                <w:szCs w:val="14"/>
                <w:b w:val="1"/>
                <w:bCs w:val="1"/>
                <w:color w:val="auto"/>
              </w:rPr>
              <w:t>Involuntary or</w:t>
            </w:r>
          </w:p>
        </w:tc>
        <w:tc>
          <w:tcPr>
            <w:tcW w:w="280" w:type="dxa"/>
            <w:vAlign w:val="bottom"/>
            <w:tcBorders>
              <w:top w:val="single" w:sz="8" w:color="021496"/>
            </w:tcBorders>
          </w:tcPr>
          <w:p>
            <w:pPr>
              <w:spacing w:after="0"/>
              <w:rPr>
                <w:sz w:val="13"/>
                <w:szCs w:val="13"/>
                <w:color w:val="auto"/>
              </w:rPr>
            </w:pPr>
          </w:p>
        </w:tc>
      </w:tr>
      <w:tr>
        <w:trPr>
          <w:trHeight w:val="160"/>
        </w:trPr>
        <w:tc>
          <w:tcPr>
            <w:tcW w:w="2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740" w:type="dxa"/>
            <w:vAlign w:val="bottom"/>
          </w:tcPr>
          <w:p>
            <w:pPr>
              <w:ind w:left="260"/>
              <w:spacing w:after="0"/>
              <w:rPr>
                <w:sz w:val="20"/>
                <w:szCs w:val="20"/>
                <w:color w:val="auto"/>
              </w:rPr>
            </w:pPr>
            <w:r>
              <w:rPr>
                <w:rFonts w:ascii="Arial" w:cs="Arial" w:eastAsia="Arial" w:hAnsi="Arial"/>
                <w:sz w:val="14"/>
                <w:szCs w:val="14"/>
                <w:b w:val="1"/>
                <w:bCs w:val="1"/>
                <w:color w:val="auto"/>
              </w:rPr>
              <w:t>Retirement or</w:t>
            </w:r>
          </w:p>
        </w:tc>
        <w:tc>
          <w:tcPr>
            <w:tcW w:w="1360" w:type="dxa"/>
            <w:vAlign w:val="bottom"/>
          </w:tcPr>
          <w:p>
            <w:pPr>
              <w:ind w:left="320"/>
              <w:spacing w:after="0"/>
              <w:rPr>
                <w:sz w:val="20"/>
                <w:szCs w:val="20"/>
                <w:color w:val="auto"/>
              </w:rPr>
            </w:pPr>
            <w:r>
              <w:rPr>
                <w:rFonts w:ascii="Arial" w:cs="Arial" w:eastAsia="Arial" w:hAnsi="Arial"/>
                <w:sz w:val="14"/>
                <w:szCs w:val="14"/>
                <w:b w:val="1"/>
                <w:bCs w:val="1"/>
                <w:color w:val="auto"/>
              </w:rPr>
              <w:t>Good Reason</w:t>
            </w:r>
          </w:p>
        </w:tc>
        <w:tc>
          <w:tcPr>
            <w:tcW w:w="280" w:type="dxa"/>
            <w:vAlign w:val="bottom"/>
          </w:tcPr>
          <w:p>
            <w:pPr>
              <w:spacing w:after="0"/>
              <w:rPr>
                <w:sz w:val="13"/>
                <w:szCs w:val="13"/>
                <w:color w:val="auto"/>
              </w:rPr>
            </w:pPr>
          </w:p>
        </w:tc>
      </w:tr>
      <w:tr>
        <w:trPr>
          <w:trHeight w:val="160"/>
        </w:trPr>
        <w:tc>
          <w:tcPr>
            <w:tcW w:w="2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740" w:type="dxa"/>
            <w:vAlign w:val="bottom"/>
          </w:tcPr>
          <w:p>
            <w:pPr>
              <w:ind w:left="260"/>
              <w:spacing w:after="0"/>
              <w:rPr>
                <w:sz w:val="20"/>
                <w:szCs w:val="20"/>
                <w:color w:val="auto"/>
              </w:rPr>
            </w:pPr>
            <w:r>
              <w:rPr>
                <w:rFonts w:ascii="Arial" w:cs="Arial" w:eastAsia="Arial" w:hAnsi="Arial"/>
                <w:sz w:val="14"/>
                <w:szCs w:val="14"/>
                <w:b w:val="1"/>
                <w:bCs w:val="1"/>
                <w:color w:val="auto"/>
              </w:rPr>
              <w:t>Early Retirement</w:t>
            </w:r>
          </w:p>
        </w:tc>
        <w:tc>
          <w:tcPr>
            <w:tcW w:w="1360" w:type="dxa"/>
            <w:vAlign w:val="bottom"/>
          </w:tcPr>
          <w:p>
            <w:pPr>
              <w:ind w:left="320"/>
              <w:spacing w:after="0"/>
              <w:rPr>
                <w:sz w:val="20"/>
                <w:szCs w:val="20"/>
                <w:color w:val="auto"/>
              </w:rPr>
            </w:pPr>
            <w:r>
              <w:rPr>
                <w:rFonts w:ascii="Arial" w:cs="Arial" w:eastAsia="Arial" w:hAnsi="Arial"/>
                <w:sz w:val="14"/>
                <w:szCs w:val="14"/>
                <w:b w:val="1"/>
                <w:bCs w:val="1"/>
                <w:color w:val="auto"/>
              </w:rPr>
              <w:t>Termination</w:t>
            </w:r>
          </w:p>
        </w:tc>
        <w:tc>
          <w:tcPr>
            <w:tcW w:w="280" w:type="dxa"/>
            <w:vAlign w:val="bottom"/>
          </w:tcPr>
          <w:p>
            <w:pPr>
              <w:spacing w:after="0"/>
              <w:rPr>
                <w:sz w:val="13"/>
                <w:szCs w:val="13"/>
                <w:color w:val="auto"/>
              </w:rPr>
            </w:pPr>
          </w:p>
        </w:tc>
      </w:tr>
      <w:tr>
        <w:trPr>
          <w:trHeight w:val="160"/>
        </w:trPr>
        <w:tc>
          <w:tcPr>
            <w:tcW w:w="2820" w:type="dxa"/>
            <w:vAlign w:val="bottom"/>
          </w:tcPr>
          <w:p>
            <w:pPr>
              <w:spacing w:after="0"/>
              <w:rPr>
                <w:sz w:val="13"/>
                <w:szCs w:val="13"/>
                <w:color w:val="auto"/>
              </w:rPr>
            </w:pPr>
          </w:p>
        </w:tc>
        <w:tc>
          <w:tcPr>
            <w:tcW w:w="1380" w:type="dxa"/>
            <w:vAlign w:val="bottom"/>
          </w:tcPr>
          <w:p>
            <w:pPr>
              <w:ind w:left="500"/>
              <w:spacing w:after="0"/>
              <w:rPr>
                <w:sz w:val="20"/>
                <w:szCs w:val="20"/>
                <w:color w:val="auto"/>
              </w:rPr>
            </w:pPr>
            <w:r>
              <w:rPr>
                <w:rFonts w:ascii="Arial" w:cs="Arial" w:eastAsia="Arial" w:hAnsi="Arial"/>
                <w:sz w:val="14"/>
                <w:szCs w:val="14"/>
                <w:b w:val="1"/>
                <w:bCs w:val="1"/>
                <w:color w:val="auto"/>
              </w:rPr>
              <w:t>Voluntary</w:t>
            </w:r>
          </w:p>
        </w:tc>
        <w:tc>
          <w:tcPr>
            <w:tcW w:w="2000" w:type="dxa"/>
            <w:vAlign w:val="bottom"/>
          </w:tcPr>
          <w:p>
            <w:pPr>
              <w:ind w:left="480"/>
              <w:spacing w:after="0"/>
              <w:rPr>
                <w:sz w:val="20"/>
                <w:szCs w:val="20"/>
                <w:color w:val="auto"/>
              </w:rPr>
            </w:pPr>
            <w:r>
              <w:rPr>
                <w:rFonts w:ascii="Arial" w:cs="Arial" w:eastAsia="Arial" w:hAnsi="Arial"/>
                <w:sz w:val="14"/>
                <w:szCs w:val="14"/>
                <w:b w:val="1"/>
                <w:bCs w:val="1"/>
                <w:color w:val="auto"/>
              </w:rPr>
              <w:t>Involuntary Not for</w:t>
            </w:r>
          </w:p>
        </w:tc>
        <w:tc>
          <w:tcPr>
            <w:tcW w:w="1340" w:type="dxa"/>
            <w:vAlign w:val="bottom"/>
          </w:tcPr>
          <w:p>
            <w:pPr>
              <w:ind w:left="240"/>
              <w:spacing w:after="0"/>
              <w:rPr>
                <w:sz w:val="20"/>
                <w:szCs w:val="20"/>
                <w:color w:val="auto"/>
              </w:rPr>
            </w:pPr>
            <w:r>
              <w:rPr>
                <w:rFonts w:ascii="Arial" w:cs="Arial" w:eastAsia="Arial" w:hAnsi="Arial"/>
                <w:sz w:val="14"/>
                <w:szCs w:val="14"/>
                <w:b w:val="1"/>
                <w:bCs w:val="1"/>
                <w:color w:val="auto"/>
              </w:rPr>
              <w:t>For Cause</w:t>
            </w:r>
          </w:p>
        </w:tc>
        <w:tc>
          <w:tcPr>
            <w:tcW w:w="1740" w:type="dxa"/>
            <w:vAlign w:val="bottom"/>
          </w:tcPr>
          <w:p>
            <w:pPr>
              <w:ind w:left="260"/>
              <w:spacing w:after="0"/>
              <w:rPr>
                <w:sz w:val="20"/>
                <w:szCs w:val="20"/>
                <w:color w:val="auto"/>
              </w:rPr>
            </w:pPr>
            <w:r>
              <w:rPr>
                <w:rFonts w:ascii="Arial" w:cs="Arial" w:eastAsia="Arial" w:hAnsi="Arial"/>
                <w:sz w:val="14"/>
                <w:szCs w:val="14"/>
                <w:b w:val="1"/>
                <w:bCs w:val="1"/>
                <w:color w:val="auto"/>
              </w:rPr>
              <w:t>under</w:t>
            </w:r>
          </w:p>
        </w:tc>
        <w:tc>
          <w:tcPr>
            <w:tcW w:w="1360" w:type="dxa"/>
            <w:vAlign w:val="bottom"/>
          </w:tcPr>
          <w:p>
            <w:pPr>
              <w:ind w:left="320"/>
              <w:spacing w:after="0"/>
              <w:rPr>
                <w:sz w:val="20"/>
                <w:szCs w:val="20"/>
                <w:color w:val="auto"/>
              </w:rPr>
            </w:pPr>
            <w:r>
              <w:rPr>
                <w:rFonts w:ascii="Arial" w:cs="Arial" w:eastAsia="Arial" w:hAnsi="Arial"/>
                <w:sz w:val="14"/>
                <w:szCs w:val="14"/>
                <w:b w:val="1"/>
                <w:bCs w:val="1"/>
                <w:color w:val="auto"/>
              </w:rPr>
              <w:t>following a</w:t>
            </w:r>
          </w:p>
        </w:tc>
        <w:tc>
          <w:tcPr>
            <w:tcW w:w="280" w:type="dxa"/>
            <w:vAlign w:val="bottom"/>
          </w:tcPr>
          <w:p>
            <w:pPr>
              <w:spacing w:after="0"/>
              <w:rPr>
                <w:sz w:val="13"/>
                <w:szCs w:val="13"/>
                <w:color w:val="auto"/>
              </w:rPr>
            </w:pPr>
          </w:p>
        </w:tc>
      </w:tr>
      <w:tr>
        <w:trPr>
          <w:trHeight w:val="160"/>
        </w:trPr>
        <w:tc>
          <w:tcPr>
            <w:tcW w:w="2820" w:type="dxa"/>
            <w:vAlign w:val="bottom"/>
          </w:tcPr>
          <w:p>
            <w:pPr>
              <w:spacing w:after="0"/>
              <w:rPr>
                <w:sz w:val="13"/>
                <w:szCs w:val="13"/>
                <w:color w:val="auto"/>
              </w:rPr>
            </w:pPr>
          </w:p>
        </w:tc>
        <w:tc>
          <w:tcPr>
            <w:tcW w:w="1380" w:type="dxa"/>
            <w:vAlign w:val="bottom"/>
          </w:tcPr>
          <w:p>
            <w:pPr>
              <w:ind w:left="500"/>
              <w:spacing w:after="0"/>
              <w:rPr>
                <w:sz w:val="20"/>
                <w:szCs w:val="20"/>
                <w:color w:val="auto"/>
              </w:rPr>
            </w:pPr>
            <w:r>
              <w:rPr>
                <w:rFonts w:ascii="Arial" w:cs="Arial" w:eastAsia="Arial" w:hAnsi="Arial"/>
                <w:sz w:val="14"/>
                <w:szCs w:val="14"/>
                <w:b w:val="1"/>
                <w:bCs w:val="1"/>
                <w:color w:val="auto"/>
              </w:rPr>
              <w:t>Termination</w:t>
            </w:r>
          </w:p>
        </w:tc>
        <w:tc>
          <w:tcPr>
            <w:tcW w:w="2000" w:type="dxa"/>
            <w:vAlign w:val="bottom"/>
          </w:tcPr>
          <w:p>
            <w:pPr>
              <w:ind w:left="480"/>
              <w:spacing w:after="0"/>
              <w:rPr>
                <w:sz w:val="20"/>
                <w:szCs w:val="20"/>
                <w:color w:val="auto"/>
              </w:rPr>
            </w:pPr>
            <w:r>
              <w:rPr>
                <w:rFonts w:ascii="Arial" w:cs="Arial" w:eastAsia="Arial" w:hAnsi="Arial"/>
                <w:sz w:val="14"/>
                <w:szCs w:val="14"/>
                <w:b w:val="1"/>
                <w:bCs w:val="1"/>
                <w:color w:val="auto"/>
              </w:rPr>
              <w:t>Cause Termination</w:t>
            </w:r>
          </w:p>
        </w:tc>
        <w:tc>
          <w:tcPr>
            <w:tcW w:w="1340" w:type="dxa"/>
            <w:vAlign w:val="bottom"/>
          </w:tcPr>
          <w:p>
            <w:pPr>
              <w:ind w:left="240"/>
              <w:spacing w:after="0"/>
              <w:rPr>
                <w:sz w:val="20"/>
                <w:szCs w:val="20"/>
                <w:color w:val="auto"/>
              </w:rPr>
            </w:pPr>
            <w:r>
              <w:rPr>
                <w:rFonts w:ascii="Arial" w:cs="Arial" w:eastAsia="Arial" w:hAnsi="Arial"/>
                <w:sz w:val="14"/>
                <w:szCs w:val="14"/>
                <w:b w:val="1"/>
                <w:bCs w:val="1"/>
                <w:color w:val="auto"/>
              </w:rPr>
              <w:t>Termination</w:t>
            </w:r>
          </w:p>
        </w:tc>
        <w:tc>
          <w:tcPr>
            <w:tcW w:w="1740" w:type="dxa"/>
            <w:vAlign w:val="bottom"/>
          </w:tcPr>
          <w:p>
            <w:pPr>
              <w:ind w:left="260"/>
              <w:spacing w:after="0"/>
              <w:rPr>
                <w:sz w:val="20"/>
                <w:szCs w:val="20"/>
                <w:color w:val="auto"/>
              </w:rPr>
            </w:pPr>
            <w:r>
              <w:rPr>
                <w:rFonts w:ascii="Arial" w:cs="Arial" w:eastAsia="Arial" w:hAnsi="Arial"/>
                <w:sz w:val="14"/>
                <w:szCs w:val="14"/>
                <w:b w:val="1"/>
                <w:bCs w:val="1"/>
                <w:color w:val="auto"/>
              </w:rPr>
              <w:t>Rule 65 or 70</w:t>
            </w:r>
          </w:p>
        </w:tc>
        <w:tc>
          <w:tcPr>
            <w:tcW w:w="1640" w:type="dxa"/>
            <w:vAlign w:val="bottom"/>
            <w:gridSpan w:val="2"/>
          </w:tcPr>
          <w:p>
            <w:pPr>
              <w:ind w:left="320"/>
              <w:spacing w:after="0"/>
              <w:rPr>
                <w:sz w:val="20"/>
                <w:szCs w:val="20"/>
                <w:color w:val="auto"/>
              </w:rPr>
            </w:pPr>
            <w:r>
              <w:rPr>
                <w:rFonts w:ascii="Arial" w:cs="Arial" w:eastAsia="Arial" w:hAnsi="Arial"/>
                <w:sz w:val="14"/>
                <w:szCs w:val="14"/>
                <w:b w:val="1"/>
                <w:bCs w:val="1"/>
                <w:color w:val="auto"/>
              </w:rPr>
              <w:t>Change-in-Control</w:t>
            </w:r>
          </w:p>
        </w:tc>
      </w:tr>
      <w:tr>
        <w:trPr>
          <w:trHeight w:val="174"/>
        </w:trPr>
        <w:tc>
          <w:tcPr>
            <w:tcW w:w="2820" w:type="dxa"/>
            <w:vAlign w:val="bottom"/>
            <w:tcBorders>
              <w:bottom w:val="single" w:sz="8" w:color="021496"/>
            </w:tcBorders>
          </w:tcPr>
          <w:p>
            <w:pPr>
              <w:ind w:left="1220"/>
              <w:spacing w:after="0"/>
              <w:rPr>
                <w:sz w:val="20"/>
                <w:szCs w:val="20"/>
                <w:color w:val="auto"/>
              </w:rPr>
            </w:pPr>
            <w:r>
              <w:rPr>
                <w:rFonts w:ascii="Arial" w:cs="Arial" w:eastAsia="Arial" w:hAnsi="Arial"/>
                <w:sz w:val="14"/>
                <w:szCs w:val="14"/>
                <w:b w:val="1"/>
                <w:bCs w:val="1"/>
                <w:color w:val="auto"/>
              </w:rPr>
              <w:t>Name</w:t>
            </w:r>
          </w:p>
        </w:tc>
        <w:tc>
          <w:tcPr>
            <w:tcW w:w="1380" w:type="dxa"/>
            <w:vAlign w:val="bottom"/>
            <w:tcBorders>
              <w:bottom w:val="single" w:sz="8" w:color="021496"/>
            </w:tcBorders>
          </w:tcPr>
          <w:p>
            <w:pPr>
              <w:ind w:left="500"/>
              <w:spacing w:after="0"/>
              <w:rPr>
                <w:sz w:val="20"/>
                <w:szCs w:val="20"/>
                <w:color w:val="auto"/>
              </w:rPr>
            </w:pPr>
            <w:r>
              <w:rPr>
                <w:rFonts w:ascii="Arial" w:cs="Arial" w:eastAsia="Arial" w:hAnsi="Arial"/>
                <w:sz w:val="14"/>
                <w:szCs w:val="14"/>
                <w:b w:val="1"/>
                <w:bCs w:val="1"/>
                <w:color w:val="auto"/>
              </w:rPr>
              <w:t>($) (1)</w:t>
            </w:r>
          </w:p>
        </w:tc>
        <w:tc>
          <w:tcPr>
            <w:tcW w:w="2000" w:type="dxa"/>
            <w:vAlign w:val="bottom"/>
            <w:tcBorders>
              <w:bottom w:val="single" w:sz="8" w:color="021496"/>
            </w:tcBorders>
          </w:tcPr>
          <w:p>
            <w:pPr>
              <w:ind w:left="480"/>
              <w:spacing w:after="0"/>
              <w:rPr>
                <w:sz w:val="20"/>
                <w:szCs w:val="20"/>
                <w:color w:val="auto"/>
              </w:rPr>
            </w:pPr>
            <w:r>
              <w:rPr>
                <w:rFonts w:ascii="Arial" w:cs="Arial" w:eastAsia="Arial" w:hAnsi="Arial"/>
                <w:sz w:val="14"/>
                <w:szCs w:val="14"/>
                <w:b w:val="1"/>
                <w:bCs w:val="1"/>
                <w:color w:val="auto"/>
              </w:rPr>
              <w:t>($) (2)</w:t>
            </w:r>
          </w:p>
        </w:tc>
        <w:tc>
          <w:tcPr>
            <w:tcW w:w="1340" w:type="dxa"/>
            <w:vAlign w:val="bottom"/>
            <w:tcBorders>
              <w:bottom w:val="single" w:sz="8" w:color="021496"/>
            </w:tcBorders>
          </w:tcPr>
          <w:p>
            <w:pPr>
              <w:ind w:left="240"/>
              <w:spacing w:after="0"/>
              <w:rPr>
                <w:sz w:val="20"/>
                <w:szCs w:val="20"/>
                <w:color w:val="auto"/>
              </w:rPr>
            </w:pPr>
            <w:r>
              <w:rPr>
                <w:rFonts w:ascii="Arial" w:cs="Arial" w:eastAsia="Arial" w:hAnsi="Arial"/>
                <w:sz w:val="14"/>
                <w:szCs w:val="14"/>
                <w:b w:val="1"/>
                <w:bCs w:val="1"/>
                <w:color w:val="auto"/>
              </w:rPr>
              <w:t>($) (3)</w:t>
            </w:r>
          </w:p>
        </w:tc>
        <w:tc>
          <w:tcPr>
            <w:tcW w:w="1740" w:type="dxa"/>
            <w:vAlign w:val="bottom"/>
            <w:tcBorders>
              <w:bottom w:val="single" w:sz="8" w:color="021496"/>
            </w:tcBorders>
          </w:tcPr>
          <w:p>
            <w:pPr>
              <w:ind w:left="260"/>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021496"/>
            </w:tcBorders>
          </w:tcPr>
          <w:p>
            <w:pPr>
              <w:ind w:left="32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021496"/>
            </w:tcBorders>
          </w:tcPr>
          <w:p>
            <w:pPr>
              <w:spacing w:after="0"/>
              <w:rPr>
                <w:sz w:val="15"/>
                <w:szCs w:val="15"/>
                <w:color w:val="auto"/>
              </w:rPr>
            </w:pPr>
          </w:p>
        </w:tc>
      </w:tr>
      <w:tr>
        <w:trPr>
          <w:trHeight w:val="242"/>
        </w:trPr>
        <w:tc>
          <w:tcPr>
            <w:tcW w:w="282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Richard J. Tobin</w:t>
            </w:r>
          </w:p>
        </w:tc>
        <w:tc>
          <w:tcPr>
            <w:tcW w:w="1380" w:type="dxa"/>
            <w:vAlign w:val="bottom"/>
            <w:shd w:val="clear" w:color="auto" w:fill="D8D8D8"/>
          </w:tcPr>
          <w:p>
            <w:pPr>
              <w:spacing w:after="0"/>
              <w:rPr>
                <w:sz w:val="21"/>
                <w:szCs w:val="21"/>
                <w:color w:val="auto"/>
              </w:rPr>
            </w:pPr>
          </w:p>
        </w:tc>
        <w:tc>
          <w:tcPr>
            <w:tcW w:w="2000" w:type="dxa"/>
            <w:vAlign w:val="bottom"/>
            <w:shd w:val="clear" w:color="auto" w:fill="D8D8D8"/>
          </w:tcPr>
          <w:p>
            <w:pPr>
              <w:spacing w:after="0"/>
              <w:rPr>
                <w:sz w:val="21"/>
                <w:szCs w:val="21"/>
                <w:color w:val="auto"/>
              </w:rPr>
            </w:pPr>
          </w:p>
        </w:tc>
        <w:tc>
          <w:tcPr>
            <w:tcW w:w="1340" w:type="dxa"/>
            <w:vAlign w:val="bottom"/>
            <w:shd w:val="clear" w:color="auto" w:fill="D8D8D8"/>
          </w:tcPr>
          <w:p>
            <w:pPr>
              <w:spacing w:after="0"/>
              <w:rPr>
                <w:sz w:val="21"/>
                <w:szCs w:val="21"/>
                <w:color w:val="auto"/>
              </w:rPr>
            </w:pPr>
          </w:p>
        </w:tc>
        <w:tc>
          <w:tcPr>
            <w:tcW w:w="1740" w:type="dxa"/>
            <w:vAlign w:val="bottom"/>
            <w:shd w:val="clear" w:color="auto" w:fill="D8D8D8"/>
          </w:tcPr>
          <w:p>
            <w:pPr>
              <w:spacing w:after="0"/>
              <w:rPr>
                <w:sz w:val="21"/>
                <w:szCs w:val="21"/>
                <w:color w:val="auto"/>
              </w:rPr>
            </w:pPr>
          </w:p>
        </w:tc>
        <w:tc>
          <w:tcPr>
            <w:tcW w:w="136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r>
      <w:tr>
        <w:trPr>
          <w:trHeight w:val="281"/>
        </w:trPr>
        <w:tc>
          <w:tcPr>
            <w:tcW w:w="2820" w:type="dxa"/>
            <w:vAlign w:val="bottom"/>
            <w:shd w:val="clear" w:color="auto" w:fill="D8D8D8"/>
          </w:tcPr>
          <w:p>
            <w:pPr>
              <w:spacing w:after="0"/>
              <w:rPr>
                <w:sz w:val="20"/>
                <w:szCs w:val="20"/>
                <w:color w:val="auto"/>
              </w:rPr>
            </w:pPr>
            <w:r>
              <w:rPr>
                <w:rFonts w:ascii="Arial" w:cs="Arial" w:eastAsia="Arial" w:hAnsi="Arial"/>
                <w:sz w:val="16"/>
                <w:szCs w:val="16"/>
                <w:color w:val="auto"/>
              </w:rPr>
              <w:t>Cash severance</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ind w:right="141"/>
              <w:spacing w:after="0"/>
              <w:rPr>
                <w:sz w:val="20"/>
                <w:szCs w:val="20"/>
                <w:color w:val="auto"/>
              </w:rPr>
            </w:pPr>
            <w:r>
              <w:rPr>
                <w:rFonts w:ascii="Arial" w:cs="Arial" w:eastAsia="Arial" w:hAnsi="Arial"/>
                <w:sz w:val="16"/>
                <w:szCs w:val="16"/>
                <w:color w:val="auto"/>
              </w:rPr>
              <w:t>4,631,250 (5)</w:t>
            </w:r>
          </w:p>
        </w:tc>
        <w:tc>
          <w:tcPr>
            <w:tcW w:w="134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N/A</w:t>
            </w:r>
          </w:p>
        </w:tc>
        <w:tc>
          <w:tcPr>
            <w:tcW w:w="1740" w:type="dxa"/>
            <w:vAlign w:val="bottom"/>
            <w:shd w:val="clear" w:color="auto" w:fill="D8D8D8"/>
          </w:tcPr>
          <w:p>
            <w:pPr>
              <w:jc w:val="right"/>
              <w:ind w:right="262"/>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6,175,000</w:t>
            </w:r>
          </w:p>
        </w:tc>
        <w:tc>
          <w:tcPr>
            <w:tcW w:w="2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(6)</w:t>
            </w:r>
          </w:p>
        </w:tc>
      </w:tr>
      <w:tr>
        <w:trPr>
          <w:trHeight w:val="281"/>
        </w:trPr>
        <w:tc>
          <w:tcPr>
            <w:tcW w:w="2820" w:type="dxa"/>
            <w:vAlign w:val="bottom"/>
            <w:shd w:val="clear" w:color="auto" w:fill="D8D8D8"/>
          </w:tcPr>
          <w:p>
            <w:pPr>
              <w:spacing w:after="0"/>
              <w:rPr>
                <w:sz w:val="20"/>
                <w:szCs w:val="20"/>
                <w:color w:val="auto"/>
              </w:rPr>
            </w:pPr>
            <w:r>
              <w:rPr>
                <w:rFonts w:ascii="Arial" w:cs="Arial" w:eastAsia="Arial" w:hAnsi="Arial"/>
                <w:sz w:val="16"/>
                <w:szCs w:val="16"/>
                <w:color w:val="auto"/>
              </w:rPr>
              <w:t>Performance share award</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00" w:type="dxa"/>
            <w:vAlign w:val="bottom"/>
            <w:shd w:val="clear" w:color="auto" w:fill="D8D8D8"/>
          </w:tcPr>
          <w:p>
            <w:pPr>
              <w:jc w:val="right"/>
              <w:ind w:right="141"/>
              <w:spacing w:after="0"/>
              <w:rPr>
                <w:sz w:val="20"/>
                <w:szCs w:val="20"/>
                <w:color w:val="auto"/>
              </w:rPr>
            </w:pPr>
            <w:r>
              <w:rPr>
                <w:rFonts w:ascii="Arial" w:cs="Arial" w:eastAsia="Arial" w:hAnsi="Arial"/>
                <w:sz w:val="16"/>
                <w:szCs w:val="16"/>
                <w:color w:val="auto"/>
              </w:rPr>
              <w:t>0</w:t>
            </w:r>
          </w:p>
        </w:tc>
        <w:tc>
          <w:tcPr>
            <w:tcW w:w="134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jc w:val="right"/>
              <w:ind w:right="262"/>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9,879,222</w:t>
            </w:r>
          </w:p>
        </w:tc>
        <w:tc>
          <w:tcPr>
            <w:tcW w:w="2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w:t>
            </w:r>
          </w:p>
        </w:tc>
      </w:tr>
      <w:tr>
        <w:trPr>
          <w:trHeight w:val="281"/>
        </w:trPr>
        <w:tc>
          <w:tcPr>
            <w:tcW w:w="2820" w:type="dxa"/>
            <w:vAlign w:val="bottom"/>
            <w:shd w:val="clear" w:color="auto" w:fill="D8D8D8"/>
          </w:tcPr>
          <w:p>
            <w:pPr>
              <w:spacing w:after="0"/>
              <w:rPr>
                <w:sz w:val="20"/>
                <w:szCs w:val="20"/>
                <w:color w:val="auto"/>
              </w:rPr>
            </w:pPr>
            <w:r>
              <w:rPr>
                <w:rFonts w:ascii="Arial" w:cs="Arial" w:eastAsia="Arial" w:hAnsi="Arial"/>
                <w:sz w:val="16"/>
                <w:szCs w:val="16"/>
                <w:color w:val="auto"/>
              </w:rPr>
              <w:t>Stock options/SSARs</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00" w:type="dxa"/>
            <w:vAlign w:val="bottom"/>
            <w:shd w:val="clear" w:color="auto" w:fill="D8D8D8"/>
          </w:tcPr>
          <w:p>
            <w:pPr>
              <w:jc w:val="right"/>
              <w:ind w:right="141"/>
              <w:spacing w:after="0"/>
              <w:rPr>
                <w:sz w:val="20"/>
                <w:szCs w:val="20"/>
                <w:color w:val="auto"/>
              </w:rPr>
            </w:pPr>
            <w:r>
              <w:rPr>
                <w:rFonts w:ascii="Arial" w:cs="Arial" w:eastAsia="Arial" w:hAnsi="Arial"/>
                <w:sz w:val="16"/>
                <w:szCs w:val="16"/>
                <w:color w:val="auto"/>
              </w:rPr>
              <w:t>0</w:t>
            </w:r>
          </w:p>
        </w:tc>
        <w:tc>
          <w:tcPr>
            <w:tcW w:w="134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jc w:val="right"/>
              <w:ind w:right="262"/>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31,226,926</w:t>
            </w:r>
          </w:p>
        </w:tc>
        <w:tc>
          <w:tcPr>
            <w:tcW w:w="2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(9)</w:t>
            </w:r>
          </w:p>
        </w:tc>
      </w:tr>
      <w:tr>
        <w:trPr>
          <w:trHeight w:val="281"/>
        </w:trPr>
        <w:tc>
          <w:tcPr>
            <w:tcW w:w="2820" w:type="dxa"/>
            <w:vAlign w:val="bottom"/>
            <w:shd w:val="clear" w:color="auto" w:fill="D8D8D8"/>
          </w:tcPr>
          <w:p>
            <w:pPr>
              <w:spacing w:after="0"/>
              <w:rPr>
                <w:sz w:val="20"/>
                <w:szCs w:val="20"/>
                <w:color w:val="auto"/>
              </w:rPr>
            </w:pPr>
            <w:r>
              <w:rPr>
                <w:rFonts w:ascii="Arial" w:cs="Arial" w:eastAsia="Arial" w:hAnsi="Arial"/>
                <w:sz w:val="16"/>
                <w:szCs w:val="16"/>
                <w:color w:val="auto"/>
              </w:rPr>
              <w:t>Restricted Stock Units</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00" w:type="dxa"/>
            <w:vAlign w:val="bottom"/>
            <w:shd w:val="clear" w:color="auto" w:fill="D8D8D8"/>
          </w:tcPr>
          <w:p>
            <w:pPr>
              <w:jc w:val="right"/>
              <w:ind w:right="141"/>
              <w:spacing w:after="0"/>
              <w:rPr>
                <w:sz w:val="20"/>
                <w:szCs w:val="20"/>
                <w:color w:val="auto"/>
              </w:rPr>
            </w:pPr>
            <w:r>
              <w:rPr>
                <w:rFonts w:ascii="Arial" w:cs="Arial" w:eastAsia="Arial" w:hAnsi="Arial"/>
                <w:sz w:val="16"/>
                <w:szCs w:val="16"/>
                <w:color w:val="auto"/>
              </w:rPr>
              <w:t>5,978,817 (10)</w:t>
            </w:r>
          </w:p>
        </w:tc>
        <w:tc>
          <w:tcPr>
            <w:tcW w:w="134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jc w:val="right"/>
              <w:ind w:right="262"/>
              <w:spacing w:after="0"/>
              <w:rPr>
                <w:sz w:val="20"/>
                <w:szCs w:val="20"/>
                <w:color w:val="auto"/>
              </w:rPr>
            </w:pPr>
            <w:r>
              <w:rPr>
                <w:rFonts w:ascii="Arial" w:cs="Arial" w:eastAsia="Arial" w:hAnsi="Arial"/>
                <w:sz w:val="16"/>
                <w:szCs w:val="16"/>
                <w:color w:val="auto"/>
              </w:rPr>
              <w:t>N/A</w:t>
            </w:r>
          </w:p>
        </w:tc>
        <w:tc>
          <w:tcPr>
            <w:tcW w:w="164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11,039,827 (11)</w:t>
            </w:r>
          </w:p>
        </w:tc>
      </w:tr>
      <w:tr>
        <w:trPr>
          <w:trHeight w:val="281"/>
        </w:trPr>
        <w:tc>
          <w:tcPr>
            <w:tcW w:w="2820" w:type="dxa"/>
            <w:vAlign w:val="bottom"/>
            <w:shd w:val="clear" w:color="auto" w:fill="D8D8D8"/>
          </w:tcPr>
          <w:p>
            <w:pPr>
              <w:spacing w:after="0"/>
              <w:rPr>
                <w:sz w:val="20"/>
                <w:szCs w:val="20"/>
                <w:color w:val="auto"/>
              </w:rPr>
            </w:pPr>
            <w:r>
              <w:rPr>
                <w:rFonts w:ascii="Arial" w:cs="Arial" w:eastAsia="Arial" w:hAnsi="Arial"/>
                <w:sz w:val="16"/>
                <w:szCs w:val="16"/>
                <w:color w:val="auto"/>
              </w:rPr>
              <w:t>Health and welfare benefits</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00" w:type="dxa"/>
            <w:vAlign w:val="bottom"/>
            <w:shd w:val="clear" w:color="auto" w:fill="D8D8D8"/>
          </w:tcPr>
          <w:p>
            <w:pPr>
              <w:jc w:val="right"/>
              <w:ind w:right="141"/>
              <w:spacing w:after="0"/>
              <w:rPr>
                <w:sz w:val="20"/>
                <w:szCs w:val="20"/>
                <w:color w:val="auto"/>
              </w:rPr>
            </w:pPr>
            <w:r>
              <w:rPr>
                <w:rFonts w:ascii="Arial" w:cs="Arial" w:eastAsia="Arial" w:hAnsi="Arial"/>
                <w:sz w:val="16"/>
                <w:szCs w:val="16"/>
                <w:color w:val="auto"/>
              </w:rPr>
              <w:t>40,613 (12)</w:t>
            </w:r>
          </w:p>
        </w:tc>
        <w:tc>
          <w:tcPr>
            <w:tcW w:w="134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jc w:val="right"/>
              <w:ind w:right="262"/>
              <w:spacing w:after="0"/>
              <w:rPr>
                <w:sz w:val="20"/>
                <w:szCs w:val="20"/>
                <w:color w:val="auto"/>
              </w:rPr>
            </w:pPr>
            <w:r>
              <w:rPr>
                <w:rFonts w:ascii="Arial" w:cs="Arial" w:eastAsia="Arial" w:hAnsi="Arial"/>
                <w:sz w:val="16"/>
                <w:szCs w:val="16"/>
                <w:color w:val="auto"/>
              </w:rPr>
              <w:t>N/A</w:t>
            </w:r>
          </w:p>
        </w:tc>
        <w:tc>
          <w:tcPr>
            <w:tcW w:w="164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54,150 (12)</w:t>
            </w:r>
          </w:p>
        </w:tc>
      </w:tr>
      <w:tr>
        <w:trPr>
          <w:trHeight w:val="281"/>
        </w:trPr>
        <w:tc>
          <w:tcPr>
            <w:tcW w:w="2820" w:type="dxa"/>
            <w:vAlign w:val="bottom"/>
            <w:shd w:val="clear" w:color="auto" w:fill="D8D8D8"/>
          </w:tcPr>
          <w:p>
            <w:pPr>
              <w:spacing w:after="0"/>
              <w:rPr>
                <w:sz w:val="20"/>
                <w:szCs w:val="20"/>
                <w:color w:val="auto"/>
              </w:rPr>
            </w:pPr>
            <w:r>
              <w:rPr>
                <w:rFonts w:ascii="Arial" w:cs="Arial" w:eastAsia="Arial" w:hAnsi="Arial"/>
                <w:sz w:val="16"/>
                <w:szCs w:val="16"/>
                <w:color w:val="auto"/>
              </w:rPr>
              <w:t>Outplacement</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ind w:right="141"/>
              <w:spacing w:after="0"/>
              <w:rPr>
                <w:sz w:val="20"/>
                <w:szCs w:val="20"/>
                <w:color w:val="auto"/>
              </w:rPr>
            </w:pPr>
            <w:r>
              <w:rPr>
                <w:rFonts w:ascii="Arial" w:cs="Arial" w:eastAsia="Arial" w:hAnsi="Arial"/>
                <w:sz w:val="16"/>
                <w:szCs w:val="16"/>
                <w:color w:val="auto"/>
              </w:rPr>
              <w:t>25,000</w:t>
            </w:r>
          </w:p>
        </w:tc>
        <w:tc>
          <w:tcPr>
            <w:tcW w:w="134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N/A</w:t>
            </w:r>
          </w:p>
        </w:tc>
        <w:tc>
          <w:tcPr>
            <w:tcW w:w="1740" w:type="dxa"/>
            <w:vAlign w:val="bottom"/>
            <w:shd w:val="clear" w:color="auto" w:fill="D8D8D8"/>
          </w:tcPr>
          <w:p>
            <w:pPr>
              <w:jc w:val="right"/>
              <w:ind w:right="262"/>
              <w:spacing w:after="0"/>
              <w:rPr>
                <w:sz w:val="20"/>
                <w:szCs w:val="20"/>
                <w:color w:val="auto"/>
              </w:rPr>
            </w:pPr>
            <w:r>
              <w:rPr>
                <w:rFonts w:ascii="Arial" w:cs="Arial" w:eastAsia="Arial" w:hAnsi="Arial"/>
                <w:sz w:val="16"/>
                <w:szCs w:val="16"/>
                <w:color w:val="auto"/>
              </w:rPr>
              <w:t>N/A</w:t>
            </w:r>
          </w:p>
        </w:tc>
        <w:tc>
          <w:tcPr>
            <w:tcW w:w="164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25,000</w:t>
            </w:r>
          </w:p>
        </w:tc>
      </w:tr>
      <w:tr>
        <w:trPr>
          <w:trHeight w:val="300"/>
        </w:trPr>
        <w:tc>
          <w:tcPr>
            <w:tcW w:w="2820" w:type="dxa"/>
            <w:vAlign w:val="bottom"/>
            <w:shd w:val="clear" w:color="auto" w:fill="D8D8D8"/>
          </w:tcPr>
          <w:p>
            <w:pPr>
              <w:spacing w:after="0"/>
              <w:rPr>
                <w:sz w:val="20"/>
                <w:szCs w:val="20"/>
                <w:color w:val="auto"/>
              </w:rPr>
            </w:pPr>
            <w:r>
              <w:rPr>
                <w:rFonts w:ascii="Arial" w:cs="Arial" w:eastAsia="Arial" w:hAnsi="Arial"/>
                <w:sz w:val="16"/>
                <w:szCs w:val="16"/>
                <w:b w:val="1"/>
                <w:bCs w:val="1"/>
                <w:i w:val="1"/>
                <w:iCs w:val="1"/>
                <w:color w:val="auto"/>
              </w:rPr>
              <w:t>Total:</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00" w:type="dxa"/>
            <w:vAlign w:val="bottom"/>
            <w:shd w:val="clear" w:color="auto" w:fill="D8D8D8"/>
          </w:tcPr>
          <w:p>
            <w:pPr>
              <w:jc w:val="right"/>
              <w:ind w:right="141"/>
              <w:spacing w:after="0"/>
              <w:rPr>
                <w:sz w:val="20"/>
                <w:szCs w:val="20"/>
                <w:color w:val="auto"/>
              </w:rPr>
            </w:pPr>
            <w:r>
              <w:rPr>
                <w:rFonts w:ascii="Arial" w:cs="Arial" w:eastAsia="Arial" w:hAnsi="Arial"/>
                <w:sz w:val="16"/>
                <w:szCs w:val="16"/>
                <w:color w:val="auto"/>
              </w:rPr>
              <w:t>10,675,679</w:t>
            </w:r>
          </w:p>
        </w:tc>
        <w:tc>
          <w:tcPr>
            <w:tcW w:w="134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jc w:val="right"/>
              <w:ind w:right="262"/>
              <w:spacing w:after="0"/>
              <w:rPr>
                <w:sz w:val="20"/>
                <w:szCs w:val="20"/>
                <w:color w:val="auto"/>
              </w:rPr>
            </w:pPr>
            <w:r>
              <w:rPr>
                <w:rFonts w:ascii="Arial" w:cs="Arial" w:eastAsia="Arial" w:hAnsi="Arial"/>
                <w:sz w:val="16"/>
                <w:szCs w:val="16"/>
                <w:color w:val="auto"/>
              </w:rPr>
              <w:t>N/A</w:t>
            </w:r>
          </w:p>
        </w:tc>
        <w:tc>
          <w:tcPr>
            <w:tcW w:w="164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58,400,125</w:t>
            </w:r>
          </w:p>
        </w:tc>
      </w:tr>
      <w:tr>
        <w:trPr>
          <w:trHeight w:val="274"/>
        </w:trPr>
        <w:tc>
          <w:tcPr>
            <w:tcW w:w="2820" w:type="dxa"/>
            <w:vAlign w:val="bottom"/>
          </w:tcPr>
          <w:p>
            <w:pPr>
              <w:spacing w:after="0"/>
              <w:rPr>
                <w:sz w:val="20"/>
                <w:szCs w:val="20"/>
                <w:color w:val="auto"/>
              </w:rPr>
            </w:pPr>
            <w:r>
              <w:rPr>
                <w:rFonts w:ascii="Arial" w:cs="Arial" w:eastAsia="Arial" w:hAnsi="Arial"/>
                <w:sz w:val="16"/>
                <w:szCs w:val="16"/>
                <w:b w:val="1"/>
                <w:bCs w:val="1"/>
                <w:color w:val="auto"/>
              </w:rPr>
              <w:t>Brad M. Cerepak</w:t>
            </w:r>
          </w:p>
        </w:tc>
        <w:tc>
          <w:tcPr>
            <w:tcW w:w="1380" w:type="dxa"/>
            <w:vAlign w:val="bottom"/>
            <w:tcBorders>
              <w:bottom w:val="single" w:sz="8" w:color="999999"/>
            </w:tcBorders>
          </w:tcPr>
          <w:p>
            <w:pPr>
              <w:spacing w:after="0"/>
              <w:rPr>
                <w:sz w:val="23"/>
                <w:szCs w:val="23"/>
                <w:color w:val="auto"/>
              </w:rPr>
            </w:pPr>
          </w:p>
        </w:tc>
        <w:tc>
          <w:tcPr>
            <w:tcW w:w="2000" w:type="dxa"/>
            <w:vAlign w:val="bottom"/>
            <w:tcBorders>
              <w:bottom w:val="single" w:sz="8" w:color="999999"/>
            </w:tcBorders>
          </w:tcPr>
          <w:p>
            <w:pPr>
              <w:spacing w:after="0"/>
              <w:rPr>
                <w:sz w:val="23"/>
                <w:szCs w:val="23"/>
                <w:color w:val="auto"/>
              </w:rPr>
            </w:pPr>
          </w:p>
        </w:tc>
        <w:tc>
          <w:tcPr>
            <w:tcW w:w="1340" w:type="dxa"/>
            <w:vAlign w:val="bottom"/>
            <w:tcBorders>
              <w:bottom w:val="single" w:sz="8" w:color="999999"/>
            </w:tcBorders>
          </w:tcPr>
          <w:p>
            <w:pPr>
              <w:spacing w:after="0"/>
              <w:rPr>
                <w:sz w:val="23"/>
                <w:szCs w:val="23"/>
                <w:color w:val="auto"/>
              </w:rPr>
            </w:pPr>
          </w:p>
        </w:tc>
        <w:tc>
          <w:tcPr>
            <w:tcW w:w="1740" w:type="dxa"/>
            <w:vAlign w:val="bottom"/>
            <w:tcBorders>
              <w:bottom w:val="single" w:sz="8" w:color="999999"/>
            </w:tcBorders>
          </w:tcPr>
          <w:p>
            <w:pPr>
              <w:spacing w:after="0"/>
              <w:rPr>
                <w:sz w:val="23"/>
                <w:szCs w:val="23"/>
                <w:color w:val="auto"/>
              </w:rPr>
            </w:pPr>
          </w:p>
        </w:tc>
        <w:tc>
          <w:tcPr>
            <w:tcW w:w="1360" w:type="dxa"/>
            <w:vAlign w:val="bottom"/>
            <w:tcBorders>
              <w:bottom w:val="single" w:sz="8" w:color="999999"/>
            </w:tcBorders>
          </w:tcPr>
          <w:p>
            <w:pPr>
              <w:spacing w:after="0"/>
              <w:rPr>
                <w:sz w:val="23"/>
                <w:szCs w:val="23"/>
                <w:color w:val="auto"/>
              </w:rPr>
            </w:pPr>
          </w:p>
        </w:tc>
        <w:tc>
          <w:tcPr>
            <w:tcW w:w="280" w:type="dxa"/>
            <w:vAlign w:val="bottom"/>
            <w:tcBorders>
              <w:bottom w:val="single" w:sz="8" w:color="999999"/>
            </w:tcBorders>
          </w:tcPr>
          <w:p>
            <w:pPr>
              <w:spacing w:after="0"/>
              <w:rPr>
                <w:sz w:val="23"/>
                <w:szCs w:val="23"/>
                <w:color w:val="auto"/>
              </w:rPr>
            </w:pPr>
          </w:p>
        </w:tc>
      </w:tr>
      <w:tr>
        <w:trPr>
          <w:trHeight w:val="261"/>
        </w:trPr>
        <w:tc>
          <w:tcPr>
            <w:tcW w:w="2820" w:type="dxa"/>
            <w:vAlign w:val="bottom"/>
          </w:tcPr>
          <w:p>
            <w:pPr>
              <w:spacing w:after="0"/>
              <w:rPr>
                <w:sz w:val="20"/>
                <w:szCs w:val="20"/>
                <w:color w:val="auto"/>
              </w:rPr>
            </w:pPr>
            <w:r>
              <w:rPr>
                <w:rFonts w:ascii="Arial" w:cs="Arial" w:eastAsia="Arial" w:hAnsi="Arial"/>
                <w:sz w:val="16"/>
                <w:szCs w:val="16"/>
                <w:color w:val="auto"/>
              </w:rPr>
              <w:t>Cash severance</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000" w:type="dxa"/>
            <w:vAlign w:val="bottom"/>
            <w:tcBorders>
              <w:bottom w:val="single" w:sz="8" w:color="999999"/>
            </w:tcBorders>
          </w:tcPr>
          <w:p>
            <w:pPr>
              <w:jc w:val="right"/>
              <w:ind w:right="141"/>
              <w:spacing w:after="0"/>
              <w:rPr>
                <w:sz w:val="20"/>
                <w:szCs w:val="20"/>
                <w:color w:val="auto"/>
              </w:rPr>
            </w:pPr>
            <w:r>
              <w:rPr>
                <w:rFonts w:ascii="Arial" w:cs="Arial" w:eastAsia="Arial" w:hAnsi="Arial"/>
                <w:sz w:val="16"/>
                <w:szCs w:val="16"/>
                <w:color w:val="auto"/>
              </w:rPr>
              <w:t>1,462,000 (5)</w:t>
            </w:r>
          </w:p>
        </w:tc>
        <w:tc>
          <w:tcPr>
            <w:tcW w:w="134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N/A</w:t>
            </w:r>
          </w:p>
        </w:tc>
        <w:tc>
          <w:tcPr>
            <w:tcW w:w="1740" w:type="dxa"/>
            <w:vAlign w:val="bottom"/>
            <w:tcBorders>
              <w:bottom w:val="single" w:sz="8" w:color="999999"/>
            </w:tcBorders>
          </w:tcPr>
          <w:p>
            <w:pPr>
              <w:jc w:val="right"/>
              <w:ind w:right="262"/>
              <w:spacing w:after="0"/>
              <w:rPr>
                <w:sz w:val="20"/>
                <w:szCs w:val="20"/>
                <w:color w:val="auto"/>
              </w:rPr>
            </w:pPr>
            <w:r>
              <w:rPr>
                <w:rFonts w:ascii="Arial" w:cs="Arial" w:eastAsia="Arial" w:hAnsi="Arial"/>
                <w:sz w:val="16"/>
                <w:szCs w:val="16"/>
                <w:color w:val="auto"/>
              </w:rPr>
              <w:t>N/A</w:t>
            </w:r>
          </w:p>
        </w:tc>
        <w:tc>
          <w:tcPr>
            <w:tcW w:w="13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2,924,000</w:t>
            </w:r>
          </w:p>
        </w:tc>
        <w:tc>
          <w:tcPr>
            <w:tcW w:w="2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(6)</w:t>
            </w:r>
          </w:p>
        </w:tc>
      </w:tr>
      <w:tr>
        <w:trPr>
          <w:trHeight w:val="261"/>
        </w:trPr>
        <w:tc>
          <w:tcPr>
            <w:tcW w:w="2820" w:type="dxa"/>
            <w:vAlign w:val="bottom"/>
          </w:tcPr>
          <w:p>
            <w:pPr>
              <w:spacing w:after="0"/>
              <w:rPr>
                <w:sz w:val="20"/>
                <w:szCs w:val="20"/>
                <w:color w:val="auto"/>
              </w:rPr>
            </w:pPr>
            <w:r>
              <w:rPr>
                <w:rFonts w:ascii="Arial" w:cs="Arial" w:eastAsia="Arial" w:hAnsi="Arial"/>
                <w:sz w:val="16"/>
                <w:szCs w:val="16"/>
                <w:color w:val="auto"/>
              </w:rPr>
              <w:t>Performance share award</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000" w:type="dxa"/>
            <w:vAlign w:val="bottom"/>
            <w:tcBorders>
              <w:bottom w:val="single" w:sz="8" w:color="999999"/>
            </w:tcBorders>
          </w:tcPr>
          <w:p>
            <w:pPr>
              <w:jc w:val="right"/>
              <w:ind w:right="141"/>
              <w:spacing w:after="0"/>
              <w:rPr>
                <w:sz w:val="20"/>
                <w:szCs w:val="20"/>
                <w:color w:val="auto"/>
              </w:rPr>
            </w:pPr>
            <w:r>
              <w:rPr>
                <w:rFonts w:ascii="Arial" w:cs="Arial" w:eastAsia="Arial" w:hAnsi="Arial"/>
                <w:sz w:val="16"/>
                <w:szCs w:val="16"/>
                <w:color w:val="auto"/>
              </w:rPr>
              <w:t>1,211,998 (7)</w:t>
            </w:r>
          </w:p>
        </w:tc>
        <w:tc>
          <w:tcPr>
            <w:tcW w:w="134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999999"/>
            </w:tcBorders>
          </w:tcPr>
          <w:p>
            <w:pPr>
              <w:jc w:val="right"/>
              <w:ind w:right="262"/>
              <w:spacing w:after="0"/>
              <w:rPr>
                <w:sz w:val="20"/>
                <w:szCs w:val="20"/>
                <w:color w:val="auto"/>
              </w:rPr>
            </w:pPr>
            <w:r>
              <w:rPr>
                <w:rFonts w:ascii="Arial" w:cs="Arial" w:eastAsia="Arial" w:hAnsi="Arial"/>
                <w:sz w:val="16"/>
                <w:szCs w:val="16"/>
                <w:color w:val="auto"/>
              </w:rPr>
              <w:t>1,211,998 (7)</w:t>
            </w:r>
          </w:p>
        </w:tc>
        <w:tc>
          <w:tcPr>
            <w:tcW w:w="13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2,469,760</w:t>
            </w:r>
          </w:p>
        </w:tc>
        <w:tc>
          <w:tcPr>
            <w:tcW w:w="2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(8)</w:t>
            </w:r>
          </w:p>
        </w:tc>
      </w:tr>
      <w:tr>
        <w:trPr>
          <w:trHeight w:val="261"/>
        </w:trPr>
        <w:tc>
          <w:tcPr>
            <w:tcW w:w="2820" w:type="dxa"/>
            <w:vAlign w:val="bottom"/>
          </w:tcPr>
          <w:p>
            <w:pPr>
              <w:spacing w:after="0"/>
              <w:rPr>
                <w:sz w:val="20"/>
                <w:szCs w:val="20"/>
                <w:color w:val="auto"/>
              </w:rPr>
            </w:pPr>
            <w:r>
              <w:rPr>
                <w:rFonts w:ascii="Arial" w:cs="Arial" w:eastAsia="Arial" w:hAnsi="Arial"/>
                <w:sz w:val="16"/>
                <w:szCs w:val="16"/>
                <w:color w:val="auto"/>
              </w:rPr>
              <w:t>Stock options/SSARs</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000" w:type="dxa"/>
            <w:vAlign w:val="bottom"/>
            <w:tcBorders>
              <w:bottom w:val="single" w:sz="8" w:color="999999"/>
            </w:tcBorders>
          </w:tcPr>
          <w:p>
            <w:pPr>
              <w:jc w:val="right"/>
              <w:ind w:right="141"/>
              <w:spacing w:after="0"/>
              <w:rPr>
                <w:sz w:val="20"/>
                <w:szCs w:val="20"/>
                <w:color w:val="auto"/>
              </w:rPr>
            </w:pPr>
            <w:r>
              <w:rPr>
                <w:rFonts w:ascii="Arial" w:cs="Arial" w:eastAsia="Arial" w:hAnsi="Arial"/>
                <w:sz w:val="16"/>
                <w:szCs w:val="16"/>
                <w:color w:val="auto"/>
              </w:rPr>
              <w:t>8,401,466 (4)</w:t>
            </w:r>
          </w:p>
        </w:tc>
        <w:tc>
          <w:tcPr>
            <w:tcW w:w="134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999999"/>
            </w:tcBorders>
          </w:tcPr>
          <w:p>
            <w:pPr>
              <w:jc w:val="right"/>
              <w:ind w:right="262"/>
              <w:spacing w:after="0"/>
              <w:rPr>
                <w:sz w:val="20"/>
                <w:szCs w:val="20"/>
                <w:color w:val="auto"/>
              </w:rPr>
            </w:pPr>
            <w:r>
              <w:rPr>
                <w:rFonts w:ascii="Arial" w:cs="Arial" w:eastAsia="Arial" w:hAnsi="Arial"/>
                <w:sz w:val="16"/>
                <w:szCs w:val="16"/>
                <w:color w:val="auto"/>
              </w:rPr>
              <w:t>8,401,466 (4)</w:t>
            </w:r>
          </w:p>
        </w:tc>
        <w:tc>
          <w:tcPr>
            <w:tcW w:w="13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8,401,466</w:t>
            </w:r>
          </w:p>
        </w:tc>
        <w:tc>
          <w:tcPr>
            <w:tcW w:w="2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(9)</w:t>
            </w:r>
          </w:p>
        </w:tc>
      </w:tr>
      <w:tr>
        <w:trPr>
          <w:trHeight w:val="261"/>
        </w:trPr>
        <w:tc>
          <w:tcPr>
            <w:tcW w:w="282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000" w:type="dxa"/>
            <w:vAlign w:val="bottom"/>
            <w:tcBorders>
              <w:bottom w:val="single" w:sz="8" w:color="999999"/>
            </w:tcBorders>
          </w:tcPr>
          <w:p>
            <w:pPr>
              <w:jc w:val="right"/>
              <w:ind w:right="141"/>
              <w:spacing w:after="0"/>
              <w:rPr>
                <w:sz w:val="20"/>
                <w:szCs w:val="20"/>
                <w:color w:val="auto"/>
              </w:rPr>
            </w:pPr>
            <w:r>
              <w:rPr>
                <w:rFonts w:ascii="Arial" w:cs="Arial" w:eastAsia="Arial" w:hAnsi="Arial"/>
                <w:sz w:val="16"/>
                <w:szCs w:val="16"/>
                <w:color w:val="auto"/>
              </w:rPr>
              <w:t>1,298,440 (10)</w:t>
            </w:r>
          </w:p>
        </w:tc>
        <w:tc>
          <w:tcPr>
            <w:tcW w:w="134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999999"/>
            </w:tcBorders>
          </w:tcPr>
          <w:p>
            <w:pPr>
              <w:jc w:val="right"/>
              <w:ind w:right="262"/>
              <w:spacing w:after="0"/>
              <w:rPr>
                <w:sz w:val="20"/>
                <w:szCs w:val="20"/>
                <w:color w:val="auto"/>
              </w:rPr>
            </w:pPr>
            <w:r>
              <w:rPr>
                <w:rFonts w:ascii="Arial" w:cs="Arial" w:eastAsia="Arial" w:hAnsi="Arial"/>
                <w:sz w:val="16"/>
                <w:szCs w:val="16"/>
                <w:color w:val="auto"/>
              </w:rPr>
              <w:t>1,298,440 (10)</w:t>
            </w:r>
          </w:p>
        </w:tc>
        <w:tc>
          <w:tcPr>
            <w:tcW w:w="1640" w:type="dxa"/>
            <w:vAlign w:val="bottom"/>
            <w:tcBorders>
              <w:bottom w:val="single" w:sz="8" w:color="999999"/>
            </w:tcBorders>
            <w:gridSpan w:val="2"/>
          </w:tcPr>
          <w:p>
            <w:pPr>
              <w:jc w:val="right"/>
              <w:spacing w:after="0"/>
              <w:rPr>
                <w:sz w:val="20"/>
                <w:szCs w:val="20"/>
                <w:color w:val="auto"/>
              </w:rPr>
            </w:pPr>
            <w:r>
              <w:rPr>
                <w:rFonts w:ascii="Arial" w:cs="Arial" w:eastAsia="Arial" w:hAnsi="Arial"/>
                <w:sz w:val="16"/>
                <w:szCs w:val="16"/>
                <w:color w:val="auto"/>
              </w:rPr>
              <w:t>1,298,440 (11)</w:t>
            </w:r>
          </w:p>
        </w:tc>
      </w:tr>
      <w:tr>
        <w:trPr>
          <w:trHeight w:val="261"/>
        </w:trPr>
        <w:tc>
          <w:tcPr>
            <w:tcW w:w="2820" w:type="dxa"/>
            <w:vAlign w:val="bottom"/>
          </w:tcPr>
          <w:p>
            <w:pPr>
              <w:spacing w:after="0"/>
              <w:rPr>
                <w:sz w:val="20"/>
                <w:szCs w:val="20"/>
                <w:color w:val="auto"/>
              </w:rPr>
            </w:pPr>
            <w:r>
              <w:rPr>
                <w:rFonts w:ascii="Arial" w:cs="Arial" w:eastAsia="Arial" w:hAnsi="Arial"/>
                <w:sz w:val="16"/>
                <w:szCs w:val="16"/>
                <w:color w:val="auto"/>
              </w:rPr>
              <w:t>Health and welfare benefits</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000" w:type="dxa"/>
            <w:vAlign w:val="bottom"/>
            <w:tcBorders>
              <w:bottom w:val="single" w:sz="8" w:color="999999"/>
            </w:tcBorders>
          </w:tcPr>
          <w:p>
            <w:pPr>
              <w:jc w:val="right"/>
              <w:ind w:right="141"/>
              <w:spacing w:after="0"/>
              <w:rPr>
                <w:sz w:val="20"/>
                <w:szCs w:val="20"/>
                <w:color w:val="auto"/>
              </w:rPr>
            </w:pPr>
            <w:r>
              <w:rPr>
                <w:rFonts w:ascii="Arial" w:cs="Arial" w:eastAsia="Arial" w:hAnsi="Arial"/>
                <w:sz w:val="16"/>
                <w:szCs w:val="16"/>
                <w:color w:val="auto"/>
              </w:rPr>
              <w:t>27,075 (12)</w:t>
            </w:r>
          </w:p>
        </w:tc>
        <w:tc>
          <w:tcPr>
            <w:tcW w:w="134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999999"/>
            </w:tcBorders>
          </w:tcPr>
          <w:p>
            <w:pPr>
              <w:jc w:val="right"/>
              <w:ind w:right="262"/>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999999"/>
            </w:tcBorders>
            <w:gridSpan w:val="2"/>
          </w:tcPr>
          <w:p>
            <w:pPr>
              <w:jc w:val="right"/>
              <w:spacing w:after="0"/>
              <w:rPr>
                <w:sz w:val="20"/>
                <w:szCs w:val="20"/>
                <w:color w:val="auto"/>
              </w:rPr>
            </w:pPr>
            <w:r>
              <w:rPr>
                <w:rFonts w:ascii="Arial" w:cs="Arial" w:eastAsia="Arial" w:hAnsi="Arial"/>
                <w:sz w:val="16"/>
                <w:szCs w:val="16"/>
                <w:color w:val="auto"/>
              </w:rPr>
              <w:t>54,150 (12)</w:t>
            </w:r>
          </w:p>
        </w:tc>
      </w:tr>
      <w:tr>
        <w:trPr>
          <w:trHeight w:val="261"/>
        </w:trPr>
        <w:tc>
          <w:tcPr>
            <w:tcW w:w="2820" w:type="dxa"/>
            <w:vAlign w:val="bottom"/>
          </w:tcPr>
          <w:p>
            <w:pPr>
              <w:spacing w:after="0"/>
              <w:rPr>
                <w:sz w:val="20"/>
                <w:szCs w:val="20"/>
                <w:color w:val="auto"/>
              </w:rPr>
            </w:pPr>
            <w:r>
              <w:rPr>
                <w:rFonts w:ascii="Arial" w:cs="Arial" w:eastAsia="Arial" w:hAnsi="Arial"/>
                <w:sz w:val="16"/>
                <w:szCs w:val="16"/>
                <w:color w:val="auto"/>
              </w:rPr>
              <w:t>Outplacement</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000" w:type="dxa"/>
            <w:vAlign w:val="bottom"/>
            <w:tcBorders>
              <w:bottom w:val="single" w:sz="8" w:color="999999"/>
            </w:tcBorders>
          </w:tcPr>
          <w:p>
            <w:pPr>
              <w:jc w:val="right"/>
              <w:ind w:right="141"/>
              <w:spacing w:after="0"/>
              <w:rPr>
                <w:sz w:val="20"/>
                <w:szCs w:val="20"/>
                <w:color w:val="auto"/>
              </w:rPr>
            </w:pPr>
            <w:r>
              <w:rPr>
                <w:rFonts w:ascii="Arial" w:cs="Arial" w:eastAsia="Arial" w:hAnsi="Arial"/>
                <w:sz w:val="16"/>
                <w:szCs w:val="16"/>
                <w:color w:val="auto"/>
              </w:rPr>
              <w:t>25,000</w:t>
            </w:r>
          </w:p>
        </w:tc>
        <w:tc>
          <w:tcPr>
            <w:tcW w:w="134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N/A</w:t>
            </w:r>
          </w:p>
        </w:tc>
        <w:tc>
          <w:tcPr>
            <w:tcW w:w="1740" w:type="dxa"/>
            <w:vAlign w:val="bottom"/>
            <w:tcBorders>
              <w:bottom w:val="single" w:sz="8" w:color="999999"/>
            </w:tcBorders>
          </w:tcPr>
          <w:p>
            <w:pPr>
              <w:jc w:val="right"/>
              <w:ind w:right="262"/>
              <w:spacing w:after="0"/>
              <w:rPr>
                <w:sz w:val="20"/>
                <w:szCs w:val="20"/>
                <w:color w:val="auto"/>
              </w:rPr>
            </w:pPr>
            <w:r>
              <w:rPr>
                <w:rFonts w:ascii="Arial" w:cs="Arial" w:eastAsia="Arial" w:hAnsi="Arial"/>
                <w:sz w:val="16"/>
                <w:szCs w:val="16"/>
                <w:color w:val="auto"/>
              </w:rPr>
              <w:t>N/A</w:t>
            </w:r>
          </w:p>
        </w:tc>
        <w:tc>
          <w:tcPr>
            <w:tcW w:w="1640" w:type="dxa"/>
            <w:vAlign w:val="bottom"/>
            <w:tcBorders>
              <w:bottom w:val="single" w:sz="8" w:color="999999"/>
            </w:tcBorders>
            <w:gridSpan w:val="2"/>
          </w:tcPr>
          <w:p>
            <w:pPr>
              <w:jc w:val="right"/>
              <w:spacing w:after="0"/>
              <w:rPr>
                <w:sz w:val="20"/>
                <w:szCs w:val="20"/>
                <w:color w:val="auto"/>
              </w:rPr>
            </w:pPr>
            <w:r>
              <w:rPr>
                <w:rFonts w:ascii="Arial" w:cs="Arial" w:eastAsia="Arial" w:hAnsi="Arial"/>
                <w:sz w:val="16"/>
                <w:szCs w:val="16"/>
                <w:color w:val="auto"/>
              </w:rPr>
              <w:t>25,000</w:t>
            </w:r>
          </w:p>
        </w:tc>
      </w:tr>
      <w:tr>
        <w:trPr>
          <w:trHeight w:val="258"/>
        </w:trPr>
        <w:tc>
          <w:tcPr>
            <w:tcW w:w="2820" w:type="dxa"/>
            <w:vAlign w:val="bottom"/>
          </w:tcPr>
          <w:p>
            <w:pPr>
              <w:spacing w:after="0"/>
              <w:rPr>
                <w:sz w:val="20"/>
                <w:szCs w:val="20"/>
                <w:color w:val="auto"/>
              </w:rPr>
            </w:pPr>
            <w:r>
              <w:rPr>
                <w:rFonts w:ascii="Arial" w:cs="Arial" w:eastAsia="Arial" w:hAnsi="Arial"/>
                <w:sz w:val="16"/>
                <w:szCs w:val="16"/>
                <w:b w:val="1"/>
                <w:bCs w:val="1"/>
                <w:i w:val="1"/>
                <w:iCs w:val="1"/>
                <w:color w:val="auto"/>
              </w:rPr>
              <w:t>Total:</w:t>
            </w:r>
          </w:p>
        </w:tc>
        <w:tc>
          <w:tcPr>
            <w:tcW w:w="1380" w:type="dxa"/>
            <w:vAlign w:val="bottom"/>
          </w:tcPr>
          <w:p>
            <w:pPr>
              <w:jc w:val="right"/>
              <w:spacing w:after="0"/>
              <w:rPr>
                <w:sz w:val="20"/>
                <w:szCs w:val="20"/>
                <w:color w:val="auto"/>
              </w:rPr>
            </w:pPr>
            <w:r>
              <w:rPr>
                <w:rFonts w:ascii="Arial" w:cs="Arial" w:eastAsia="Arial" w:hAnsi="Arial"/>
                <w:sz w:val="16"/>
                <w:szCs w:val="16"/>
                <w:color w:val="auto"/>
              </w:rPr>
              <w:t>N/A</w:t>
            </w:r>
          </w:p>
        </w:tc>
        <w:tc>
          <w:tcPr>
            <w:tcW w:w="2000" w:type="dxa"/>
            <w:vAlign w:val="bottom"/>
          </w:tcPr>
          <w:p>
            <w:pPr>
              <w:jc w:val="right"/>
              <w:ind w:right="141"/>
              <w:spacing w:after="0"/>
              <w:rPr>
                <w:sz w:val="20"/>
                <w:szCs w:val="20"/>
                <w:color w:val="auto"/>
              </w:rPr>
            </w:pPr>
            <w:r>
              <w:rPr>
                <w:rFonts w:ascii="Arial" w:cs="Arial" w:eastAsia="Arial" w:hAnsi="Arial"/>
                <w:sz w:val="16"/>
                <w:szCs w:val="16"/>
                <w:color w:val="auto"/>
              </w:rPr>
              <w:t>12,425,979</w:t>
            </w:r>
          </w:p>
        </w:tc>
        <w:tc>
          <w:tcPr>
            <w:tcW w:w="1340" w:type="dxa"/>
            <w:vAlign w:val="bottom"/>
          </w:tcPr>
          <w:p>
            <w:pPr>
              <w:jc w:val="right"/>
              <w:ind w:right="201"/>
              <w:spacing w:after="0"/>
              <w:rPr>
                <w:sz w:val="20"/>
                <w:szCs w:val="20"/>
                <w:color w:val="auto"/>
              </w:rPr>
            </w:pPr>
            <w:r>
              <w:rPr>
                <w:rFonts w:ascii="Arial" w:cs="Arial" w:eastAsia="Arial" w:hAnsi="Arial"/>
                <w:sz w:val="16"/>
                <w:szCs w:val="16"/>
                <w:color w:val="auto"/>
              </w:rPr>
              <w:t>0</w:t>
            </w:r>
          </w:p>
        </w:tc>
        <w:tc>
          <w:tcPr>
            <w:tcW w:w="1740" w:type="dxa"/>
            <w:vAlign w:val="bottom"/>
          </w:tcPr>
          <w:p>
            <w:pPr>
              <w:jc w:val="right"/>
              <w:ind w:right="262"/>
              <w:spacing w:after="0"/>
              <w:rPr>
                <w:sz w:val="20"/>
                <w:szCs w:val="20"/>
                <w:color w:val="auto"/>
              </w:rPr>
            </w:pPr>
            <w:r>
              <w:rPr>
                <w:rFonts w:ascii="Arial" w:cs="Arial" w:eastAsia="Arial" w:hAnsi="Arial"/>
                <w:sz w:val="16"/>
                <w:szCs w:val="16"/>
                <w:color w:val="auto"/>
              </w:rPr>
              <w:t>10,911,904</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15,172,815</w:t>
            </w:r>
          </w:p>
        </w:tc>
      </w:tr>
      <w:tr>
        <w:trPr>
          <w:trHeight w:val="271"/>
        </w:trPr>
        <w:tc>
          <w:tcPr>
            <w:tcW w:w="282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Girish Juneja</w:t>
            </w:r>
          </w:p>
        </w:tc>
        <w:tc>
          <w:tcPr>
            <w:tcW w:w="1380" w:type="dxa"/>
            <w:vAlign w:val="bottom"/>
            <w:shd w:val="clear" w:color="auto" w:fill="D8D8D8"/>
          </w:tcPr>
          <w:p>
            <w:pPr>
              <w:spacing w:after="0"/>
              <w:rPr>
                <w:sz w:val="23"/>
                <w:szCs w:val="23"/>
                <w:color w:val="auto"/>
              </w:rPr>
            </w:pPr>
          </w:p>
        </w:tc>
        <w:tc>
          <w:tcPr>
            <w:tcW w:w="2000" w:type="dxa"/>
            <w:vAlign w:val="bottom"/>
            <w:shd w:val="clear" w:color="auto" w:fill="D8D8D8"/>
          </w:tcPr>
          <w:p>
            <w:pPr>
              <w:spacing w:after="0"/>
              <w:rPr>
                <w:sz w:val="23"/>
                <w:szCs w:val="23"/>
                <w:color w:val="auto"/>
              </w:rPr>
            </w:pPr>
          </w:p>
        </w:tc>
        <w:tc>
          <w:tcPr>
            <w:tcW w:w="1340" w:type="dxa"/>
            <w:vAlign w:val="bottom"/>
            <w:shd w:val="clear" w:color="auto" w:fill="D8D8D8"/>
          </w:tcPr>
          <w:p>
            <w:pPr>
              <w:spacing w:after="0"/>
              <w:rPr>
                <w:sz w:val="23"/>
                <w:szCs w:val="23"/>
                <w:color w:val="auto"/>
              </w:rPr>
            </w:pPr>
          </w:p>
        </w:tc>
        <w:tc>
          <w:tcPr>
            <w:tcW w:w="1740" w:type="dxa"/>
            <w:vAlign w:val="bottom"/>
            <w:shd w:val="clear" w:color="auto" w:fill="D8D8D8"/>
          </w:tcPr>
          <w:p>
            <w:pPr>
              <w:spacing w:after="0"/>
              <w:rPr>
                <w:sz w:val="23"/>
                <w:szCs w:val="23"/>
                <w:color w:val="auto"/>
              </w:rPr>
            </w:pPr>
          </w:p>
        </w:tc>
        <w:tc>
          <w:tcPr>
            <w:tcW w:w="136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r>
      <w:tr>
        <w:trPr>
          <w:trHeight w:val="281"/>
        </w:trPr>
        <w:tc>
          <w:tcPr>
            <w:tcW w:w="2820" w:type="dxa"/>
            <w:vAlign w:val="bottom"/>
            <w:shd w:val="clear" w:color="auto" w:fill="D8D8D8"/>
          </w:tcPr>
          <w:p>
            <w:pPr>
              <w:spacing w:after="0"/>
              <w:rPr>
                <w:sz w:val="20"/>
                <w:szCs w:val="20"/>
                <w:color w:val="auto"/>
              </w:rPr>
            </w:pPr>
            <w:r>
              <w:rPr>
                <w:rFonts w:ascii="Arial" w:cs="Arial" w:eastAsia="Arial" w:hAnsi="Arial"/>
                <w:sz w:val="16"/>
                <w:szCs w:val="16"/>
                <w:color w:val="auto"/>
              </w:rPr>
              <w:t>Cash severance</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ind w:right="141"/>
              <w:spacing w:after="0"/>
              <w:rPr>
                <w:sz w:val="20"/>
                <w:szCs w:val="20"/>
                <w:color w:val="auto"/>
              </w:rPr>
            </w:pPr>
            <w:r>
              <w:rPr>
                <w:rFonts w:ascii="Arial" w:cs="Arial" w:eastAsia="Arial" w:hAnsi="Arial"/>
                <w:sz w:val="16"/>
                <w:szCs w:val="16"/>
                <w:color w:val="auto"/>
              </w:rPr>
              <w:t>850,000 (5)</w:t>
            </w:r>
          </w:p>
        </w:tc>
        <w:tc>
          <w:tcPr>
            <w:tcW w:w="134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N/A</w:t>
            </w:r>
          </w:p>
        </w:tc>
        <w:tc>
          <w:tcPr>
            <w:tcW w:w="1740" w:type="dxa"/>
            <w:vAlign w:val="bottom"/>
            <w:shd w:val="clear" w:color="auto" w:fill="D8D8D8"/>
          </w:tcPr>
          <w:p>
            <w:pPr>
              <w:jc w:val="right"/>
              <w:ind w:right="262"/>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1,700,000</w:t>
            </w:r>
          </w:p>
        </w:tc>
        <w:tc>
          <w:tcPr>
            <w:tcW w:w="2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(6)</w:t>
            </w:r>
          </w:p>
        </w:tc>
      </w:tr>
      <w:tr>
        <w:trPr>
          <w:trHeight w:val="281"/>
        </w:trPr>
        <w:tc>
          <w:tcPr>
            <w:tcW w:w="2820" w:type="dxa"/>
            <w:vAlign w:val="bottom"/>
            <w:shd w:val="clear" w:color="auto" w:fill="D8D8D8"/>
          </w:tcPr>
          <w:p>
            <w:pPr>
              <w:spacing w:after="0"/>
              <w:rPr>
                <w:sz w:val="20"/>
                <w:szCs w:val="20"/>
                <w:color w:val="auto"/>
              </w:rPr>
            </w:pPr>
            <w:r>
              <w:rPr>
                <w:rFonts w:ascii="Arial" w:cs="Arial" w:eastAsia="Arial" w:hAnsi="Arial"/>
                <w:sz w:val="16"/>
                <w:szCs w:val="16"/>
                <w:color w:val="auto"/>
              </w:rPr>
              <w:t>Performance share award</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00" w:type="dxa"/>
            <w:vAlign w:val="bottom"/>
            <w:shd w:val="clear" w:color="auto" w:fill="D8D8D8"/>
          </w:tcPr>
          <w:p>
            <w:pPr>
              <w:jc w:val="right"/>
              <w:ind w:right="141"/>
              <w:spacing w:after="0"/>
              <w:rPr>
                <w:sz w:val="20"/>
                <w:szCs w:val="20"/>
                <w:color w:val="auto"/>
              </w:rPr>
            </w:pPr>
            <w:r>
              <w:rPr>
                <w:rFonts w:ascii="Arial" w:cs="Arial" w:eastAsia="Arial" w:hAnsi="Arial"/>
                <w:sz w:val="16"/>
                <w:szCs w:val="16"/>
                <w:color w:val="auto"/>
              </w:rPr>
              <w:t>0</w:t>
            </w:r>
          </w:p>
        </w:tc>
        <w:tc>
          <w:tcPr>
            <w:tcW w:w="134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jc w:val="right"/>
              <w:ind w:right="262"/>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599,098</w:t>
            </w:r>
          </w:p>
        </w:tc>
        <w:tc>
          <w:tcPr>
            <w:tcW w:w="2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w:t>
            </w:r>
          </w:p>
        </w:tc>
      </w:tr>
      <w:tr>
        <w:trPr>
          <w:trHeight w:val="281"/>
        </w:trPr>
        <w:tc>
          <w:tcPr>
            <w:tcW w:w="2820" w:type="dxa"/>
            <w:vAlign w:val="bottom"/>
            <w:shd w:val="clear" w:color="auto" w:fill="D8D8D8"/>
          </w:tcPr>
          <w:p>
            <w:pPr>
              <w:spacing w:after="0"/>
              <w:rPr>
                <w:sz w:val="20"/>
                <w:szCs w:val="20"/>
                <w:color w:val="auto"/>
              </w:rPr>
            </w:pPr>
            <w:r>
              <w:rPr>
                <w:rFonts w:ascii="Arial" w:cs="Arial" w:eastAsia="Arial" w:hAnsi="Arial"/>
                <w:sz w:val="16"/>
                <w:szCs w:val="16"/>
                <w:color w:val="auto"/>
              </w:rPr>
              <w:t>Stock options/SSARs</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00" w:type="dxa"/>
            <w:vAlign w:val="bottom"/>
            <w:shd w:val="clear" w:color="auto" w:fill="D8D8D8"/>
          </w:tcPr>
          <w:p>
            <w:pPr>
              <w:jc w:val="right"/>
              <w:ind w:right="141"/>
              <w:spacing w:after="0"/>
              <w:rPr>
                <w:sz w:val="20"/>
                <w:szCs w:val="20"/>
                <w:color w:val="auto"/>
              </w:rPr>
            </w:pPr>
            <w:r>
              <w:rPr>
                <w:rFonts w:ascii="Arial" w:cs="Arial" w:eastAsia="Arial" w:hAnsi="Arial"/>
                <w:sz w:val="16"/>
                <w:szCs w:val="16"/>
                <w:color w:val="auto"/>
              </w:rPr>
              <w:t>0</w:t>
            </w:r>
          </w:p>
        </w:tc>
        <w:tc>
          <w:tcPr>
            <w:tcW w:w="134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jc w:val="right"/>
              <w:ind w:right="262"/>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1,954,776</w:t>
            </w:r>
          </w:p>
        </w:tc>
        <w:tc>
          <w:tcPr>
            <w:tcW w:w="2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(9)</w:t>
            </w:r>
          </w:p>
        </w:tc>
      </w:tr>
      <w:tr>
        <w:trPr>
          <w:trHeight w:val="281"/>
        </w:trPr>
        <w:tc>
          <w:tcPr>
            <w:tcW w:w="2820" w:type="dxa"/>
            <w:vAlign w:val="bottom"/>
            <w:shd w:val="clear" w:color="auto" w:fill="D8D8D8"/>
          </w:tcPr>
          <w:p>
            <w:pPr>
              <w:spacing w:after="0"/>
              <w:rPr>
                <w:sz w:val="20"/>
                <w:szCs w:val="20"/>
                <w:color w:val="auto"/>
              </w:rPr>
            </w:pPr>
            <w:r>
              <w:rPr>
                <w:rFonts w:ascii="Arial" w:cs="Arial" w:eastAsia="Arial" w:hAnsi="Arial"/>
                <w:sz w:val="16"/>
                <w:szCs w:val="16"/>
                <w:color w:val="auto"/>
              </w:rPr>
              <w:t>Restricted Stock Units</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00" w:type="dxa"/>
            <w:vAlign w:val="bottom"/>
            <w:shd w:val="clear" w:color="auto" w:fill="D8D8D8"/>
          </w:tcPr>
          <w:p>
            <w:pPr>
              <w:jc w:val="right"/>
              <w:ind w:right="141"/>
              <w:spacing w:after="0"/>
              <w:rPr>
                <w:sz w:val="20"/>
                <w:szCs w:val="20"/>
                <w:color w:val="auto"/>
              </w:rPr>
            </w:pPr>
            <w:r>
              <w:rPr>
                <w:rFonts w:ascii="Arial" w:cs="Arial" w:eastAsia="Arial" w:hAnsi="Arial"/>
                <w:sz w:val="16"/>
                <w:szCs w:val="16"/>
                <w:color w:val="auto"/>
              </w:rPr>
              <w:t>0</w:t>
            </w:r>
          </w:p>
        </w:tc>
        <w:tc>
          <w:tcPr>
            <w:tcW w:w="134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jc w:val="right"/>
              <w:ind w:right="262"/>
              <w:spacing w:after="0"/>
              <w:rPr>
                <w:sz w:val="20"/>
                <w:szCs w:val="20"/>
                <w:color w:val="auto"/>
              </w:rPr>
            </w:pPr>
            <w:r>
              <w:rPr>
                <w:rFonts w:ascii="Arial" w:cs="Arial" w:eastAsia="Arial" w:hAnsi="Arial"/>
                <w:sz w:val="16"/>
                <w:szCs w:val="16"/>
                <w:color w:val="auto"/>
              </w:rPr>
              <w:t>N/A</w:t>
            </w:r>
          </w:p>
        </w:tc>
        <w:tc>
          <w:tcPr>
            <w:tcW w:w="164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308,720 (11)</w:t>
            </w:r>
          </w:p>
        </w:tc>
      </w:tr>
      <w:tr>
        <w:trPr>
          <w:trHeight w:val="281"/>
        </w:trPr>
        <w:tc>
          <w:tcPr>
            <w:tcW w:w="2820" w:type="dxa"/>
            <w:vAlign w:val="bottom"/>
            <w:shd w:val="clear" w:color="auto" w:fill="D8D8D8"/>
          </w:tcPr>
          <w:p>
            <w:pPr>
              <w:spacing w:after="0"/>
              <w:rPr>
                <w:sz w:val="20"/>
                <w:szCs w:val="20"/>
                <w:color w:val="auto"/>
              </w:rPr>
            </w:pPr>
            <w:r>
              <w:rPr>
                <w:rFonts w:ascii="Arial" w:cs="Arial" w:eastAsia="Arial" w:hAnsi="Arial"/>
                <w:sz w:val="16"/>
                <w:szCs w:val="16"/>
                <w:color w:val="auto"/>
              </w:rPr>
              <w:t>Health and welfare benefits</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00" w:type="dxa"/>
            <w:vAlign w:val="bottom"/>
            <w:shd w:val="clear" w:color="auto" w:fill="D8D8D8"/>
          </w:tcPr>
          <w:p>
            <w:pPr>
              <w:jc w:val="right"/>
              <w:ind w:right="141"/>
              <w:spacing w:after="0"/>
              <w:rPr>
                <w:sz w:val="20"/>
                <w:szCs w:val="20"/>
                <w:color w:val="auto"/>
              </w:rPr>
            </w:pPr>
            <w:r>
              <w:rPr>
                <w:rFonts w:ascii="Arial" w:cs="Arial" w:eastAsia="Arial" w:hAnsi="Arial"/>
                <w:sz w:val="16"/>
                <w:szCs w:val="16"/>
                <w:color w:val="auto"/>
              </w:rPr>
              <w:t>13,047 (12)</w:t>
            </w:r>
          </w:p>
        </w:tc>
        <w:tc>
          <w:tcPr>
            <w:tcW w:w="134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jc w:val="right"/>
              <w:ind w:right="262"/>
              <w:spacing w:after="0"/>
              <w:rPr>
                <w:sz w:val="20"/>
                <w:szCs w:val="20"/>
                <w:color w:val="auto"/>
              </w:rPr>
            </w:pPr>
            <w:r>
              <w:rPr>
                <w:rFonts w:ascii="Arial" w:cs="Arial" w:eastAsia="Arial" w:hAnsi="Arial"/>
                <w:sz w:val="16"/>
                <w:szCs w:val="16"/>
                <w:color w:val="auto"/>
              </w:rPr>
              <w:t>N/A</w:t>
            </w:r>
          </w:p>
        </w:tc>
        <w:tc>
          <w:tcPr>
            <w:tcW w:w="164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26,094 (12)</w:t>
            </w:r>
          </w:p>
        </w:tc>
      </w:tr>
      <w:tr>
        <w:trPr>
          <w:trHeight w:val="281"/>
        </w:trPr>
        <w:tc>
          <w:tcPr>
            <w:tcW w:w="2820" w:type="dxa"/>
            <w:vAlign w:val="bottom"/>
            <w:shd w:val="clear" w:color="auto" w:fill="D8D8D8"/>
          </w:tcPr>
          <w:p>
            <w:pPr>
              <w:spacing w:after="0"/>
              <w:rPr>
                <w:sz w:val="20"/>
                <w:szCs w:val="20"/>
                <w:color w:val="auto"/>
              </w:rPr>
            </w:pPr>
            <w:r>
              <w:rPr>
                <w:rFonts w:ascii="Arial" w:cs="Arial" w:eastAsia="Arial" w:hAnsi="Arial"/>
                <w:sz w:val="16"/>
                <w:szCs w:val="16"/>
                <w:color w:val="auto"/>
              </w:rPr>
              <w:t>Outplacement</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2000" w:type="dxa"/>
            <w:vAlign w:val="bottom"/>
            <w:shd w:val="clear" w:color="auto" w:fill="D8D8D8"/>
          </w:tcPr>
          <w:p>
            <w:pPr>
              <w:jc w:val="right"/>
              <w:ind w:right="141"/>
              <w:spacing w:after="0"/>
              <w:rPr>
                <w:sz w:val="20"/>
                <w:szCs w:val="20"/>
                <w:color w:val="auto"/>
              </w:rPr>
            </w:pPr>
            <w:r>
              <w:rPr>
                <w:rFonts w:ascii="Arial" w:cs="Arial" w:eastAsia="Arial" w:hAnsi="Arial"/>
                <w:sz w:val="16"/>
                <w:szCs w:val="16"/>
                <w:color w:val="auto"/>
              </w:rPr>
              <w:t>25,000</w:t>
            </w:r>
          </w:p>
        </w:tc>
        <w:tc>
          <w:tcPr>
            <w:tcW w:w="134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N/A</w:t>
            </w:r>
          </w:p>
        </w:tc>
        <w:tc>
          <w:tcPr>
            <w:tcW w:w="1740" w:type="dxa"/>
            <w:vAlign w:val="bottom"/>
            <w:shd w:val="clear" w:color="auto" w:fill="D8D8D8"/>
          </w:tcPr>
          <w:p>
            <w:pPr>
              <w:jc w:val="right"/>
              <w:ind w:right="262"/>
              <w:spacing w:after="0"/>
              <w:rPr>
                <w:sz w:val="20"/>
                <w:szCs w:val="20"/>
                <w:color w:val="auto"/>
              </w:rPr>
            </w:pPr>
            <w:r>
              <w:rPr>
                <w:rFonts w:ascii="Arial" w:cs="Arial" w:eastAsia="Arial" w:hAnsi="Arial"/>
                <w:sz w:val="16"/>
                <w:szCs w:val="16"/>
                <w:color w:val="auto"/>
              </w:rPr>
              <w:t>N/A</w:t>
            </w:r>
          </w:p>
        </w:tc>
        <w:tc>
          <w:tcPr>
            <w:tcW w:w="164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25,000</w:t>
            </w:r>
          </w:p>
        </w:tc>
      </w:tr>
      <w:tr>
        <w:trPr>
          <w:trHeight w:val="293"/>
        </w:trPr>
        <w:tc>
          <w:tcPr>
            <w:tcW w:w="2820" w:type="dxa"/>
            <w:vAlign w:val="bottom"/>
            <w:tcBorders>
              <w:bottom w:val="single" w:sz="8" w:color="021496"/>
            </w:tcBorders>
            <w:shd w:val="clear" w:color="auto" w:fill="D8D8D8"/>
          </w:tcPr>
          <w:p>
            <w:pPr>
              <w:spacing w:after="0"/>
              <w:rPr>
                <w:sz w:val="20"/>
                <w:szCs w:val="20"/>
                <w:color w:val="auto"/>
              </w:rPr>
            </w:pPr>
            <w:r>
              <w:rPr>
                <w:rFonts w:ascii="Arial" w:cs="Arial" w:eastAsia="Arial" w:hAnsi="Arial"/>
                <w:sz w:val="16"/>
                <w:szCs w:val="16"/>
                <w:b w:val="1"/>
                <w:bCs w:val="1"/>
                <w:i w:val="1"/>
                <w:iCs w:val="1"/>
                <w:color w:val="auto"/>
              </w:rPr>
              <w:t>Total:</w:t>
            </w:r>
          </w:p>
        </w:tc>
        <w:tc>
          <w:tcPr>
            <w:tcW w:w="138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00" w:type="dxa"/>
            <w:vAlign w:val="bottom"/>
            <w:tcBorders>
              <w:bottom w:val="single" w:sz="8" w:color="021496"/>
            </w:tcBorders>
            <w:shd w:val="clear" w:color="auto" w:fill="D8D8D8"/>
          </w:tcPr>
          <w:p>
            <w:pPr>
              <w:jc w:val="right"/>
              <w:ind w:right="141"/>
              <w:spacing w:after="0"/>
              <w:rPr>
                <w:sz w:val="20"/>
                <w:szCs w:val="20"/>
                <w:color w:val="auto"/>
              </w:rPr>
            </w:pPr>
            <w:r>
              <w:rPr>
                <w:rFonts w:ascii="Arial" w:cs="Arial" w:eastAsia="Arial" w:hAnsi="Arial"/>
                <w:sz w:val="16"/>
                <w:szCs w:val="16"/>
                <w:color w:val="auto"/>
              </w:rPr>
              <w:t>888,047</w:t>
            </w:r>
          </w:p>
        </w:tc>
        <w:tc>
          <w:tcPr>
            <w:tcW w:w="1340" w:type="dxa"/>
            <w:vAlign w:val="bottom"/>
            <w:tcBorders>
              <w:bottom w:val="single" w:sz="8" w:color="021496"/>
            </w:tcBorders>
            <w:shd w:val="clear" w:color="auto" w:fill="D8D8D8"/>
          </w:tcPr>
          <w:p>
            <w:pPr>
              <w:jc w:val="right"/>
              <w:ind w:right="201"/>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021496"/>
            </w:tcBorders>
            <w:shd w:val="clear" w:color="auto" w:fill="D8D8D8"/>
          </w:tcPr>
          <w:p>
            <w:pPr>
              <w:jc w:val="right"/>
              <w:ind w:right="262"/>
              <w:spacing w:after="0"/>
              <w:rPr>
                <w:sz w:val="20"/>
                <w:szCs w:val="20"/>
                <w:color w:val="auto"/>
              </w:rPr>
            </w:pPr>
            <w:r>
              <w:rPr>
                <w:rFonts w:ascii="Arial" w:cs="Arial" w:eastAsia="Arial" w:hAnsi="Arial"/>
                <w:sz w:val="16"/>
                <w:szCs w:val="16"/>
                <w:color w:val="auto"/>
              </w:rPr>
              <w:t>N/A</w:t>
            </w:r>
          </w:p>
        </w:tc>
        <w:tc>
          <w:tcPr>
            <w:tcW w:w="1640" w:type="dxa"/>
            <w:vAlign w:val="bottom"/>
            <w:tcBorders>
              <w:bottom w:val="single" w:sz="8" w:color="021496"/>
            </w:tcBorders>
            <w:gridSpan w:val="2"/>
            <w:shd w:val="clear" w:color="auto" w:fill="D8D8D8"/>
          </w:tcPr>
          <w:p>
            <w:pPr>
              <w:jc w:val="right"/>
              <w:spacing w:after="0"/>
              <w:rPr>
                <w:sz w:val="20"/>
                <w:szCs w:val="20"/>
                <w:color w:val="auto"/>
              </w:rPr>
            </w:pPr>
            <w:r>
              <w:rPr>
                <w:rFonts w:ascii="Arial" w:cs="Arial" w:eastAsia="Arial" w:hAnsi="Arial"/>
                <w:sz w:val="16"/>
                <w:szCs w:val="16"/>
                <w:color w:val="auto"/>
              </w:rPr>
              <w:t>4,613,689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1898015</wp:posOffset>
            </wp:positionH>
            <wp:positionV relativeFrom="paragraph">
              <wp:posOffset>-186055</wp:posOffset>
            </wp:positionV>
            <wp:extent cx="513778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3778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-364490</wp:posOffset>
            </wp:positionV>
            <wp:extent cx="513778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3778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-542925</wp:posOffset>
            </wp:positionV>
            <wp:extent cx="51377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3778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-721360</wp:posOffset>
            </wp:positionV>
            <wp:extent cx="513778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3778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-899795</wp:posOffset>
            </wp:positionV>
            <wp:extent cx="51377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3778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-1077595</wp:posOffset>
            </wp:positionV>
            <wp:extent cx="513778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3778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-1256030</wp:posOffset>
            </wp:positionV>
            <wp:extent cx="51377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3778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-3039745</wp:posOffset>
            </wp:positionV>
            <wp:extent cx="51377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3778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-3218180</wp:posOffset>
            </wp:positionV>
            <wp:extent cx="513778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3778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-3396615</wp:posOffset>
            </wp:positionV>
            <wp:extent cx="51377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3778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-3574415</wp:posOffset>
            </wp:positionV>
            <wp:extent cx="51377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3778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-3752850</wp:posOffset>
            </wp:positionV>
            <wp:extent cx="513778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3778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-3931285</wp:posOffset>
            </wp:positionV>
            <wp:extent cx="513778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3778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-4109720</wp:posOffset>
            </wp:positionV>
            <wp:extent cx="513778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37785" cy="8255"/>
                    </a:xfrm>
                    <a:prstGeom prst="rect">
                      <a:avLst/>
                    </a:prstGeom>
                    <a:noFill/>
                  </pic:spPr>
                </pic:pic>
              </a:graphicData>
            </a:graphic>
          </wp:anchor>
        </w:drawing>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73</w:t>
      </w:r>
    </w:p>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740" w:type="dxa"/>
            <w:vAlign w:val="bottom"/>
            <w:tcBorders>
              <w:top w:val="single" w:sz="8" w:color="021496"/>
            </w:tcBorders>
          </w:tcPr>
          <w:p>
            <w:pPr>
              <w:spacing w:after="0"/>
              <w:rPr>
                <w:sz w:val="13"/>
                <w:szCs w:val="13"/>
                <w:color w:val="auto"/>
              </w:rPr>
            </w:pPr>
          </w:p>
        </w:tc>
        <w:tc>
          <w:tcPr>
            <w:tcW w:w="1420" w:type="dxa"/>
            <w:vAlign w:val="bottom"/>
            <w:tcBorders>
              <w:top w:val="single" w:sz="8" w:color="021496"/>
            </w:tcBorders>
          </w:tcPr>
          <w:p>
            <w:pPr>
              <w:spacing w:after="0"/>
              <w:rPr>
                <w:sz w:val="13"/>
                <w:szCs w:val="13"/>
                <w:color w:val="auto"/>
              </w:rPr>
            </w:pPr>
          </w:p>
        </w:tc>
        <w:tc>
          <w:tcPr>
            <w:tcW w:w="1520" w:type="dxa"/>
            <w:vAlign w:val="bottom"/>
            <w:tcBorders>
              <w:top w:val="single" w:sz="8" w:color="021496"/>
            </w:tcBorders>
          </w:tcPr>
          <w:p>
            <w:pPr>
              <w:spacing w:after="0"/>
              <w:rPr>
                <w:sz w:val="13"/>
                <w:szCs w:val="13"/>
                <w:color w:val="auto"/>
              </w:rPr>
            </w:pPr>
          </w:p>
        </w:tc>
        <w:tc>
          <w:tcPr>
            <w:tcW w:w="540" w:type="dxa"/>
            <w:vAlign w:val="bottom"/>
            <w:tcBorders>
              <w:top w:val="single" w:sz="8" w:color="021496"/>
            </w:tcBorders>
          </w:tcPr>
          <w:p>
            <w:pPr>
              <w:spacing w:after="0"/>
              <w:rPr>
                <w:sz w:val="13"/>
                <w:szCs w:val="13"/>
                <w:color w:val="auto"/>
              </w:rPr>
            </w:pPr>
          </w:p>
        </w:tc>
        <w:tc>
          <w:tcPr>
            <w:tcW w:w="1380" w:type="dxa"/>
            <w:vAlign w:val="bottom"/>
            <w:tcBorders>
              <w:top w:val="single" w:sz="8" w:color="021496"/>
            </w:tcBorders>
          </w:tcPr>
          <w:p>
            <w:pPr>
              <w:spacing w:after="0"/>
              <w:rPr>
                <w:sz w:val="13"/>
                <w:szCs w:val="13"/>
                <w:color w:val="auto"/>
              </w:rPr>
            </w:pPr>
          </w:p>
        </w:tc>
        <w:tc>
          <w:tcPr>
            <w:tcW w:w="1720" w:type="dxa"/>
            <w:vAlign w:val="bottom"/>
            <w:tcBorders>
              <w:top w:val="single" w:sz="8" w:color="021496"/>
            </w:tcBorders>
          </w:tcPr>
          <w:p>
            <w:pPr>
              <w:ind w:left="280"/>
              <w:spacing w:after="0"/>
              <w:rPr>
                <w:sz w:val="20"/>
                <w:szCs w:val="20"/>
                <w:color w:val="auto"/>
              </w:rPr>
            </w:pPr>
            <w:r>
              <w:rPr>
                <w:rFonts w:ascii="Arial" w:cs="Arial" w:eastAsia="Arial" w:hAnsi="Arial"/>
                <w:sz w:val="14"/>
                <w:szCs w:val="14"/>
                <w:b w:val="1"/>
                <w:bCs w:val="1"/>
                <w:color w:val="auto"/>
              </w:rPr>
              <w:t>Normal</w:t>
            </w:r>
          </w:p>
        </w:tc>
        <w:tc>
          <w:tcPr>
            <w:tcW w:w="1260" w:type="dxa"/>
            <w:vAlign w:val="bottom"/>
            <w:tcBorders>
              <w:top w:val="single" w:sz="8" w:color="021496"/>
            </w:tcBorders>
          </w:tcPr>
          <w:p>
            <w:pPr>
              <w:ind w:left="280"/>
              <w:spacing w:after="0"/>
              <w:rPr>
                <w:sz w:val="20"/>
                <w:szCs w:val="20"/>
                <w:color w:val="auto"/>
              </w:rPr>
            </w:pPr>
            <w:r>
              <w:rPr>
                <w:rFonts w:ascii="Arial" w:cs="Arial" w:eastAsia="Arial" w:hAnsi="Arial"/>
                <w:sz w:val="14"/>
                <w:szCs w:val="14"/>
                <w:b w:val="1"/>
                <w:bCs w:val="1"/>
                <w:color w:val="auto"/>
              </w:rPr>
              <w:t>Involuntary or</w:t>
            </w:r>
          </w:p>
        </w:tc>
        <w:tc>
          <w:tcPr>
            <w:tcW w:w="340" w:type="dxa"/>
            <w:vAlign w:val="bottom"/>
            <w:tcBorders>
              <w:top w:val="single" w:sz="8" w:color="021496"/>
            </w:tcBorders>
          </w:tcPr>
          <w:p>
            <w:pPr>
              <w:spacing w:after="0"/>
              <w:rPr>
                <w:sz w:val="13"/>
                <w:szCs w:val="13"/>
                <w:color w:val="auto"/>
              </w:rPr>
            </w:pPr>
          </w:p>
        </w:tc>
      </w:tr>
      <w:tr>
        <w:trPr>
          <w:trHeight w:val="160"/>
        </w:trPr>
        <w:tc>
          <w:tcPr>
            <w:tcW w:w="2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20" w:type="dxa"/>
            <w:vAlign w:val="bottom"/>
          </w:tcPr>
          <w:p>
            <w:pPr>
              <w:ind w:left="280"/>
              <w:spacing w:after="0"/>
              <w:rPr>
                <w:sz w:val="20"/>
                <w:szCs w:val="20"/>
                <w:color w:val="auto"/>
              </w:rPr>
            </w:pPr>
            <w:r>
              <w:rPr>
                <w:rFonts w:ascii="Arial" w:cs="Arial" w:eastAsia="Arial" w:hAnsi="Arial"/>
                <w:sz w:val="14"/>
                <w:szCs w:val="14"/>
                <w:b w:val="1"/>
                <w:bCs w:val="1"/>
                <w:color w:val="auto"/>
              </w:rPr>
              <w:t>Retirement or</w:t>
            </w:r>
          </w:p>
        </w:tc>
        <w:tc>
          <w:tcPr>
            <w:tcW w:w="1260" w:type="dxa"/>
            <w:vAlign w:val="bottom"/>
          </w:tcPr>
          <w:p>
            <w:pPr>
              <w:ind w:left="280"/>
              <w:spacing w:after="0"/>
              <w:rPr>
                <w:sz w:val="20"/>
                <w:szCs w:val="20"/>
                <w:color w:val="auto"/>
              </w:rPr>
            </w:pPr>
            <w:r>
              <w:rPr>
                <w:rFonts w:ascii="Arial" w:cs="Arial" w:eastAsia="Arial" w:hAnsi="Arial"/>
                <w:sz w:val="14"/>
                <w:szCs w:val="14"/>
                <w:b w:val="1"/>
                <w:bCs w:val="1"/>
                <w:color w:val="auto"/>
              </w:rPr>
              <w:t>Good Reason</w:t>
            </w:r>
          </w:p>
        </w:tc>
        <w:tc>
          <w:tcPr>
            <w:tcW w:w="340" w:type="dxa"/>
            <w:vAlign w:val="bottom"/>
          </w:tcPr>
          <w:p>
            <w:pPr>
              <w:spacing w:after="0"/>
              <w:rPr>
                <w:sz w:val="13"/>
                <w:szCs w:val="13"/>
                <w:color w:val="auto"/>
              </w:rPr>
            </w:pPr>
          </w:p>
        </w:tc>
      </w:tr>
      <w:tr>
        <w:trPr>
          <w:trHeight w:val="160"/>
        </w:trPr>
        <w:tc>
          <w:tcPr>
            <w:tcW w:w="2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20" w:type="dxa"/>
            <w:vAlign w:val="bottom"/>
          </w:tcPr>
          <w:p>
            <w:pPr>
              <w:ind w:left="280"/>
              <w:spacing w:after="0"/>
              <w:rPr>
                <w:sz w:val="20"/>
                <w:szCs w:val="20"/>
                <w:color w:val="auto"/>
              </w:rPr>
            </w:pPr>
            <w:r>
              <w:rPr>
                <w:rFonts w:ascii="Arial" w:cs="Arial" w:eastAsia="Arial" w:hAnsi="Arial"/>
                <w:sz w:val="14"/>
                <w:szCs w:val="14"/>
                <w:b w:val="1"/>
                <w:bCs w:val="1"/>
                <w:color w:val="auto"/>
              </w:rPr>
              <w:t>Early Retirement</w:t>
            </w:r>
          </w:p>
        </w:tc>
        <w:tc>
          <w:tcPr>
            <w:tcW w:w="1260" w:type="dxa"/>
            <w:vAlign w:val="bottom"/>
          </w:tcPr>
          <w:p>
            <w:pPr>
              <w:ind w:left="280"/>
              <w:spacing w:after="0"/>
              <w:rPr>
                <w:sz w:val="20"/>
                <w:szCs w:val="20"/>
                <w:color w:val="auto"/>
              </w:rPr>
            </w:pPr>
            <w:r>
              <w:rPr>
                <w:rFonts w:ascii="Arial" w:cs="Arial" w:eastAsia="Arial" w:hAnsi="Arial"/>
                <w:sz w:val="14"/>
                <w:szCs w:val="14"/>
                <w:b w:val="1"/>
                <w:bCs w:val="1"/>
                <w:color w:val="auto"/>
              </w:rPr>
              <w:t>Termination</w:t>
            </w:r>
          </w:p>
        </w:tc>
        <w:tc>
          <w:tcPr>
            <w:tcW w:w="340" w:type="dxa"/>
            <w:vAlign w:val="bottom"/>
          </w:tcPr>
          <w:p>
            <w:pPr>
              <w:spacing w:after="0"/>
              <w:rPr>
                <w:sz w:val="13"/>
                <w:szCs w:val="13"/>
                <w:color w:val="auto"/>
              </w:rPr>
            </w:pPr>
          </w:p>
        </w:tc>
      </w:tr>
      <w:tr>
        <w:trPr>
          <w:trHeight w:val="160"/>
        </w:trPr>
        <w:tc>
          <w:tcPr>
            <w:tcW w:w="2740" w:type="dxa"/>
            <w:vAlign w:val="bottom"/>
          </w:tcPr>
          <w:p>
            <w:pPr>
              <w:spacing w:after="0"/>
              <w:rPr>
                <w:sz w:val="13"/>
                <w:szCs w:val="13"/>
                <w:color w:val="auto"/>
              </w:rPr>
            </w:pPr>
          </w:p>
        </w:tc>
        <w:tc>
          <w:tcPr>
            <w:tcW w:w="1420" w:type="dxa"/>
            <w:vAlign w:val="bottom"/>
          </w:tcPr>
          <w:p>
            <w:pPr>
              <w:ind w:left="540"/>
              <w:spacing w:after="0"/>
              <w:rPr>
                <w:sz w:val="20"/>
                <w:szCs w:val="20"/>
                <w:color w:val="auto"/>
              </w:rPr>
            </w:pPr>
            <w:r>
              <w:rPr>
                <w:rFonts w:ascii="Arial" w:cs="Arial" w:eastAsia="Arial" w:hAnsi="Arial"/>
                <w:sz w:val="14"/>
                <w:szCs w:val="14"/>
                <w:b w:val="1"/>
                <w:bCs w:val="1"/>
                <w:color w:val="auto"/>
              </w:rPr>
              <w:t>Voluntary</w:t>
            </w:r>
          </w:p>
        </w:tc>
        <w:tc>
          <w:tcPr>
            <w:tcW w:w="2060" w:type="dxa"/>
            <w:vAlign w:val="bottom"/>
            <w:gridSpan w:val="2"/>
          </w:tcPr>
          <w:p>
            <w:pPr>
              <w:ind w:left="520"/>
              <w:spacing w:after="0"/>
              <w:rPr>
                <w:sz w:val="20"/>
                <w:szCs w:val="20"/>
                <w:color w:val="auto"/>
              </w:rPr>
            </w:pPr>
            <w:r>
              <w:rPr>
                <w:rFonts w:ascii="Arial" w:cs="Arial" w:eastAsia="Arial" w:hAnsi="Arial"/>
                <w:sz w:val="14"/>
                <w:szCs w:val="14"/>
                <w:b w:val="1"/>
                <w:bCs w:val="1"/>
                <w:color w:val="auto"/>
              </w:rPr>
              <w:t>Involuntary Not for</w:t>
            </w:r>
          </w:p>
        </w:tc>
        <w:tc>
          <w:tcPr>
            <w:tcW w:w="1380" w:type="dxa"/>
            <w:vAlign w:val="bottom"/>
          </w:tcPr>
          <w:p>
            <w:pPr>
              <w:ind w:left="260"/>
              <w:spacing w:after="0"/>
              <w:rPr>
                <w:sz w:val="20"/>
                <w:szCs w:val="20"/>
                <w:color w:val="auto"/>
              </w:rPr>
            </w:pPr>
            <w:r>
              <w:rPr>
                <w:rFonts w:ascii="Arial" w:cs="Arial" w:eastAsia="Arial" w:hAnsi="Arial"/>
                <w:sz w:val="14"/>
                <w:szCs w:val="14"/>
                <w:b w:val="1"/>
                <w:bCs w:val="1"/>
                <w:color w:val="auto"/>
              </w:rPr>
              <w:t>For Cause</w:t>
            </w:r>
          </w:p>
        </w:tc>
        <w:tc>
          <w:tcPr>
            <w:tcW w:w="1720" w:type="dxa"/>
            <w:vAlign w:val="bottom"/>
          </w:tcPr>
          <w:p>
            <w:pPr>
              <w:ind w:left="280"/>
              <w:spacing w:after="0"/>
              <w:rPr>
                <w:sz w:val="20"/>
                <w:szCs w:val="20"/>
                <w:color w:val="auto"/>
              </w:rPr>
            </w:pPr>
            <w:r>
              <w:rPr>
                <w:rFonts w:ascii="Arial" w:cs="Arial" w:eastAsia="Arial" w:hAnsi="Arial"/>
                <w:sz w:val="14"/>
                <w:szCs w:val="14"/>
                <w:b w:val="1"/>
                <w:bCs w:val="1"/>
                <w:color w:val="auto"/>
              </w:rPr>
              <w:t>under</w:t>
            </w:r>
          </w:p>
        </w:tc>
        <w:tc>
          <w:tcPr>
            <w:tcW w:w="1260" w:type="dxa"/>
            <w:vAlign w:val="bottom"/>
          </w:tcPr>
          <w:p>
            <w:pPr>
              <w:ind w:left="280"/>
              <w:spacing w:after="0"/>
              <w:rPr>
                <w:sz w:val="20"/>
                <w:szCs w:val="20"/>
                <w:color w:val="auto"/>
              </w:rPr>
            </w:pPr>
            <w:r>
              <w:rPr>
                <w:rFonts w:ascii="Arial" w:cs="Arial" w:eastAsia="Arial" w:hAnsi="Arial"/>
                <w:sz w:val="14"/>
                <w:szCs w:val="14"/>
                <w:b w:val="1"/>
                <w:bCs w:val="1"/>
                <w:color w:val="auto"/>
              </w:rPr>
              <w:t>following a</w:t>
            </w:r>
          </w:p>
        </w:tc>
        <w:tc>
          <w:tcPr>
            <w:tcW w:w="340" w:type="dxa"/>
            <w:vAlign w:val="bottom"/>
          </w:tcPr>
          <w:p>
            <w:pPr>
              <w:spacing w:after="0"/>
              <w:rPr>
                <w:sz w:val="13"/>
                <w:szCs w:val="13"/>
                <w:color w:val="auto"/>
              </w:rPr>
            </w:pPr>
          </w:p>
        </w:tc>
      </w:tr>
      <w:tr>
        <w:trPr>
          <w:trHeight w:val="160"/>
        </w:trPr>
        <w:tc>
          <w:tcPr>
            <w:tcW w:w="2740" w:type="dxa"/>
            <w:vAlign w:val="bottom"/>
          </w:tcPr>
          <w:p>
            <w:pPr>
              <w:spacing w:after="0"/>
              <w:rPr>
                <w:sz w:val="13"/>
                <w:szCs w:val="13"/>
                <w:color w:val="auto"/>
              </w:rPr>
            </w:pPr>
          </w:p>
        </w:tc>
        <w:tc>
          <w:tcPr>
            <w:tcW w:w="1420" w:type="dxa"/>
            <w:vAlign w:val="bottom"/>
          </w:tcPr>
          <w:p>
            <w:pPr>
              <w:ind w:left="540"/>
              <w:spacing w:after="0"/>
              <w:rPr>
                <w:sz w:val="20"/>
                <w:szCs w:val="20"/>
                <w:color w:val="auto"/>
              </w:rPr>
            </w:pPr>
            <w:r>
              <w:rPr>
                <w:rFonts w:ascii="Arial" w:cs="Arial" w:eastAsia="Arial" w:hAnsi="Arial"/>
                <w:sz w:val="14"/>
                <w:szCs w:val="14"/>
                <w:b w:val="1"/>
                <w:bCs w:val="1"/>
                <w:color w:val="auto"/>
              </w:rPr>
              <w:t>Termination</w:t>
            </w:r>
          </w:p>
        </w:tc>
        <w:tc>
          <w:tcPr>
            <w:tcW w:w="2060" w:type="dxa"/>
            <w:vAlign w:val="bottom"/>
            <w:gridSpan w:val="2"/>
          </w:tcPr>
          <w:p>
            <w:pPr>
              <w:ind w:left="520"/>
              <w:spacing w:after="0"/>
              <w:rPr>
                <w:sz w:val="20"/>
                <w:szCs w:val="20"/>
                <w:color w:val="auto"/>
              </w:rPr>
            </w:pPr>
            <w:r>
              <w:rPr>
                <w:rFonts w:ascii="Arial" w:cs="Arial" w:eastAsia="Arial" w:hAnsi="Arial"/>
                <w:sz w:val="14"/>
                <w:szCs w:val="14"/>
                <w:b w:val="1"/>
                <w:bCs w:val="1"/>
                <w:color w:val="auto"/>
              </w:rPr>
              <w:t>Cause Termination</w:t>
            </w:r>
          </w:p>
        </w:tc>
        <w:tc>
          <w:tcPr>
            <w:tcW w:w="1380" w:type="dxa"/>
            <w:vAlign w:val="bottom"/>
          </w:tcPr>
          <w:p>
            <w:pPr>
              <w:ind w:left="260"/>
              <w:spacing w:after="0"/>
              <w:rPr>
                <w:sz w:val="20"/>
                <w:szCs w:val="20"/>
                <w:color w:val="auto"/>
              </w:rPr>
            </w:pPr>
            <w:r>
              <w:rPr>
                <w:rFonts w:ascii="Arial" w:cs="Arial" w:eastAsia="Arial" w:hAnsi="Arial"/>
                <w:sz w:val="14"/>
                <w:szCs w:val="14"/>
                <w:b w:val="1"/>
                <w:bCs w:val="1"/>
                <w:color w:val="auto"/>
              </w:rPr>
              <w:t>Termination</w:t>
            </w:r>
          </w:p>
        </w:tc>
        <w:tc>
          <w:tcPr>
            <w:tcW w:w="1720" w:type="dxa"/>
            <w:vAlign w:val="bottom"/>
          </w:tcPr>
          <w:p>
            <w:pPr>
              <w:ind w:left="280"/>
              <w:spacing w:after="0"/>
              <w:rPr>
                <w:sz w:val="20"/>
                <w:szCs w:val="20"/>
                <w:color w:val="auto"/>
              </w:rPr>
            </w:pPr>
            <w:r>
              <w:rPr>
                <w:rFonts w:ascii="Arial" w:cs="Arial" w:eastAsia="Arial" w:hAnsi="Arial"/>
                <w:sz w:val="14"/>
                <w:szCs w:val="14"/>
                <w:b w:val="1"/>
                <w:bCs w:val="1"/>
                <w:color w:val="auto"/>
              </w:rPr>
              <w:t>Rule 65 or 70</w:t>
            </w: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Change-in-Control</w:t>
            </w:r>
          </w:p>
        </w:tc>
      </w:tr>
      <w:tr>
        <w:trPr>
          <w:trHeight w:val="174"/>
        </w:trPr>
        <w:tc>
          <w:tcPr>
            <w:tcW w:w="2740" w:type="dxa"/>
            <w:vAlign w:val="bottom"/>
            <w:tcBorders>
              <w:bottom w:val="single" w:sz="8" w:color="021496"/>
            </w:tcBorders>
          </w:tcPr>
          <w:p>
            <w:pPr>
              <w:ind w:left="1180"/>
              <w:spacing w:after="0"/>
              <w:rPr>
                <w:sz w:val="20"/>
                <w:szCs w:val="20"/>
                <w:color w:val="auto"/>
              </w:rPr>
            </w:pPr>
            <w:r>
              <w:rPr>
                <w:rFonts w:ascii="Arial" w:cs="Arial" w:eastAsia="Arial" w:hAnsi="Arial"/>
                <w:sz w:val="14"/>
                <w:szCs w:val="14"/>
                <w:b w:val="1"/>
                <w:bCs w:val="1"/>
                <w:color w:val="auto"/>
              </w:rPr>
              <w:t>Name</w:t>
            </w:r>
          </w:p>
        </w:tc>
        <w:tc>
          <w:tcPr>
            <w:tcW w:w="1420" w:type="dxa"/>
            <w:vAlign w:val="bottom"/>
            <w:tcBorders>
              <w:bottom w:val="single" w:sz="8" w:color="021496"/>
            </w:tcBorders>
          </w:tcPr>
          <w:p>
            <w:pPr>
              <w:ind w:left="540"/>
              <w:spacing w:after="0"/>
              <w:rPr>
                <w:sz w:val="20"/>
                <w:szCs w:val="20"/>
                <w:color w:val="auto"/>
              </w:rPr>
            </w:pPr>
            <w:r>
              <w:rPr>
                <w:rFonts w:ascii="Arial" w:cs="Arial" w:eastAsia="Arial" w:hAnsi="Arial"/>
                <w:sz w:val="14"/>
                <w:szCs w:val="14"/>
                <w:b w:val="1"/>
                <w:bCs w:val="1"/>
                <w:color w:val="auto"/>
              </w:rPr>
              <w:t>($)(1)</w:t>
            </w:r>
          </w:p>
        </w:tc>
        <w:tc>
          <w:tcPr>
            <w:tcW w:w="1520" w:type="dxa"/>
            <w:vAlign w:val="bottom"/>
            <w:tcBorders>
              <w:bottom w:val="single" w:sz="8" w:color="021496"/>
            </w:tcBorders>
          </w:tcPr>
          <w:p>
            <w:pPr>
              <w:ind w:left="520"/>
              <w:spacing w:after="0"/>
              <w:rPr>
                <w:sz w:val="20"/>
                <w:szCs w:val="20"/>
                <w:color w:val="auto"/>
              </w:rPr>
            </w:pPr>
            <w:r>
              <w:rPr>
                <w:rFonts w:ascii="Arial" w:cs="Arial" w:eastAsia="Arial" w:hAnsi="Arial"/>
                <w:sz w:val="14"/>
                <w:szCs w:val="14"/>
                <w:b w:val="1"/>
                <w:bCs w:val="1"/>
                <w:color w:val="auto"/>
              </w:rPr>
              <w:t>($)(2)</w:t>
            </w:r>
          </w:p>
        </w:tc>
        <w:tc>
          <w:tcPr>
            <w:tcW w:w="540" w:type="dxa"/>
            <w:vAlign w:val="bottom"/>
            <w:tcBorders>
              <w:bottom w:val="single" w:sz="8" w:color="021496"/>
            </w:tcBorders>
          </w:tcPr>
          <w:p>
            <w:pPr>
              <w:spacing w:after="0"/>
              <w:rPr>
                <w:sz w:val="15"/>
                <w:szCs w:val="15"/>
                <w:color w:val="auto"/>
              </w:rPr>
            </w:pPr>
          </w:p>
        </w:tc>
        <w:tc>
          <w:tcPr>
            <w:tcW w:w="1380" w:type="dxa"/>
            <w:vAlign w:val="bottom"/>
            <w:tcBorders>
              <w:bottom w:val="single" w:sz="8" w:color="021496"/>
            </w:tcBorders>
          </w:tcPr>
          <w:p>
            <w:pPr>
              <w:ind w:left="260"/>
              <w:spacing w:after="0"/>
              <w:rPr>
                <w:sz w:val="20"/>
                <w:szCs w:val="20"/>
                <w:color w:val="auto"/>
              </w:rPr>
            </w:pPr>
            <w:r>
              <w:rPr>
                <w:rFonts w:ascii="Arial" w:cs="Arial" w:eastAsia="Arial" w:hAnsi="Arial"/>
                <w:sz w:val="14"/>
                <w:szCs w:val="14"/>
                <w:b w:val="1"/>
                <w:bCs w:val="1"/>
                <w:color w:val="auto"/>
              </w:rPr>
              <w:t>($)(3)</w:t>
            </w:r>
          </w:p>
        </w:tc>
        <w:tc>
          <w:tcPr>
            <w:tcW w:w="1720" w:type="dxa"/>
            <w:vAlign w:val="bottom"/>
            <w:tcBorders>
              <w:bottom w:val="single" w:sz="8" w:color="021496"/>
            </w:tcBorders>
          </w:tcPr>
          <w:p>
            <w:pPr>
              <w:ind w:left="28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021496"/>
            </w:tcBorders>
          </w:tcPr>
          <w:p>
            <w:pPr>
              <w:ind w:left="28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021496"/>
            </w:tcBorders>
          </w:tcPr>
          <w:p>
            <w:pPr>
              <w:spacing w:after="0"/>
              <w:rPr>
                <w:sz w:val="15"/>
                <w:szCs w:val="15"/>
                <w:color w:val="auto"/>
              </w:rPr>
            </w:pPr>
          </w:p>
        </w:tc>
      </w:tr>
      <w:tr>
        <w:trPr>
          <w:trHeight w:val="254"/>
        </w:trPr>
        <w:tc>
          <w:tcPr>
            <w:tcW w:w="2740" w:type="dxa"/>
            <w:vAlign w:val="bottom"/>
          </w:tcPr>
          <w:p>
            <w:pPr>
              <w:spacing w:after="0"/>
              <w:rPr>
                <w:sz w:val="20"/>
                <w:szCs w:val="20"/>
                <w:color w:val="auto"/>
              </w:rPr>
            </w:pPr>
            <w:r>
              <w:rPr>
                <w:rFonts w:ascii="Arial" w:cs="Arial" w:eastAsia="Arial" w:hAnsi="Arial"/>
                <w:sz w:val="16"/>
                <w:szCs w:val="16"/>
                <w:b w:val="1"/>
                <w:bCs w:val="1"/>
                <w:color w:val="auto"/>
              </w:rPr>
              <w:t>Ivonne M. Cabrera</w:t>
            </w:r>
          </w:p>
        </w:tc>
        <w:tc>
          <w:tcPr>
            <w:tcW w:w="1420" w:type="dxa"/>
            <w:vAlign w:val="bottom"/>
            <w:tcBorders>
              <w:bottom w:val="single" w:sz="8" w:color="999999"/>
            </w:tcBorders>
          </w:tcPr>
          <w:p>
            <w:pPr>
              <w:spacing w:after="0"/>
              <w:rPr>
                <w:sz w:val="22"/>
                <w:szCs w:val="22"/>
                <w:color w:val="auto"/>
              </w:rPr>
            </w:pPr>
          </w:p>
        </w:tc>
        <w:tc>
          <w:tcPr>
            <w:tcW w:w="1520" w:type="dxa"/>
            <w:vAlign w:val="bottom"/>
            <w:tcBorders>
              <w:bottom w:val="single" w:sz="8" w:color="999999"/>
            </w:tcBorders>
          </w:tcPr>
          <w:p>
            <w:pPr>
              <w:spacing w:after="0"/>
              <w:rPr>
                <w:sz w:val="22"/>
                <w:szCs w:val="22"/>
                <w:color w:val="auto"/>
              </w:rPr>
            </w:pPr>
          </w:p>
        </w:tc>
        <w:tc>
          <w:tcPr>
            <w:tcW w:w="540" w:type="dxa"/>
            <w:vAlign w:val="bottom"/>
            <w:tcBorders>
              <w:bottom w:val="single" w:sz="8" w:color="999999"/>
            </w:tcBorders>
          </w:tcPr>
          <w:p>
            <w:pPr>
              <w:spacing w:after="0"/>
              <w:rPr>
                <w:sz w:val="22"/>
                <w:szCs w:val="22"/>
                <w:color w:val="auto"/>
              </w:rPr>
            </w:pPr>
          </w:p>
        </w:tc>
        <w:tc>
          <w:tcPr>
            <w:tcW w:w="1380" w:type="dxa"/>
            <w:vAlign w:val="bottom"/>
            <w:tcBorders>
              <w:bottom w:val="single" w:sz="8" w:color="999999"/>
            </w:tcBorders>
          </w:tcPr>
          <w:p>
            <w:pPr>
              <w:spacing w:after="0"/>
              <w:rPr>
                <w:sz w:val="22"/>
                <w:szCs w:val="22"/>
                <w:color w:val="auto"/>
              </w:rPr>
            </w:pPr>
          </w:p>
        </w:tc>
        <w:tc>
          <w:tcPr>
            <w:tcW w:w="1720" w:type="dxa"/>
            <w:vAlign w:val="bottom"/>
            <w:tcBorders>
              <w:bottom w:val="single" w:sz="8" w:color="999999"/>
            </w:tcBorders>
          </w:tcPr>
          <w:p>
            <w:pPr>
              <w:spacing w:after="0"/>
              <w:rPr>
                <w:sz w:val="22"/>
                <w:szCs w:val="22"/>
                <w:color w:val="auto"/>
              </w:rPr>
            </w:pPr>
          </w:p>
        </w:tc>
        <w:tc>
          <w:tcPr>
            <w:tcW w:w="1260" w:type="dxa"/>
            <w:vAlign w:val="bottom"/>
            <w:tcBorders>
              <w:bottom w:val="single" w:sz="8" w:color="999999"/>
            </w:tcBorders>
          </w:tcPr>
          <w:p>
            <w:pPr>
              <w:spacing w:after="0"/>
              <w:rPr>
                <w:sz w:val="22"/>
                <w:szCs w:val="22"/>
                <w:color w:val="auto"/>
              </w:rPr>
            </w:pPr>
          </w:p>
        </w:tc>
        <w:tc>
          <w:tcPr>
            <w:tcW w:w="340" w:type="dxa"/>
            <w:vAlign w:val="bottom"/>
            <w:tcBorders>
              <w:bottom w:val="single" w:sz="8" w:color="999999"/>
            </w:tcBorders>
          </w:tcPr>
          <w:p>
            <w:pPr>
              <w:spacing w:after="0"/>
              <w:rPr>
                <w:sz w:val="22"/>
                <w:szCs w:val="22"/>
                <w:color w:val="auto"/>
              </w:rPr>
            </w:pP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Cash severance</w:t>
            </w:r>
          </w:p>
        </w:tc>
        <w:tc>
          <w:tcPr>
            <w:tcW w:w="14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15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952,000</w:t>
            </w:r>
          </w:p>
        </w:tc>
        <w:tc>
          <w:tcPr>
            <w:tcW w:w="54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(5)</w:t>
            </w:r>
          </w:p>
        </w:tc>
        <w:tc>
          <w:tcPr>
            <w:tcW w:w="1380" w:type="dxa"/>
            <w:vAlign w:val="bottom"/>
            <w:tcBorders>
              <w:bottom w:val="single" w:sz="8" w:color="999999"/>
            </w:tcBorders>
          </w:tcPr>
          <w:p>
            <w:pPr>
              <w:jc w:val="right"/>
              <w:ind w:right="221"/>
              <w:spacing w:after="0"/>
              <w:rPr>
                <w:sz w:val="20"/>
                <w:szCs w:val="20"/>
                <w:color w:val="auto"/>
              </w:rPr>
            </w:pPr>
            <w:r>
              <w:rPr>
                <w:rFonts w:ascii="Arial" w:cs="Arial" w:eastAsia="Arial" w:hAnsi="Arial"/>
                <w:sz w:val="16"/>
                <w:szCs w:val="16"/>
                <w:color w:val="auto"/>
              </w:rPr>
              <w:t>N/A</w:t>
            </w:r>
          </w:p>
        </w:tc>
        <w:tc>
          <w:tcPr>
            <w:tcW w:w="1720" w:type="dxa"/>
            <w:vAlign w:val="bottom"/>
            <w:tcBorders>
              <w:bottom w:val="single" w:sz="8" w:color="999999"/>
            </w:tcBorders>
          </w:tcPr>
          <w:p>
            <w:pPr>
              <w:jc w:val="right"/>
              <w:ind w:right="482"/>
              <w:spacing w:after="0"/>
              <w:rPr>
                <w:sz w:val="20"/>
                <w:szCs w:val="20"/>
                <w:color w:val="auto"/>
              </w:rPr>
            </w:pPr>
            <w:r>
              <w:rPr>
                <w:rFonts w:ascii="Arial" w:cs="Arial" w:eastAsia="Arial" w:hAnsi="Arial"/>
                <w:sz w:val="16"/>
                <w:szCs w:val="16"/>
                <w:color w:val="auto"/>
              </w:rPr>
              <w:t>N/A</w:t>
            </w:r>
          </w:p>
        </w:tc>
        <w:tc>
          <w:tcPr>
            <w:tcW w:w="12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1,904,000</w:t>
            </w:r>
          </w:p>
        </w:tc>
        <w:tc>
          <w:tcPr>
            <w:tcW w:w="34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(6)</w:t>
            </w: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Performance share award</w:t>
            </w:r>
          </w:p>
        </w:tc>
        <w:tc>
          <w:tcPr>
            <w:tcW w:w="14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15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484,872</w:t>
            </w:r>
          </w:p>
        </w:tc>
        <w:tc>
          <w:tcPr>
            <w:tcW w:w="54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(7)</w:t>
            </w:r>
          </w:p>
        </w:tc>
        <w:tc>
          <w:tcPr>
            <w:tcW w:w="1380" w:type="dxa"/>
            <w:vAlign w:val="bottom"/>
            <w:tcBorders>
              <w:bottom w:val="single" w:sz="8" w:color="999999"/>
            </w:tcBorders>
          </w:tcPr>
          <w:p>
            <w:pPr>
              <w:jc w:val="right"/>
              <w:ind w:right="221"/>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999999"/>
            </w:tcBorders>
          </w:tcPr>
          <w:p>
            <w:pPr>
              <w:jc w:val="right"/>
              <w:ind w:right="302"/>
              <w:spacing w:after="0"/>
              <w:rPr>
                <w:sz w:val="20"/>
                <w:szCs w:val="20"/>
                <w:color w:val="auto"/>
              </w:rPr>
            </w:pPr>
            <w:r>
              <w:rPr>
                <w:rFonts w:ascii="Arial" w:cs="Arial" w:eastAsia="Arial" w:hAnsi="Arial"/>
                <w:sz w:val="16"/>
                <w:szCs w:val="16"/>
                <w:color w:val="auto"/>
              </w:rPr>
              <w:t>484,872 (7)</w:t>
            </w:r>
          </w:p>
        </w:tc>
        <w:tc>
          <w:tcPr>
            <w:tcW w:w="12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958,303</w:t>
            </w:r>
          </w:p>
        </w:tc>
        <w:tc>
          <w:tcPr>
            <w:tcW w:w="34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(8)</w:t>
            </w: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Stock options/SSARs</w:t>
            </w:r>
          </w:p>
        </w:tc>
        <w:tc>
          <w:tcPr>
            <w:tcW w:w="14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15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3,317,984</w:t>
            </w:r>
          </w:p>
        </w:tc>
        <w:tc>
          <w:tcPr>
            <w:tcW w:w="54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(4)</w:t>
            </w:r>
          </w:p>
        </w:tc>
        <w:tc>
          <w:tcPr>
            <w:tcW w:w="1380" w:type="dxa"/>
            <w:vAlign w:val="bottom"/>
            <w:tcBorders>
              <w:bottom w:val="single" w:sz="8" w:color="999999"/>
            </w:tcBorders>
          </w:tcPr>
          <w:p>
            <w:pPr>
              <w:jc w:val="right"/>
              <w:ind w:right="221"/>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999999"/>
            </w:tcBorders>
          </w:tcPr>
          <w:p>
            <w:pPr>
              <w:jc w:val="right"/>
              <w:ind w:right="302"/>
              <w:spacing w:after="0"/>
              <w:rPr>
                <w:sz w:val="20"/>
                <w:szCs w:val="20"/>
                <w:color w:val="auto"/>
              </w:rPr>
            </w:pPr>
            <w:r>
              <w:rPr>
                <w:rFonts w:ascii="Arial" w:cs="Arial" w:eastAsia="Arial" w:hAnsi="Arial"/>
                <w:sz w:val="16"/>
                <w:szCs w:val="16"/>
                <w:color w:val="auto"/>
              </w:rPr>
              <w:t>3,317,984 (4)</w:t>
            </w:r>
          </w:p>
        </w:tc>
        <w:tc>
          <w:tcPr>
            <w:tcW w:w="12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3,317,984</w:t>
            </w:r>
          </w:p>
        </w:tc>
        <w:tc>
          <w:tcPr>
            <w:tcW w:w="34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(9)</w:t>
            </w: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4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15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504,666</w:t>
            </w:r>
          </w:p>
        </w:tc>
        <w:tc>
          <w:tcPr>
            <w:tcW w:w="54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(10)</w:t>
            </w:r>
          </w:p>
        </w:tc>
        <w:tc>
          <w:tcPr>
            <w:tcW w:w="1380" w:type="dxa"/>
            <w:vAlign w:val="bottom"/>
            <w:tcBorders>
              <w:bottom w:val="single" w:sz="8" w:color="999999"/>
            </w:tcBorders>
          </w:tcPr>
          <w:p>
            <w:pPr>
              <w:jc w:val="right"/>
              <w:ind w:right="221"/>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999999"/>
            </w:tcBorders>
          </w:tcPr>
          <w:p>
            <w:pPr>
              <w:jc w:val="right"/>
              <w:ind w:right="222"/>
              <w:spacing w:after="0"/>
              <w:rPr>
                <w:sz w:val="20"/>
                <w:szCs w:val="20"/>
                <w:color w:val="auto"/>
              </w:rPr>
            </w:pPr>
            <w:r>
              <w:rPr>
                <w:rFonts w:ascii="Arial" w:cs="Arial" w:eastAsia="Arial" w:hAnsi="Arial"/>
                <w:sz w:val="16"/>
                <w:szCs w:val="16"/>
                <w:color w:val="auto"/>
              </w:rPr>
              <w:t>504,666 (10)</w:t>
            </w:r>
          </w:p>
        </w:tc>
        <w:tc>
          <w:tcPr>
            <w:tcW w:w="12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504,666</w:t>
            </w:r>
          </w:p>
        </w:tc>
        <w:tc>
          <w:tcPr>
            <w:tcW w:w="34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(11)</w:t>
            </w: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Health and welfare benefits</w:t>
            </w:r>
          </w:p>
        </w:tc>
        <w:tc>
          <w:tcPr>
            <w:tcW w:w="14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15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27,075</w:t>
            </w:r>
          </w:p>
        </w:tc>
        <w:tc>
          <w:tcPr>
            <w:tcW w:w="54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(12)</w:t>
            </w:r>
          </w:p>
        </w:tc>
        <w:tc>
          <w:tcPr>
            <w:tcW w:w="1380" w:type="dxa"/>
            <w:vAlign w:val="bottom"/>
            <w:tcBorders>
              <w:bottom w:val="single" w:sz="8" w:color="999999"/>
            </w:tcBorders>
          </w:tcPr>
          <w:p>
            <w:pPr>
              <w:jc w:val="right"/>
              <w:ind w:right="221"/>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999999"/>
            </w:tcBorders>
          </w:tcPr>
          <w:p>
            <w:pPr>
              <w:jc w:val="right"/>
              <w:ind w:right="542"/>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54,150</w:t>
            </w:r>
          </w:p>
        </w:tc>
        <w:tc>
          <w:tcPr>
            <w:tcW w:w="34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(12)</w:t>
            </w:r>
          </w:p>
        </w:tc>
      </w:tr>
      <w:tr>
        <w:trPr>
          <w:trHeight w:val="261"/>
        </w:trPr>
        <w:tc>
          <w:tcPr>
            <w:tcW w:w="2740" w:type="dxa"/>
            <w:vAlign w:val="bottom"/>
          </w:tcPr>
          <w:p>
            <w:pPr>
              <w:spacing w:after="0"/>
              <w:rPr>
                <w:sz w:val="20"/>
                <w:szCs w:val="20"/>
                <w:color w:val="auto"/>
              </w:rPr>
            </w:pPr>
            <w:r>
              <w:rPr>
                <w:rFonts w:ascii="Arial" w:cs="Arial" w:eastAsia="Arial" w:hAnsi="Arial"/>
                <w:sz w:val="16"/>
                <w:szCs w:val="16"/>
                <w:color w:val="auto"/>
              </w:rPr>
              <w:t>Outplacement</w:t>
            </w:r>
          </w:p>
        </w:tc>
        <w:tc>
          <w:tcPr>
            <w:tcW w:w="14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15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25,000</w:t>
            </w:r>
          </w:p>
        </w:tc>
        <w:tc>
          <w:tcPr>
            <w:tcW w:w="540" w:type="dxa"/>
            <w:vAlign w:val="bottom"/>
            <w:tcBorders>
              <w:bottom w:val="single" w:sz="8" w:color="999999"/>
            </w:tcBorders>
          </w:tcPr>
          <w:p>
            <w:pPr>
              <w:spacing w:after="0"/>
              <w:rPr>
                <w:sz w:val="22"/>
                <w:szCs w:val="22"/>
                <w:color w:val="auto"/>
              </w:rPr>
            </w:pPr>
          </w:p>
        </w:tc>
        <w:tc>
          <w:tcPr>
            <w:tcW w:w="1380" w:type="dxa"/>
            <w:vAlign w:val="bottom"/>
            <w:tcBorders>
              <w:bottom w:val="single" w:sz="8" w:color="999999"/>
            </w:tcBorders>
          </w:tcPr>
          <w:p>
            <w:pPr>
              <w:jc w:val="right"/>
              <w:ind w:right="221"/>
              <w:spacing w:after="0"/>
              <w:rPr>
                <w:sz w:val="20"/>
                <w:szCs w:val="20"/>
                <w:color w:val="auto"/>
              </w:rPr>
            </w:pPr>
            <w:r>
              <w:rPr>
                <w:rFonts w:ascii="Arial" w:cs="Arial" w:eastAsia="Arial" w:hAnsi="Arial"/>
                <w:sz w:val="16"/>
                <w:szCs w:val="16"/>
                <w:color w:val="auto"/>
              </w:rPr>
              <w:t>N/A</w:t>
            </w:r>
          </w:p>
        </w:tc>
        <w:tc>
          <w:tcPr>
            <w:tcW w:w="1720" w:type="dxa"/>
            <w:vAlign w:val="bottom"/>
            <w:tcBorders>
              <w:bottom w:val="single" w:sz="8" w:color="999999"/>
            </w:tcBorders>
          </w:tcPr>
          <w:p>
            <w:pPr>
              <w:jc w:val="right"/>
              <w:ind w:right="482"/>
              <w:spacing w:after="0"/>
              <w:rPr>
                <w:sz w:val="20"/>
                <w:szCs w:val="20"/>
                <w:color w:val="auto"/>
              </w:rPr>
            </w:pPr>
            <w:r>
              <w:rPr>
                <w:rFonts w:ascii="Arial" w:cs="Arial" w:eastAsia="Arial" w:hAnsi="Arial"/>
                <w:sz w:val="16"/>
                <w:szCs w:val="16"/>
                <w:color w:val="auto"/>
              </w:rPr>
              <w:t>N/A</w:t>
            </w:r>
          </w:p>
        </w:tc>
        <w:tc>
          <w:tcPr>
            <w:tcW w:w="12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25,000</w:t>
            </w:r>
          </w:p>
        </w:tc>
        <w:tc>
          <w:tcPr>
            <w:tcW w:w="340" w:type="dxa"/>
            <w:vAlign w:val="bottom"/>
            <w:tcBorders>
              <w:bottom w:val="single" w:sz="8" w:color="999999"/>
            </w:tcBorders>
          </w:tcPr>
          <w:p>
            <w:pPr>
              <w:spacing w:after="0"/>
              <w:rPr>
                <w:sz w:val="22"/>
                <w:szCs w:val="22"/>
                <w:color w:val="auto"/>
              </w:rPr>
            </w:pPr>
          </w:p>
        </w:tc>
      </w:tr>
      <w:tr>
        <w:trPr>
          <w:trHeight w:val="258"/>
        </w:trPr>
        <w:tc>
          <w:tcPr>
            <w:tcW w:w="2740" w:type="dxa"/>
            <w:vAlign w:val="bottom"/>
          </w:tcPr>
          <w:p>
            <w:pPr>
              <w:spacing w:after="0"/>
              <w:rPr>
                <w:sz w:val="20"/>
                <w:szCs w:val="20"/>
                <w:color w:val="auto"/>
              </w:rPr>
            </w:pPr>
            <w:r>
              <w:rPr>
                <w:rFonts w:ascii="Arial" w:cs="Arial" w:eastAsia="Arial" w:hAnsi="Arial"/>
                <w:sz w:val="16"/>
                <w:szCs w:val="16"/>
                <w:b w:val="1"/>
                <w:bCs w:val="1"/>
                <w:i w:val="1"/>
                <w:iCs w:val="1"/>
                <w:color w:val="auto"/>
              </w:rPr>
              <w:t>Total:</w:t>
            </w:r>
          </w:p>
        </w:tc>
        <w:tc>
          <w:tcPr>
            <w:tcW w:w="14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5,311,597</w:t>
            </w:r>
          </w:p>
        </w:tc>
        <w:tc>
          <w:tcPr>
            <w:tcW w:w="540" w:type="dxa"/>
            <w:vAlign w:val="bottom"/>
          </w:tcPr>
          <w:p>
            <w:pPr>
              <w:spacing w:after="0"/>
              <w:rPr>
                <w:sz w:val="22"/>
                <w:szCs w:val="22"/>
                <w:color w:val="auto"/>
              </w:rPr>
            </w:pPr>
          </w:p>
        </w:tc>
        <w:tc>
          <w:tcPr>
            <w:tcW w:w="1380" w:type="dxa"/>
            <w:vAlign w:val="bottom"/>
          </w:tcPr>
          <w:p>
            <w:pPr>
              <w:jc w:val="right"/>
              <w:ind w:right="221"/>
              <w:spacing w:after="0"/>
              <w:rPr>
                <w:sz w:val="20"/>
                <w:szCs w:val="20"/>
                <w:color w:val="auto"/>
              </w:rPr>
            </w:pPr>
            <w:r>
              <w:rPr>
                <w:rFonts w:ascii="Arial" w:cs="Arial" w:eastAsia="Arial" w:hAnsi="Arial"/>
                <w:sz w:val="16"/>
                <w:szCs w:val="16"/>
                <w:color w:val="auto"/>
              </w:rPr>
              <w:t>0</w:t>
            </w:r>
          </w:p>
        </w:tc>
        <w:tc>
          <w:tcPr>
            <w:tcW w:w="1720" w:type="dxa"/>
            <w:vAlign w:val="bottom"/>
          </w:tcPr>
          <w:p>
            <w:pPr>
              <w:jc w:val="right"/>
              <w:ind w:right="542"/>
              <w:spacing w:after="0"/>
              <w:rPr>
                <w:sz w:val="20"/>
                <w:szCs w:val="20"/>
                <w:color w:val="auto"/>
              </w:rPr>
            </w:pPr>
            <w:r>
              <w:rPr>
                <w:rFonts w:ascii="Arial" w:cs="Arial" w:eastAsia="Arial" w:hAnsi="Arial"/>
                <w:sz w:val="16"/>
                <w:szCs w:val="16"/>
                <w:color w:val="auto"/>
              </w:rPr>
              <w:t>4,307,522</w:t>
            </w:r>
          </w:p>
        </w:tc>
        <w:tc>
          <w:tcPr>
            <w:tcW w:w="1260" w:type="dxa"/>
            <w:vAlign w:val="bottom"/>
          </w:tcPr>
          <w:p>
            <w:pPr>
              <w:jc w:val="right"/>
              <w:spacing w:after="0"/>
              <w:rPr>
                <w:sz w:val="20"/>
                <w:szCs w:val="20"/>
                <w:color w:val="auto"/>
              </w:rPr>
            </w:pPr>
            <w:r>
              <w:rPr>
                <w:rFonts w:ascii="Arial" w:cs="Arial" w:eastAsia="Arial" w:hAnsi="Arial"/>
                <w:sz w:val="16"/>
                <w:szCs w:val="16"/>
                <w:color w:val="auto"/>
              </w:rPr>
              <w:t>6,764,103</w:t>
            </w:r>
          </w:p>
        </w:tc>
        <w:tc>
          <w:tcPr>
            <w:tcW w:w="340" w:type="dxa"/>
            <w:vAlign w:val="bottom"/>
          </w:tcPr>
          <w:p>
            <w:pPr>
              <w:spacing w:after="0"/>
              <w:rPr>
                <w:sz w:val="22"/>
                <w:szCs w:val="22"/>
                <w:color w:val="auto"/>
              </w:rPr>
            </w:pPr>
          </w:p>
        </w:tc>
      </w:tr>
      <w:tr>
        <w:trPr>
          <w:trHeight w:val="271"/>
        </w:trPr>
        <w:tc>
          <w:tcPr>
            <w:tcW w:w="274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Kimberly K. Bors</w:t>
            </w:r>
          </w:p>
        </w:tc>
        <w:tc>
          <w:tcPr>
            <w:tcW w:w="1420" w:type="dxa"/>
            <w:vAlign w:val="bottom"/>
            <w:shd w:val="clear" w:color="auto" w:fill="D8D8D8"/>
          </w:tcPr>
          <w:p>
            <w:pPr>
              <w:spacing w:after="0"/>
              <w:rPr>
                <w:sz w:val="23"/>
                <w:szCs w:val="23"/>
                <w:color w:val="auto"/>
              </w:rPr>
            </w:pPr>
          </w:p>
        </w:tc>
        <w:tc>
          <w:tcPr>
            <w:tcW w:w="1520" w:type="dxa"/>
            <w:vAlign w:val="bottom"/>
            <w:shd w:val="clear" w:color="auto" w:fill="D8D8D8"/>
          </w:tcPr>
          <w:p>
            <w:pPr>
              <w:spacing w:after="0"/>
              <w:rPr>
                <w:sz w:val="23"/>
                <w:szCs w:val="23"/>
                <w:color w:val="auto"/>
              </w:rPr>
            </w:pPr>
          </w:p>
        </w:tc>
        <w:tc>
          <w:tcPr>
            <w:tcW w:w="540" w:type="dxa"/>
            <w:vAlign w:val="bottom"/>
            <w:shd w:val="clear" w:color="auto" w:fill="D8D8D8"/>
          </w:tcPr>
          <w:p>
            <w:pPr>
              <w:spacing w:after="0"/>
              <w:rPr>
                <w:sz w:val="23"/>
                <w:szCs w:val="23"/>
                <w:color w:val="auto"/>
              </w:rPr>
            </w:pPr>
          </w:p>
        </w:tc>
        <w:tc>
          <w:tcPr>
            <w:tcW w:w="1380" w:type="dxa"/>
            <w:vAlign w:val="bottom"/>
            <w:shd w:val="clear" w:color="auto" w:fill="D8D8D8"/>
          </w:tcPr>
          <w:p>
            <w:pPr>
              <w:spacing w:after="0"/>
              <w:rPr>
                <w:sz w:val="23"/>
                <w:szCs w:val="23"/>
                <w:color w:val="auto"/>
              </w:rPr>
            </w:pPr>
          </w:p>
        </w:tc>
        <w:tc>
          <w:tcPr>
            <w:tcW w:w="1720" w:type="dxa"/>
            <w:vAlign w:val="bottom"/>
            <w:shd w:val="clear" w:color="auto" w:fill="D8D8D8"/>
          </w:tcPr>
          <w:p>
            <w:pPr>
              <w:spacing w:after="0"/>
              <w:rPr>
                <w:sz w:val="23"/>
                <w:szCs w:val="23"/>
                <w:color w:val="auto"/>
              </w:rPr>
            </w:pPr>
          </w:p>
        </w:tc>
        <w:tc>
          <w:tcPr>
            <w:tcW w:w="126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Cash severance</w:t>
            </w:r>
          </w:p>
        </w:tc>
        <w:tc>
          <w:tcPr>
            <w:tcW w:w="14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15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765,000</w:t>
            </w:r>
          </w:p>
        </w:tc>
        <w:tc>
          <w:tcPr>
            <w:tcW w:w="540" w:type="dxa"/>
            <w:vAlign w:val="bottom"/>
            <w:shd w:val="clear" w:color="auto" w:fill="D8D8D8"/>
          </w:tcPr>
          <w:p>
            <w:pPr>
              <w:spacing w:after="0"/>
              <w:rPr>
                <w:sz w:val="20"/>
                <w:szCs w:val="20"/>
                <w:color w:val="auto"/>
              </w:rPr>
            </w:pPr>
            <w:r>
              <w:rPr>
                <w:rFonts w:ascii="Arial" w:cs="Arial" w:eastAsia="Arial" w:hAnsi="Arial"/>
                <w:sz w:val="16"/>
                <w:szCs w:val="16"/>
                <w:color w:val="auto"/>
              </w:rPr>
              <w:t>(5)</w:t>
            </w:r>
          </w:p>
        </w:tc>
        <w:tc>
          <w:tcPr>
            <w:tcW w:w="1380" w:type="dxa"/>
            <w:vAlign w:val="bottom"/>
            <w:shd w:val="clear" w:color="auto" w:fill="D8D8D8"/>
          </w:tcPr>
          <w:p>
            <w:pPr>
              <w:jc w:val="right"/>
              <w:ind w:right="221"/>
              <w:spacing w:after="0"/>
              <w:rPr>
                <w:sz w:val="20"/>
                <w:szCs w:val="20"/>
                <w:color w:val="auto"/>
              </w:rPr>
            </w:pPr>
            <w:r>
              <w:rPr>
                <w:rFonts w:ascii="Arial" w:cs="Arial" w:eastAsia="Arial" w:hAnsi="Arial"/>
                <w:sz w:val="16"/>
                <w:szCs w:val="16"/>
                <w:color w:val="auto"/>
              </w:rPr>
              <w:t>N/A</w:t>
            </w:r>
          </w:p>
        </w:tc>
        <w:tc>
          <w:tcPr>
            <w:tcW w:w="1720" w:type="dxa"/>
            <w:vAlign w:val="bottom"/>
            <w:shd w:val="clear" w:color="auto" w:fill="D8D8D8"/>
          </w:tcPr>
          <w:p>
            <w:pPr>
              <w:jc w:val="right"/>
              <w:ind w:right="482"/>
              <w:spacing w:after="0"/>
              <w:rPr>
                <w:sz w:val="20"/>
                <w:szCs w:val="20"/>
                <w:color w:val="auto"/>
              </w:rPr>
            </w:pPr>
            <w:r>
              <w:rPr>
                <w:rFonts w:ascii="Arial" w:cs="Arial" w:eastAsia="Arial" w:hAnsi="Arial"/>
                <w:sz w:val="16"/>
                <w:szCs w:val="16"/>
                <w:color w:val="auto"/>
              </w:rPr>
              <w:t>N/A</w:t>
            </w:r>
          </w:p>
        </w:tc>
        <w:tc>
          <w:tcPr>
            <w:tcW w:w="12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1,530,000</w:t>
            </w:r>
          </w:p>
        </w:tc>
        <w:tc>
          <w:tcPr>
            <w:tcW w:w="340" w:type="dxa"/>
            <w:vAlign w:val="bottom"/>
            <w:shd w:val="clear" w:color="auto" w:fill="D8D8D8"/>
          </w:tcPr>
          <w:p>
            <w:pPr>
              <w:spacing w:after="0"/>
              <w:rPr>
                <w:sz w:val="20"/>
                <w:szCs w:val="20"/>
                <w:color w:val="auto"/>
              </w:rPr>
            </w:pPr>
            <w:r>
              <w:rPr>
                <w:rFonts w:ascii="Arial" w:cs="Arial" w:eastAsia="Arial" w:hAnsi="Arial"/>
                <w:sz w:val="16"/>
                <w:szCs w:val="16"/>
                <w:color w:val="auto"/>
              </w:rPr>
              <w:t>(6)</w:t>
            </w: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Performance share award</w:t>
            </w:r>
          </w:p>
        </w:tc>
        <w:tc>
          <w:tcPr>
            <w:tcW w:w="14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5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540" w:type="dxa"/>
            <w:vAlign w:val="bottom"/>
            <w:shd w:val="clear" w:color="auto" w:fill="D8D8D8"/>
          </w:tcPr>
          <w:p>
            <w:pPr>
              <w:spacing w:after="0"/>
              <w:rPr>
                <w:sz w:val="24"/>
                <w:szCs w:val="24"/>
                <w:color w:val="auto"/>
              </w:rPr>
            </w:pPr>
          </w:p>
        </w:tc>
        <w:tc>
          <w:tcPr>
            <w:tcW w:w="1380" w:type="dxa"/>
            <w:vAlign w:val="bottom"/>
            <w:shd w:val="clear" w:color="auto" w:fill="D8D8D8"/>
          </w:tcPr>
          <w:p>
            <w:pPr>
              <w:jc w:val="right"/>
              <w:ind w:right="22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482"/>
              <w:spacing w:after="0"/>
              <w:rPr>
                <w:sz w:val="20"/>
                <w:szCs w:val="20"/>
                <w:color w:val="auto"/>
              </w:rPr>
            </w:pPr>
            <w:r>
              <w:rPr>
                <w:rFonts w:ascii="Arial" w:cs="Arial" w:eastAsia="Arial" w:hAnsi="Arial"/>
                <w:sz w:val="16"/>
                <w:szCs w:val="16"/>
                <w:color w:val="auto"/>
              </w:rPr>
              <w:t>N/A</w:t>
            </w:r>
          </w:p>
        </w:tc>
        <w:tc>
          <w:tcPr>
            <w:tcW w:w="12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616,714</w:t>
            </w:r>
          </w:p>
        </w:tc>
        <w:tc>
          <w:tcPr>
            <w:tcW w:w="340" w:type="dxa"/>
            <w:vAlign w:val="bottom"/>
            <w:shd w:val="clear" w:color="auto" w:fill="D8D8D8"/>
          </w:tcPr>
          <w:p>
            <w:pPr>
              <w:spacing w:after="0"/>
              <w:rPr>
                <w:sz w:val="20"/>
                <w:szCs w:val="20"/>
                <w:color w:val="auto"/>
              </w:rPr>
            </w:pPr>
            <w:r>
              <w:rPr>
                <w:rFonts w:ascii="Arial" w:cs="Arial" w:eastAsia="Arial" w:hAnsi="Arial"/>
                <w:sz w:val="16"/>
                <w:szCs w:val="16"/>
                <w:color w:val="auto"/>
              </w:rPr>
              <w:t>(8)</w:t>
            </w: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Stock options/SSARs</w:t>
            </w:r>
          </w:p>
        </w:tc>
        <w:tc>
          <w:tcPr>
            <w:tcW w:w="14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5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540" w:type="dxa"/>
            <w:vAlign w:val="bottom"/>
            <w:shd w:val="clear" w:color="auto" w:fill="D8D8D8"/>
          </w:tcPr>
          <w:p>
            <w:pPr>
              <w:spacing w:after="0"/>
              <w:rPr>
                <w:sz w:val="24"/>
                <w:szCs w:val="24"/>
                <w:color w:val="auto"/>
              </w:rPr>
            </w:pPr>
          </w:p>
        </w:tc>
        <w:tc>
          <w:tcPr>
            <w:tcW w:w="1380" w:type="dxa"/>
            <w:vAlign w:val="bottom"/>
            <w:shd w:val="clear" w:color="auto" w:fill="D8D8D8"/>
          </w:tcPr>
          <w:p>
            <w:pPr>
              <w:jc w:val="right"/>
              <w:ind w:right="22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482"/>
              <w:spacing w:after="0"/>
              <w:rPr>
                <w:sz w:val="20"/>
                <w:szCs w:val="20"/>
                <w:color w:val="auto"/>
              </w:rPr>
            </w:pPr>
            <w:r>
              <w:rPr>
                <w:rFonts w:ascii="Arial" w:cs="Arial" w:eastAsia="Arial" w:hAnsi="Arial"/>
                <w:sz w:val="16"/>
                <w:szCs w:val="16"/>
                <w:color w:val="auto"/>
              </w:rPr>
              <w:t>N/A</w:t>
            </w:r>
          </w:p>
        </w:tc>
        <w:tc>
          <w:tcPr>
            <w:tcW w:w="12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909,809</w:t>
            </w:r>
          </w:p>
        </w:tc>
        <w:tc>
          <w:tcPr>
            <w:tcW w:w="340" w:type="dxa"/>
            <w:vAlign w:val="bottom"/>
            <w:shd w:val="clear" w:color="auto" w:fill="D8D8D8"/>
          </w:tcPr>
          <w:p>
            <w:pPr>
              <w:spacing w:after="0"/>
              <w:rPr>
                <w:sz w:val="20"/>
                <w:szCs w:val="20"/>
                <w:color w:val="auto"/>
              </w:rPr>
            </w:pPr>
            <w:r>
              <w:rPr>
                <w:rFonts w:ascii="Arial" w:cs="Arial" w:eastAsia="Arial" w:hAnsi="Arial"/>
                <w:sz w:val="16"/>
                <w:szCs w:val="16"/>
                <w:color w:val="auto"/>
              </w:rPr>
              <w:t>(9)</w:t>
            </w: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Restricted Stock Units</w:t>
            </w:r>
          </w:p>
        </w:tc>
        <w:tc>
          <w:tcPr>
            <w:tcW w:w="14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5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540" w:type="dxa"/>
            <w:vAlign w:val="bottom"/>
            <w:shd w:val="clear" w:color="auto" w:fill="D8D8D8"/>
          </w:tcPr>
          <w:p>
            <w:pPr>
              <w:spacing w:after="0"/>
              <w:rPr>
                <w:sz w:val="24"/>
                <w:szCs w:val="24"/>
                <w:color w:val="auto"/>
              </w:rPr>
            </w:pPr>
          </w:p>
        </w:tc>
        <w:tc>
          <w:tcPr>
            <w:tcW w:w="1380" w:type="dxa"/>
            <w:vAlign w:val="bottom"/>
            <w:shd w:val="clear" w:color="auto" w:fill="D8D8D8"/>
          </w:tcPr>
          <w:p>
            <w:pPr>
              <w:jc w:val="right"/>
              <w:ind w:right="22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482"/>
              <w:spacing w:after="0"/>
              <w:rPr>
                <w:sz w:val="20"/>
                <w:szCs w:val="20"/>
                <w:color w:val="auto"/>
              </w:rPr>
            </w:pPr>
            <w:r>
              <w:rPr>
                <w:rFonts w:ascii="Arial" w:cs="Arial" w:eastAsia="Arial" w:hAnsi="Arial"/>
                <w:sz w:val="16"/>
                <w:szCs w:val="16"/>
                <w:color w:val="auto"/>
              </w:rPr>
              <w:t>N/A</w:t>
            </w:r>
          </w:p>
        </w:tc>
        <w:tc>
          <w:tcPr>
            <w:tcW w:w="12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257,872</w:t>
            </w:r>
          </w:p>
        </w:tc>
        <w:tc>
          <w:tcPr>
            <w:tcW w:w="340" w:type="dxa"/>
            <w:vAlign w:val="bottom"/>
            <w:shd w:val="clear" w:color="auto" w:fill="D8D8D8"/>
          </w:tcPr>
          <w:p>
            <w:pPr>
              <w:spacing w:after="0"/>
              <w:rPr>
                <w:sz w:val="20"/>
                <w:szCs w:val="20"/>
                <w:color w:val="auto"/>
              </w:rPr>
            </w:pPr>
            <w:r>
              <w:rPr>
                <w:rFonts w:ascii="Arial" w:cs="Arial" w:eastAsia="Arial" w:hAnsi="Arial"/>
                <w:sz w:val="16"/>
                <w:szCs w:val="16"/>
                <w:color w:val="auto"/>
              </w:rPr>
              <w:t>(11)</w:t>
            </w: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Health and welfare benefits</w:t>
            </w:r>
          </w:p>
        </w:tc>
        <w:tc>
          <w:tcPr>
            <w:tcW w:w="14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5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13,934</w:t>
            </w:r>
          </w:p>
        </w:tc>
        <w:tc>
          <w:tcPr>
            <w:tcW w:w="540" w:type="dxa"/>
            <w:vAlign w:val="bottom"/>
            <w:shd w:val="clear" w:color="auto" w:fill="D8D8D8"/>
          </w:tcPr>
          <w:p>
            <w:pPr>
              <w:spacing w:after="0"/>
              <w:rPr>
                <w:sz w:val="20"/>
                <w:szCs w:val="20"/>
                <w:color w:val="auto"/>
              </w:rPr>
            </w:pPr>
            <w:r>
              <w:rPr>
                <w:rFonts w:ascii="Arial" w:cs="Arial" w:eastAsia="Arial" w:hAnsi="Arial"/>
                <w:sz w:val="16"/>
                <w:szCs w:val="16"/>
                <w:color w:val="auto"/>
              </w:rPr>
              <w:t>(12)</w:t>
            </w:r>
          </w:p>
        </w:tc>
        <w:tc>
          <w:tcPr>
            <w:tcW w:w="1380" w:type="dxa"/>
            <w:vAlign w:val="bottom"/>
            <w:shd w:val="clear" w:color="auto" w:fill="D8D8D8"/>
          </w:tcPr>
          <w:p>
            <w:pPr>
              <w:jc w:val="right"/>
              <w:ind w:right="22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482"/>
              <w:spacing w:after="0"/>
              <w:rPr>
                <w:sz w:val="20"/>
                <w:szCs w:val="20"/>
                <w:color w:val="auto"/>
              </w:rPr>
            </w:pPr>
            <w:r>
              <w:rPr>
                <w:rFonts w:ascii="Arial" w:cs="Arial" w:eastAsia="Arial" w:hAnsi="Arial"/>
                <w:sz w:val="16"/>
                <w:szCs w:val="16"/>
                <w:color w:val="auto"/>
              </w:rPr>
              <w:t>N/A</w:t>
            </w:r>
          </w:p>
        </w:tc>
        <w:tc>
          <w:tcPr>
            <w:tcW w:w="12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27,868</w:t>
            </w:r>
          </w:p>
        </w:tc>
        <w:tc>
          <w:tcPr>
            <w:tcW w:w="340" w:type="dxa"/>
            <w:vAlign w:val="bottom"/>
            <w:shd w:val="clear" w:color="auto" w:fill="D8D8D8"/>
          </w:tcPr>
          <w:p>
            <w:pPr>
              <w:spacing w:after="0"/>
              <w:rPr>
                <w:sz w:val="20"/>
                <w:szCs w:val="20"/>
                <w:color w:val="auto"/>
              </w:rPr>
            </w:pPr>
            <w:r>
              <w:rPr>
                <w:rFonts w:ascii="Arial" w:cs="Arial" w:eastAsia="Arial" w:hAnsi="Arial"/>
                <w:sz w:val="16"/>
                <w:szCs w:val="16"/>
                <w:color w:val="auto"/>
              </w:rPr>
              <w:t>(12)</w:t>
            </w:r>
          </w:p>
        </w:tc>
      </w:tr>
      <w:tr>
        <w:trPr>
          <w:trHeight w:val="281"/>
        </w:trPr>
        <w:tc>
          <w:tcPr>
            <w:tcW w:w="2740" w:type="dxa"/>
            <w:vAlign w:val="bottom"/>
            <w:shd w:val="clear" w:color="auto" w:fill="D8D8D8"/>
          </w:tcPr>
          <w:p>
            <w:pPr>
              <w:spacing w:after="0"/>
              <w:rPr>
                <w:sz w:val="20"/>
                <w:szCs w:val="20"/>
                <w:color w:val="auto"/>
              </w:rPr>
            </w:pPr>
            <w:r>
              <w:rPr>
                <w:rFonts w:ascii="Arial" w:cs="Arial" w:eastAsia="Arial" w:hAnsi="Arial"/>
                <w:sz w:val="16"/>
                <w:szCs w:val="16"/>
                <w:color w:val="auto"/>
              </w:rPr>
              <w:t>Outplacement</w:t>
            </w:r>
          </w:p>
        </w:tc>
        <w:tc>
          <w:tcPr>
            <w:tcW w:w="14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15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25,000</w:t>
            </w:r>
          </w:p>
        </w:tc>
        <w:tc>
          <w:tcPr>
            <w:tcW w:w="540" w:type="dxa"/>
            <w:vAlign w:val="bottom"/>
            <w:shd w:val="clear" w:color="auto" w:fill="D8D8D8"/>
          </w:tcPr>
          <w:p>
            <w:pPr>
              <w:spacing w:after="0"/>
              <w:rPr>
                <w:sz w:val="24"/>
                <w:szCs w:val="24"/>
                <w:color w:val="auto"/>
              </w:rPr>
            </w:pPr>
          </w:p>
        </w:tc>
        <w:tc>
          <w:tcPr>
            <w:tcW w:w="1380" w:type="dxa"/>
            <w:vAlign w:val="bottom"/>
            <w:shd w:val="clear" w:color="auto" w:fill="D8D8D8"/>
          </w:tcPr>
          <w:p>
            <w:pPr>
              <w:jc w:val="right"/>
              <w:ind w:right="221"/>
              <w:spacing w:after="0"/>
              <w:rPr>
                <w:sz w:val="20"/>
                <w:szCs w:val="20"/>
                <w:color w:val="auto"/>
              </w:rPr>
            </w:pPr>
            <w:r>
              <w:rPr>
                <w:rFonts w:ascii="Arial" w:cs="Arial" w:eastAsia="Arial" w:hAnsi="Arial"/>
                <w:sz w:val="16"/>
                <w:szCs w:val="16"/>
                <w:color w:val="auto"/>
              </w:rPr>
              <w:t>N/A</w:t>
            </w:r>
          </w:p>
        </w:tc>
        <w:tc>
          <w:tcPr>
            <w:tcW w:w="1720" w:type="dxa"/>
            <w:vAlign w:val="bottom"/>
            <w:shd w:val="clear" w:color="auto" w:fill="D8D8D8"/>
          </w:tcPr>
          <w:p>
            <w:pPr>
              <w:jc w:val="right"/>
              <w:ind w:right="482"/>
              <w:spacing w:after="0"/>
              <w:rPr>
                <w:sz w:val="20"/>
                <w:szCs w:val="20"/>
                <w:color w:val="auto"/>
              </w:rPr>
            </w:pPr>
            <w:r>
              <w:rPr>
                <w:rFonts w:ascii="Arial" w:cs="Arial" w:eastAsia="Arial" w:hAnsi="Arial"/>
                <w:sz w:val="16"/>
                <w:szCs w:val="16"/>
                <w:color w:val="auto"/>
              </w:rPr>
              <w:t>N/A</w:t>
            </w:r>
          </w:p>
        </w:tc>
        <w:tc>
          <w:tcPr>
            <w:tcW w:w="12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25,000</w:t>
            </w:r>
          </w:p>
        </w:tc>
        <w:tc>
          <w:tcPr>
            <w:tcW w:w="340" w:type="dxa"/>
            <w:vAlign w:val="bottom"/>
            <w:shd w:val="clear" w:color="auto" w:fill="D8D8D8"/>
          </w:tcPr>
          <w:p>
            <w:pPr>
              <w:spacing w:after="0"/>
              <w:rPr>
                <w:sz w:val="24"/>
                <w:szCs w:val="24"/>
                <w:color w:val="auto"/>
              </w:rPr>
            </w:pPr>
          </w:p>
        </w:tc>
      </w:tr>
      <w:tr>
        <w:trPr>
          <w:trHeight w:val="293"/>
        </w:trPr>
        <w:tc>
          <w:tcPr>
            <w:tcW w:w="2740" w:type="dxa"/>
            <w:vAlign w:val="bottom"/>
            <w:tcBorders>
              <w:bottom w:val="single" w:sz="8" w:color="021496"/>
            </w:tcBorders>
            <w:shd w:val="clear" w:color="auto" w:fill="D8D8D8"/>
          </w:tcPr>
          <w:p>
            <w:pPr>
              <w:spacing w:after="0"/>
              <w:rPr>
                <w:sz w:val="20"/>
                <w:szCs w:val="20"/>
                <w:color w:val="auto"/>
              </w:rPr>
            </w:pPr>
            <w:r>
              <w:rPr>
                <w:rFonts w:ascii="Arial" w:cs="Arial" w:eastAsia="Arial" w:hAnsi="Arial"/>
                <w:sz w:val="16"/>
                <w:szCs w:val="16"/>
                <w:b w:val="1"/>
                <w:bCs w:val="1"/>
                <w:i w:val="1"/>
                <w:iCs w:val="1"/>
                <w:color w:val="auto"/>
              </w:rPr>
              <w:t>Total</w:t>
            </w:r>
          </w:p>
        </w:tc>
        <w:tc>
          <w:tcPr>
            <w:tcW w:w="142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52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803,934</w:t>
            </w:r>
          </w:p>
        </w:tc>
        <w:tc>
          <w:tcPr>
            <w:tcW w:w="540" w:type="dxa"/>
            <w:vAlign w:val="bottom"/>
            <w:tcBorders>
              <w:bottom w:val="single" w:sz="8" w:color="021496"/>
            </w:tcBorders>
            <w:shd w:val="clear" w:color="auto" w:fill="D8D8D8"/>
          </w:tcPr>
          <w:p>
            <w:pPr>
              <w:spacing w:after="0"/>
              <w:rPr>
                <w:sz w:val="24"/>
                <w:szCs w:val="24"/>
                <w:color w:val="auto"/>
              </w:rPr>
            </w:pPr>
          </w:p>
        </w:tc>
        <w:tc>
          <w:tcPr>
            <w:tcW w:w="1380" w:type="dxa"/>
            <w:vAlign w:val="bottom"/>
            <w:tcBorders>
              <w:bottom w:val="single" w:sz="8" w:color="021496"/>
            </w:tcBorders>
            <w:shd w:val="clear" w:color="auto" w:fill="D8D8D8"/>
          </w:tcPr>
          <w:p>
            <w:pPr>
              <w:jc w:val="right"/>
              <w:ind w:right="221"/>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021496"/>
            </w:tcBorders>
            <w:shd w:val="clear" w:color="auto" w:fill="D8D8D8"/>
          </w:tcPr>
          <w:p>
            <w:pPr>
              <w:jc w:val="right"/>
              <w:ind w:right="482"/>
              <w:spacing w:after="0"/>
              <w:rPr>
                <w:sz w:val="20"/>
                <w:szCs w:val="20"/>
                <w:color w:val="auto"/>
              </w:rPr>
            </w:pPr>
            <w:r>
              <w:rPr>
                <w:rFonts w:ascii="Arial" w:cs="Arial" w:eastAsia="Arial" w:hAnsi="Arial"/>
                <w:sz w:val="16"/>
                <w:szCs w:val="16"/>
                <w:color w:val="auto"/>
              </w:rPr>
              <w:t>N/A</w:t>
            </w:r>
          </w:p>
        </w:tc>
        <w:tc>
          <w:tcPr>
            <w:tcW w:w="126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3,367,263</w:t>
            </w:r>
          </w:p>
        </w:tc>
        <w:tc>
          <w:tcPr>
            <w:tcW w:w="340" w:type="dxa"/>
            <w:vAlign w:val="bottom"/>
            <w:tcBorders>
              <w:bottom w:val="single" w:sz="8" w:color="021496"/>
            </w:tcBorders>
            <w:shd w:val="clear" w:color="auto" w:fill="D8D8D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-186055</wp:posOffset>
            </wp:positionV>
            <wp:extent cx="51885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88585" cy="8255"/>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-364490</wp:posOffset>
            </wp:positionV>
            <wp:extent cx="518858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88585" cy="8255"/>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-542925</wp:posOffset>
            </wp:positionV>
            <wp:extent cx="518858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88585" cy="8255"/>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-721360</wp:posOffset>
            </wp:positionV>
            <wp:extent cx="518858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88585" cy="8255"/>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-899795</wp:posOffset>
            </wp:positionV>
            <wp:extent cx="518858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88585" cy="8255"/>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-1077595</wp:posOffset>
            </wp:positionV>
            <wp:extent cx="51885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88585" cy="8255"/>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-1256030</wp:posOffset>
            </wp:positionV>
            <wp:extent cx="51885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88585" cy="8255"/>
                    </a:xfrm>
                    <a:prstGeom prst="rect">
                      <a:avLst/>
                    </a:prstGeom>
                    <a:noFill/>
                  </pic:spPr>
                </pic:pic>
              </a:graphicData>
            </a:graphic>
          </wp:anchor>
        </w:drawing>
      </w:r>
    </w:p>
    <w:p>
      <w:pPr>
        <w:spacing w:after="0" w:line="49" w:lineRule="exact"/>
        <w:rPr>
          <w:sz w:val="20"/>
          <w:szCs w:val="20"/>
          <w:color w:val="auto"/>
        </w:rPr>
      </w:pPr>
    </w:p>
    <w:p>
      <w:pPr>
        <w:ind w:left="700" w:hanging="426"/>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Mr. Cerepak is eligible for early retirement for grants awarded through 2020 and normal retirement for grants awarded 2021 onwards, and</w:t>
      </w:r>
    </w:p>
    <w:p>
      <w:pPr>
        <w:spacing w:after="0" w:line="3" w:lineRule="exact"/>
        <w:rPr>
          <w:rFonts w:ascii="Arial" w:cs="Arial" w:eastAsia="Arial" w:hAnsi="Arial"/>
          <w:sz w:val="16"/>
          <w:szCs w:val="16"/>
          <w:color w:val="auto"/>
        </w:rPr>
      </w:pPr>
    </w:p>
    <w:p>
      <w:pPr>
        <w:ind w:left="700" w:right="160"/>
        <w:spacing w:after="0" w:line="244" w:lineRule="auto"/>
        <w:rPr>
          <w:rFonts w:ascii="Arial" w:cs="Arial" w:eastAsia="Arial" w:hAnsi="Arial"/>
          <w:sz w:val="16"/>
          <w:szCs w:val="16"/>
          <w:color w:val="auto"/>
        </w:rPr>
      </w:pPr>
      <w:r>
        <w:rPr>
          <w:rFonts w:ascii="Arial" w:cs="Arial" w:eastAsia="Arial" w:hAnsi="Arial"/>
          <w:sz w:val="16"/>
          <w:szCs w:val="16"/>
          <w:color w:val="auto"/>
        </w:rPr>
        <w:t>Ms. Cabrera is eligible for early retirement for grants under the 2012 and 2021 LTIP. Accordingly, we have assumed that Mr. Cerepak would take early retirement for his grants awarded through 2020 and normal retirement for his grants awarded 2021 onwards, and Ms. Cabrera would take early retirement, rather than voluntary termination.</w:t>
      </w:r>
    </w:p>
    <w:p>
      <w:pPr>
        <w:ind w:left="700" w:right="140" w:hanging="426"/>
        <w:spacing w:after="0" w:line="244" w:lineRule="auto"/>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Dover anticipates allowing anyone eligible for normal retirement or early retirement under the Rule of 65 or the Rule of 70 under the 2012 and 2021 LTIP to take normal or early retirement in the event of involuntary termination. Accordingly, for Mr. Cerepak, this column reflects the applicable early retirement treatment of his performance shares, RSUs, and SSARs, for grants awarded through 2020 and normal retirement treatment for grants awarded 2021 onwards, and for Ms. Cabrera, this column reflects the applicable early retirement treatment of her performance shares, RSUs, and SSARs that would vest within 24 months for grants awarded through 2020 and early retirement treatment of her performance shares, RSUs and SSARs that would vest within 36 months for grants awarded 2021 onwards.</w:t>
      </w:r>
    </w:p>
    <w:p>
      <w:pPr>
        <w:spacing w:after="0" w:line="1" w:lineRule="exact"/>
        <w:rPr>
          <w:rFonts w:ascii="Arial" w:cs="Arial" w:eastAsia="Arial" w:hAnsi="Arial"/>
          <w:sz w:val="16"/>
          <w:szCs w:val="16"/>
          <w:color w:val="auto"/>
        </w:rPr>
      </w:pPr>
    </w:p>
    <w:p>
      <w:pPr>
        <w:ind w:left="700" w:right="120" w:hanging="426"/>
        <w:spacing w:after="0" w:line="244" w:lineRule="auto"/>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NEO whose employment is terminated by us for cause will forfeit all outstanding cash and equity awards, whether or not vested or exercisable. The executive will also forfeit benefits under the PRP in accordance with the PRP terms.</w:t>
      </w:r>
    </w:p>
    <w:p>
      <w:pPr>
        <w:ind w:left="700" w:right="200" w:hanging="426"/>
        <w:spacing w:after="0" w:line="244" w:lineRule="auto"/>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Reflects for Mr. Cerepak the value of unvested SSARs that would vest within 24 months for SSARs granted in 2019 and 2020, and within 60 months for SSARs granted in 2021; for Ms. Cabrera, the value of unvested SSARs that would vest within 24 months for SSARs granted in 2019 and 2020 and within 36 months for SSARs granted in 2021.</w:t>
      </w:r>
    </w:p>
    <w:p>
      <w:pPr>
        <w:ind w:left="700" w:right="420" w:hanging="426"/>
        <w:spacing w:after="0" w:line="244" w:lineRule="auto"/>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Mr. Tobin, the amount is equal to 1.5 times the sum of his annual salary plus target bonus; for the other NEOs, the amounts represent 12 month salary continuation and an annual incentive bonus at target.</w:t>
      </w:r>
    </w:p>
    <w:p>
      <w:pPr>
        <w:ind w:left="700" w:right="460" w:hanging="426"/>
        <w:spacing w:after="0" w:line="244" w:lineRule="auto"/>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a payment equal to 2 times the sum of (i) the executive’s annual salary on the termination date or the change in control date, whichever is higher, and (ii) his or her target annual incentive bonus for the year in which the termination or the date of the change in control occurs, whichever is higher,</w:t>
      </w:r>
    </w:p>
    <w:p>
      <w:pPr>
        <w:ind w:left="700" w:right="60" w:hanging="426"/>
        <w:spacing w:after="0" w:line="244" w:lineRule="auto"/>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payout at target of performance share awards granted under the 2012 LTIP for the 2020-2022 performance period, using $181.60 per share, market closing price on December 31, 2021. This calculation assumes that the Compensation Committee approves payout for the performance period for Mr. Cerepak and Ms. Cabrera.</w:t>
      </w:r>
    </w:p>
    <w:p>
      <w:pPr>
        <w:ind w:left="700" w:right="180" w:hanging="426"/>
        <w:spacing w:after="0" w:line="256" w:lineRule="auto"/>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payout at target of performance share awards granted under the 2012 LTIP for the 2020-2022 and 2021-2023 performance periods, using $181.60 per share, market closing price on December 31, 2021.</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74</w:t>
      </w:r>
    </w:p>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70" w:lineRule="exact"/>
        <w:rPr>
          <w:sz w:val="20"/>
          <w:szCs w:val="20"/>
          <w:color w:val="auto"/>
        </w:rPr>
      </w:pPr>
    </w:p>
    <w:p>
      <w:pPr>
        <w:jc w:val="both"/>
        <w:ind w:left="700" w:hanging="426"/>
        <w:spacing w:after="0" w:line="244" w:lineRule="auto"/>
        <w:tabs>
          <w:tab w:leader="none" w:pos="7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acceleration of vesting of unvested SSAR awards granted under the 2012 LTIP, calculated as the difference between the closing price of $181.60 per share of our common stock on December 31, 2021, and the exercise price of each unvested SSAR award multiplied by the number of shares covered by such award.</w:t>
      </w:r>
    </w:p>
    <w:p>
      <w:pPr>
        <w:ind w:left="700" w:right="120" w:hanging="426"/>
        <w:spacing w:after="0" w:line="244" w:lineRule="auto"/>
        <w:tabs>
          <w:tab w:leader="none" w:pos="7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For Mr. Cerepak the amount reflects the value of unvested RSUs as of December 31, 2021 that will vest within the following 24 months for RSUs granted in 2019 and 2020 and 60 months for RSUs granted in 2021. For Ms. Cabrera the amount reflects the value of unvested RSUs as of December 31, 2021 that will vest within the following 24 months for RSUs granted in 2019 and 2020 and 36 months for RSUs granted in 2021. Mr. Tobin is eligible per his employment agreement to fully vest all sign-on RSUs, and the amount shown represents the one remaining tranche that vests in 2022.</w:t>
      </w:r>
    </w:p>
    <w:p>
      <w:pPr>
        <w:ind w:left="700" w:hanging="426"/>
        <w:spacing w:after="0"/>
        <w:tabs>
          <w:tab w:leader="none" w:pos="7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acceleration of vesting of unvested RSUs granted under the 2012 LTIP.</w:t>
      </w:r>
    </w:p>
    <w:p>
      <w:pPr>
        <w:spacing w:after="0" w:line="3" w:lineRule="exact"/>
        <w:rPr>
          <w:rFonts w:ascii="Arial" w:cs="Arial" w:eastAsia="Arial" w:hAnsi="Arial"/>
          <w:sz w:val="16"/>
          <w:szCs w:val="16"/>
          <w:color w:val="auto"/>
        </w:rPr>
      </w:pPr>
    </w:p>
    <w:p>
      <w:pPr>
        <w:ind w:left="700" w:right="140" w:hanging="426"/>
        <w:spacing w:after="0" w:line="248" w:lineRule="auto"/>
        <w:tabs>
          <w:tab w:leader="none" w:pos="7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COBRA health continuation coverage costs under the severance plan or CIC Severance Plan as applicable. Under the Severance Plan, an executive is entitled to a lump sum payment equal to the then cost of COBRA health continuation coverage for 12 months. Mr. Tobin would receive 18 months COBRA per his employment agreement; under the CIC Severance Plan, the COBRA lump sum payments for Mr. Tobin and all the NEOs would receive 24 months.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75</w:t>
      </w:r>
    </w:p>
    <w:p>
      <w:pPr>
        <w:sectPr>
          <w:pgSz w:w="11900" w:h="16838" w:orient="portrait"/>
          <w:cols w:equalWidth="0" w:num="1">
            <w:col w:w="11080"/>
          </w:cols>
          <w:pgMar w:left="320" w:top="456"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left="160" w:right="40"/>
        <w:spacing w:after="0" w:line="274" w:lineRule="auto"/>
        <w:rPr>
          <w:sz w:val="20"/>
          <w:szCs w:val="20"/>
          <w:color w:val="auto"/>
        </w:rPr>
      </w:pPr>
      <w:r>
        <w:rPr>
          <w:rFonts w:ascii="Arial" w:cs="Arial" w:eastAsia="Arial" w:hAnsi="Arial"/>
          <w:sz w:val="36"/>
          <w:szCs w:val="36"/>
          <w:b w:val="1"/>
          <w:bCs w:val="1"/>
          <w:color w:val="021496"/>
        </w:rPr>
        <w:t>Proposal 3 — Advisory Resolution to Approve Named Executive Officer Compensation</w:t>
      </w:r>
    </w:p>
    <w:p>
      <w:pPr>
        <w:spacing w:after="0" w:line="146" w:lineRule="exact"/>
        <w:rPr>
          <w:sz w:val="20"/>
          <w:szCs w:val="20"/>
          <w:color w:val="auto"/>
        </w:rPr>
      </w:pPr>
    </w:p>
    <w:p>
      <w:pPr>
        <w:ind w:left="160" w:right="720"/>
        <w:spacing w:after="0" w:line="256" w:lineRule="auto"/>
        <w:rPr>
          <w:sz w:val="20"/>
          <w:szCs w:val="20"/>
          <w:color w:val="auto"/>
        </w:rPr>
      </w:pPr>
      <w:r>
        <w:rPr>
          <w:rFonts w:ascii="Arial" w:cs="Arial" w:eastAsia="Arial" w:hAnsi="Arial"/>
          <w:sz w:val="16"/>
          <w:szCs w:val="16"/>
          <w:color w:val="auto"/>
        </w:rPr>
        <w:t>Each year, we offer our shareholders an opportunity to vote to approve, on an advisory and nonbinding basis, the compensation of our NEOs as disclosed in this Proxy Statement in accordance with Section 14A of the Exchange Act.</w:t>
      </w:r>
    </w:p>
    <w:p>
      <w:pPr>
        <w:spacing w:after="0" w:line="89" w:lineRule="exact"/>
        <w:rPr>
          <w:sz w:val="20"/>
          <w:szCs w:val="20"/>
          <w:color w:val="auto"/>
        </w:rPr>
      </w:pPr>
    </w:p>
    <w:p>
      <w:pPr>
        <w:jc w:val="both"/>
        <w:ind w:left="160" w:right="460"/>
        <w:spacing w:after="0" w:line="250" w:lineRule="auto"/>
        <w:rPr>
          <w:sz w:val="20"/>
          <w:szCs w:val="20"/>
          <w:color w:val="auto"/>
        </w:rPr>
      </w:pPr>
      <w:r>
        <w:rPr>
          <w:rFonts w:ascii="Arial" w:cs="Arial" w:eastAsia="Arial" w:hAnsi="Arial"/>
          <w:sz w:val="16"/>
          <w:szCs w:val="16"/>
          <w:color w:val="auto"/>
        </w:rPr>
        <w:t>We are asking our shareholders to indicate their support for our NEO compensation as described in this Proxy Statement. This proposal, commonly known as a “Say on Pay” proposal, gives our shareholders the opportunity to express their views on our NEOs’ compensation. We believe that our compensation programs are well designed and reinforce our strategic focus on continued revenue and profit growth.</w:t>
      </w:r>
    </w:p>
    <w:p>
      <w:pPr>
        <w:spacing w:after="0" w:line="94" w:lineRule="exact"/>
        <w:rPr>
          <w:sz w:val="20"/>
          <w:szCs w:val="20"/>
          <w:color w:val="auto"/>
        </w:rPr>
      </w:pPr>
    </w:p>
    <w:p>
      <w:pPr>
        <w:ind w:left="160" w:right="180"/>
        <w:spacing w:after="0" w:line="246" w:lineRule="auto"/>
        <w:rPr>
          <w:sz w:val="20"/>
          <w:szCs w:val="20"/>
          <w:color w:val="auto"/>
        </w:rPr>
      </w:pPr>
      <w:r>
        <w:rPr>
          <w:rFonts w:ascii="Arial" w:cs="Arial" w:eastAsia="Arial" w:hAnsi="Arial"/>
          <w:sz w:val="16"/>
          <w:szCs w:val="16"/>
          <w:color w:val="auto"/>
        </w:rPr>
        <w:t>Our Board has a strong history of engaging with shareholders and soliciting feedback on a range of topics, including our executive compensation program. Historically, our program has received strong shareholder support as expressed during our one-on-one engagement discussions with shareholders and through our Say on Pay vote levels. At our 2021 annual meeting, approximately 93% of the voting shareholders approved the compensation of the NEOs. At our 2020 annual meeting, over approximately 96% of the voting shareholders approved the compensation of the NEOs. The Compensation Committee will continue to consider feedback from shareholders, as well as the results from future shareholder advisory votes, in its ongoing evaluation of executive compensation programs and practices at Dover.</w:t>
      </w:r>
    </w:p>
    <w:p>
      <w:pPr>
        <w:spacing w:after="0" w:line="99"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NEOs and the philosophy, policies and practices described in this Proxy Statement. Accordingly, we ask our shareholders to vote “FOR” the following resolution at the Annual Meeting:</w:t>
      </w:r>
    </w:p>
    <w:p>
      <w:pPr>
        <w:spacing w:after="0" w:line="89" w:lineRule="exact"/>
        <w:rPr>
          <w:sz w:val="20"/>
          <w:szCs w:val="20"/>
          <w:color w:val="auto"/>
        </w:rPr>
      </w:pPr>
    </w:p>
    <w:p>
      <w:pPr>
        <w:ind w:left="600" w:right="120"/>
        <w:spacing w:after="0" w:line="248" w:lineRule="auto"/>
        <w:rPr>
          <w:sz w:val="20"/>
          <w:szCs w:val="20"/>
          <w:color w:val="auto"/>
        </w:rPr>
      </w:pPr>
      <w:r>
        <w:rPr>
          <w:rFonts w:ascii="Arial" w:cs="Arial" w:eastAsia="Arial" w:hAnsi="Arial"/>
          <w:sz w:val="16"/>
          <w:szCs w:val="16"/>
          <w:color w:val="auto"/>
        </w:rPr>
        <w:t>“RESOLVED, that Dover’s shareholders approve, on an advisory basis, the compensation of the named executive officers, as disclosed in Dover’s Proxy Statement for the 2022 Annual Meeting of Shareholders pursuant to the compensation disclosure rules of the Securities and Exchange Commission, including the Compensation Discussion and Analysis, the Summary Compensation Table and the other related tables and disclosures.”</w:t>
      </w:r>
    </w:p>
    <w:p>
      <w:pPr>
        <w:spacing w:after="0" w:line="95" w:lineRule="exact"/>
        <w:rPr>
          <w:sz w:val="20"/>
          <w:szCs w:val="20"/>
          <w:color w:val="auto"/>
        </w:rPr>
      </w:pPr>
    </w:p>
    <w:p>
      <w:pPr>
        <w:jc w:val="both"/>
        <w:ind w:left="160" w:right="440"/>
        <w:spacing w:after="0" w:line="248" w:lineRule="auto"/>
        <w:rPr>
          <w:sz w:val="20"/>
          <w:szCs w:val="20"/>
          <w:color w:val="auto"/>
        </w:rPr>
      </w:pPr>
      <w:r>
        <w:rPr>
          <w:rFonts w:ascii="Arial" w:cs="Arial" w:eastAsia="Arial" w:hAnsi="Arial"/>
          <w:sz w:val="16"/>
          <w:szCs w:val="16"/>
          <w:color w:val="auto"/>
        </w:rPr>
        <w:t>The Say on Pay vote is advisory and therefore not binding on Dover, our Compensation Committee or our Board. Our Board and our Compensation Committee value the opinions of our shareholders and, to the extent there is any significant vote against the NEO compensation as disclosed in this Proxy Statement, we will consider our shareholders’ concerns and the Compensation Committee will evaluate whether any actions are necessary to address those concerns.</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THE BOARD RECOMMENDS A VOTE “FOR” THE APPROVAL OF THE COMPENSATION OF</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OUR NEOs, AS DISCLOSED IN THIS PROXY STATEMENT.</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76</w:t>
      </w:r>
    </w:p>
    <w:p>
      <w:pPr>
        <w:sectPr>
          <w:pgSz w:w="11900" w:h="16838" w:orient="portrait"/>
          <w:cols w:equalWidth="0" w:num="1">
            <w:col w:w="11080"/>
          </w:cols>
          <w:pgMar w:left="320" w:top="456"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Shareholder Proposal</w:t>
      </w:r>
    </w:p>
    <w:p>
      <w:pPr>
        <w:spacing w:after="0" w:line="362" w:lineRule="exact"/>
        <w:rPr>
          <w:sz w:val="20"/>
          <w:szCs w:val="20"/>
          <w:color w:val="auto"/>
        </w:rPr>
      </w:pPr>
    </w:p>
    <w:p>
      <w:pPr>
        <w:ind w:left="160" w:right="220"/>
        <w:spacing w:after="0" w:line="274" w:lineRule="auto"/>
        <w:rPr>
          <w:sz w:val="20"/>
          <w:szCs w:val="20"/>
          <w:color w:val="auto"/>
        </w:rPr>
      </w:pPr>
      <w:r>
        <w:rPr>
          <w:rFonts w:ascii="Arial" w:cs="Arial" w:eastAsia="Arial" w:hAnsi="Arial"/>
          <w:sz w:val="36"/>
          <w:szCs w:val="36"/>
          <w:b w:val="1"/>
          <w:bCs w:val="1"/>
          <w:color w:val="021496"/>
        </w:rPr>
        <w:t>Proposal 4 — Shareholder Proposal Regarding the Right to Act by Written Consent</w:t>
      </w:r>
    </w:p>
    <w:p>
      <w:pPr>
        <w:spacing w:after="0" w:line="39"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John Chevedden, 2215 Nelson Avenue, No. 205, Redondo Beach, California 90278, beneficial owner of no fewer than 50 shares of Dover’s common stock, has given notice that he intends to present a proposal for consideration at the Annual Meeting. In accordance with SEC rules, John Chevedden’s proposed resolution and supporting statement are printed verbatim below. The Board accepts no responsibility for the content or accuracy of the proposal and the supporting statement.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4 — Shareholder Right to Act by Written Consent</w:t>
      </w:r>
    </w:p>
    <w:p>
      <w:pPr>
        <w:spacing w:after="0" w:line="130" w:lineRule="exact"/>
        <w:rPr>
          <w:sz w:val="20"/>
          <w:szCs w:val="20"/>
          <w:color w:val="auto"/>
        </w:rPr>
      </w:pPr>
    </w:p>
    <w:p>
      <w:pPr>
        <w:ind w:left="160" w:right="200"/>
        <w:spacing w:after="0" w:line="250" w:lineRule="auto"/>
        <w:rPr>
          <w:sz w:val="20"/>
          <w:szCs w:val="20"/>
          <w:color w:val="auto"/>
        </w:rPr>
      </w:pPr>
      <w:r>
        <w:rPr>
          <w:rFonts w:ascii="Arial" w:cs="Arial" w:eastAsia="Arial" w:hAnsi="Arial"/>
          <w:sz w:val="16"/>
          <w:szCs w:val="16"/>
          <w:color w:val="auto"/>
        </w:rPr>
        <w:t>Shareholders request that our board of directors take the necessary steps to permit written consent by the shareholders entitled to cast the minimum number of votes that would be necessary to authorize an action at a meeting at which all shareholders entitled to vote thereon were present and voting. This includes that one shareholder shall be able to perform the ministerial function of asking for a record date.</w:t>
      </w:r>
    </w:p>
    <w:p>
      <w:pPr>
        <w:spacing w:after="0" w:line="94"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This proposal is on the ballot because management used misleading statements to resist this proposal in 2021. Thus the 2021 shareholder vote on this proposal topic was tainted by Dover management’s use of misleading statements.</w:t>
      </w:r>
    </w:p>
    <w:p>
      <w:pPr>
        <w:spacing w:after="0" w:line="89"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Dover management claimed that with written consent shareholders would not receive ample advance notice. This is misleading because written consent can be structured so that all shareholders receive ample advance notice.</w:t>
      </w:r>
    </w:p>
    <w:p>
      <w:pPr>
        <w:spacing w:after="0" w:line="89" w:lineRule="exact"/>
        <w:rPr>
          <w:sz w:val="20"/>
          <w:szCs w:val="20"/>
          <w:color w:val="auto"/>
        </w:rPr>
      </w:pPr>
    </w:p>
    <w:p>
      <w:pPr>
        <w:ind w:left="160" w:right="360"/>
        <w:spacing w:after="0" w:line="256" w:lineRule="auto"/>
        <w:rPr>
          <w:sz w:val="20"/>
          <w:szCs w:val="20"/>
          <w:color w:val="auto"/>
        </w:rPr>
      </w:pPr>
      <w:r>
        <w:rPr>
          <w:rFonts w:ascii="Arial" w:cs="Arial" w:eastAsia="Arial" w:hAnsi="Arial"/>
          <w:sz w:val="16"/>
          <w:szCs w:val="16"/>
          <w:color w:val="auto"/>
        </w:rPr>
        <w:t>Dover management also clamed that Dover had a “robust shareholder engagement program.” If the management statement next to the 2021 written consent proposal is typical, then the so called “robust shareholder engagement” is based on Dover management attempting to mislead shareholders.</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Due to management’s attempt to mislead shareholders a whole year was wasted in presenting this proposal topic to shareholders.</w:t>
      </w:r>
    </w:p>
    <w:p>
      <w:pPr>
        <w:spacing w:after="0" w:line="110" w:lineRule="exact"/>
        <w:rPr>
          <w:sz w:val="20"/>
          <w:szCs w:val="20"/>
          <w:color w:val="auto"/>
        </w:rPr>
      </w:pPr>
    </w:p>
    <w:p>
      <w:pPr>
        <w:ind w:left="160" w:right="460"/>
        <w:spacing w:after="0" w:line="250" w:lineRule="auto"/>
        <w:rPr>
          <w:sz w:val="20"/>
          <w:szCs w:val="20"/>
          <w:color w:val="auto"/>
        </w:rPr>
      </w:pPr>
      <w:r>
        <w:rPr>
          <w:rFonts w:ascii="Arial" w:cs="Arial" w:eastAsia="Arial" w:hAnsi="Arial"/>
          <w:sz w:val="16"/>
          <w:szCs w:val="16"/>
          <w:color w:val="auto"/>
        </w:rPr>
        <w:t>When reading the management statement next to the 2022 written consent proposal please remember that there is a formal process to root out any supposedly misleading shareholder text in a shareholder proposal but there is no formal process to root out misleading management text next to a shareholder proposal.</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This proposal topic won impressive 85%-support at the 2021 Conagra annual meeting without any special effort by the shareholder proponent.</w:t>
      </w:r>
    </w:p>
    <w:p>
      <w:pPr>
        <w:spacing w:after="0" w:line="110" w:lineRule="exact"/>
        <w:rPr>
          <w:sz w:val="20"/>
          <w:szCs w:val="20"/>
          <w:color w:val="auto"/>
        </w:rPr>
      </w:pPr>
    </w:p>
    <w:p>
      <w:pPr>
        <w:ind w:left="160" w:right="280"/>
        <w:spacing w:after="0" w:line="256" w:lineRule="auto"/>
        <w:rPr>
          <w:sz w:val="20"/>
          <w:szCs w:val="20"/>
          <w:color w:val="auto"/>
        </w:rPr>
      </w:pPr>
      <w:r>
        <w:rPr>
          <w:rFonts w:ascii="Arial" w:cs="Arial" w:eastAsia="Arial" w:hAnsi="Arial"/>
          <w:sz w:val="16"/>
          <w:szCs w:val="16"/>
          <w:color w:val="auto"/>
        </w:rPr>
        <w:t>A reasonable shareholder right to act by written consent can make shareholder engagement meaningful. If management is insincere in its shareholder engagement, a right for shareholders to act by written consent in our bylaws can make management think twice about insincerity.</w:t>
      </w:r>
    </w:p>
    <w:p>
      <w:pPr>
        <w:spacing w:after="0" w:line="89" w:lineRule="exact"/>
        <w:rPr>
          <w:sz w:val="20"/>
          <w:szCs w:val="20"/>
          <w:color w:val="auto"/>
        </w:rPr>
      </w:pPr>
    </w:p>
    <w:p>
      <w:pPr>
        <w:ind w:left="160" w:right="460"/>
        <w:spacing w:after="0" w:line="256" w:lineRule="auto"/>
        <w:rPr>
          <w:sz w:val="20"/>
          <w:szCs w:val="20"/>
          <w:color w:val="auto"/>
        </w:rPr>
      </w:pPr>
      <w:r>
        <w:rPr>
          <w:rFonts w:ascii="Arial" w:cs="Arial" w:eastAsia="Arial" w:hAnsi="Arial"/>
          <w:sz w:val="16"/>
          <w:szCs w:val="16"/>
          <w:color w:val="auto"/>
        </w:rPr>
        <w:t>A shareholder right to act by written consent in our bylaws will help ensure that management engages with shareholders in good faith because shareholders will have a viable Plan B through acting by written consent. Our bylaws give no assurance that shareholder engagement will continue.</w:t>
      </w:r>
    </w:p>
    <w:p>
      <w:pPr>
        <w:spacing w:after="0" w:line="8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Please vote yes:</w:t>
      </w:r>
    </w:p>
    <w:p>
      <w:pPr>
        <w:spacing w:after="0" w:line="90"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Shareholder Right to Act by Written Consent — Proposal 4</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77</w:t>
      </w:r>
    </w:p>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SHAREHOLDER PROPOSAL</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1496"/>
        </w:rPr>
        <w:t>Opposition Statement of the Board of Directors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1496"/>
        </w:rPr>
        <w:t>THE BOARD OF DIRECTORS RECOMMENDS A VOTE “AGAINST” THE PROPOSAL FOR THE FOLLOWING REASONS:</w:t>
      </w:r>
    </w:p>
    <w:p>
      <w:pPr>
        <w:spacing w:after="0" w:line="130" w:lineRule="exact"/>
        <w:rPr>
          <w:sz w:val="20"/>
          <w:szCs w:val="20"/>
          <w:color w:val="auto"/>
        </w:rPr>
      </w:pPr>
    </w:p>
    <w:p>
      <w:pPr>
        <w:ind w:left="160" w:right="160"/>
        <w:spacing w:after="0" w:line="248" w:lineRule="auto"/>
        <w:rPr>
          <w:sz w:val="20"/>
          <w:szCs w:val="20"/>
          <w:color w:val="auto"/>
        </w:rPr>
      </w:pPr>
      <w:r>
        <w:rPr>
          <w:rFonts w:ascii="Arial" w:cs="Arial" w:eastAsia="Arial" w:hAnsi="Arial"/>
          <w:sz w:val="16"/>
          <w:szCs w:val="16"/>
          <w:color w:val="auto"/>
        </w:rPr>
        <w:t>The Board is committed to strong corporate governance and responsiveness to Dover’s shareholders and believes in maintaining policies and practices that serve the best interests of all shareholders. After careful consideration, the Board has determined that the proposal is not in the best interests of Dover and its shareholders. The Board believes that a written consent right is unnecessary given the ability of our shareholders holding 15% or more of our outstanding shares to call special meetings of shareholders.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1496"/>
        </w:rPr>
        <w:t>The proposal would deprive the right of all shareholders to be consulted on important matters concerning their investment in Dover.</w:t>
      </w:r>
    </w:p>
    <w:p>
      <w:pPr>
        <w:spacing w:after="0" w:line="130" w:lineRule="exact"/>
        <w:rPr>
          <w:sz w:val="20"/>
          <w:szCs w:val="20"/>
          <w:color w:val="auto"/>
        </w:rPr>
      </w:pPr>
    </w:p>
    <w:p>
      <w:pPr>
        <w:ind w:left="160" w:right="60"/>
        <w:spacing w:after="0" w:line="245" w:lineRule="auto"/>
        <w:rPr>
          <w:sz w:val="20"/>
          <w:szCs w:val="20"/>
          <w:color w:val="auto"/>
        </w:rPr>
      </w:pPr>
      <w:r>
        <w:rPr>
          <w:rFonts w:ascii="Arial" w:cs="Arial" w:eastAsia="Arial" w:hAnsi="Arial"/>
          <w:sz w:val="16"/>
          <w:szCs w:val="16"/>
          <w:color w:val="auto"/>
        </w:rPr>
        <w:t>Our governing documents require that actions subject to a shareholder vote be considered at a meeting of shareholders. This requirement ensures that all shareholders receive advance notice of the proposed action and have an opportunity to discuss it and consider all points of view. In contrast, the proposal would allow one group of shareholders to approve and adopt critical actions relating to the company without notice to other shareholders and without an opportunity for discussion at a shareholder meeting. Action by written consent can occur with little or no advance notice to the Company, other shareholders or the market. As a result, the Board may not have a meaningful opportunity to consider the merits of the proposed action, to consider alternative courses of action or to communicate its views to shareholders. Therefore, this proposal, if adopted, could disenfranchise shareholders and may deprive them of their rights, while enabling other short-term or special interest investors to approve proposals that are not in the best interest of all shareholders. Because of these deficiencies, the Board believes that the written consent process is not appropriate for a widely held public company like Dover.</w:t>
      </w:r>
    </w:p>
    <w:p>
      <w:pPr>
        <w:spacing w:after="0" w:line="82" w:lineRule="exact"/>
        <w:rPr>
          <w:sz w:val="20"/>
          <w:szCs w:val="20"/>
          <w:color w:val="auto"/>
        </w:rPr>
      </w:pPr>
    </w:p>
    <w:p>
      <w:pPr>
        <w:ind w:left="160" w:right="280"/>
        <w:spacing w:after="0" w:line="282" w:lineRule="auto"/>
        <w:rPr>
          <w:sz w:val="20"/>
          <w:szCs w:val="20"/>
          <w:color w:val="auto"/>
        </w:rPr>
      </w:pPr>
      <w:r>
        <w:rPr>
          <w:rFonts w:ascii="Arial" w:cs="Arial" w:eastAsia="Arial" w:hAnsi="Arial"/>
          <w:sz w:val="16"/>
          <w:szCs w:val="16"/>
          <w:b w:val="1"/>
          <w:bCs w:val="1"/>
          <w:color w:val="021496"/>
        </w:rPr>
        <w:t>We have a robust shareholder engagement program and our shareholders have indicated that a 15% special meeting right is preferable to a written consent right.</w:t>
      </w:r>
    </w:p>
    <w:p>
      <w:pPr>
        <w:spacing w:after="0" w:line="69"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auto"/>
        </w:rPr>
        <w:t>In 2021, we continued our focus on regularly engaging with our shareholders. We reached out to holders of approximately 60% of our shares outstanding, and engaged with governance professionals and/or portfolio managers at investors holding approximately 31% of our shares outstanding. As described under “Shareholder Engagement and History of Board Responsiveness” on pages 31 through 32, engagement topics included diversity and inclusion, ESG, compensation, and governance matters. Although shareholders possess a variety of views, many of our shareholders expressed that the right to act by written consent was unnecessary in light of our shareholders’ right to call special meetings. Moreover, to the extent some shareholders desired greater rights, the overall feedback was that the adoption in 2020 of a 15% ownership threshold for special meetings was preferable to a written consent right.</w:t>
      </w:r>
    </w:p>
    <w:p>
      <w:pPr>
        <w:spacing w:after="0" w:line="286"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auto"/>
        </w:rPr>
        <w:t>Our shareholder right to call special meetings allows shareholders to propose actions without waiting for our next annual meeting. A special meeting right set at an appropriate threshold is preferable to action by written consent because a meeting allows all shareholders to participate in, and discuss the merits of, a proposed action, and allows the Board to make a thoughtful recommendation about the action. As a result, a strong shareholder special meeting right is better suited to a culture of transparency and good corporate governance.</w:t>
      </w:r>
    </w:p>
    <w:p>
      <w:pPr>
        <w:spacing w:after="0" w:line="95"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The Board believes that having a special meeting right at a 15% ownership threshold strikes the right balance for Dover, as it is a low enough threshold to provide a meaningful right for shareholders to act between annual meetings yet high enough to prevent a single shareholder (or small group of shareholders) from acting without broad shareholder support.</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1496"/>
        </w:rPr>
        <w:t>Our shareholders voted against substantially similar shareholder proposals at our 2021 and 2020 annual meetings.</w:t>
      </w:r>
    </w:p>
    <w:p>
      <w:pPr>
        <w:spacing w:after="0" w:line="130"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The same shareholder proponent submitted at each of our last two annual meetings a substantially similar shareholder proposal regarding the right to act by written consent. Consistent with the views expressed by many shareholders in the course of shareholder engagement, a majority of shareholders have rejected these proposals at each of the 2020 and 2021 annual meetings, with each proposal receiving support from only 32 to 33 percent of the votes cast at each of the meetings.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78</w:t>
      </w:r>
    </w:p>
    <w:p>
      <w:pPr>
        <w:sectPr>
          <w:pgSz w:w="11900" w:h="16838" w:orient="portrait"/>
          <w:cols w:equalWidth="0" w:num="1">
            <w:col w:w="11080"/>
          </w:cols>
          <w:pgMar w:left="320" w:top="456"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SHAREHOLDER PROPOSAL</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1496"/>
        </w:rPr>
        <w:t>We have a strong corporate governance structure and a record of responsiveness and accountability.</w:t>
      </w:r>
    </w:p>
    <w:p>
      <w:pPr>
        <w:spacing w:after="0" w:line="130" w:lineRule="exact"/>
        <w:rPr>
          <w:sz w:val="20"/>
          <w:szCs w:val="20"/>
          <w:color w:val="auto"/>
        </w:rPr>
      </w:pPr>
    </w:p>
    <w:p>
      <w:pPr>
        <w:ind w:left="160" w:right="200"/>
        <w:spacing w:after="0" w:line="248" w:lineRule="auto"/>
        <w:rPr>
          <w:sz w:val="20"/>
          <w:szCs w:val="20"/>
          <w:color w:val="auto"/>
        </w:rPr>
      </w:pPr>
      <w:r>
        <w:rPr>
          <w:rFonts w:ascii="Arial" w:cs="Arial" w:eastAsia="Arial" w:hAnsi="Arial"/>
          <w:sz w:val="16"/>
          <w:szCs w:val="16"/>
          <w:color w:val="auto"/>
        </w:rPr>
        <w:t>Our corporate governance structure reflects a significant and ongoing commitment to strong and effective corporate governance and accountability and responsiveness to shareholders. Our Board regularly assesses and refines our governance policies and procedures to take into account evolving best practices and to address feedback provided by our shareholders during our engagement with them. In addition to our 15% special meeting right, other corporate governance practices that reflect our accountability and responsiveness to shareholders include:</w:t>
      </w:r>
    </w:p>
    <w:p>
      <w:pPr>
        <w:spacing w:after="0" w:line="93" w:lineRule="exact"/>
        <w:rPr>
          <w:sz w:val="20"/>
          <w:szCs w:val="20"/>
          <w:color w:val="auto"/>
        </w:rPr>
      </w:pPr>
    </w:p>
    <w:p>
      <w:pPr>
        <w:ind w:left="1020" w:hanging="425"/>
        <w:spacing w:after="0"/>
        <w:tabs>
          <w:tab w:leader="none" w:pos="1020" w:val="left"/>
        </w:tabs>
        <w:numPr>
          <w:ilvl w:val="0"/>
          <w:numId w:val="83"/>
        </w:numPr>
        <w:rPr>
          <w:rFonts w:ascii="MS PGothic" w:cs="MS PGothic" w:eastAsia="MS PGothic" w:hAnsi="MS PGothic"/>
          <w:sz w:val="16"/>
          <w:szCs w:val="16"/>
          <w:color w:val="021496"/>
        </w:rPr>
      </w:pPr>
      <w:r>
        <w:rPr>
          <w:rFonts w:ascii="Arial" w:cs="Arial" w:eastAsia="Arial" w:hAnsi="Arial"/>
          <w:sz w:val="16"/>
          <w:szCs w:val="16"/>
          <w:i w:val="1"/>
          <w:iCs w:val="1"/>
          <w:u w:val="single" w:color="auto"/>
          <w:color w:val="021496"/>
        </w:rPr>
        <w:t>Annual Election of Directors</w:t>
      </w:r>
      <w:r>
        <w:rPr>
          <w:rFonts w:ascii="Arial" w:cs="Arial" w:eastAsia="Arial" w:hAnsi="Arial"/>
          <w:sz w:val="16"/>
          <w:szCs w:val="16"/>
          <w:i w:val="1"/>
          <w:iCs w:val="1"/>
          <w:color w:val="021496"/>
        </w:rPr>
        <w:t xml:space="preserve"> </w:t>
      </w:r>
      <w:r>
        <w:rPr>
          <w:rFonts w:ascii="Arial" w:cs="Arial" w:eastAsia="Arial" w:hAnsi="Arial"/>
          <w:sz w:val="16"/>
          <w:szCs w:val="16"/>
          <w:color w:val="000000"/>
        </w:rPr>
        <w:t>– All of our directors are elected on an annual basis.</w:t>
      </w:r>
    </w:p>
    <w:p>
      <w:pPr>
        <w:spacing w:after="0" w:line="136" w:lineRule="exact"/>
        <w:rPr>
          <w:rFonts w:ascii="MS PGothic" w:cs="MS PGothic" w:eastAsia="MS PGothic" w:hAnsi="MS PGothic"/>
          <w:sz w:val="16"/>
          <w:szCs w:val="16"/>
          <w:color w:val="021496"/>
        </w:rPr>
      </w:pPr>
    </w:p>
    <w:p>
      <w:pPr>
        <w:ind w:left="1020" w:right="20" w:hanging="425"/>
        <w:spacing w:after="0" w:line="277" w:lineRule="auto"/>
        <w:tabs>
          <w:tab w:leader="none" w:pos="1020" w:val="left"/>
        </w:tabs>
        <w:numPr>
          <w:ilvl w:val="0"/>
          <w:numId w:val="83"/>
        </w:numPr>
        <w:rPr>
          <w:rFonts w:ascii="MS PGothic" w:cs="MS PGothic" w:eastAsia="MS PGothic" w:hAnsi="MS PGothic"/>
          <w:sz w:val="16"/>
          <w:szCs w:val="16"/>
          <w:color w:val="021496"/>
        </w:rPr>
      </w:pPr>
      <w:r>
        <w:rPr>
          <w:rFonts w:ascii="Arial" w:cs="Arial" w:eastAsia="Arial" w:hAnsi="Arial"/>
          <w:sz w:val="16"/>
          <w:szCs w:val="16"/>
          <w:i w:val="1"/>
          <w:iCs w:val="1"/>
          <w:u w:val="single" w:color="auto"/>
          <w:color w:val="021496"/>
        </w:rPr>
        <w:t>Majority Voting Standard in Director Elections</w:t>
      </w:r>
      <w:r>
        <w:rPr>
          <w:rFonts w:ascii="Arial" w:cs="Arial" w:eastAsia="Arial" w:hAnsi="Arial"/>
          <w:sz w:val="16"/>
          <w:szCs w:val="16"/>
          <w:i w:val="1"/>
          <w:iCs w:val="1"/>
          <w:color w:val="021496"/>
        </w:rPr>
        <w:t xml:space="preserve"> </w:t>
      </w:r>
      <w:r>
        <w:rPr>
          <w:rFonts w:ascii="Arial" w:cs="Arial" w:eastAsia="Arial" w:hAnsi="Arial"/>
          <w:sz w:val="16"/>
          <w:szCs w:val="16"/>
          <w:color w:val="000000"/>
        </w:rPr>
        <w:t>– Directors must receive a majority vote to be elected in an uncontested election, and a director</w:t>
      </w:r>
      <w:r>
        <w:rPr>
          <w:rFonts w:ascii="Arial" w:cs="Arial" w:eastAsia="Arial" w:hAnsi="Arial"/>
          <w:sz w:val="16"/>
          <w:szCs w:val="16"/>
          <w:i w:val="1"/>
          <w:iCs w:val="1"/>
          <w:color w:val="021496"/>
        </w:rPr>
        <w:t xml:space="preserve"> </w:t>
      </w:r>
      <w:r>
        <w:rPr>
          <w:rFonts w:ascii="Arial" w:cs="Arial" w:eastAsia="Arial" w:hAnsi="Arial"/>
          <w:sz w:val="16"/>
          <w:szCs w:val="16"/>
          <w:color w:val="000000"/>
        </w:rPr>
        <w:t>who fails to receive a majority vote must tender his or her resignation under our director resignation policy.</w:t>
      </w:r>
    </w:p>
    <w:p>
      <w:pPr>
        <w:spacing w:after="0" w:line="70" w:lineRule="exact"/>
        <w:rPr>
          <w:rFonts w:ascii="MS PGothic" w:cs="MS PGothic" w:eastAsia="MS PGothic" w:hAnsi="MS PGothic"/>
          <w:sz w:val="16"/>
          <w:szCs w:val="16"/>
          <w:color w:val="021496"/>
        </w:rPr>
      </w:pPr>
    </w:p>
    <w:p>
      <w:pPr>
        <w:ind w:left="1020" w:right="340" w:hanging="425"/>
        <w:spacing w:after="0" w:line="260" w:lineRule="auto"/>
        <w:tabs>
          <w:tab w:leader="none" w:pos="1020" w:val="left"/>
        </w:tabs>
        <w:numPr>
          <w:ilvl w:val="0"/>
          <w:numId w:val="83"/>
        </w:numPr>
        <w:rPr>
          <w:rFonts w:ascii="MS PGothic" w:cs="MS PGothic" w:eastAsia="MS PGothic" w:hAnsi="MS PGothic"/>
          <w:sz w:val="16"/>
          <w:szCs w:val="16"/>
          <w:color w:val="021496"/>
        </w:rPr>
      </w:pPr>
      <w:r>
        <w:rPr>
          <w:rFonts w:ascii="Arial" w:cs="Arial" w:eastAsia="Arial" w:hAnsi="Arial"/>
          <w:sz w:val="16"/>
          <w:szCs w:val="16"/>
          <w:i w:val="1"/>
          <w:iCs w:val="1"/>
          <w:u w:val="single" w:color="auto"/>
          <w:color w:val="021496"/>
        </w:rPr>
        <w:t>Proxy Access</w:t>
      </w:r>
      <w:r>
        <w:rPr>
          <w:rFonts w:ascii="Arial" w:cs="Arial" w:eastAsia="Arial" w:hAnsi="Arial"/>
          <w:sz w:val="16"/>
          <w:szCs w:val="16"/>
          <w:i w:val="1"/>
          <w:iCs w:val="1"/>
          <w:color w:val="021496"/>
        </w:rPr>
        <w:t xml:space="preserve"> </w:t>
      </w:r>
      <w:r>
        <w:rPr>
          <w:rFonts w:ascii="Arial" w:cs="Arial" w:eastAsia="Arial" w:hAnsi="Arial"/>
          <w:sz w:val="16"/>
          <w:szCs w:val="16"/>
          <w:color w:val="000000"/>
        </w:rPr>
        <w:t>– Under our by-laws, a shareholder, or a group of up to 20 shareholders, owning at least three percent of our outstanding</w:t>
      </w:r>
      <w:r>
        <w:rPr>
          <w:rFonts w:ascii="Arial" w:cs="Arial" w:eastAsia="Arial" w:hAnsi="Arial"/>
          <w:sz w:val="16"/>
          <w:szCs w:val="16"/>
          <w:i w:val="1"/>
          <w:iCs w:val="1"/>
          <w:color w:val="021496"/>
        </w:rPr>
        <w:t xml:space="preserve"> </w:t>
      </w:r>
      <w:r>
        <w:rPr>
          <w:rFonts w:ascii="Arial" w:cs="Arial" w:eastAsia="Arial" w:hAnsi="Arial"/>
          <w:sz w:val="16"/>
          <w:szCs w:val="16"/>
          <w:color w:val="000000"/>
        </w:rPr>
        <w:t>shares for at least three years may nominate and include in our proxy materials up to the greater of two director candidates or 20% of the Board.</w:t>
      </w:r>
    </w:p>
    <w:p>
      <w:pPr>
        <w:spacing w:after="0" w:line="84" w:lineRule="exact"/>
        <w:rPr>
          <w:rFonts w:ascii="MS PGothic" w:cs="MS PGothic" w:eastAsia="MS PGothic" w:hAnsi="MS PGothic"/>
          <w:sz w:val="16"/>
          <w:szCs w:val="16"/>
          <w:color w:val="021496"/>
        </w:rPr>
      </w:pPr>
    </w:p>
    <w:p>
      <w:pPr>
        <w:ind w:left="1020" w:right="180" w:hanging="425"/>
        <w:spacing w:after="0" w:line="277" w:lineRule="auto"/>
        <w:tabs>
          <w:tab w:leader="none" w:pos="1020" w:val="left"/>
        </w:tabs>
        <w:numPr>
          <w:ilvl w:val="0"/>
          <w:numId w:val="83"/>
        </w:numPr>
        <w:rPr>
          <w:rFonts w:ascii="MS PGothic" w:cs="MS PGothic" w:eastAsia="MS PGothic" w:hAnsi="MS PGothic"/>
          <w:sz w:val="16"/>
          <w:szCs w:val="16"/>
          <w:color w:val="021496"/>
        </w:rPr>
      </w:pPr>
      <w:r>
        <w:rPr>
          <w:rFonts w:ascii="Arial" w:cs="Arial" w:eastAsia="Arial" w:hAnsi="Arial"/>
          <w:sz w:val="16"/>
          <w:szCs w:val="16"/>
          <w:i w:val="1"/>
          <w:iCs w:val="1"/>
          <w:u w:val="single" w:color="auto"/>
          <w:color w:val="021496"/>
        </w:rPr>
        <w:t>Independent Board of Directors</w:t>
      </w:r>
      <w:r>
        <w:rPr>
          <w:rFonts w:ascii="Arial" w:cs="Arial" w:eastAsia="Arial" w:hAnsi="Arial"/>
          <w:sz w:val="16"/>
          <w:szCs w:val="16"/>
          <w:i w:val="1"/>
          <w:iCs w:val="1"/>
          <w:color w:val="021496"/>
        </w:rPr>
        <w:t xml:space="preserve"> </w:t>
      </w:r>
      <w:r>
        <w:rPr>
          <w:rFonts w:ascii="Arial" w:cs="Arial" w:eastAsia="Arial" w:hAnsi="Arial"/>
          <w:sz w:val="16"/>
          <w:szCs w:val="16"/>
          <w:color w:val="000000"/>
        </w:rPr>
        <w:t>– All directors are independent, other than our CEO, and our Board has leadership that is independent from</w:t>
      </w:r>
      <w:r>
        <w:rPr>
          <w:rFonts w:ascii="Arial" w:cs="Arial" w:eastAsia="Arial" w:hAnsi="Arial"/>
          <w:sz w:val="16"/>
          <w:szCs w:val="16"/>
          <w:i w:val="1"/>
          <w:iCs w:val="1"/>
          <w:color w:val="021496"/>
        </w:rPr>
        <w:t xml:space="preserve"> </w:t>
      </w:r>
      <w:r>
        <w:rPr>
          <w:rFonts w:ascii="Arial" w:cs="Arial" w:eastAsia="Arial" w:hAnsi="Arial"/>
          <w:sz w:val="16"/>
          <w:szCs w:val="16"/>
          <w:color w:val="000000"/>
        </w:rPr>
        <w:t>management, by way of an independent Chair.</w:t>
      </w:r>
    </w:p>
    <w:p>
      <w:pPr>
        <w:spacing w:after="0" w:line="70" w:lineRule="exact"/>
        <w:rPr>
          <w:rFonts w:ascii="MS PGothic" w:cs="MS PGothic" w:eastAsia="MS PGothic" w:hAnsi="MS PGothic"/>
          <w:sz w:val="16"/>
          <w:szCs w:val="16"/>
          <w:color w:val="021496"/>
        </w:rPr>
      </w:pPr>
    </w:p>
    <w:p>
      <w:pPr>
        <w:ind w:left="1020" w:right="60" w:hanging="425"/>
        <w:spacing w:after="0" w:line="260" w:lineRule="auto"/>
        <w:tabs>
          <w:tab w:leader="none" w:pos="1020" w:val="left"/>
        </w:tabs>
        <w:numPr>
          <w:ilvl w:val="0"/>
          <w:numId w:val="83"/>
        </w:numPr>
        <w:rPr>
          <w:rFonts w:ascii="MS PGothic" w:cs="MS PGothic" w:eastAsia="MS PGothic" w:hAnsi="MS PGothic"/>
          <w:sz w:val="16"/>
          <w:szCs w:val="16"/>
          <w:color w:val="auto"/>
        </w:rPr>
      </w:pPr>
      <w:r>
        <w:rPr>
          <w:rFonts w:ascii="Arial" w:cs="Arial" w:eastAsia="Arial" w:hAnsi="Arial"/>
          <w:sz w:val="16"/>
          <w:szCs w:val="16"/>
          <w:i w:val="1"/>
          <w:iCs w:val="1"/>
          <w:u w:val="single" w:color="auto"/>
          <w:color w:val="021496"/>
        </w:rPr>
        <w:t>Board Refreshment</w:t>
      </w:r>
      <w:r>
        <w:rPr>
          <w:rFonts w:ascii="Arial" w:cs="Arial" w:eastAsia="Arial" w:hAnsi="Arial"/>
          <w:sz w:val="16"/>
          <w:szCs w:val="16"/>
          <w:i w:val="1"/>
          <w:iCs w:val="1"/>
          <w:color w:val="021496"/>
        </w:rPr>
        <w:t xml:space="preserve"> </w:t>
      </w:r>
      <w:r>
        <w:rPr>
          <w:rFonts w:ascii="Arial" w:cs="Arial" w:eastAsia="Arial" w:hAnsi="Arial"/>
          <w:sz w:val="16"/>
          <w:szCs w:val="16"/>
          <w:color w:val="000000"/>
        </w:rPr>
        <w:t>– Our Board, through its Governance and Nominating Committee, maintains a thoughtful and active refreshment process</w:t>
      </w:r>
      <w:r>
        <w:rPr>
          <w:rFonts w:ascii="Arial" w:cs="Arial" w:eastAsia="Arial" w:hAnsi="Arial"/>
          <w:sz w:val="16"/>
          <w:szCs w:val="16"/>
          <w:i w:val="1"/>
          <w:iCs w:val="1"/>
          <w:color w:val="021496"/>
        </w:rPr>
        <w:t xml:space="preserve"> </w:t>
      </w:r>
      <w:r>
        <w:rPr>
          <w:rFonts w:ascii="Arial" w:cs="Arial" w:eastAsia="Arial" w:hAnsi="Arial"/>
          <w:sz w:val="16"/>
          <w:szCs w:val="16"/>
          <w:color w:val="000000"/>
        </w:rPr>
        <w:t>to identify independent directors with skill sets that enhance the composition of our Board, support our growth and strategy, and enable effective oversight. Our Board has added three new independent directors since 2017.</w:t>
      </w:r>
    </w:p>
    <w:p>
      <w:pPr>
        <w:spacing w:after="0" w:line="84" w:lineRule="exact"/>
        <w:rPr>
          <w:rFonts w:ascii="MS PGothic" w:cs="MS PGothic" w:eastAsia="MS PGothic" w:hAnsi="MS PGothic"/>
          <w:sz w:val="16"/>
          <w:szCs w:val="16"/>
          <w:color w:val="auto"/>
        </w:rPr>
      </w:pPr>
    </w:p>
    <w:p>
      <w:pPr>
        <w:ind w:left="1020" w:hanging="425"/>
        <w:spacing w:after="0"/>
        <w:tabs>
          <w:tab w:leader="none" w:pos="1020" w:val="left"/>
        </w:tabs>
        <w:numPr>
          <w:ilvl w:val="0"/>
          <w:numId w:val="83"/>
        </w:numPr>
        <w:rPr>
          <w:rFonts w:ascii="MS PGothic" w:cs="MS PGothic" w:eastAsia="MS PGothic" w:hAnsi="MS PGothic"/>
          <w:sz w:val="16"/>
          <w:szCs w:val="16"/>
          <w:color w:val="021496"/>
        </w:rPr>
      </w:pPr>
      <w:r>
        <w:rPr>
          <w:rFonts w:ascii="Arial" w:cs="Arial" w:eastAsia="Arial" w:hAnsi="Arial"/>
          <w:sz w:val="16"/>
          <w:szCs w:val="16"/>
          <w:i w:val="1"/>
          <w:iCs w:val="1"/>
          <w:u w:val="single" w:color="auto"/>
          <w:color w:val="021496"/>
        </w:rPr>
        <w:t>Elimination of Supermajority Voting Provisions</w:t>
      </w:r>
      <w:r>
        <w:rPr>
          <w:rFonts w:ascii="Arial" w:cs="Arial" w:eastAsia="Arial" w:hAnsi="Arial"/>
          <w:sz w:val="16"/>
          <w:szCs w:val="16"/>
          <w:i w:val="1"/>
          <w:iCs w:val="1"/>
          <w:color w:val="021496"/>
        </w:rPr>
        <w:t xml:space="preserve"> </w:t>
      </w:r>
      <w:r>
        <w:rPr>
          <w:rFonts w:ascii="Arial" w:cs="Arial" w:eastAsia="Arial" w:hAnsi="Arial"/>
          <w:sz w:val="16"/>
          <w:szCs w:val="16"/>
          <w:color w:val="000000"/>
        </w:rPr>
        <w:t>– All of the supermajority voting provisions in our charter were eliminated in 2019.</w:t>
      </w:r>
    </w:p>
    <w:p>
      <w:pPr>
        <w:spacing w:after="0" w:line="136" w:lineRule="exact"/>
        <w:rPr>
          <w:rFonts w:ascii="MS PGothic" w:cs="MS PGothic" w:eastAsia="MS PGothic" w:hAnsi="MS PGothic"/>
          <w:sz w:val="16"/>
          <w:szCs w:val="16"/>
          <w:color w:val="021496"/>
        </w:rPr>
      </w:pPr>
    </w:p>
    <w:p>
      <w:pPr>
        <w:ind w:left="1020" w:hanging="425"/>
        <w:spacing w:after="0" w:line="260" w:lineRule="auto"/>
        <w:tabs>
          <w:tab w:leader="none" w:pos="1020" w:val="left"/>
        </w:tabs>
        <w:numPr>
          <w:ilvl w:val="0"/>
          <w:numId w:val="83"/>
        </w:numPr>
        <w:rPr>
          <w:rFonts w:ascii="MS PGothic" w:cs="MS PGothic" w:eastAsia="MS PGothic" w:hAnsi="MS PGothic"/>
          <w:sz w:val="16"/>
          <w:szCs w:val="16"/>
          <w:color w:val="021496"/>
        </w:rPr>
      </w:pPr>
      <w:r>
        <w:rPr>
          <w:rFonts w:ascii="Arial" w:cs="Arial" w:eastAsia="Arial" w:hAnsi="Arial"/>
          <w:sz w:val="16"/>
          <w:szCs w:val="16"/>
          <w:i w:val="1"/>
          <w:iCs w:val="1"/>
          <w:u w:val="single" w:color="auto"/>
          <w:color w:val="021496"/>
        </w:rPr>
        <w:t>Shareholder Engagement</w:t>
      </w:r>
      <w:r>
        <w:rPr>
          <w:rFonts w:ascii="Arial" w:cs="Arial" w:eastAsia="Arial" w:hAnsi="Arial"/>
          <w:sz w:val="16"/>
          <w:szCs w:val="16"/>
          <w:i w:val="1"/>
          <w:iCs w:val="1"/>
          <w:color w:val="021496"/>
        </w:rPr>
        <w:t xml:space="preserve"> </w:t>
      </w:r>
      <w:r>
        <w:rPr>
          <w:rFonts w:ascii="Arial" w:cs="Arial" w:eastAsia="Arial" w:hAnsi="Arial"/>
          <w:sz w:val="16"/>
          <w:szCs w:val="16"/>
          <w:color w:val="000000"/>
        </w:rPr>
        <w:t>– Shareholders can communicate directly with the Board and/or individual directors. In addition, we regularly</w:t>
      </w:r>
      <w:r>
        <w:rPr>
          <w:rFonts w:ascii="Arial" w:cs="Arial" w:eastAsia="Arial" w:hAnsi="Arial"/>
          <w:sz w:val="16"/>
          <w:szCs w:val="16"/>
          <w:i w:val="1"/>
          <w:iCs w:val="1"/>
          <w:color w:val="021496"/>
        </w:rPr>
        <w:t xml:space="preserve"> </w:t>
      </w:r>
      <w:r>
        <w:rPr>
          <w:rFonts w:ascii="Arial" w:cs="Arial" w:eastAsia="Arial" w:hAnsi="Arial"/>
          <w:sz w:val="16"/>
          <w:szCs w:val="16"/>
          <w:color w:val="000000"/>
        </w:rPr>
        <w:t>engage with our shareholders regarding strategy, governance, compensation and sustainability matters. In 2021, we reached out to holders of approximately 60% of our shares outstanding.</w:t>
      </w:r>
    </w:p>
    <w:p>
      <w:pPr>
        <w:spacing w:after="0" w:line="84"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83"/>
        </w:numPr>
        <w:rPr>
          <w:rFonts w:ascii="MS PGothic" w:cs="MS PGothic" w:eastAsia="MS PGothic" w:hAnsi="MS PGothic"/>
          <w:sz w:val="16"/>
          <w:szCs w:val="16"/>
          <w:color w:val="021496"/>
        </w:rPr>
      </w:pPr>
      <w:r>
        <w:rPr>
          <w:rFonts w:ascii="Arial" w:cs="Arial" w:eastAsia="Arial" w:hAnsi="Arial"/>
          <w:sz w:val="16"/>
          <w:szCs w:val="16"/>
          <w:i w:val="1"/>
          <w:iCs w:val="1"/>
          <w:u w:val="single" w:color="auto"/>
          <w:color w:val="021496"/>
        </w:rPr>
        <w:t>No Shareholder Rights Plan</w:t>
      </w:r>
      <w:r>
        <w:rPr>
          <w:rFonts w:ascii="Arial" w:cs="Arial" w:eastAsia="Arial" w:hAnsi="Arial"/>
          <w:sz w:val="16"/>
          <w:szCs w:val="16"/>
          <w:i w:val="1"/>
          <w:iCs w:val="1"/>
          <w:color w:val="021496"/>
        </w:rPr>
        <w:t xml:space="preserve"> </w:t>
      </w:r>
      <w:r>
        <w:rPr>
          <w:rFonts w:ascii="Arial" w:cs="Arial" w:eastAsia="Arial" w:hAnsi="Arial"/>
          <w:sz w:val="16"/>
          <w:szCs w:val="16"/>
          <w:color w:val="000000"/>
        </w:rPr>
        <w:t>– We do not have a shareholders rights plan.</w:t>
      </w:r>
    </w:p>
    <w:p>
      <w:pPr>
        <w:spacing w:after="0" w:line="140"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In light of our existing right of shareholders to call special meetings with a 15% ownership threshold, as well as the Board’s continuing commitment to effective corporate governance, the Board believes that adoption of the shareholder proposal is unnecessary and not in the best interests of Dover and its shareholders.</w:t>
      </w:r>
    </w:p>
    <w:p>
      <w:pPr>
        <w:spacing w:after="0" w:line="32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THE BOARD RECOMMENDS A VOTE “AGAINST” THE SHAREHOLDER PROPOSAL</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REGARDING THE RIGHT TO ACT BY WRITTEN CONSENT.</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79</w:t>
      </w:r>
    </w:p>
    <w:p>
      <w:pPr>
        <w:sectPr>
          <w:pgSz w:w="11900" w:h="16838" w:orient="portrait"/>
          <w:cols w:equalWidth="0" w:num="1">
            <w:col w:w="11080"/>
          </w:cols>
          <w:pgMar w:left="320" w:top="45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Share Ownership Information</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Security Ownership of Certain Beneficial Owners and Management</w:t>
      </w:r>
    </w:p>
    <w:p>
      <w:pPr>
        <w:spacing w:after="0" w:line="144" w:lineRule="exact"/>
        <w:rPr>
          <w:sz w:val="20"/>
          <w:szCs w:val="20"/>
          <w:color w:val="auto"/>
        </w:rPr>
      </w:pPr>
    </w:p>
    <w:p>
      <w:pPr>
        <w:ind w:left="160" w:right="300"/>
        <w:spacing w:after="0" w:line="256" w:lineRule="auto"/>
        <w:rPr>
          <w:sz w:val="20"/>
          <w:szCs w:val="20"/>
          <w:color w:val="auto"/>
        </w:rPr>
      </w:pPr>
      <w:r>
        <w:rPr>
          <w:rFonts w:ascii="Arial" w:cs="Arial" w:eastAsia="Arial" w:hAnsi="Arial"/>
          <w:sz w:val="16"/>
          <w:szCs w:val="16"/>
          <w:color w:val="auto"/>
        </w:rPr>
        <w:t>The following table sets forth certain information regarding the beneficial ownership, as of March 9, 2022 (except as otherwise stated), of our common stock by the following:</w:t>
      </w:r>
    </w:p>
    <w:p>
      <w:pPr>
        <w:spacing w:after="0" w:line="62" w:lineRule="exact"/>
        <w:rPr>
          <w:sz w:val="20"/>
          <w:szCs w:val="20"/>
          <w:color w:val="auto"/>
        </w:rPr>
      </w:pPr>
    </w:p>
    <w:p>
      <w:pPr>
        <w:ind w:left="1020" w:hanging="425"/>
        <w:spacing w:after="0"/>
        <w:tabs>
          <w:tab w:leader="none" w:pos="10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Each director and each of our executive officers named in the Summary Compensation Table under “Executive Compensation Tables”;</w:t>
      </w:r>
    </w:p>
    <w:p>
      <w:pPr>
        <w:spacing w:after="0" w:line="83" w:lineRule="exact"/>
        <w:rPr>
          <w:rFonts w:ascii="Arial" w:cs="Arial" w:eastAsia="Arial" w:hAnsi="Arial"/>
          <w:sz w:val="16"/>
          <w:szCs w:val="16"/>
          <w:color w:val="auto"/>
        </w:rPr>
      </w:pPr>
    </w:p>
    <w:p>
      <w:pPr>
        <w:ind w:left="1020" w:hanging="425"/>
        <w:spacing w:after="0"/>
        <w:tabs>
          <w:tab w:leader="none" w:pos="10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All of the directors and executive officers as a group including the NEOs; and</w:t>
      </w:r>
    </w:p>
    <w:p>
      <w:pPr>
        <w:spacing w:after="0" w:line="83" w:lineRule="exact"/>
        <w:rPr>
          <w:rFonts w:ascii="Arial" w:cs="Arial" w:eastAsia="Arial" w:hAnsi="Arial"/>
          <w:sz w:val="16"/>
          <w:szCs w:val="16"/>
          <w:color w:val="auto"/>
        </w:rPr>
      </w:pPr>
    </w:p>
    <w:p>
      <w:pPr>
        <w:ind w:left="1020" w:hanging="425"/>
        <w:spacing w:after="0"/>
        <w:tabs>
          <w:tab w:leader="none" w:pos="10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Each person known to us to own beneficially more than 5% of our outstanding common stock.</w:t>
      </w:r>
    </w:p>
    <w:p>
      <w:pPr>
        <w:spacing w:after="0" w:line="177"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The beneficial ownership set forth in the table is determined in accordance with the rules of the SEC. The percentage of beneficial ownership for directors and executive officers is based on 144,106,147 shares of common stock outstanding on March 9, 2022. Unless otherwise indicated in the footnotes below, the persons and entities named in the table have sole voting and investment power as to all 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143510</wp:posOffset>
            </wp:positionV>
            <wp:extent cx="6369050" cy="3957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369050" cy="395732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4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NAME OF BENEFICIAL OWNER</w:t>
      </w:r>
    </w:p>
    <w:p>
      <w:pPr>
        <w:spacing w:after="0" w:line="164"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DIRECTORS (EXCEPT MR. TOBIN):</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DEBORAH L. DEHAAS (2)</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H. JOHN GILBERTSON, JR.</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KRISTIANE C. GRAHAM (3)</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MICHAEL F. JOHNSTON (4)</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ERIC A. SPIEGEL (5)</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STEPHEN M. TODD (6)</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STEPHEN K. WAGNER (7)</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KEITH E. WANDELL</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MARY A. WINSTON</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NEOS:</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RICHARD J. TOBIN (8)</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BRAD M. CEREPAK (9)</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IVONNE M. CABRERA (10)</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GIRISH JUNEJA (11)</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KIMBERLY K. BORS (12)</w:t>
      </w:r>
    </w:p>
    <w:p>
      <w:pPr>
        <w:spacing w:after="0" w:line="83" w:lineRule="exact"/>
        <w:rPr>
          <w:sz w:val="20"/>
          <w:szCs w:val="20"/>
          <w:color w:val="auto"/>
        </w:rPr>
      </w:pPr>
    </w:p>
    <w:p>
      <w:pPr>
        <w:ind w:left="920" w:right="340" w:hanging="70"/>
        <w:spacing w:after="0" w:line="282" w:lineRule="auto"/>
        <w:rPr>
          <w:sz w:val="20"/>
          <w:szCs w:val="20"/>
          <w:color w:val="auto"/>
        </w:rPr>
      </w:pPr>
      <w:r>
        <w:rPr>
          <w:rFonts w:ascii="Arial" w:cs="Arial" w:eastAsia="Arial" w:hAnsi="Arial"/>
          <w:sz w:val="16"/>
          <w:szCs w:val="16"/>
          <w:b w:val="1"/>
          <w:bCs w:val="1"/>
          <w:color w:val="auto"/>
        </w:rPr>
        <w:t>DIRECTORS AND EXECUTIVE OFFICERS AS A GROUP (18 PERSONS) (13)</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5% BENEFICIAL OWNERS:</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BLACKROCK, INC. (14)</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JPMORGAN CHASE &amp; CO. (15)</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THE VANGUARD GROUP (16)</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660" w:type="dxa"/>
            <w:vAlign w:val="bottom"/>
          </w:tcPr>
          <w:p>
            <w:pPr>
              <w:jc w:val="right"/>
              <w:ind w:right="560"/>
              <w:spacing w:after="0"/>
              <w:rPr>
                <w:sz w:val="20"/>
                <w:szCs w:val="20"/>
                <w:color w:val="auto"/>
              </w:rPr>
            </w:pPr>
            <w:r>
              <w:rPr>
                <w:rFonts w:ascii="Arial" w:cs="Arial" w:eastAsia="Arial" w:hAnsi="Arial"/>
                <w:sz w:val="16"/>
                <w:szCs w:val="16"/>
                <w:b w:val="1"/>
                <w:bCs w:val="1"/>
                <w:color w:val="auto"/>
              </w:rPr>
              <w:t>Number of</w:t>
            </w:r>
          </w:p>
        </w:tc>
        <w:tc>
          <w:tcPr>
            <w:tcW w:w="1900" w:type="dxa"/>
            <w:vAlign w:val="bottom"/>
          </w:tcPr>
          <w:p>
            <w:pPr>
              <w:spacing w:after="0"/>
              <w:rPr>
                <w:sz w:val="16"/>
                <w:szCs w:val="16"/>
                <w:color w:val="auto"/>
              </w:rPr>
            </w:pPr>
          </w:p>
        </w:tc>
      </w:tr>
      <w:tr>
        <w:trPr>
          <w:trHeight w:val="205"/>
        </w:trPr>
        <w:tc>
          <w:tcPr>
            <w:tcW w:w="2660" w:type="dxa"/>
            <w:vAlign w:val="bottom"/>
            <w:tcBorders>
              <w:bottom w:val="single" w:sz="8" w:color="021496"/>
            </w:tcBorders>
          </w:tcPr>
          <w:p>
            <w:pPr>
              <w:jc w:val="right"/>
              <w:ind w:right="600"/>
              <w:spacing w:after="0"/>
              <w:rPr>
                <w:sz w:val="20"/>
                <w:szCs w:val="20"/>
                <w:color w:val="auto"/>
              </w:rPr>
            </w:pPr>
            <w:r>
              <w:rPr>
                <w:rFonts w:ascii="Arial" w:cs="Arial" w:eastAsia="Arial" w:hAnsi="Arial"/>
                <w:sz w:val="16"/>
                <w:szCs w:val="16"/>
                <w:b w:val="1"/>
                <w:bCs w:val="1"/>
                <w:color w:val="auto"/>
              </w:rPr>
              <w:t>Shares(1)</w:t>
            </w:r>
          </w:p>
        </w:tc>
        <w:tc>
          <w:tcPr>
            <w:tcW w:w="1900" w:type="dxa"/>
            <w:vAlign w:val="bottom"/>
            <w:tcBorders>
              <w:bottom w:val="single" w:sz="8" w:color="021496"/>
            </w:tcBorders>
          </w:tcPr>
          <w:p>
            <w:pPr>
              <w:jc w:val="right"/>
              <w:ind w:right="120"/>
              <w:spacing w:after="0"/>
              <w:rPr>
                <w:sz w:val="20"/>
                <w:szCs w:val="20"/>
                <w:color w:val="auto"/>
              </w:rPr>
            </w:pPr>
            <w:r>
              <w:rPr>
                <w:rFonts w:ascii="Arial" w:cs="Arial" w:eastAsia="Arial" w:hAnsi="Arial"/>
                <w:sz w:val="16"/>
                <w:szCs w:val="16"/>
                <w:b w:val="1"/>
                <w:bCs w:val="1"/>
                <w:color w:val="auto"/>
              </w:rPr>
              <w:t>Percentage(1)</w:t>
            </w:r>
          </w:p>
        </w:tc>
      </w:tr>
      <w:tr>
        <w:trPr>
          <w:trHeight w:val="536"/>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767</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3,873</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238,355</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19,596</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7,739</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22,105</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18,105</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8,263</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16,348</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535"/>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606,259</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414,362</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224,532</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29,863</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3,399</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455"/>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1,670,963</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1.2 *</w:t>
            </w:r>
          </w:p>
        </w:tc>
      </w:tr>
      <w:tr>
        <w:trPr>
          <w:trHeight w:val="535"/>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10,713,313</w:t>
            </w:r>
          </w:p>
        </w:tc>
        <w:tc>
          <w:tcPr>
            <w:tcW w:w="19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67"/>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11,268,963</w:t>
            </w:r>
          </w:p>
        </w:tc>
        <w:tc>
          <w:tcPr>
            <w:tcW w:w="19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67"/>
        </w:trPr>
        <w:tc>
          <w:tcPr>
            <w:tcW w:w="2660" w:type="dxa"/>
            <w:vAlign w:val="bottom"/>
          </w:tcPr>
          <w:p>
            <w:pPr>
              <w:jc w:val="right"/>
              <w:ind w:right="540"/>
              <w:spacing w:after="0"/>
              <w:rPr>
                <w:sz w:val="20"/>
                <w:szCs w:val="20"/>
                <w:color w:val="auto"/>
              </w:rPr>
            </w:pPr>
            <w:r>
              <w:rPr>
                <w:rFonts w:ascii="Arial" w:cs="Arial" w:eastAsia="Arial" w:hAnsi="Arial"/>
                <w:sz w:val="16"/>
                <w:szCs w:val="16"/>
                <w:color w:val="auto"/>
              </w:rPr>
              <w:t>16,671,379</w:t>
            </w:r>
          </w:p>
        </w:tc>
        <w:tc>
          <w:tcPr>
            <w:tcW w:w="1900" w:type="dxa"/>
            <w:vAlign w:val="bottom"/>
          </w:tcPr>
          <w:p>
            <w:pPr>
              <w:jc w:val="right"/>
              <w:spacing w:after="0"/>
              <w:rPr>
                <w:sz w:val="20"/>
                <w:szCs w:val="20"/>
                <w:color w:val="auto"/>
              </w:rPr>
            </w:pPr>
            <w:r>
              <w:rPr>
                <w:rFonts w:ascii="Arial" w:cs="Arial" w:eastAsia="Arial" w:hAnsi="Arial"/>
                <w:sz w:val="16"/>
                <w:szCs w:val="16"/>
                <w:color w:val="auto"/>
              </w:rPr>
              <w:t>11.6%</w:t>
            </w:r>
          </w:p>
        </w:tc>
      </w:tr>
    </w:tbl>
    <w:p>
      <w:pPr>
        <w:spacing w:after="0" w:line="58" w:lineRule="exact"/>
        <w:rPr>
          <w:sz w:val="20"/>
          <w:szCs w:val="20"/>
          <w:color w:val="auto"/>
        </w:rPr>
      </w:pPr>
    </w:p>
    <w:p>
      <w:pPr>
        <w:sectPr>
          <w:pgSz w:w="11900" w:h="16838" w:orient="portrait"/>
          <w:cols w:equalWidth="0" w:num="2">
            <w:col w:w="5360" w:space="720"/>
            <w:col w:w="5000"/>
          </w:cols>
          <w:pgMar w:left="320" w:top="456" w:right="499" w:bottom="1440" w:gutter="0" w:footer="0" w:header="0"/>
          <w:type w:val="continuous"/>
        </w:sectPr>
      </w:pPr>
    </w:p>
    <w:p>
      <w:pPr>
        <w:ind w:left="800" w:hanging="526"/>
        <w:spacing w:after="0"/>
        <w:tabs>
          <w:tab w:leader="none" w:pos="800"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Less than one percent.</w:t>
      </w:r>
    </w:p>
    <w:p>
      <w:pPr>
        <w:spacing w:after="0" w:line="19" w:lineRule="exact"/>
        <w:rPr>
          <w:sz w:val="20"/>
          <w:szCs w:val="20"/>
          <w:color w:val="auto"/>
        </w:rPr>
      </w:pPr>
    </w:p>
    <w:p>
      <w:pPr>
        <w:ind w:left="800" w:hanging="526"/>
        <w:spacing w:after="0" w:line="246" w:lineRule="auto"/>
        <w:tabs>
          <w:tab w:leader="none" w:pos="8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computing the number of shares beneficially owned by an executive officer and the percentage ownership of such executive officers, we have included (i) shares of common stock subject to stock-settled appreciation rights (“SSARs”) held by that person that are currently exercisable or exercisable within 60 days of March 9, 2022 and (ii) shares of common stock subject to restricted stock units that are scheduled to vest within 60 days of March 9, 2022, subject to the executive being an employee of Dover on the date of vesting. Such shares, however, are not deemed to be outstanding for purposes of computing the percentage ownership of any other person. Information about shares held through Dover’s 401(k) plan is as of March 9, 2022; fractional shares held in 401(k) accounts have been rounded down.</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80</w:t>
      </w:r>
    </w:p>
    <w:p>
      <w:pPr>
        <w:sectPr>
          <w:pgSz w:w="11900" w:h="16838" w:orient="portrait"/>
          <w:cols w:equalWidth="0" w:num="1">
            <w:col w:w="11080"/>
          </w:cols>
          <w:pgMar w:left="320" w:top="456" w:right="49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SHARE OWNERSHIP INFORMATION</w:t>
      </w:r>
    </w:p>
    <w:p>
      <w:pPr>
        <w:spacing w:after="0" w:line="170" w:lineRule="exact"/>
        <w:rPr>
          <w:sz w:val="20"/>
          <w:szCs w:val="20"/>
          <w:color w:val="auto"/>
        </w:rPr>
      </w:pPr>
    </w:p>
    <w:p>
      <w:pPr>
        <w:jc w:val="both"/>
        <w:ind w:left="820" w:right="120"/>
        <w:spacing w:after="0" w:line="244" w:lineRule="auto"/>
        <w:rPr>
          <w:sz w:val="20"/>
          <w:szCs w:val="20"/>
          <w:color w:val="auto"/>
        </w:rPr>
      </w:pPr>
      <w:r>
        <w:rPr>
          <w:rFonts w:ascii="Arial" w:cs="Arial" w:eastAsia="Arial" w:hAnsi="Arial"/>
          <w:sz w:val="16"/>
          <w:szCs w:val="16"/>
          <w:color w:val="auto"/>
        </w:rPr>
        <w:t>In computing the number of shares beneficially owned by a director and the percentage ownership of such director, we have included shares of common stock subject to deferred stock units which become payable upon the director’s termination of service. Such shares, however, are not deemed to be outstanding for purposes of computing the percentage ownership of any other person.</w:t>
      </w:r>
    </w:p>
    <w:p>
      <w:pPr>
        <w:spacing w:after="0" w:line="1" w:lineRule="exact"/>
        <w:rPr>
          <w:sz w:val="20"/>
          <w:szCs w:val="20"/>
          <w:color w:val="auto"/>
        </w:rPr>
      </w:pPr>
    </w:p>
    <w:p>
      <w:pPr>
        <w:ind w:left="800" w:hanging="526"/>
        <w:spacing w:after="0"/>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Reflects 767 deferred stock units.</w:t>
      </w:r>
    </w:p>
    <w:p>
      <w:pPr>
        <w:spacing w:after="0" w:line="3" w:lineRule="exact"/>
        <w:rPr>
          <w:rFonts w:ascii="Arial" w:cs="Arial" w:eastAsia="Arial" w:hAnsi="Arial"/>
          <w:sz w:val="16"/>
          <w:szCs w:val="16"/>
          <w:color w:val="auto"/>
        </w:rPr>
      </w:pPr>
    </w:p>
    <w:p>
      <w:pPr>
        <w:ind w:left="800" w:right="500" w:hanging="526"/>
        <w:spacing w:after="0" w:line="244" w:lineRule="auto"/>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Includes 32,571 shares held by foundations of which Ms. Graham is a director and in which she disclaims any beneficial ownership, 2,460 shares held by her children to which Ms. Graham disclaims any beneficial ownership and 14,127 deferred stock units.</w:t>
      </w:r>
    </w:p>
    <w:p>
      <w:pPr>
        <w:ind w:left="800" w:hanging="526"/>
        <w:spacing w:after="0"/>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Includes 15,596 deferred stock units.</w:t>
      </w:r>
    </w:p>
    <w:p>
      <w:pPr>
        <w:spacing w:after="0" w:line="3" w:lineRule="exact"/>
        <w:rPr>
          <w:rFonts w:ascii="Arial" w:cs="Arial" w:eastAsia="Arial" w:hAnsi="Arial"/>
          <w:sz w:val="16"/>
          <w:szCs w:val="16"/>
          <w:color w:val="auto"/>
        </w:rPr>
      </w:pPr>
    </w:p>
    <w:p>
      <w:pPr>
        <w:ind w:left="800" w:hanging="526"/>
        <w:spacing w:after="0"/>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Includes 5,374 deferred stock units.</w:t>
      </w:r>
    </w:p>
    <w:p>
      <w:pPr>
        <w:spacing w:after="0" w:line="3" w:lineRule="exact"/>
        <w:rPr>
          <w:rFonts w:ascii="Arial" w:cs="Arial" w:eastAsia="Arial" w:hAnsi="Arial"/>
          <w:sz w:val="16"/>
          <w:szCs w:val="16"/>
          <w:color w:val="auto"/>
        </w:rPr>
      </w:pPr>
    </w:p>
    <w:p>
      <w:pPr>
        <w:ind w:left="800" w:hanging="526"/>
        <w:spacing w:after="0"/>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Includes 14,127 deferred stock units.</w:t>
      </w:r>
    </w:p>
    <w:p>
      <w:pPr>
        <w:spacing w:after="0" w:line="3" w:lineRule="exact"/>
        <w:rPr>
          <w:rFonts w:ascii="Arial" w:cs="Arial" w:eastAsia="Arial" w:hAnsi="Arial"/>
          <w:sz w:val="16"/>
          <w:szCs w:val="16"/>
          <w:color w:val="auto"/>
        </w:rPr>
      </w:pPr>
    </w:p>
    <w:p>
      <w:pPr>
        <w:ind w:left="800" w:hanging="526"/>
        <w:spacing w:after="0"/>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Includes 14,127 deferred stock units.</w:t>
      </w:r>
    </w:p>
    <w:p>
      <w:pPr>
        <w:spacing w:after="0" w:line="3" w:lineRule="exact"/>
        <w:rPr>
          <w:rFonts w:ascii="Arial" w:cs="Arial" w:eastAsia="Arial" w:hAnsi="Arial"/>
          <w:sz w:val="16"/>
          <w:szCs w:val="16"/>
          <w:color w:val="auto"/>
        </w:rPr>
      </w:pPr>
    </w:p>
    <w:p>
      <w:pPr>
        <w:ind w:left="800" w:right="100" w:hanging="526"/>
        <w:spacing w:after="0" w:line="244" w:lineRule="auto"/>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Includes 3,126 deferred stock units, 394,869 shares in respect of vested SSARs, 18,186 shares in respect of restricted stock units scheduled to vest on March 15, 2022 and 320 shares held in our 401(k) plan.</w:t>
      </w:r>
    </w:p>
    <w:p>
      <w:pPr>
        <w:ind w:left="800" w:right="100" w:hanging="526"/>
        <w:spacing w:after="0" w:line="244" w:lineRule="auto"/>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Includes 346,757 shares in respect of vested SSARs, 4,790 shares in respect of restricted stock units scheduled to vest on March 15, 2022 and 2,712 shares held in our 401(k) plan.</w:t>
      </w:r>
    </w:p>
    <w:p>
      <w:pPr>
        <w:ind w:left="800" w:right="100" w:hanging="526"/>
        <w:spacing w:after="0" w:line="244" w:lineRule="auto"/>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Includes 198,729 shares in respect of vested SSARs, 2,158 shares in respect of restricted stock units scheduled to vest on March 15, 2022 and 1,827 shares held in our 401(k) plan.</w:t>
      </w:r>
    </w:p>
    <w:p>
      <w:pPr>
        <w:ind w:left="800" w:right="180" w:hanging="526"/>
        <w:spacing w:after="0" w:line="244" w:lineRule="auto"/>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Includes 23,537 shares in respect of vested SSARs, 1,621 shares in respect of restricted stock units scheduled to vest on March 15, 2022 and 381 shares held in our 401(k) plan.</w:t>
      </w:r>
    </w:p>
    <w:p>
      <w:pPr>
        <w:ind w:left="800" w:hanging="526"/>
        <w:spacing w:after="0"/>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Includes 474 shares in respect of restricted stock units scheduled to vest on March 15, 2022 and 229 shares held in our 401(k) plan.</w:t>
      </w:r>
    </w:p>
    <w:p>
      <w:pPr>
        <w:spacing w:after="0" w:line="3" w:lineRule="exact"/>
        <w:rPr>
          <w:rFonts w:ascii="Arial" w:cs="Arial" w:eastAsia="Arial" w:hAnsi="Arial"/>
          <w:sz w:val="16"/>
          <w:szCs w:val="16"/>
          <w:color w:val="auto"/>
        </w:rPr>
      </w:pPr>
    </w:p>
    <w:p>
      <w:pPr>
        <w:ind w:left="800" w:right="60" w:hanging="526"/>
        <w:spacing w:after="0" w:line="244" w:lineRule="auto"/>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Includes 1,003,163 shares in respect of vested SSARs, 67,244 deferred stock units, 28,958 shares in respect of restricted stock units scheduled to vest on March 15, 2022 and 14,412 shares held in our 401(k) plan.</w:t>
      </w:r>
    </w:p>
    <w:p>
      <w:pPr>
        <w:ind w:left="800" w:right="40" w:hanging="526"/>
        <w:spacing w:after="0" w:line="244" w:lineRule="auto"/>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Number of shares beneficially owned and percentage ownership based on information contained in a Schedule 13G/A filed with the SEC on February 1, 2022 by BlackRock, Inc. with respect to beneficial ownership of Dover common stock as of December 31, 2021. BlackRock reported sole voting e power with regard to 9,182,312 of the shares and sole dispositive power with regard to 10,713,313 of such shares. BlackRock, Inc.’s offices are located at 55 East 52nd Street, New York, NY 10055.</w:t>
      </w:r>
    </w:p>
    <w:p>
      <w:pPr>
        <w:ind w:left="800" w:right="80" w:hanging="526"/>
        <w:spacing w:after="0" w:line="244" w:lineRule="auto"/>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Number of shares beneficially owned and percentage ownership based on information contained in a Schedule 13G/A filed with the SEC on January 10, 2022 by JPMorgan Chase &amp; Co. with respect to beneficial ownership of Dover common stock as of December 31, 2021. JPMorgan Chase &amp; Co. reported sole voting power with regard to 10,926,681 of the shares, shared voting power with regard to 14,491 of the shares, sole dispositive power with regard to 11,220,659 of the shares and shared dispositive power with regard to 42,143 of the shares. JPMorgan Chase &amp; Co.’s address is 383 Madison Avenue, New York, NY 100179.</w:t>
      </w:r>
    </w:p>
    <w:p>
      <w:pPr>
        <w:ind w:left="800" w:right="40" w:hanging="526"/>
        <w:spacing w:after="0" w:line="247" w:lineRule="auto"/>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Number of shares beneficially owned and percentage ownership based on information contained in a Schedule 13G/A filed with the SEC on February 9, 2022 by The Vanguard Group with respect to beneficial ownership of Dover common stock as of December 31, 2021. The Vanguard Group reported sole voting power with regard to none of the shares, shared voting power with regard to 226,974 of the shares, sole dispositive power with regard to 16,671,379 of the shares and shared dispositive power with regard to 577,667 of the shares. The Vanguard Group’s address is 100 Vanguard Blvd., Malvern, PA 19355.</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Stock Ownership Guidelines</w:t>
      </w:r>
    </w:p>
    <w:p>
      <w:pPr>
        <w:spacing w:after="0" w:line="120"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Our Board has adopted a policy that directors are expected to hold at any time a number of shares at least equal to the aggregate number of shares they received as the stock portion of their annual retainer during the past five years, net of an assumed 30% tax rate.</w:t>
      </w:r>
    </w:p>
    <w:p>
      <w:pPr>
        <w:spacing w:after="0" w:line="196" w:lineRule="exact"/>
        <w:rPr>
          <w:sz w:val="20"/>
          <w:szCs w:val="20"/>
          <w:color w:val="auto"/>
        </w:rPr>
      </w:pPr>
    </w:p>
    <w:p>
      <w:pPr>
        <w:ind w:left="160" w:right="700"/>
        <w:spacing w:after="0" w:line="256" w:lineRule="auto"/>
        <w:rPr>
          <w:sz w:val="20"/>
          <w:szCs w:val="20"/>
          <w:color w:val="auto"/>
        </w:rPr>
      </w:pPr>
      <w:r>
        <w:rPr>
          <w:rFonts w:ascii="Arial" w:cs="Arial" w:eastAsia="Arial" w:hAnsi="Arial"/>
          <w:sz w:val="16"/>
          <w:szCs w:val="16"/>
          <w:color w:val="auto"/>
        </w:rPr>
        <w:t>Executive officers are expected to hold a number of shares with a value at least equal to a multiple of their annual salary. For a discussion of the executive officer share ownership guidelines, see “Compensation Discussion and Analysis — Other Elements of Compensation” on page 60.</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81</w:t>
      </w:r>
    </w:p>
    <w:p>
      <w:pPr>
        <w:sectPr>
          <w:pgSz w:w="11900" w:h="16838" w:orient="portrait"/>
          <w:cols w:equalWidth="0" w:num="1">
            <w:col w:w="11080"/>
          </w:cols>
          <w:pgMar w:left="320" w:top="456"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General Information About the Annual Meeting</w:t>
      </w:r>
    </w:p>
    <w:p>
      <w:pPr>
        <w:spacing w:after="0" w:line="200" w:lineRule="exact"/>
        <w:rPr>
          <w:sz w:val="20"/>
          <w:szCs w:val="20"/>
          <w:color w:val="auto"/>
        </w:rPr>
      </w:pPr>
    </w:p>
    <w:p>
      <w:pPr>
        <w:spacing w:after="0" w:line="209"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We are providing this Proxy Statement to our shareholders in connection with the solicitation of proxies by the Board for use at the Annual Meeting. We are mailing this Notice of Annual Meeting and Proxy Statement beginning on or about March 17, 2022.</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Record Date</w:t>
      </w:r>
    </w:p>
    <w:p>
      <w:pPr>
        <w:spacing w:after="0" w:line="120" w:lineRule="exact"/>
        <w:rPr>
          <w:sz w:val="20"/>
          <w:szCs w:val="20"/>
          <w:color w:val="auto"/>
        </w:rPr>
      </w:pPr>
    </w:p>
    <w:p>
      <w:pPr>
        <w:ind w:left="160" w:right="280"/>
        <w:spacing w:after="0" w:line="256" w:lineRule="auto"/>
        <w:rPr>
          <w:sz w:val="20"/>
          <w:szCs w:val="20"/>
          <w:color w:val="auto"/>
        </w:rPr>
      </w:pPr>
      <w:r>
        <w:rPr>
          <w:rFonts w:ascii="Arial" w:cs="Arial" w:eastAsia="Arial" w:hAnsi="Arial"/>
          <w:sz w:val="16"/>
          <w:szCs w:val="16"/>
          <w:color w:val="auto"/>
        </w:rPr>
        <w:t>The record date for determining shareholders eligible to vote at the Annual Meeting is March 9, 2022. As of the close of business on that date, we had outstanding 144,106,147 shares of common stock. Each share of common stock is entitled to one vote on each matter.</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Electronic Delivery of Proxy Materials</w:t>
      </w:r>
    </w:p>
    <w:p>
      <w:pPr>
        <w:spacing w:after="0" w:line="120" w:lineRule="exact"/>
        <w:rPr>
          <w:sz w:val="20"/>
          <w:szCs w:val="20"/>
          <w:color w:val="auto"/>
        </w:rPr>
      </w:pPr>
    </w:p>
    <w:p>
      <w:pPr>
        <w:ind w:left="160" w:right="120"/>
        <w:spacing w:after="0" w:line="245" w:lineRule="auto"/>
        <w:rPr>
          <w:sz w:val="20"/>
          <w:szCs w:val="20"/>
          <w:color w:val="auto"/>
        </w:rPr>
      </w:pPr>
      <w:r>
        <w:rPr>
          <w:rFonts w:ascii="Arial" w:cs="Arial" w:eastAsia="Arial" w:hAnsi="Arial"/>
          <w:sz w:val="16"/>
          <w:szCs w:val="16"/>
          <w:color w:val="auto"/>
        </w:rPr>
        <w:t>As permitted under SEC rules, we are making this Proxy Statement and our Annual Report to Shareholders (which includes our Annual Report on Form 10-K for the year ended December 31, 2021) available to shareholders electronically via the internet. We believe electronic delivery expedites receipt of our proxy materials by shareholders, while lowering the costs and reducing the environmental impact of the Annual Meeting. If you receive a notice of internet availability of proxy materials by mail, you will not receive a printed copy of the proxy materials by mail unless you specifically request them. Instead, the notice of internet availability will provide instructions as to how you may review the proxy materials and submit your voting instructions over the internet. If you receive the notice by mail and would like to receive a printed copy of the proxy materials, you should follow the instructions in the notice of internet availability for requesting a printed copy. In addition, the proxy card contains instructions for electing to receive proxy materials over the internet or by mail in future years.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Shareholders of Record; Beneficial Owners</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Most holders of our common stock hold their shares beneficially through a broker, bank or other nominee rather than of record directly in their own name.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summarized below, there are some differences in the way to vote shares held of record and those owned beneficially.</w:t>
      </w:r>
    </w:p>
    <w:p>
      <w:pPr>
        <w:spacing w:after="0" w:line="110"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If your shares are registered directly in your name with our transfer agent, you are considered the shareholder of record of those shares, and the notice of internet availability or proxy materials are being sent directly to you. As a shareholder of record, you have the right to grant your voting proxy directly to the persons named as proxy holders or to vote in person at the Annual Meeting. If you received or requested printed copies of the proxy materials, Dover has enclosed a proxy card for you to use. You may also submit your proxy on the internet or by telephone as described in the proxy card.</w:t>
      </w:r>
    </w:p>
    <w:p>
      <w:pPr>
        <w:spacing w:after="0" w:line="95"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color w:val="auto"/>
        </w:rPr>
        <w:t>If your shares are held in a brokerage account or by a bank or other nominee, you are considered the beneficial owner of the shares held in “street name,” and these proxy materials are being forwarded to you by your broker or nominee who is considered the shareholder of record of those shares. As the beneficial owner, you generally have the right to direct your broker on how to vote and are also invited to attend the Annual Meeting. However, since you are not the shareholder of record, you may not vote those shares in person at the Annual Meeting unless you have a proxy, executed in your favor, from the holder of record of your shares. Your broker or nominee has enclosed a voting instruction card for you to use in directing your broker or nominee as to how to vote your shares. We strongly encourage you to instruct your broker or nominee how you wish to vote.</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Vote Required; Abstentions and Broker Non-Votes; Quorum</w:t>
      </w:r>
    </w:p>
    <w:p>
      <w:pPr>
        <w:spacing w:after="0" w:line="120" w:lineRule="exact"/>
        <w:rPr>
          <w:sz w:val="20"/>
          <w:szCs w:val="20"/>
          <w:color w:val="auto"/>
        </w:rPr>
      </w:pPr>
    </w:p>
    <w:p>
      <w:pPr>
        <w:ind w:left="160" w:right="120"/>
        <w:spacing w:after="0" w:line="250" w:lineRule="auto"/>
        <w:rPr>
          <w:sz w:val="20"/>
          <w:szCs w:val="20"/>
          <w:color w:val="auto"/>
        </w:rPr>
      </w:pPr>
      <w:r>
        <w:rPr>
          <w:rFonts w:ascii="Arial" w:cs="Arial" w:eastAsia="Arial" w:hAnsi="Arial"/>
          <w:sz w:val="16"/>
          <w:szCs w:val="16"/>
          <w:color w:val="auto"/>
        </w:rPr>
        <w:t>For Proposal 1, a majority of the votes cast at the Annual Meeting is required to elect each of the directors. This means that the number of votes cast “FOR” a director must exceed the number of votes cast “AGAINST” that director in order for that director to be elected. Our organizational documents do not provide for cumulative voting.</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Proposal 2 will require the affirmative vote of at least a majority of shares present in person or represented by proxy and entitled to vote thereon.</w:t>
      </w:r>
    </w:p>
    <w:p>
      <w:pPr>
        <w:spacing w:after="0" w:line="110" w:lineRule="exact"/>
        <w:rPr>
          <w:sz w:val="20"/>
          <w:szCs w:val="20"/>
          <w:color w:val="auto"/>
        </w:rPr>
      </w:pPr>
    </w:p>
    <w:p>
      <w:pPr>
        <w:ind w:left="160" w:right="540"/>
        <w:spacing w:after="0" w:line="256" w:lineRule="auto"/>
        <w:rPr>
          <w:sz w:val="20"/>
          <w:szCs w:val="20"/>
          <w:color w:val="auto"/>
        </w:rPr>
      </w:pPr>
      <w:r>
        <w:rPr>
          <w:rFonts w:ascii="Arial" w:cs="Arial" w:eastAsia="Arial" w:hAnsi="Arial"/>
          <w:sz w:val="16"/>
          <w:szCs w:val="16"/>
          <w:color w:val="auto"/>
        </w:rPr>
        <w:t>Proposal 3 is a nonbinding, advisory resolution so its ultimate adoption is at the discretion of the Board. The affirmative vote of a majority of shares present in person or represented by proxy and entitled to vote thereon will be deemed to be approval by the shareholders of Proposal 3.</w:t>
      </w:r>
    </w:p>
    <w:p>
      <w:pPr>
        <w:spacing w:after="0" w:line="89"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Proposal 4 will require the affirmative vote of at least a majority of shares present in person or represented by proxy and entitled to vote thereon. Proposal 4 is a shareholder advisory resolution that will not itself effect any amendment to our charter or by-laws.</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82</w:t>
      </w:r>
    </w:p>
    <w:p>
      <w:pPr>
        <w:sectPr>
          <w:pgSz w:w="11900" w:h="16838" w:orient="portrait"/>
          <w:cols w:equalWidth="0" w:num="1">
            <w:col w:w="11080"/>
          </w:cols>
          <w:pgMar w:left="320" w:top="456"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170"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If you are a shareholder of record and you sign and return your proxy card or vote electronically without making any specific selection, then your shares will be voted FOR all director nominees listed in Proposal 1 and FOR Proposals 2 and 3, and AGAINST Proposal 4.</w:t>
      </w:r>
    </w:p>
    <w:p>
      <w:pPr>
        <w:spacing w:after="0" w:line="89"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If you specify that you wish to “ABSTAIN” from voting on an item, then your shares will not be voted on that particular item. Abstentions will not affect the outcome of the vote on Proposal 1. However, they will have the same effect as a vote against Proposals 2, 3, and 4.</w:t>
      </w:r>
    </w:p>
    <w:p>
      <w:pPr>
        <w:spacing w:after="0" w:line="89" w:lineRule="exact"/>
        <w:rPr>
          <w:sz w:val="20"/>
          <w:szCs w:val="20"/>
          <w:color w:val="auto"/>
        </w:rPr>
      </w:pPr>
    </w:p>
    <w:p>
      <w:pPr>
        <w:ind w:left="160" w:right="100"/>
        <w:spacing w:after="0" w:line="247" w:lineRule="auto"/>
        <w:rPr>
          <w:sz w:val="20"/>
          <w:szCs w:val="20"/>
          <w:color w:val="auto"/>
        </w:rPr>
      </w:pPr>
      <w:r>
        <w:rPr>
          <w:rFonts w:ascii="Arial" w:cs="Arial" w:eastAsia="Arial" w:hAnsi="Arial"/>
          <w:sz w:val="16"/>
          <w:szCs w:val="16"/>
          <w:color w:val="auto"/>
        </w:rPr>
        <w:t>If you are a beneficial owner and hold your shares through a broker or other nominee and do not provide your broker or nominee with voting instructions, the broker or nominee will have discretionary authority to vote your shares on routine matters only and will not vote your shares on non-routine matters. This is generally referred to as a “broker non-vote.” Only Proposal 2 will be considered a routine matter for the Annual Meeting. Accordingly, a broker or other nominee will not be able to vote on Proposals 1, 3, and 4 without voting instructions. Broker non-votes will not affect the outcome of the vote on Proposals 1, 3 and 4 as they will not be counted as being present and entitled to vote on such proposals.</w:t>
      </w:r>
    </w:p>
    <w:p>
      <w:pPr>
        <w:spacing w:after="0" w:line="96" w:lineRule="exact"/>
        <w:rPr>
          <w:sz w:val="20"/>
          <w:szCs w:val="20"/>
          <w:color w:val="auto"/>
        </w:rPr>
      </w:pPr>
    </w:p>
    <w:p>
      <w:pPr>
        <w:ind w:left="160" w:right="160"/>
        <w:spacing w:after="0" w:line="250" w:lineRule="auto"/>
        <w:rPr>
          <w:sz w:val="20"/>
          <w:szCs w:val="20"/>
          <w:color w:val="auto"/>
        </w:rPr>
      </w:pPr>
      <w:r>
        <w:rPr>
          <w:rFonts w:ascii="Arial" w:cs="Arial" w:eastAsia="Arial" w:hAnsi="Arial"/>
          <w:sz w:val="16"/>
          <w:szCs w:val="16"/>
          <w:color w:val="auto"/>
        </w:rPr>
        <w:t>For purposes of the Annual Meeting, there will be a quorum if the holders of a majority of the outstanding shares of our common stock entitled to vote at the Annual Meeting are present in person or represented by proxy. Abstentions and broker non-votes will be counted for purposes of determining if a quorum is present.</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Voting Procedures</w:t>
      </w:r>
    </w:p>
    <w:p>
      <w:pPr>
        <w:spacing w:after="0" w:line="120"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If you are a shareholder of record, you may vote in person at the Annual Meeting or submit your proxy or voting instruction form over the internet, by telephone or by mail by following the instructions provided in our notice of internet availability, in the proxy materials or in the voting instruction form. If you hold your shares beneficially in “street name” through a broker or other nominee, you must follow the instructions provided by your broker or nominee to vote your shares.</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Revoking Your Proxy/Changing Your Voting Instructions</w:t>
      </w:r>
    </w:p>
    <w:p>
      <w:pPr>
        <w:spacing w:after="0" w:line="120"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auto"/>
        </w:rPr>
        <w:t>If you are a shareholder of record, whether you give your proxy over the internet, by telephone or by mail, you may revoke it at any time before it is exercised. You may submit a new proxy by using the internet or the telephone or by mailing a new proxy card bearing a later date so long as it is received before the Annual Meeting. You may also revoke your proxy by attending the Annual Meeting and voting in person, although attendance at the Annual Meeting will not, by itself, revoke your proxy. If you hold your shares beneficially in “street name” through a broker or other nominee, you must follow the instructions provided by your broker or nominee as to how you may change your voting instructions.</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Shareholders Sharing the Same Address</w:t>
      </w:r>
    </w:p>
    <w:p>
      <w:pPr>
        <w:spacing w:after="0" w:line="120"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SEC rules permit us to deliver one copy of the Proxy Statement or a notice of internet availability of the Proxy Statement to multiple shareholders of record who share the same address and have the same last name, unless we have received contrary instructions from one or more of such shareholders. This delivery method, called “householding,” reduces our printing and mailing costs. Shareholders who participate in householding will continue to receive or have internet access to separate proxy cards.</w:t>
      </w:r>
    </w:p>
    <w:p>
      <w:pPr>
        <w:spacing w:after="0" w:line="95" w:lineRule="exact"/>
        <w:rPr>
          <w:sz w:val="20"/>
          <w:szCs w:val="20"/>
          <w:color w:val="auto"/>
        </w:rPr>
      </w:pPr>
    </w:p>
    <w:p>
      <w:pPr>
        <w:ind w:left="160" w:right="140"/>
        <w:spacing w:after="0" w:line="248" w:lineRule="auto"/>
        <w:rPr>
          <w:sz w:val="20"/>
          <w:szCs w:val="20"/>
          <w:color w:val="auto"/>
        </w:rPr>
      </w:pPr>
      <w:r>
        <w:rPr>
          <w:rFonts w:ascii="Arial" w:cs="Arial" w:eastAsia="Arial" w:hAnsi="Arial"/>
          <w:sz w:val="16"/>
          <w:szCs w:val="16"/>
          <w:color w:val="auto"/>
        </w:rPr>
        <w:t>If you are a shareholder of record subject to householding and wish to receive a separate copy of the Proxy Statement or notice of internet availability of the proxy materials, now or in the future, at the same address or if you are currently receiving multiple copies of such materials at the same address and wish to receive only a single copy, please write to or call the Corporate Secretary, Dover Corporation, 3005 Highland Parkway, Downers Grove, Illinois 60515, telephone: (630) 541-1540.</w:t>
      </w:r>
    </w:p>
    <w:p>
      <w:pPr>
        <w:spacing w:after="0" w:line="95" w:lineRule="exact"/>
        <w:rPr>
          <w:sz w:val="20"/>
          <w:szCs w:val="20"/>
          <w:color w:val="auto"/>
        </w:rPr>
      </w:pPr>
    </w:p>
    <w:p>
      <w:pPr>
        <w:ind w:left="160" w:right="240"/>
        <w:spacing w:after="0" w:line="248" w:lineRule="auto"/>
        <w:rPr>
          <w:sz w:val="20"/>
          <w:szCs w:val="20"/>
          <w:color w:val="auto"/>
        </w:rPr>
      </w:pPr>
      <w:r>
        <w:rPr>
          <w:rFonts w:ascii="Arial" w:cs="Arial" w:eastAsia="Arial" w:hAnsi="Arial"/>
          <w:sz w:val="16"/>
          <w:szCs w:val="16"/>
          <w:color w:val="auto"/>
        </w:rPr>
        <w:t>Beneficial owners sharing an address who are currently receiving multiple copies of the proxy materials or notice of internet availability of the proxy materials and wish to receive only a single copy in the future, or who currently receive a single copy and wish to receive separate copies in the future, should contact their bank, broker or other holder of record to request that only a single copy or separate copies, as the case may be, be delivered to all shareholders at the shared address in the future.</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Proxy Solicitation Costs</w:t>
      </w:r>
    </w:p>
    <w:p>
      <w:pPr>
        <w:spacing w:after="0" w:line="120"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We will pay the reasonable and actual costs of printing, mailing and soliciting proxies, but we will not pay a fee to any of our officers or employees or to officers or employees of any of our subsidiaries as compensation for soliciting proxies. We have retained Morrow Sodali, LLC to solicit brokerage houses and other custodians, nominees or fiduciaries, and to send proxies and proxy materials to the beneficial owners of such shares, for a fee of approximately $12,000 plus expenses.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83</w:t>
      </w:r>
    </w:p>
    <w:p>
      <w:pPr>
        <w:sectPr>
          <w:pgSz w:w="11900" w:h="16838" w:orient="portrait"/>
          <w:cols w:equalWidth="0" w:num="1">
            <w:col w:w="11080"/>
          </w:cols>
          <w:pgMar w:left="32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Other Matters</w:t>
      </w:r>
    </w:p>
    <w:p>
      <w:pPr>
        <w:spacing w:after="0" w:line="120"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Our Board and management have not received notice of, and are not aware of, any business to come before the Annual Meeting other than the agenda items referred to in this Proxy Statement. If, however, any other business properly comes before the meeting, the persons named as proxies will use their best judgment in voting the proxies.</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Shareholder Proposals and Director Nominations for 2023 Annual Meeting</w:t>
      </w:r>
    </w:p>
    <w:p>
      <w:pPr>
        <w:spacing w:after="0" w:line="120" w:lineRule="exact"/>
        <w:rPr>
          <w:sz w:val="20"/>
          <w:szCs w:val="20"/>
          <w:color w:val="auto"/>
        </w:rPr>
      </w:pPr>
    </w:p>
    <w:p>
      <w:pPr>
        <w:ind w:left="160" w:right="180"/>
        <w:spacing w:after="0" w:line="250" w:lineRule="auto"/>
        <w:rPr>
          <w:sz w:val="20"/>
          <w:szCs w:val="20"/>
          <w:color w:val="auto"/>
        </w:rPr>
      </w:pPr>
      <w:r>
        <w:rPr>
          <w:rFonts w:ascii="Arial" w:cs="Arial" w:eastAsia="Arial" w:hAnsi="Arial"/>
          <w:sz w:val="16"/>
          <w:szCs w:val="16"/>
          <w:color w:val="auto"/>
        </w:rPr>
        <w:t>In order for shareholder proposals to be included in our proxy statement for the Annual Meeting of Shareholders to be held in 2023 (the “2023 Annual Meeting”), they must be received by our Corporate Secretary at our principal executive offices, 3005 Highland Parkway, Downers Grove, Illinois, 60515, no later than the close of business on November 17, 2022.</w:t>
      </w:r>
    </w:p>
    <w:p>
      <w:pPr>
        <w:spacing w:after="0" w:line="94" w:lineRule="exact"/>
        <w:rPr>
          <w:sz w:val="20"/>
          <w:szCs w:val="20"/>
          <w:color w:val="auto"/>
        </w:rPr>
      </w:pPr>
    </w:p>
    <w:p>
      <w:pPr>
        <w:ind w:left="160" w:right="160"/>
        <w:spacing w:after="0" w:line="246" w:lineRule="auto"/>
        <w:rPr>
          <w:sz w:val="20"/>
          <w:szCs w:val="20"/>
          <w:color w:val="auto"/>
        </w:rPr>
      </w:pPr>
      <w:r>
        <w:rPr>
          <w:rFonts w:ascii="Arial" w:cs="Arial" w:eastAsia="Arial" w:hAnsi="Arial"/>
          <w:sz w:val="16"/>
          <w:szCs w:val="16"/>
          <w:color w:val="auto"/>
        </w:rPr>
        <w:t>In 2016, we adopted a proxy access right to permit a shareholder or a group of up to 20 shareholders owning 3% or more of our outstanding common stock continuously for at least three years to nominate and include in our proxy materials director candidates constituting up to the greater of two individuals or 20% of the Board, provided that the shareholder(s) and the nominee(s) satisfy the requirements specified in our by-laws. In order to be timely, notice of proxy access director nominees must be received by our Corporate Secretary at our principal executive offices at the address above no earlier than the open of business on October 18, 2022 and no later than the close of business on November 17, 2022 being, respectively, 150 days and 120 days prior to the first anniversary of the date we first distributed this proxy statement.</w:t>
      </w:r>
    </w:p>
    <w:p>
      <w:pPr>
        <w:spacing w:after="0" w:line="99" w:lineRule="exact"/>
        <w:rPr>
          <w:sz w:val="20"/>
          <w:szCs w:val="20"/>
          <w:color w:val="auto"/>
        </w:rPr>
      </w:pPr>
    </w:p>
    <w:p>
      <w:pPr>
        <w:jc w:val="both"/>
        <w:ind w:left="160" w:right="100"/>
        <w:spacing w:after="0" w:line="250" w:lineRule="auto"/>
        <w:rPr>
          <w:sz w:val="20"/>
          <w:szCs w:val="20"/>
          <w:color w:val="auto"/>
        </w:rPr>
      </w:pPr>
      <w:r>
        <w:rPr>
          <w:rFonts w:ascii="Arial" w:cs="Arial" w:eastAsia="Arial" w:hAnsi="Arial"/>
          <w:sz w:val="16"/>
          <w:szCs w:val="16"/>
          <w:color w:val="auto"/>
        </w:rPr>
        <w:t>All other shareholder nominations and proposals, in order to be voted on at the 2023 Annual Meeting, must be received by us no earlier than the open of business on January 6, 2023, and no later than the close of business on February 5, 2023 being, respectively, 120 days and 90 days prior to the date of the first anniversary of the 2022 Annual Meeting.</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Where You Can Find Additional Information</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website is located at www.dovercorporation.com. You can view additional information on our website, such as:</w:t>
      </w:r>
    </w:p>
    <w:p>
      <w:pPr>
        <w:spacing w:after="0" w:line="124" w:lineRule="exact"/>
        <w:rPr>
          <w:sz w:val="20"/>
          <w:szCs w:val="20"/>
          <w:color w:val="auto"/>
        </w:rPr>
      </w:pPr>
    </w:p>
    <w:p>
      <w:pPr>
        <w:ind w:left="800" w:hanging="312"/>
        <w:spacing w:after="0"/>
        <w:tabs>
          <w:tab w:leader="none" w:pos="8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Charters of our Board committees</w:t>
      </w:r>
    </w:p>
    <w:p>
      <w:pPr>
        <w:spacing w:after="0" w:line="123" w:lineRule="exact"/>
        <w:rPr>
          <w:rFonts w:ascii="Arial" w:cs="Arial" w:eastAsia="Arial" w:hAnsi="Arial"/>
          <w:sz w:val="16"/>
          <w:szCs w:val="16"/>
          <w:color w:val="auto"/>
        </w:rPr>
      </w:pPr>
    </w:p>
    <w:p>
      <w:pPr>
        <w:ind w:left="800" w:hanging="312"/>
        <w:spacing w:after="0"/>
        <w:tabs>
          <w:tab w:leader="none" w:pos="8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Corporate Governance Guidelines</w:t>
      </w:r>
    </w:p>
    <w:p>
      <w:pPr>
        <w:spacing w:after="0" w:line="123" w:lineRule="exact"/>
        <w:rPr>
          <w:rFonts w:ascii="Arial" w:cs="Arial" w:eastAsia="Arial" w:hAnsi="Arial"/>
          <w:sz w:val="16"/>
          <w:szCs w:val="16"/>
          <w:color w:val="auto"/>
        </w:rPr>
      </w:pPr>
    </w:p>
    <w:p>
      <w:pPr>
        <w:ind w:left="800" w:hanging="312"/>
        <w:spacing w:after="0"/>
        <w:tabs>
          <w:tab w:leader="none" w:pos="8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Code of Business Conduct &amp; Ethics</w:t>
      </w:r>
    </w:p>
    <w:p>
      <w:pPr>
        <w:spacing w:after="0" w:line="123" w:lineRule="exact"/>
        <w:rPr>
          <w:rFonts w:ascii="Arial" w:cs="Arial" w:eastAsia="Arial" w:hAnsi="Arial"/>
          <w:sz w:val="16"/>
          <w:szCs w:val="16"/>
          <w:color w:val="auto"/>
        </w:rPr>
      </w:pPr>
    </w:p>
    <w:p>
      <w:pPr>
        <w:ind w:left="800" w:hanging="312"/>
        <w:spacing w:after="0"/>
        <w:tabs>
          <w:tab w:leader="none" w:pos="8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Related Person Transactions Policy</w:t>
      </w:r>
    </w:p>
    <w:p>
      <w:pPr>
        <w:spacing w:after="0" w:line="123" w:lineRule="exact"/>
        <w:rPr>
          <w:rFonts w:ascii="Arial" w:cs="Arial" w:eastAsia="Arial" w:hAnsi="Arial"/>
          <w:sz w:val="16"/>
          <w:szCs w:val="16"/>
          <w:color w:val="auto"/>
        </w:rPr>
      </w:pPr>
    </w:p>
    <w:p>
      <w:pPr>
        <w:ind w:left="800" w:hanging="312"/>
        <w:spacing w:after="0"/>
        <w:tabs>
          <w:tab w:leader="none" w:pos="8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Standards for Director Independence</w:t>
      </w:r>
    </w:p>
    <w:p>
      <w:pPr>
        <w:spacing w:after="0" w:line="123" w:lineRule="exact"/>
        <w:rPr>
          <w:rFonts w:ascii="Arial" w:cs="Arial" w:eastAsia="Arial" w:hAnsi="Arial"/>
          <w:sz w:val="16"/>
          <w:szCs w:val="16"/>
          <w:color w:val="auto"/>
        </w:rPr>
      </w:pPr>
    </w:p>
    <w:p>
      <w:pPr>
        <w:ind w:left="800" w:right="100" w:hanging="312"/>
        <w:spacing w:after="0" w:line="256" w:lineRule="auto"/>
        <w:tabs>
          <w:tab w:leader="none" w:pos="8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Other governance materials and reports that we file with the SEC. Copies of these documents also may be obtained free of charge by writing or calling the Corporate Secretary, Dover Corporation, 3005 Highland Parkway, Downers Grove, Illinois 60515, telephone: (630) 541-1540</w:t>
      </w:r>
    </w:p>
    <w:p>
      <w:pPr>
        <w:spacing w:after="0" w:line="89" w:lineRule="exact"/>
        <w:rPr>
          <w:sz w:val="20"/>
          <w:szCs w:val="20"/>
          <w:color w:val="auto"/>
        </w:rPr>
      </w:pPr>
    </w:p>
    <w:p>
      <w:pPr>
        <w:jc w:val="both"/>
        <w:ind w:left="160" w:right="320"/>
        <w:spacing w:after="0" w:line="256" w:lineRule="auto"/>
        <w:rPr>
          <w:sz w:val="20"/>
          <w:szCs w:val="20"/>
          <w:color w:val="auto"/>
        </w:rPr>
      </w:pPr>
      <w:r>
        <w:rPr>
          <w:rFonts w:ascii="Arial" w:cs="Arial" w:eastAsia="Arial" w:hAnsi="Arial"/>
          <w:sz w:val="16"/>
          <w:szCs w:val="16"/>
          <w:color w:val="auto"/>
        </w:rPr>
        <w:t>All Dover Corporation website addresses contained in this proxy statement are intended to be inactive, textual references only. The information on, or accessible through, any such website identified in this proxy statement is not a part of, and is not incorporated by reference into, this proxy statement.</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Caution Concerning Forward-Looking Statements</w:t>
      </w:r>
    </w:p>
    <w:p>
      <w:pPr>
        <w:spacing w:after="0" w:line="144" w:lineRule="exact"/>
        <w:rPr>
          <w:sz w:val="20"/>
          <w:szCs w:val="20"/>
          <w:color w:val="auto"/>
        </w:rPr>
      </w:pPr>
    </w:p>
    <w:p>
      <w:pPr>
        <w:ind w:left="160" w:right="80"/>
        <w:spacing w:after="0" w:line="250" w:lineRule="auto"/>
        <w:rPr>
          <w:sz w:val="20"/>
          <w:szCs w:val="20"/>
          <w:color w:val="auto"/>
        </w:rPr>
      </w:pPr>
      <w:r>
        <w:rPr>
          <w:rFonts w:ascii="Arial" w:cs="Arial" w:eastAsia="Arial" w:hAnsi="Arial"/>
          <w:sz w:val="16"/>
          <w:szCs w:val="16"/>
          <w:color w:val="auto"/>
        </w:rPr>
        <w:t>This proxy statement contains forward-looking statements that are inherently subject to uncertainties and risks. We caution investors to be guided in their analysis of Dover by referring to the documents we file with the SEC, including our Annual Report on Form 10-K for 2021, for a list of factors that could cause our results to differ from those anticipated in any such forward-looking statements.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84</w:t>
      </w:r>
    </w:p>
    <w:p>
      <w:pPr>
        <w:sectPr>
          <w:pgSz w:w="11900" w:h="16838" w:orient="portrait"/>
          <w:cols w:equalWidth="0" w:num="1">
            <w:col w:w="11080"/>
          </w:cols>
          <w:pgMar w:left="320" w:top="456"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Non-GAAP Disclosures</w:t>
      </w:r>
    </w:p>
    <w:p>
      <w:pPr>
        <w:spacing w:after="0" w:line="144"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auto"/>
        </w:rPr>
        <w:t>In an effort to provide investors with additional information regarding our results as determined by accounting principles generally accepted in the United States of America (“GAAP”), we also disclose non-GAAP information that we believe provides useful information to investors. Adjusted net earnings, adjusted diluted net earnings per share, total segment earnings (EBIT), adjusted segment EBIT, adjusted segment EBIT margin, free cash flow, free cash flow as a percentage of revenue, free cash flow as a percentage of earnings, and organic revenue growth are not financial measures under GAAP and should not be considered as a substitute for net earnings, diluted net earnings per share, cash flows from operating activities, or revenue as determined in accordance with GAAP, and they may not be comparable to similarly titled measures reported by other companies.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Adjusted Net Earnings Per Share</w:t>
      </w: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167"/>
        </w:trPr>
        <w:tc>
          <w:tcPr>
            <w:tcW w:w="8220" w:type="dxa"/>
            <w:vAlign w:val="bottom"/>
            <w:gridSpan w:val="2"/>
          </w:tcPr>
          <w:p>
            <w:pPr>
              <w:spacing w:after="0" w:line="154" w:lineRule="exact"/>
              <w:rPr>
                <w:sz w:val="20"/>
                <w:szCs w:val="20"/>
                <w:color w:val="auto"/>
              </w:rPr>
            </w:pPr>
            <w:r>
              <w:rPr>
                <w:rFonts w:ascii="Arial" w:cs="Arial" w:eastAsia="Arial" w:hAnsi="Arial"/>
                <w:sz w:val="14"/>
                <w:szCs w:val="14"/>
                <w:color w:val="auto"/>
              </w:rPr>
              <w:t>(in millions, except per share data)</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57"/>
              <w:spacing w:after="0" w:line="154"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77"/>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77"/>
              <w:spacing w:after="0" w:line="154"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822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rPr>
              <w:t>Adjusted net earnings: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shd w:val="clear" w:color="auto" w:fill="D8D8D8"/>
          </w:tcPr>
          <w:p>
            <w:pPr>
              <w:spacing w:after="0" w:line="134" w:lineRule="exact"/>
              <w:rPr>
                <w:sz w:val="20"/>
                <w:szCs w:val="20"/>
                <w:color w:val="auto"/>
              </w:rPr>
            </w:pPr>
            <w:r>
              <w:rPr>
                <w:rFonts w:ascii="Arial" w:cs="Arial" w:eastAsia="Arial" w:hAnsi="Arial"/>
                <w:sz w:val="12"/>
                <w:szCs w:val="12"/>
                <w:color w:val="auto"/>
              </w:rPr>
              <w:t>Net earnings</w:t>
            </w:r>
          </w:p>
        </w:tc>
        <w:tc>
          <w:tcPr>
            <w:tcW w:w="400" w:type="dxa"/>
            <w:vAlign w:val="bottom"/>
            <w:gridSpan w:val="2"/>
            <w:shd w:val="clear" w:color="auto" w:fill="D8D8D8"/>
          </w:tcPr>
          <w:p>
            <w:pPr>
              <w:jc w:val="right"/>
              <w:ind w:right="12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D8D8D8"/>
          </w:tcPr>
          <w:p>
            <w:pPr>
              <w:jc w:val="right"/>
              <w:ind w:right="300"/>
              <w:spacing w:after="0" w:line="134" w:lineRule="exact"/>
              <w:rPr>
                <w:sz w:val="20"/>
                <w:szCs w:val="20"/>
                <w:color w:val="auto"/>
              </w:rPr>
            </w:pPr>
            <w:r>
              <w:rPr>
                <w:rFonts w:ascii="Arial" w:cs="Arial" w:eastAsia="Arial" w:hAnsi="Arial"/>
                <w:sz w:val="12"/>
                <w:szCs w:val="12"/>
                <w:color w:val="auto"/>
              </w:rPr>
              <w:t>1,124</w:t>
            </w:r>
          </w:p>
        </w:tc>
        <w:tc>
          <w:tcPr>
            <w:tcW w:w="100" w:type="dxa"/>
            <w:vAlign w:val="bottom"/>
            <w:shd w:val="clear" w:color="auto" w:fill="D8D8D8"/>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8D8D8"/>
          </w:tcPr>
          <w:p>
            <w:pPr>
              <w:jc w:val="right"/>
              <w:spacing w:after="0" w:line="134" w:lineRule="exact"/>
              <w:rPr>
                <w:sz w:val="20"/>
                <w:szCs w:val="20"/>
                <w:color w:val="auto"/>
              </w:rPr>
            </w:pPr>
            <w:r>
              <w:rPr>
                <w:rFonts w:ascii="Arial" w:cs="Arial" w:eastAsia="Arial" w:hAnsi="Arial"/>
                <w:sz w:val="12"/>
                <w:szCs w:val="12"/>
                <w:color w:val="auto"/>
              </w:rPr>
              <w:t>683</w:t>
            </w:r>
          </w:p>
        </w:tc>
        <w:tc>
          <w:tcPr>
            <w:tcW w:w="100" w:type="dxa"/>
            <w:vAlign w:val="bottom"/>
            <w:shd w:val="clear" w:color="auto" w:fill="D8D8D8"/>
          </w:tcPr>
          <w:p>
            <w:pPr>
              <w:spacing w:after="0"/>
              <w:rPr>
                <w:sz w:val="11"/>
                <w:szCs w:val="11"/>
                <w:color w:val="auto"/>
              </w:rPr>
            </w:pPr>
          </w:p>
        </w:tc>
        <w:tc>
          <w:tcPr>
            <w:tcW w:w="180" w:type="dxa"/>
            <w:vAlign w:val="bottom"/>
            <w:gridSpan w:val="2"/>
            <w:shd w:val="clear" w:color="auto" w:fill="D8D8D8"/>
          </w:tcPr>
          <w:p>
            <w:pPr>
              <w:jc w:val="right"/>
              <w:ind w:right="40"/>
              <w:spacing w:after="0" w:line="134" w:lineRule="exact"/>
              <w:rPr>
                <w:sz w:val="20"/>
                <w:szCs w:val="20"/>
                <w:color w:val="auto"/>
              </w:rPr>
            </w:pPr>
            <w:r>
              <w:rPr>
                <w:rFonts w:ascii="Arial" w:cs="Arial" w:eastAsia="Arial" w:hAnsi="Arial"/>
                <w:sz w:val="12"/>
                <w:szCs w:val="12"/>
                <w:color w:val="auto"/>
              </w:rPr>
              <w:t>$</w:t>
            </w:r>
          </w:p>
        </w:tc>
        <w:tc>
          <w:tcPr>
            <w:tcW w:w="480" w:type="dxa"/>
            <w:vAlign w:val="bottom"/>
            <w:shd w:val="clear" w:color="auto" w:fill="D8D8D8"/>
          </w:tcPr>
          <w:p>
            <w:pPr>
              <w:jc w:val="right"/>
              <w:spacing w:after="0" w:line="134" w:lineRule="exact"/>
              <w:rPr>
                <w:sz w:val="20"/>
                <w:szCs w:val="20"/>
                <w:color w:val="auto"/>
              </w:rPr>
            </w:pPr>
            <w:r>
              <w:rPr>
                <w:rFonts w:ascii="Arial" w:cs="Arial" w:eastAsia="Arial" w:hAnsi="Arial"/>
                <w:sz w:val="12"/>
                <w:szCs w:val="12"/>
                <w:color w:val="auto"/>
              </w:rPr>
              <w:t>678</w:t>
            </w: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tcPr>
          <w:p>
            <w:pPr>
              <w:spacing w:after="0" w:line="134" w:lineRule="exact"/>
              <w:rPr>
                <w:sz w:val="20"/>
                <w:szCs w:val="20"/>
                <w:color w:val="auto"/>
              </w:rPr>
            </w:pPr>
            <w:r>
              <w:rPr>
                <w:rFonts w:ascii="Arial" w:cs="Arial" w:eastAsia="Arial" w:hAnsi="Arial"/>
                <w:sz w:val="12"/>
                <w:szCs w:val="12"/>
                <w:color w:val="auto"/>
              </w:rPr>
              <w:t xml:space="preserve">Acquisition-related amortization, pre-tax </w:t>
            </w:r>
            <w:r>
              <w:rPr>
                <w:rFonts w:ascii="Arial" w:cs="Arial" w:eastAsia="Arial" w:hAnsi="Arial"/>
                <w:sz w:val="10"/>
                <w:szCs w:val="10"/>
                <w:color w:val="auto"/>
              </w:rPr>
              <w:t>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142</w:t>
            </w:r>
          </w:p>
        </w:tc>
        <w:tc>
          <w:tcPr>
            <w:tcW w:w="10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Arial" w:cs="Arial" w:eastAsia="Arial" w:hAnsi="Arial"/>
                <w:sz w:val="12"/>
                <w:szCs w:val="12"/>
                <w:color w:val="auto"/>
              </w:rPr>
              <w:t>139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Arial" w:cs="Arial" w:eastAsia="Arial" w:hAnsi="Arial"/>
                <w:sz w:val="12"/>
                <w:szCs w:val="12"/>
                <w:color w:val="auto"/>
              </w:rPr>
              <w:t>138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shd w:val="clear" w:color="auto" w:fill="D8D8D8"/>
          </w:tcPr>
          <w:p>
            <w:pPr>
              <w:spacing w:after="0" w:line="134" w:lineRule="exact"/>
              <w:rPr>
                <w:sz w:val="20"/>
                <w:szCs w:val="20"/>
                <w:color w:val="auto"/>
              </w:rPr>
            </w:pPr>
            <w:r>
              <w:rPr>
                <w:rFonts w:ascii="Arial" w:cs="Arial" w:eastAsia="Arial" w:hAnsi="Arial"/>
                <w:sz w:val="12"/>
                <w:szCs w:val="12"/>
                <w:color w:val="auto"/>
              </w:rPr>
              <w:t xml:space="preserve">Acquisition-related amortization, tax impact </w:t>
            </w:r>
            <w:r>
              <w:rPr>
                <w:rFonts w:ascii="Arial" w:cs="Arial" w:eastAsia="Arial" w:hAnsi="Arial"/>
                <w:sz w:val="10"/>
                <w:szCs w:val="10"/>
                <w:color w:val="auto"/>
              </w:rPr>
              <w:t>2</w:t>
            </w:r>
          </w:p>
        </w:tc>
        <w:tc>
          <w:tcPr>
            <w:tcW w:w="22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860" w:type="dxa"/>
            <w:vAlign w:val="bottom"/>
            <w:gridSpan w:val="2"/>
            <w:shd w:val="clear" w:color="auto" w:fill="D8D8D8"/>
          </w:tcPr>
          <w:p>
            <w:pPr>
              <w:jc w:val="right"/>
              <w:ind w:right="260"/>
              <w:spacing w:after="0" w:line="134" w:lineRule="exact"/>
              <w:rPr>
                <w:sz w:val="20"/>
                <w:szCs w:val="20"/>
                <w:color w:val="auto"/>
              </w:rPr>
            </w:pPr>
            <w:r>
              <w:rPr>
                <w:rFonts w:ascii="Arial" w:cs="Arial" w:eastAsia="Arial" w:hAnsi="Arial"/>
                <w:sz w:val="12"/>
                <w:szCs w:val="12"/>
                <w:color w:val="auto"/>
              </w:rPr>
              <w:t>(35)</w:t>
            </w:r>
          </w:p>
        </w:tc>
        <w:tc>
          <w:tcPr>
            <w:tcW w:w="100" w:type="dxa"/>
            <w:vAlign w:val="bottom"/>
            <w:shd w:val="clear" w:color="auto" w:fill="D8D8D8"/>
          </w:tcPr>
          <w:p>
            <w:pPr>
              <w:spacing w:after="0"/>
              <w:rPr>
                <w:sz w:val="11"/>
                <w:szCs w:val="11"/>
                <w:color w:val="auto"/>
              </w:rPr>
            </w:pPr>
          </w:p>
        </w:tc>
        <w:tc>
          <w:tcPr>
            <w:tcW w:w="580" w:type="dxa"/>
            <w:vAlign w:val="bottom"/>
            <w:gridSpan w:val="2"/>
            <w:shd w:val="clear" w:color="auto" w:fill="D8D8D8"/>
          </w:tcPr>
          <w:p>
            <w:pPr>
              <w:jc w:val="right"/>
              <w:ind w:right="60"/>
              <w:spacing w:after="0" w:line="134" w:lineRule="exact"/>
              <w:rPr>
                <w:sz w:val="20"/>
                <w:szCs w:val="20"/>
                <w:color w:val="auto"/>
              </w:rPr>
            </w:pPr>
            <w:r>
              <w:rPr>
                <w:rFonts w:ascii="Arial" w:cs="Arial" w:eastAsia="Arial" w:hAnsi="Arial"/>
                <w:sz w:val="12"/>
                <w:szCs w:val="12"/>
                <w:color w:val="auto"/>
              </w:rPr>
              <w:t>(34)</w:t>
            </w:r>
          </w:p>
        </w:tc>
        <w:tc>
          <w:tcPr>
            <w:tcW w:w="8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580" w:type="dxa"/>
            <w:vAlign w:val="bottom"/>
            <w:gridSpan w:val="2"/>
            <w:shd w:val="clear" w:color="auto" w:fill="D8D8D8"/>
          </w:tcPr>
          <w:p>
            <w:pPr>
              <w:jc w:val="right"/>
              <w:ind w:right="60"/>
              <w:spacing w:after="0" w:line="134" w:lineRule="exact"/>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tcPr>
          <w:p>
            <w:pPr>
              <w:spacing w:after="0" w:line="134" w:lineRule="exact"/>
              <w:rPr>
                <w:sz w:val="20"/>
                <w:szCs w:val="20"/>
                <w:color w:val="auto"/>
              </w:rPr>
            </w:pPr>
            <w:r>
              <w:rPr>
                <w:rFonts w:ascii="Arial" w:cs="Arial" w:eastAsia="Arial" w:hAnsi="Arial"/>
                <w:sz w:val="12"/>
                <w:szCs w:val="12"/>
                <w:color w:val="auto"/>
              </w:rPr>
              <w:t xml:space="preserve">Rightsizing and other costs, pre-tax </w:t>
            </w:r>
            <w:r>
              <w:rPr>
                <w:rFonts w:ascii="Arial" w:cs="Arial" w:eastAsia="Arial" w:hAnsi="Arial"/>
                <w:sz w:val="10"/>
                <w:szCs w:val="10"/>
                <w:color w:val="auto"/>
              </w:rPr>
              <w:t>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38</w:t>
            </w:r>
          </w:p>
        </w:tc>
        <w:tc>
          <w:tcPr>
            <w:tcW w:w="10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Arial" w:cs="Arial" w:eastAsia="Arial" w:hAnsi="Arial"/>
                <w:sz w:val="12"/>
                <w:szCs w:val="12"/>
                <w:color w:val="auto"/>
              </w:rPr>
              <w:t>51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Arial" w:cs="Arial" w:eastAsia="Arial" w:hAnsi="Arial"/>
                <w:sz w:val="12"/>
                <w:szCs w:val="12"/>
                <w:color w:val="auto"/>
              </w:rPr>
              <w:t>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shd w:val="clear" w:color="auto" w:fill="D8D8D8"/>
          </w:tcPr>
          <w:p>
            <w:pPr>
              <w:spacing w:after="0" w:line="134" w:lineRule="exact"/>
              <w:rPr>
                <w:sz w:val="20"/>
                <w:szCs w:val="20"/>
                <w:color w:val="auto"/>
              </w:rPr>
            </w:pPr>
            <w:r>
              <w:rPr>
                <w:rFonts w:ascii="Arial" w:cs="Arial" w:eastAsia="Arial" w:hAnsi="Arial"/>
                <w:sz w:val="12"/>
                <w:szCs w:val="12"/>
                <w:color w:val="auto"/>
              </w:rPr>
              <w:t xml:space="preserve">Rightsizing and other costs, tax impact </w:t>
            </w:r>
            <w:r>
              <w:rPr>
                <w:rFonts w:ascii="Arial" w:cs="Arial" w:eastAsia="Arial" w:hAnsi="Arial"/>
                <w:sz w:val="10"/>
                <w:szCs w:val="10"/>
                <w:color w:val="auto"/>
              </w:rPr>
              <w:t>2</w:t>
            </w:r>
          </w:p>
        </w:tc>
        <w:tc>
          <w:tcPr>
            <w:tcW w:w="22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860" w:type="dxa"/>
            <w:vAlign w:val="bottom"/>
            <w:gridSpan w:val="2"/>
            <w:shd w:val="clear" w:color="auto" w:fill="D8D8D8"/>
          </w:tcPr>
          <w:p>
            <w:pPr>
              <w:jc w:val="right"/>
              <w:ind w:right="260"/>
              <w:spacing w:after="0" w:line="134" w:lineRule="exact"/>
              <w:rPr>
                <w:sz w:val="20"/>
                <w:szCs w:val="20"/>
                <w:color w:val="auto"/>
              </w:rPr>
            </w:pPr>
            <w:r>
              <w:rPr>
                <w:rFonts w:ascii="Arial" w:cs="Arial" w:eastAsia="Arial" w:hAnsi="Arial"/>
                <w:sz w:val="12"/>
                <w:szCs w:val="12"/>
                <w:color w:val="auto"/>
              </w:rPr>
              <w:t>(7)</w:t>
            </w:r>
          </w:p>
        </w:tc>
        <w:tc>
          <w:tcPr>
            <w:tcW w:w="100" w:type="dxa"/>
            <w:vAlign w:val="bottom"/>
            <w:shd w:val="clear" w:color="auto" w:fill="D8D8D8"/>
          </w:tcPr>
          <w:p>
            <w:pPr>
              <w:spacing w:after="0"/>
              <w:rPr>
                <w:sz w:val="11"/>
                <w:szCs w:val="11"/>
                <w:color w:val="auto"/>
              </w:rPr>
            </w:pPr>
          </w:p>
        </w:tc>
        <w:tc>
          <w:tcPr>
            <w:tcW w:w="580" w:type="dxa"/>
            <w:vAlign w:val="bottom"/>
            <w:gridSpan w:val="2"/>
            <w:shd w:val="clear" w:color="auto" w:fill="D8D8D8"/>
          </w:tcPr>
          <w:p>
            <w:pPr>
              <w:jc w:val="right"/>
              <w:ind w:right="60"/>
              <w:spacing w:after="0" w:line="134" w:lineRule="exact"/>
              <w:rPr>
                <w:sz w:val="20"/>
                <w:szCs w:val="20"/>
                <w:color w:val="auto"/>
              </w:rPr>
            </w:pPr>
            <w:r>
              <w:rPr>
                <w:rFonts w:ascii="Arial" w:cs="Arial" w:eastAsia="Arial" w:hAnsi="Arial"/>
                <w:sz w:val="12"/>
                <w:szCs w:val="12"/>
                <w:color w:val="auto"/>
              </w:rPr>
              <w:t>(11)</w:t>
            </w:r>
          </w:p>
        </w:tc>
        <w:tc>
          <w:tcPr>
            <w:tcW w:w="8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580" w:type="dxa"/>
            <w:vAlign w:val="bottom"/>
            <w:gridSpan w:val="2"/>
            <w:shd w:val="clear" w:color="auto" w:fill="D8D8D8"/>
          </w:tcPr>
          <w:p>
            <w:pPr>
              <w:jc w:val="right"/>
              <w:ind w:right="60"/>
              <w:spacing w:after="0" w:line="134" w:lineRule="exact"/>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tcPr>
          <w:p>
            <w:pPr>
              <w:spacing w:after="0" w:line="134" w:lineRule="exact"/>
              <w:rPr>
                <w:sz w:val="20"/>
                <w:szCs w:val="20"/>
                <w:color w:val="auto"/>
              </w:rPr>
            </w:pPr>
            <w:r>
              <w:rPr>
                <w:rFonts w:ascii="Arial" w:cs="Arial" w:eastAsia="Arial" w:hAnsi="Arial"/>
                <w:sz w:val="12"/>
                <w:szCs w:val="12"/>
                <w:color w:val="auto"/>
              </w:rPr>
              <w:t xml:space="preserve">Gain on dispositions, pre-tax </w:t>
            </w:r>
            <w:r>
              <w:rPr>
                <w:rFonts w:ascii="Arial" w:cs="Arial" w:eastAsia="Arial" w:hAnsi="Arial"/>
                <w:sz w:val="10"/>
                <w:szCs w:val="10"/>
                <w:color w:val="auto"/>
              </w:rPr>
              <w:t>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(206)</w:t>
            </w: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shd w:val="clear" w:color="auto" w:fill="D8D8D8"/>
          </w:tcPr>
          <w:p>
            <w:pPr>
              <w:spacing w:after="0" w:line="134" w:lineRule="exact"/>
              <w:rPr>
                <w:sz w:val="20"/>
                <w:szCs w:val="20"/>
                <w:color w:val="auto"/>
              </w:rPr>
            </w:pPr>
            <w:r>
              <w:rPr>
                <w:rFonts w:ascii="Arial" w:cs="Arial" w:eastAsia="Arial" w:hAnsi="Arial"/>
                <w:sz w:val="12"/>
                <w:szCs w:val="12"/>
                <w:color w:val="auto"/>
              </w:rPr>
              <w:t xml:space="preserve">Gain on dispositions, tax impact </w:t>
            </w:r>
            <w:r>
              <w:rPr>
                <w:rFonts w:ascii="Arial" w:cs="Arial" w:eastAsia="Arial" w:hAnsi="Arial"/>
                <w:sz w:val="10"/>
                <w:szCs w:val="10"/>
                <w:color w:val="auto"/>
              </w:rPr>
              <w:t>2</w:t>
            </w:r>
          </w:p>
        </w:tc>
        <w:tc>
          <w:tcPr>
            <w:tcW w:w="22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860" w:type="dxa"/>
            <w:vAlign w:val="bottom"/>
            <w:gridSpan w:val="2"/>
            <w:shd w:val="clear" w:color="auto" w:fill="D8D8D8"/>
          </w:tcPr>
          <w:p>
            <w:pPr>
              <w:jc w:val="right"/>
              <w:ind w:right="300"/>
              <w:spacing w:after="0" w:line="134" w:lineRule="exact"/>
              <w:rPr>
                <w:sz w:val="20"/>
                <w:szCs w:val="20"/>
                <w:color w:val="auto"/>
              </w:rPr>
            </w:pPr>
            <w:r>
              <w:rPr>
                <w:rFonts w:ascii="Arial" w:cs="Arial" w:eastAsia="Arial" w:hAnsi="Arial"/>
                <w:sz w:val="12"/>
                <w:szCs w:val="12"/>
                <w:color w:val="auto"/>
              </w:rPr>
              <w:t>53</w:t>
            </w:r>
          </w:p>
        </w:tc>
        <w:tc>
          <w:tcPr>
            <w:tcW w:w="100" w:type="dxa"/>
            <w:vAlign w:val="bottom"/>
            <w:shd w:val="clear" w:color="auto" w:fill="D8D8D8"/>
          </w:tcPr>
          <w:p>
            <w:pPr>
              <w:spacing w:after="0"/>
              <w:rPr>
                <w:sz w:val="11"/>
                <w:szCs w:val="11"/>
                <w:color w:val="auto"/>
              </w:rPr>
            </w:pPr>
          </w:p>
        </w:tc>
        <w:tc>
          <w:tcPr>
            <w:tcW w:w="480" w:type="dxa"/>
            <w:vAlign w:val="bottom"/>
            <w:shd w:val="clear" w:color="auto" w:fill="D8D8D8"/>
          </w:tcPr>
          <w:p>
            <w:pPr>
              <w:jc w:val="right"/>
              <w:spacing w:after="0" w:line="134" w:lineRule="exact"/>
              <w:rPr>
                <w:sz w:val="20"/>
                <w:szCs w:val="20"/>
                <w:color w:val="auto"/>
              </w:rPr>
            </w:pPr>
            <w:r>
              <w:rPr>
                <w:rFonts w:ascii="Arial" w:cs="Arial" w:eastAsia="Arial" w:hAnsi="Arial"/>
                <w:sz w:val="12"/>
                <w:szCs w:val="12"/>
                <w:color w:val="auto"/>
              </w:rPr>
              <w:t>1</w:t>
            </w:r>
          </w:p>
        </w:tc>
        <w:tc>
          <w:tcPr>
            <w:tcW w:w="10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580" w:type="dxa"/>
            <w:vAlign w:val="bottom"/>
            <w:gridSpan w:val="2"/>
            <w:shd w:val="clear" w:color="auto" w:fill="D8D8D8"/>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tcPr>
          <w:p>
            <w:pPr>
              <w:spacing w:after="0" w:line="134" w:lineRule="exact"/>
              <w:rPr>
                <w:sz w:val="20"/>
                <w:szCs w:val="20"/>
                <w:color w:val="auto"/>
              </w:rPr>
            </w:pPr>
            <w:r>
              <w:rPr>
                <w:rFonts w:ascii="Arial" w:cs="Arial" w:eastAsia="Arial" w:hAnsi="Arial"/>
                <w:sz w:val="12"/>
                <w:szCs w:val="12"/>
                <w:color w:val="auto"/>
              </w:rPr>
              <w:t xml:space="preserve">Loss on extinguishment of debt, pre-tax </w:t>
            </w:r>
            <w:r>
              <w:rPr>
                <w:rFonts w:ascii="Arial" w:cs="Arial" w:eastAsia="Arial" w:hAnsi="Arial"/>
                <w:sz w:val="10"/>
                <w:szCs w:val="10"/>
                <w:color w:val="auto"/>
              </w:rPr>
              <w:t>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Arial" w:cs="Arial" w:eastAsia="Arial" w:hAnsi="Arial"/>
                <w:sz w:val="12"/>
                <w:szCs w:val="12"/>
                <w:color w:val="auto"/>
              </w:rPr>
              <w:t>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shd w:val="clear" w:color="auto" w:fill="D8D8D8"/>
          </w:tcPr>
          <w:p>
            <w:pPr>
              <w:spacing w:after="0" w:line="134" w:lineRule="exact"/>
              <w:rPr>
                <w:sz w:val="20"/>
                <w:szCs w:val="20"/>
                <w:color w:val="auto"/>
              </w:rPr>
            </w:pPr>
            <w:r>
              <w:rPr>
                <w:rFonts w:ascii="Arial" w:cs="Arial" w:eastAsia="Arial" w:hAnsi="Arial"/>
                <w:sz w:val="12"/>
                <w:szCs w:val="12"/>
                <w:color w:val="auto"/>
              </w:rPr>
              <w:t xml:space="preserve">Loss on extinguishment of debt, tax impact </w:t>
            </w:r>
            <w:r>
              <w:rPr>
                <w:rFonts w:ascii="Arial" w:cs="Arial" w:eastAsia="Arial" w:hAnsi="Arial"/>
                <w:sz w:val="10"/>
                <w:szCs w:val="10"/>
                <w:color w:val="auto"/>
              </w:rPr>
              <w:t>2</w:t>
            </w:r>
          </w:p>
        </w:tc>
        <w:tc>
          <w:tcPr>
            <w:tcW w:w="22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860" w:type="dxa"/>
            <w:vAlign w:val="bottom"/>
            <w:gridSpan w:val="2"/>
            <w:shd w:val="clear" w:color="auto" w:fill="D8D8D8"/>
          </w:tcPr>
          <w:p>
            <w:pPr>
              <w:jc w:val="right"/>
              <w:ind w:right="300"/>
              <w:spacing w:after="0" w:line="134" w:lineRule="exact"/>
              <w:rPr>
                <w:sz w:val="20"/>
                <w:szCs w:val="20"/>
                <w:color w:val="auto"/>
              </w:rPr>
            </w:pPr>
            <w:r>
              <w:rPr>
                <w:rFonts w:ascii="Arial" w:cs="Arial" w:eastAsia="Arial" w:hAnsi="Arial"/>
                <w:sz w:val="12"/>
                <w:szCs w:val="12"/>
                <w:color w:val="auto"/>
              </w:rPr>
              <w:t>—</w:t>
            </w:r>
          </w:p>
        </w:tc>
        <w:tc>
          <w:tcPr>
            <w:tcW w:w="100" w:type="dxa"/>
            <w:vAlign w:val="bottom"/>
            <w:shd w:val="clear" w:color="auto" w:fill="D8D8D8"/>
          </w:tcPr>
          <w:p>
            <w:pPr>
              <w:spacing w:after="0"/>
              <w:rPr>
                <w:sz w:val="11"/>
                <w:szCs w:val="11"/>
                <w:color w:val="auto"/>
              </w:rPr>
            </w:pPr>
          </w:p>
        </w:tc>
        <w:tc>
          <w:tcPr>
            <w:tcW w:w="580" w:type="dxa"/>
            <w:vAlign w:val="bottom"/>
            <w:gridSpan w:val="2"/>
            <w:shd w:val="clear" w:color="auto" w:fill="D8D8D8"/>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580" w:type="dxa"/>
            <w:vAlign w:val="bottom"/>
            <w:gridSpan w:val="2"/>
            <w:shd w:val="clear" w:color="auto" w:fill="D8D8D8"/>
          </w:tcPr>
          <w:p>
            <w:pPr>
              <w:jc w:val="right"/>
              <w:ind w:right="60"/>
              <w:spacing w:after="0" w:line="134"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00" w:type="dxa"/>
            <w:vAlign w:val="bottom"/>
          </w:tcPr>
          <w:p>
            <w:pPr>
              <w:spacing w:after="0" w:line="134" w:lineRule="exact"/>
              <w:rPr>
                <w:sz w:val="20"/>
                <w:szCs w:val="20"/>
                <w:color w:val="auto"/>
              </w:rPr>
            </w:pPr>
            <w:r>
              <w:rPr>
                <w:rFonts w:ascii="Arial" w:cs="Arial" w:eastAsia="Arial" w:hAnsi="Arial"/>
                <w:sz w:val="12"/>
                <w:szCs w:val="12"/>
                <w:color w:val="auto"/>
              </w:rPr>
              <w:t xml:space="preserve">Loss on assets held for sale </w:t>
            </w:r>
            <w:r>
              <w:rPr>
                <w:rFonts w:ascii="Arial" w:cs="Arial" w:eastAsia="Arial" w:hAnsi="Arial"/>
                <w:sz w:val="10"/>
                <w:szCs w:val="10"/>
                <w:color w:val="auto"/>
              </w:rPr>
              <w:t>6</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00"/>
              <w:spacing w:after="0" w:line="134"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shd w:val="clear" w:color="auto" w:fill="D8D8D8"/>
          </w:tcPr>
          <w:p>
            <w:pPr>
              <w:spacing w:after="0" w:line="134" w:lineRule="exact"/>
              <w:rPr>
                <w:sz w:val="20"/>
                <w:szCs w:val="20"/>
                <w:color w:val="auto"/>
              </w:rPr>
            </w:pPr>
            <w:r>
              <w:rPr>
                <w:rFonts w:ascii="Arial" w:cs="Arial" w:eastAsia="Arial" w:hAnsi="Arial"/>
                <w:sz w:val="12"/>
                <w:szCs w:val="12"/>
                <w:b w:val="1"/>
                <w:bCs w:val="1"/>
                <w:color w:val="auto"/>
              </w:rPr>
              <w:t>Adjusted net earnings</w:t>
            </w:r>
          </w:p>
        </w:tc>
        <w:tc>
          <w:tcPr>
            <w:tcW w:w="400" w:type="dxa"/>
            <w:vAlign w:val="bottom"/>
            <w:gridSpan w:val="2"/>
            <w:shd w:val="clear" w:color="auto" w:fill="D8D8D8"/>
          </w:tcPr>
          <w:p>
            <w:pPr>
              <w:jc w:val="right"/>
              <w:ind w:right="4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D8D8D8"/>
          </w:tcPr>
          <w:p>
            <w:pPr>
              <w:jc w:val="right"/>
              <w:ind w:right="300"/>
              <w:spacing w:after="0" w:line="134" w:lineRule="exact"/>
              <w:rPr>
                <w:sz w:val="20"/>
                <w:szCs w:val="20"/>
                <w:color w:val="auto"/>
              </w:rPr>
            </w:pPr>
            <w:r>
              <w:rPr>
                <w:rFonts w:ascii="Arial" w:cs="Arial" w:eastAsia="Arial" w:hAnsi="Arial"/>
                <w:sz w:val="12"/>
                <w:szCs w:val="12"/>
                <w:color w:val="auto"/>
              </w:rPr>
              <w:t>1,109</w:t>
            </w:r>
          </w:p>
        </w:tc>
        <w:tc>
          <w:tcPr>
            <w:tcW w:w="100" w:type="dxa"/>
            <w:vAlign w:val="bottom"/>
            <w:shd w:val="clear" w:color="auto" w:fill="D8D8D8"/>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8D8D8"/>
          </w:tcPr>
          <w:p>
            <w:pPr>
              <w:jc w:val="right"/>
              <w:spacing w:after="0" w:line="134" w:lineRule="exact"/>
              <w:rPr>
                <w:sz w:val="20"/>
                <w:szCs w:val="20"/>
                <w:color w:val="auto"/>
              </w:rPr>
            </w:pPr>
            <w:r>
              <w:rPr>
                <w:rFonts w:ascii="Arial" w:cs="Arial" w:eastAsia="Arial" w:hAnsi="Arial"/>
                <w:sz w:val="12"/>
                <w:szCs w:val="12"/>
                <w:color w:val="auto"/>
              </w:rPr>
              <w:t>824</w:t>
            </w:r>
          </w:p>
        </w:tc>
        <w:tc>
          <w:tcPr>
            <w:tcW w:w="100" w:type="dxa"/>
            <w:vAlign w:val="bottom"/>
            <w:shd w:val="clear" w:color="auto" w:fill="D8D8D8"/>
          </w:tcPr>
          <w:p>
            <w:pPr>
              <w:spacing w:after="0"/>
              <w:rPr>
                <w:sz w:val="11"/>
                <w:szCs w:val="11"/>
                <w:color w:val="auto"/>
              </w:rPr>
            </w:pPr>
          </w:p>
        </w:tc>
        <w:tc>
          <w:tcPr>
            <w:tcW w:w="180" w:type="dxa"/>
            <w:vAlign w:val="bottom"/>
            <w:gridSpan w:val="2"/>
            <w:shd w:val="clear" w:color="auto" w:fill="D8D8D8"/>
          </w:tcPr>
          <w:p>
            <w:pPr>
              <w:jc w:val="right"/>
              <w:ind w:right="40"/>
              <w:spacing w:after="0" w:line="134" w:lineRule="exact"/>
              <w:rPr>
                <w:sz w:val="20"/>
                <w:szCs w:val="20"/>
                <w:color w:val="auto"/>
              </w:rPr>
            </w:pPr>
            <w:r>
              <w:rPr>
                <w:rFonts w:ascii="Arial" w:cs="Arial" w:eastAsia="Arial" w:hAnsi="Arial"/>
                <w:sz w:val="12"/>
                <w:szCs w:val="12"/>
                <w:color w:val="auto"/>
              </w:rPr>
              <w:t>$</w:t>
            </w:r>
          </w:p>
        </w:tc>
        <w:tc>
          <w:tcPr>
            <w:tcW w:w="480" w:type="dxa"/>
            <w:vAlign w:val="bottom"/>
            <w:shd w:val="clear" w:color="auto" w:fill="D8D8D8"/>
          </w:tcPr>
          <w:p>
            <w:pPr>
              <w:jc w:val="right"/>
              <w:spacing w:after="0" w:line="134" w:lineRule="exact"/>
              <w:rPr>
                <w:sz w:val="20"/>
                <w:szCs w:val="20"/>
                <w:color w:val="auto"/>
              </w:rPr>
            </w:pPr>
            <w:r>
              <w:rPr>
                <w:rFonts w:ascii="Arial" w:cs="Arial" w:eastAsia="Arial" w:hAnsi="Arial"/>
                <w:sz w:val="12"/>
                <w:szCs w:val="12"/>
                <w:color w:val="auto"/>
              </w:rPr>
              <w:t>872</w:t>
            </w: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Diluted average shares outstanding</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300"/>
              <w:spacing w:after="0" w:line="128" w:lineRule="exact"/>
              <w:rPr>
                <w:sz w:val="20"/>
                <w:szCs w:val="20"/>
                <w:color w:val="auto"/>
              </w:rPr>
            </w:pPr>
            <w:r>
              <w:rPr>
                <w:rFonts w:ascii="Arial" w:cs="Arial" w:eastAsia="Arial" w:hAnsi="Arial"/>
                <w:sz w:val="12"/>
                <w:szCs w:val="12"/>
                <w:color w:val="auto"/>
              </w:rPr>
              <w:t>145</w:t>
            </w: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145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147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0" w:type="dxa"/>
            <w:vAlign w:val="bottom"/>
            <w:shd w:val="clear" w:color="auto" w:fill="D8D8D8"/>
          </w:tcPr>
          <w:p>
            <w:pPr>
              <w:spacing w:after="0"/>
              <w:rPr>
                <w:sz w:val="20"/>
                <w:szCs w:val="20"/>
                <w:color w:val="auto"/>
              </w:rPr>
            </w:pPr>
            <w:r>
              <w:rPr>
                <w:rFonts w:ascii="Arial" w:cs="Arial" w:eastAsia="Arial" w:hAnsi="Arial"/>
                <w:sz w:val="12"/>
                <w:szCs w:val="12"/>
                <w:b w:val="1"/>
                <w:bCs w:val="1"/>
                <w:color w:val="auto"/>
              </w:rPr>
              <w:t>Adjusted diluted net earnings per common share*:</w:t>
            </w:r>
          </w:p>
        </w:tc>
        <w:tc>
          <w:tcPr>
            <w:tcW w:w="220" w:type="dxa"/>
            <w:vAlign w:val="bottom"/>
            <w:shd w:val="clear" w:color="auto" w:fill="D8D8D8"/>
          </w:tcPr>
          <w:p>
            <w:pPr>
              <w:spacing w:after="0"/>
              <w:rPr>
                <w:sz w:val="20"/>
                <w:szCs w:val="20"/>
                <w:color w:val="auto"/>
              </w:rPr>
            </w:pPr>
          </w:p>
        </w:tc>
        <w:tc>
          <w:tcPr>
            <w:tcW w:w="180" w:type="dxa"/>
            <w:vAlign w:val="bottom"/>
            <w:shd w:val="clear" w:color="auto" w:fill="D8D8D8"/>
          </w:tcPr>
          <w:p>
            <w:pPr>
              <w:spacing w:after="0"/>
              <w:rPr>
                <w:sz w:val="20"/>
                <w:szCs w:val="20"/>
                <w:color w:val="auto"/>
              </w:rPr>
            </w:pPr>
          </w:p>
        </w:tc>
        <w:tc>
          <w:tcPr>
            <w:tcW w:w="56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480" w:type="dxa"/>
            <w:vAlign w:val="bottom"/>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480" w:type="dxa"/>
            <w:vAlign w:val="bottom"/>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tcPr>
          <w:p>
            <w:pPr>
              <w:spacing w:after="0" w:line="134" w:lineRule="exact"/>
              <w:rPr>
                <w:sz w:val="20"/>
                <w:szCs w:val="20"/>
                <w:color w:val="auto"/>
              </w:rPr>
            </w:pPr>
            <w:r>
              <w:rPr>
                <w:rFonts w:ascii="Arial" w:cs="Arial" w:eastAsia="Arial" w:hAnsi="Arial"/>
                <w:sz w:val="12"/>
                <w:szCs w:val="12"/>
                <w:color w:val="auto"/>
              </w:rPr>
              <w:t>Net earnings</w:t>
            </w:r>
          </w:p>
        </w:tc>
        <w:tc>
          <w:tcPr>
            <w:tcW w:w="4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7.74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4.70</w:t>
            </w:r>
          </w:p>
        </w:tc>
        <w:tc>
          <w:tcPr>
            <w:tcW w:w="18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34" w:lineRule="exact"/>
              <w:rPr>
                <w:sz w:val="20"/>
                <w:szCs w:val="20"/>
                <w:color w:val="auto"/>
              </w:rPr>
            </w:pPr>
            <w:r>
              <w:rPr>
                <w:rFonts w:ascii="Arial" w:cs="Arial" w:eastAsia="Arial" w:hAnsi="Arial"/>
                <w:sz w:val="12"/>
                <w:szCs w:val="12"/>
                <w:color w:val="auto"/>
              </w:rPr>
              <w:t>4.61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shd w:val="clear" w:color="auto" w:fill="D8D8D8"/>
          </w:tcPr>
          <w:p>
            <w:pPr>
              <w:spacing w:after="0" w:line="134" w:lineRule="exact"/>
              <w:rPr>
                <w:sz w:val="20"/>
                <w:szCs w:val="20"/>
                <w:color w:val="auto"/>
              </w:rPr>
            </w:pPr>
            <w:r>
              <w:rPr>
                <w:rFonts w:ascii="Arial" w:cs="Arial" w:eastAsia="Arial" w:hAnsi="Arial"/>
                <w:sz w:val="12"/>
                <w:szCs w:val="12"/>
                <w:color w:val="auto"/>
              </w:rPr>
              <w:t xml:space="preserve">Acquisition-related amortization, pre-tax </w:t>
            </w:r>
            <w:r>
              <w:rPr>
                <w:rFonts w:ascii="Arial" w:cs="Arial" w:eastAsia="Arial" w:hAnsi="Arial"/>
                <w:sz w:val="10"/>
                <w:szCs w:val="10"/>
                <w:color w:val="auto"/>
              </w:rPr>
              <w:t>1</w:t>
            </w:r>
          </w:p>
        </w:tc>
        <w:tc>
          <w:tcPr>
            <w:tcW w:w="22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860" w:type="dxa"/>
            <w:vAlign w:val="bottom"/>
            <w:gridSpan w:val="2"/>
            <w:shd w:val="clear" w:color="auto" w:fill="D8D8D8"/>
          </w:tcPr>
          <w:p>
            <w:pPr>
              <w:jc w:val="right"/>
              <w:ind w:right="300"/>
              <w:spacing w:after="0" w:line="134" w:lineRule="exact"/>
              <w:rPr>
                <w:sz w:val="20"/>
                <w:szCs w:val="20"/>
                <w:color w:val="auto"/>
              </w:rPr>
            </w:pPr>
            <w:r>
              <w:rPr>
                <w:rFonts w:ascii="Arial" w:cs="Arial" w:eastAsia="Arial" w:hAnsi="Arial"/>
                <w:sz w:val="12"/>
                <w:szCs w:val="12"/>
                <w:color w:val="auto"/>
              </w:rPr>
              <w:t>0.98</w:t>
            </w:r>
          </w:p>
        </w:tc>
        <w:tc>
          <w:tcPr>
            <w:tcW w:w="100" w:type="dxa"/>
            <w:vAlign w:val="bottom"/>
            <w:shd w:val="clear" w:color="auto" w:fill="D8D8D8"/>
          </w:tcPr>
          <w:p>
            <w:pPr>
              <w:spacing w:after="0"/>
              <w:rPr>
                <w:sz w:val="11"/>
                <w:szCs w:val="11"/>
                <w:color w:val="auto"/>
              </w:rPr>
            </w:pPr>
          </w:p>
        </w:tc>
        <w:tc>
          <w:tcPr>
            <w:tcW w:w="580" w:type="dxa"/>
            <w:vAlign w:val="bottom"/>
            <w:gridSpan w:val="2"/>
            <w:shd w:val="clear" w:color="auto" w:fill="D8D8D8"/>
          </w:tcPr>
          <w:p>
            <w:pPr>
              <w:jc w:val="right"/>
              <w:ind w:right="100"/>
              <w:spacing w:after="0" w:line="134" w:lineRule="exact"/>
              <w:rPr>
                <w:sz w:val="20"/>
                <w:szCs w:val="20"/>
                <w:color w:val="auto"/>
              </w:rPr>
            </w:pPr>
            <w:r>
              <w:rPr>
                <w:rFonts w:ascii="Arial" w:cs="Arial" w:eastAsia="Arial" w:hAnsi="Arial"/>
                <w:sz w:val="12"/>
                <w:szCs w:val="12"/>
                <w:color w:val="auto"/>
              </w:rPr>
              <w:t>0.95</w:t>
            </w:r>
          </w:p>
        </w:tc>
        <w:tc>
          <w:tcPr>
            <w:tcW w:w="8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480" w:type="dxa"/>
            <w:vAlign w:val="bottom"/>
            <w:shd w:val="clear" w:color="auto" w:fill="D8D8D8"/>
          </w:tcPr>
          <w:p>
            <w:pPr>
              <w:jc w:val="right"/>
              <w:spacing w:after="0" w:line="134" w:lineRule="exact"/>
              <w:rPr>
                <w:sz w:val="20"/>
                <w:szCs w:val="20"/>
                <w:color w:val="auto"/>
              </w:rPr>
            </w:pPr>
            <w:r>
              <w:rPr>
                <w:rFonts w:ascii="Arial" w:cs="Arial" w:eastAsia="Arial" w:hAnsi="Arial"/>
                <w:sz w:val="12"/>
                <w:szCs w:val="12"/>
                <w:color w:val="auto"/>
              </w:rPr>
              <w:t>0.94</w:t>
            </w: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tcPr>
          <w:p>
            <w:pPr>
              <w:spacing w:after="0" w:line="134" w:lineRule="exact"/>
              <w:rPr>
                <w:sz w:val="20"/>
                <w:szCs w:val="20"/>
                <w:color w:val="auto"/>
              </w:rPr>
            </w:pPr>
            <w:r>
              <w:rPr>
                <w:rFonts w:ascii="Arial" w:cs="Arial" w:eastAsia="Arial" w:hAnsi="Arial"/>
                <w:sz w:val="12"/>
                <w:szCs w:val="12"/>
                <w:color w:val="auto"/>
              </w:rPr>
              <w:t xml:space="preserve">Acquisition-related amortization, tax impact </w:t>
            </w:r>
            <w:r>
              <w:rPr>
                <w:rFonts w:ascii="Arial" w:cs="Arial" w:eastAsia="Arial" w:hAnsi="Arial"/>
                <w:sz w:val="10"/>
                <w:szCs w:val="10"/>
                <w:color w:val="auto"/>
              </w:rPr>
              <w:t>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(0.24)</w:t>
            </w: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(0.24)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(0.24)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shd w:val="clear" w:color="auto" w:fill="D8D8D8"/>
          </w:tcPr>
          <w:p>
            <w:pPr>
              <w:spacing w:after="0" w:line="134" w:lineRule="exact"/>
              <w:rPr>
                <w:sz w:val="20"/>
                <w:szCs w:val="20"/>
                <w:color w:val="auto"/>
              </w:rPr>
            </w:pPr>
            <w:r>
              <w:rPr>
                <w:rFonts w:ascii="Arial" w:cs="Arial" w:eastAsia="Arial" w:hAnsi="Arial"/>
                <w:sz w:val="12"/>
                <w:szCs w:val="12"/>
                <w:color w:val="auto"/>
              </w:rPr>
              <w:t xml:space="preserve">Rightsizing and other costs, pre-tax </w:t>
            </w:r>
            <w:r>
              <w:rPr>
                <w:rFonts w:ascii="Arial" w:cs="Arial" w:eastAsia="Arial" w:hAnsi="Arial"/>
                <w:sz w:val="10"/>
                <w:szCs w:val="10"/>
                <w:color w:val="auto"/>
              </w:rPr>
              <w:t>3</w:t>
            </w:r>
          </w:p>
        </w:tc>
        <w:tc>
          <w:tcPr>
            <w:tcW w:w="22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860" w:type="dxa"/>
            <w:vAlign w:val="bottom"/>
            <w:gridSpan w:val="2"/>
            <w:shd w:val="clear" w:color="auto" w:fill="D8D8D8"/>
          </w:tcPr>
          <w:p>
            <w:pPr>
              <w:jc w:val="right"/>
              <w:ind w:right="300"/>
              <w:spacing w:after="0" w:line="134" w:lineRule="exact"/>
              <w:rPr>
                <w:sz w:val="20"/>
                <w:szCs w:val="20"/>
                <w:color w:val="auto"/>
              </w:rPr>
            </w:pPr>
            <w:r>
              <w:rPr>
                <w:rFonts w:ascii="Arial" w:cs="Arial" w:eastAsia="Arial" w:hAnsi="Arial"/>
                <w:sz w:val="12"/>
                <w:szCs w:val="12"/>
                <w:color w:val="auto"/>
              </w:rPr>
              <w:t>0.26</w:t>
            </w:r>
          </w:p>
        </w:tc>
        <w:tc>
          <w:tcPr>
            <w:tcW w:w="100" w:type="dxa"/>
            <w:vAlign w:val="bottom"/>
            <w:shd w:val="clear" w:color="auto" w:fill="D8D8D8"/>
          </w:tcPr>
          <w:p>
            <w:pPr>
              <w:spacing w:after="0"/>
              <w:rPr>
                <w:sz w:val="11"/>
                <w:szCs w:val="11"/>
                <w:color w:val="auto"/>
              </w:rPr>
            </w:pPr>
          </w:p>
        </w:tc>
        <w:tc>
          <w:tcPr>
            <w:tcW w:w="580" w:type="dxa"/>
            <w:vAlign w:val="bottom"/>
            <w:gridSpan w:val="2"/>
            <w:shd w:val="clear" w:color="auto" w:fill="D8D8D8"/>
          </w:tcPr>
          <w:p>
            <w:pPr>
              <w:jc w:val="right"/>
              <w:ind w:right="100"/>
              <w:spacing w:after="0" w:line="134" w:lineRule="exact"/>
              <w:rPr>
                <w:sz w:val="20"/>
                <w:szCs w:val="20"/>
                <w:color w:val="auto"/>
              </w:rPr>
            </w:pPr>
            <w:r>
              <w:rPr>
                <w:rFonts w:ascii="Arial" w:cs="Arial" w:eastAsia="Arial" w:hAnsi="Arial"/>
                <w:sz w:val="12"/>
                <w:szCs w:val="12"/>
                <w:color w:val="auto"/>
              </w:rPr>
              <w:t>0.35</w:t>
            </w:r>
          </w:p>
        </w:tc>
        <w:tc>
          <w:tcPr>
            <w:tcW w:w="8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480" w:type="dxa"/>
            <w:vAlign w:val="bottom"/>
            <w:shd w:val="clear" w:color="auto" w:fill="D8D8D8"/>
          </w:tcPr>
          <w:p>
            <w:pPr>
              <w:jc w:val="right"/>
              <w:spacing w:after="0" w:line="134" w:lineRule="exact"/>
              <w:rPr>
                <w:sz w:val="20"/>
                <w:szCs w:val="20"/>
                <w:color w:val="auto"/>
              </w:rPr>
            </w:pPr>
            <w:r>
              <w:rPr>
                <w:rFonts w:ascii="Arial" w:cs="Arial" w:eastAsia="Arial" w:hAnsi="Arial"/>
                <w:sz w:val="12"/>
                <w:szCs w:val="12"/>
                <w:color w:val="auto"/>
              </w:rPr>
              <w:t>0.22</w:t>
            </w: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tcPr>
          <w:p>
            <w:pPr>
              <w:spacing w:after="0" w:line="134" w:lineRule="exact"/>
              <w:rPr>
                <w:sz w:val="20"/>
                <w:szCs w:val="20"/>
                <w:color w:val="auto"/>
              </w:rPr>
            </w:pPr>
            <w:r>
              <w:rPr>
                <w:rFonts w:ascii="Arial" w:cs="Arial" w:eastAsia="Arial" w:hAnsi="Arial"/>
                <w:sz w:val="12"/>
                <w:szCs w:val="12"/>
                <w:color w:val="auto"/>
              </w:rPr>
              <w:t xml:space="preserve">Rightsizing and other costs, tax impact </w:t>
            </w:r>
            <w:r>
              <w:rPr>
                <w:rFonts w:ascii="Arial" w:cs="Arial" w:eastAsia="Arial" w:hAnsi="Arial"/>
                <w:sz w:val="10"/>
                <w:szCs w:val="10"/>
                <w:color w:val="auto"/>
              </w:rPr>
              <w:t>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60"/>
              <w:spacing w:after="0" w:line="134" w:lineRule="exact"/>
              <w:rPr>
                <w:sz w:val="20"/>
                <w:szCs w:val="20"/>
                <w:color w:val="auto"/>
              </w:rPr>
            </w:pPr>
            <w:r>
              <w:rPr>
                <w:rFonts w:ascii="Arial" w:cs="Arial" w:eastAsia="Arial" w:hAnsi="Arial"/>
                <w:sz w:val="12"/>
                <w:szCs w:val="12"/>
                <w:color w:val="auto"/>
              </w:rPr>
              <w:t>(0.05)</w:t>
            </w: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(0.07)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(0.06)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shd w:val="clear" w:color="auto" w:fill="D8D8D8"/>
          </w:tcPr>
          <w:p>
            <w:pPr>
              <w:spacing w:after="0" w:line="134" w:lineRule="exact"/>
              <w:rPr>
                <w:sz w:val="20"/>
                <w:szCs w:val="20"/>
                <w:color w:val="auto"/>
              </w:rPr>
            </w:pPr>
            <w:r>
              <w:rPr>
                <w:rFonts w:ascii="Arial" w:cs="Arial" w:eastAsia="Arial" w:hAnsi="Arial"/>
                <w:sz w:val="12"/>
                <w:szCs w:val="12"/>
                <w:color w:val="auto"/>
              </w:rPr>
              <w:t xml:space="preserve">Gain on dispositions, pre-tax </w:t>
            </w:r>
            <w:r>
              <w:rPr>
                <w:rFonts w:ascii="Arial" w:cs="Arial" w:eastAsia="Arial" w:hAnsi="Arial"/>
                <w:sz w:val="10"/>
                <w:szCs w:val="10"/>
                <w:color w:val="auto"/>
              </w:rPr>
              <w:t>4</w:t>
            </w:r>
          </w:p>
        </w:tc>
        <w:tc>
          <w:tcPr>
            <w:tcW w:w="22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860" w:type="dxa"/>
            <w:vAlign w:val="bottom"/>
            <w:gridSpan w:val="2"/>
            <w:shd w:val="clear" w:color="auto" w:fill="D8D8D8"/>
          </w:tcPr>
          <w:p>
            <w:pPr>
              <w:jc w:val="right"/>
              <w:ind w:right="260"/>
              <w:spacing w:after="0" w:line="134" w:lineRule="exact"/>
              <w:rPr>
                <w:sz w:val="20"/>
                <w:szCs w:val="20"/>
                <w:color w:val="auto"/>
              </w:rPr>
            </w:pPr>
            <w:r>
              <w:rPr>
                <w:rFonts w:ascii="Arial" w:cs="Arial" w:eastAsia="Arial" w:hAnsi="Arial"/>
                <w:sz w:val="12"/>
                <w:szCs w:val="12"/>
                <w:color w:val="auto"/>
              </w:rPr>
              <w:t>(1.42)</w:t>
            </w:r>
          </w:p>
        </w:tc>
        <w:tc>
          <w:tcPr>
            <w:tcW w:w="100" w:type="dxa"/>
            <w:vAlign w:val="bottom"/>
            <w:shd w:val="clear" w:color="auto" w:fill="D8D8D8"/>
          </w:tcPr>
          <w:p>
            <w:pPr>
              <w:spacing w:after="0"/>
              <w:rPr>
                <w:sz w:val="11"/>
                <w:szCs w:val="11"/>
                <w:color w:val="auto"/>
              </w:rPr>
            </w:pPr>
          </w:p>
        </w:tc>
        <w:tc>
          <w:tcPr>
            <w:tcW w:w="580" w:type="dxa"/>
            <w:vAlign w:val="bottom"/>
            <w:gridSpan w:val="2"/>
            <w:shd w:val="clear" w:color="auto" w:fill="D8D8D8"/>
          </w:tcPr>
          <w:p>
            <w:pPr>
              <w:jc w:val="right"/>
              <w:ind w:right="60"/>
              <w:spacing w:after="0" w:line="134" w:lineRule="exact"/>
              <w:rPr>
                <w:sz w:val="20"/>
                <w:szCs w:val="20"/>
                <w:color w:val="auto"/>
              </w:rPr>
            </w:pPr>
            <w:r>
              <w:rPr>
                <w:rFonts w:ascii="Arial" w:cs="Arial" w:eastAsia="Arial" w:hAnsi="Arial"/>
                <w:sz w:val="12"/>
                <w:szCs w:val="12"/>
                <w:color w:val="auto"/>
              </w:rPr>
              <w:t>(0.03)</w:t>
            </w:r>
          </w:p>
        </w:tc>
        <w:tc>
          <w:tcPr>
            <w:tcW w:w="8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580" w:type="dxa"/>
            <w:vAlign w:val="bottom"/>
            <w:gridSpan w:val="2"/>
            <w:shd w:val="clear" w:color="auto" w:fill="D8D8D8"/>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tcPr>
          <w:p>
            <w:pPr>
              <w:spacing w:after="0" w:line="134" w:lineRule="exact"/>
              <w:rPr>
                <w:sz w:val="20"/>
                <w:szCs w:val="20"/>
                <w:color w:val="auto"/>
              </w:rPr>
            </w:pPr>
            <w:r>
              <w:rPr>
                <w:rFonts w:ascii="Arial" w:cs="Arial" w:eastAsia="Arial" w:hAnsi="Arial"/>
                <w:sz w:val="12"/>
                <w:szCs w:val="12"/>
                <w:color w:val="auto"/>
              </w:rPr>
              <w:t xml:space="preserve">Gain on dispositions, tax impact </w:t>
            </w:r>
            <w:r>
              <w:rPr>
                <w:rFonts w:ascii="Arial" w:cs="Arial" w:eastAsia="Arial" w:hAnsi="Arial"/>
                <w:sz w:val="10"/>
                <w:szCs w:val="10"/>
                <w:color w:val="auto"/>
              </w:rPr>
              <w:t>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0.37</w:t>
            </w:r>
          </w:p>
        </w:tc>
        <w:tc>
          <w:tcPr>
            <w:tcW w:w="100" w:type="dxa"/>
            <w:vAlign w:val="bottom"/>
          </w:tcPr>
          <w:p>
            <w:pPr>
              <w:spacing w:after="0"/>
              <w:rPr>
                <w:sz w:val="11"/>
                <w:szCs w:val="11"/>
                <w:color w:val="auto"/>
              </w:rPr>
            </w:pPr>
          </w:p>
        </w:tc>
        <w:tc>
          <w:tcPr>
            <w:tcW w:w="5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0.01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shd w:val="clear" w:color="auto" w:fill="D8D8D8"/>
          </w:tcPr>
          <w:p>
            <w:pPr>
              <w:spacing w:after="0" w:line="134" w:lineRule="exact"/>
              <w:rPr>
                <w:sz w:val="20"/>
                <w:szCs w:val="20"/>
                <w:color w:val="auto"/>
              </w:rPr>
            </w:pPr>
            <w:r>
              <w:rPr>
                <w:rFonts w:ascii="Arial" w:cs="Arial" w:eastAsia="Arial" w:hAnsi="Arial"/>
                <w:sz w:val="12"/>
                <w:szCs w:val="12"/>
                <w:color w:val="auto"/>
              </w:rPr>
              <w:t xml:space="preserve">Loss on extinguishment of debt, pre-tax </w:t>
            </w:r>
            <w:r>
              <w:rPr>
                <w:rFonts w:ascii="Arial" w:cs="Arial" w:eastAsia="Arial" w:hAnsi="Arial"/>
                <w:sz w:val="10"/>
                <w:szCs w:val="10"/>
                <w:color w:val="auto"/>
              </w:rPr>
              <w:t>5</w:t>
            </w:r>
          </w:p>
        </w:tc>
        <w:tc>
          <w:tcPr>
            <w:tcW w:w="22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860" w:type="dxa"/>
            <w:vAlign w:val="bottom"/>
            <w:gridSpan w:val="2"/>
            <w:shd w:val="clear" w:color="auto" w:fill="D8D8D8"/>
          </w:tcPr>
          <w:p>
            <w:pPr>
              <w:jc w:val="right"/>
              <w:ind w:right="300"/>
              <w:spacing w:after="0" w:line="134" w:lineRule="exact"/>
              <w:rPr>
                <w:sz w:val="20"/>
                <w:szCs w:val="20"/>
                <w:color w:val="auto"/>
              </w:rPr>
            </w:pPr>
            <w:r>
              <w:rPr>
                <w:rFonts w:ascii="Arial" w:cs="Arial" w:eastAsia="Arial" w:hAnsi="Arial"/>
                <w:sz w:val="12"/>
                <w:szCs w:val="12"/>
                <w:color w:val="auto"/>
              </w:rPr>
              <w:t>—</w:t>
            </w:r>
          </w:p>
        </w:tc>
        <w:tc>
          <w:tcPr>
            <w:tcW w:w="100" w:type="dxa"/>
            <w:vAlign w:val="bottom"/>
            <w:shd w:val="clear" w:color="auto" w:fill="D8D8D8"/>
          </w:tcPr>
          <w:p>
            <w:pPr>
              <w:spacing w:after="0"/>
              <w:rPr>
                <w:sz w:val="11"/>
                <w:szCs w:val="11"/>
                <w:color w:val="auto"/>
              </w:rPr>
            </w:pPr>
          </w:p>
        </w:tc>
        <w:tc>
          <w:tcPr>
            <w:tcW w:w="580" w:type="dxa"/>
            <w:vAlign w:val="bottom"/>
            <w:gridSpan w:val="2"/>
            <w:shd w:val="clear" w:color="auto" w:fill="D8D8D8"/>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480" w:type="dxa"/>
            <w:vAlign w:val="bottom"/>
            <w:shd w:val="clear" w:color="auto" w:fill="D8D8D8"/>
          </w:tcPr>
          <w:p>
            <w:pPr>
              <w:jc w:val="right"/>
              <w:spacing w:after="0" w:line="134" w:lineRule="exact"/>
              <w:rPr>
                <w:sz w:val="20"/>
                <w:szCs w:val="20"/>
                <w:color w:val="auto"/>
              </w:rPr>
            </w:pPr>
            <w:r>
              <w:rPr>
                <w:rFonts w:ascii="Arial" w:cs="Arial" w:eastAsia="Arial" w:hAnsi="Arial"/>
                <w:sz w:val="12"/>
                <w:szCs w:val="12"/>
                <w:color w:val="auto"/>
              </w:rPr>
              <w:t>0.16</w:t>
            </w: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tcPr>
          <w:p>
            <w:pPr>
              <w:spacing w:after="0" w:line="134" w:lineRule="exact"/>
              <w:rPr>
                <w:sz w:val="20"/>
                <w:szCs w:val="20"/>
                <w:color w:val="auto"/>
              </w:rPr>
            </w:pPr>
            <w:r>
              <w:rPr>
                <w:rFonts w:ascii="Arial" w:cs="Arial" w:eastAsia="Arial" w:hAnsi="Arial"/>
                <w:sz w:val="12"/>
                <w:szCs w:val="12"/>
                <w:color w:val="auto"/>
              </w:rPr>
              <w:t xml:space="preserve">Loss on extinguishment of debt, tax impact </w:t>
            </w:r>
            <w:r>
              <w:rPr>
                <w:rFonts w:ascii="Arial" w:cs="Arial" w:eastAsia="Arial" w:hAnsi="Arial"/>
                <w:sz w:val="10"/>
                <w:szCs w:val="10"/>
                <w:color w:val="auto"/>
              </w:rPr>
              <w:t>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(0.04)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0" w:type="dxa"/>
            <w:vAlign w:val="bottom"/>
            <w:shd w:val="clear" w:color="auto" w:fill="D8D8D8"/>
          </w:tcPr>
          <w:p>
            <w:pPr>
              <w:spacing w:after="0" w:line="134" w:lineRule="exact"/>
              <w:rPr>
                <w:sz w:val="20"/>
                <w:szCs w:val="20"/>
                <w:color w:val="auto"/>
              </w:rPr>
            </w:pPr>
            <w:r>
              <w:rPr>
                <w:rFonts w:ascii="Arial" w:cs="Arial" w:eastAsia="Arial" w:hAnsi="Arial"/>
                <w:sz w:val="12"/>
                <w:szCs w:val="12"/>
                <w:color w:val="auto"/>
              </w:rPr>
              <w:t xml:space="preserve">Loss on assets held for sale </w:t>
            </w:r>
            <w:r>
              <w:rPr>
                <w:rFonts w:ascii="Arial" w:cs="Arial" w:eastAsia="Arial" w:hAnsi="Arial"/>
                <w:sz w:val="10"/>
                <w:szCs w:val="10"/>
                <w:color w:val="auto"/>
              </w:rPr>
              <w:t>6</w:t>
            </w:r>
          </w:p>
        </w:tc>
        <w:tc>
          <w:tcPr>
            <w:tcW w:w="220" w:type="dxa"/>
            <w:vAlign w:val="bottom"/>
            <w:shd w:val="clear" w:color="auto" w:fill="D8D8D8"/>
          </w:tcPr>
          <w:p>
            <w:pPr>
              <w:spacing w:after="0"/>
              <w:rPr>
                <w:sz w:val="11"/>
                <w:szCs w:val="11"/>
                <w:color w:val="auto"/>
              </w:rPr>
            </w:pPr>
          </w:p>
        </w:tc>
        <w:tc>
          <w:tcPr>
            <w:tcW w:w="180" w:type="dxa"/>
            <w:vAlign w:val="bottom"/>
            <w:tcBorders>
              <w:bottom w:val="single" w:sz="8" w:color="auto"/>
            </w:tcBorders>
            <w:shd w:val="clear" w:color="auto" w:fill="D8D8D8"/>
          </w:tcPr>
          <w:p>
            <w:pPr>
              <w:spacing w:after="0"/>
              <w:rPr>
                <w:sz w:val="11"/>
                <w:szCs w:val="11"/>
                <w:color w:val="auto"/>
              </w:rPr>
            </w:pPr>
          </w:p>
        </w:tc>
        <w:tc>
          <w:tcPr>
            <w:tcW w:w="860" w:type="dxa"/>
            <w:vAlign w:val="bottom"/>
            <w:tcBorders>
              <w:bottom w:val="single" w:sz="8" w:color="auto"/>
            </w:tcBorders>
            <w:gridSpan w:val="2"/>
            <w:shd w:val="clear" w:color="auto" w:fill="D8D8D8"/>
          </w:tcPr>
          <w:p>
            <w:pPr>
              <w:jc w:val="right"/>
              <w:ind w:right="300"/>
              <w:spacing w:after="0" w:line="134"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shd w:val="clear" w:color="auto" w:fill="D8D8D8"/>
          </w:tcPr>
          <w:p>
            <w:pPr>
              <w:spacing w:after="0"/>
              <w:rPr>
                <w:sz w:val="11"/>
                <w:szCs w:val="11"/>
                <w:color w:val="auto"/>
              </w:rPr>
            </w:pPr>
          </w:p>
        </w:tc>
        <w:tc>
          <w:tcPr>
            <w:tcW w:w="580" w:type="dxa"/>
            <w:vAlign w:val="bottom"/>
            <w:tcBorders>
              <w:bottom w:val="single" w:sz="8" w:color="auto"/>
            </w:tcBorders>
            <w:gridSpan w:val="2"/>
            <w:shd w:val="clear" w:color="auto" w:fill="D8D8D8"/>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D8D8D8"/>
          </w:tcPr>
          <w:p>
            <w:pPr>
              <w:spacing w:after="0"/>
              <w:rPr>
                <w:sz w:val="11"/>
                <w:szCs w:val="11"/>
                <w:color w:val="auto"/>
              </w:rPr>
            </w:pPr>
          </w:p>
        </w:tc>
        <w:tc>
          <w:tcPr>
            <w:tcW w:w="100" w:type="dxa"/>
            <w:vAlign w:val="bottom"/>
            <w:tcBorders>
              <w:bottom w:val="single" w:sz="8" w:color="auto"/>
            </w:tcBorders>
            <w:shd w:val="clear" w:color="auto" w:fill="D8D8D8"/>
          </w:tcPr>
          <w:p>
            <w:pPr>
              <w:spacing w:after="0"/>
              <w:rPr>
                <w:sz w:val="11"/>
                <w:szCs w:val="11"/>
                <w:color w:val="auto"/>
              </w:rPr>
            </w:pPr>
          </w:p>
        </w:tc>
        <w:tc>
          <w:tcPr>
            <w:tcW w:w="480" w:type="dxa"/>
            <w:vAlign w:val="bottom"/>
            <w:tcBorders>
              <w:bottom w:val="single" w:sz="8" w:color="auto"/>
            </w:tcBorders>
            <w:shd w:val="clear" w:color="auto" w:fill="D8D8D8"/>
          </w:tcPr>
          <w:p>
            <w:pPr>
              <w:jc w:val="right"/>
              <w:spacing w:after="0" w:line="134" w:lineRule="exact"/>
              <w:rPr>
                <w:sz w:val="20"/>
                <w:szCs w:val="20"/>
                <w:color w:val="auto"/>
              </w:rPr>
            </w:pPr>
            <w:r>
              <w:rPr>
                <w:rFonts w:ascii="Arial" w:cs="Arial" w:eastAsia="Arial" w:hAnsi="Arial"/>
                <w:sz w:val="12"/>
                <w:szCs w:val="12"/>
                <w:color w:val="auto"/>
              </w:rPr>
              <w:t>0.32</w:t>
            </w: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8220" w:type="dxa"/>
            <w:vAlign w:val="bottom"/>
            <w:gridSpan w:val="2"/>
          </w:tcPr>
          <w:p>
            <w:pPr>
              <w:spacing w:after="0"/>
              <w:rPr>
                <w:sz w:val="20"/>
                <w:szCs w:val="20"/>
                <w:color w:val="auto"/>
              </w:rPr>
            </w:pPr>
            <w:r>
              <w:rPr>
                <w:rFonts w:ascii="Arial" w:cs="Arial" w:eastAsia="Arial" w:hAnsi="Arial"/>
                <w:sz w:val="12"/>
                <w:szCs w:val="12"/>
                <w:b w:val="1"/>
                <w:bCs w:val="1"/>
                <w:color w:val="auto"/>
              </w:rPr>
              <w:t>Adjusted diluted net earnings per common share</w:t>
            </w:r>
          </w:p>
        </w:tc>
        <w:tc>
          <w:tcPr>
            <w:tcW w:w="4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7.63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5.67</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5.93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¹ Includes amortization on acquisition-related intangible assets and inventory step-up.</w:t>
      </w:r>
    </w:p>
    <w:p>
      <w:pPr>
        <w:ind w:left="280" w:hanging="113"/>
        <w:spacing w:after="0" w:line="187" w:lineRule="auto"/>
        <w:tabs>
          <w:tab w:leader="none" w:pos="280" w:val="left"/>
        </w:tabs>
        <w:numPr>
          <w:ilvl w:val="0"/>
          <w:numId w:val="89"/>
        </w:numPr>
        <w:rPr>
          <w:rFonts w:ascii="Arial" w:cs="Arial" w:eastAsia="Arial" w:hAnsi="Arial"/>
          <w:sz w:val="23"/>
          <w:szCs w:val="23"/>
          <w:i w:val="1"/>
          <w:iCs w:val="1"/>
          <w:color w:val="auto"/>
          <w:vertAlign w:val="superscript"/>
        </w:rPr>
      </w:pPr>
      <w:r>
        <w:rPr>
          <w:rFonts w:ascii="Arial" w:cs="Arial" w:eastAsia="Arial" w:hAnsi="Arial"/>
          <w:sz w:val="14"/>
          <w:szCs w:val="14"/>
          <w:i w:val="1"/>
          <w:iCs w:val="1"/>
          <w:color w:val="auto"/>
        </w:rPr>
        <w:t>Adjustments were tax effected using the statutory tax rates in the applicable jurisdictions or the effective tax rate, where applicable, for each period.</w:t>
      </w:r>
    </w:p>
    <w:p>
      <w:pPr>
        <w:ind w:left="160" w:right="280"/>
        <w:spacing w:after="0" w:line="208" w:lineRule="auto"/>
        <w:rPr>
          <w:rFonts w:ascii="Arial" w:cs="Arial" w:eastAsia="Arial" w:hAnsi="Arial"/>
          <w:sz w:val="23"/>
          <w:szCs w:val="23"/>
          <w:i w:val="1"/>
          <w:iCs w:val="1"/>
          <w:color w:val="auto"/>
          <w:vertAlign w:val="superscript"/>
        </w:rPr>
      </w:pPr>
      <w:r>
        <w:rPr>
          <w:rFonts w:ascii="Arial" w:cs="Arial" w:eastAsia="Arial" w:hAnsi="Arial"/>
          <w:sz w:val="27"/>
          <w:szCs w:val="27"/>
          <w:i w:val="1"/>
          <w:iCs w:val="1"/>
          <w:color w:val="auto"/>
          <w:vertAlign w:val="superscript"/>
        </w:rPr>
        <w:t>3</w:t>
      </w:r>
      <w:r>
        <w:rPr>
          <w:rFonts w:ascii="Arial" w:cs="Arial" w:eastAsia="Arial" w:hAnsi="Arial"/>
          <w:sz w:val="16"/>
          <w:szCs w:val="16"/>
          <w:i w:val="1"/>
          <w:iCs w:val="1"/>
          <w:color w:val="auto"/>
        </w:rPr>
        <w:t xml:space="preserve"> Rightsizing and other costs include actions taken on employee reductions, facility consolidations and site closures, product line exits and other asset charges. 2021 includes a $12.1 million other than temporary impairment charge related to an equity method investment and a $6.1 million write-off of assets incurred in connection with an exit from certain Latin America countries within our Climate &amp; Sustainability Technologies segment, as well as a $9.1 million payment received for previously incurred restructuring costs related to a product line exit in our Engineered Products segment.</w:t>
      </w:r>
    </w:p>
    <w:p>
      <w:pPr>
        <w:spacing w:after="0" w:line="1" w:lineRule="exact"/>
        <w:rPr>
          <w:rFonts w:ascii="Arial" w:cs="Arial" w:eastAsia="Arial" w:hAnsi="Arial"/>
          <w:sz w:val="23"/>
          <w:szCs w:val="23"/>
          <w:i w:val="1"/>
          <w:iCs w:val="1"/>
          <w:color w:val="auto"/>
          <w:vertAlign w:val="superscript"/>
        </w:rPr>
      </w:pPr>
    </w:p>
    <w:p>
      <w:pPr>
        <w:ind w:left="160" w:right="80"/>
        <w:spacing w:after="0" w:line="208" w:lineRule="auto"/>
        <w:rPr>
          <w:rFonts w:ascii="Arial" w:cs="Arial" w:eastAsia="Arial" w:hAnsi="Arial"/>
          <w:sz w:val="23"/>
          <w:szCs w:val="23"/>
          <w:i w:val="1"/>
          <w:iCs w:val="1"/>
          <w:color w:val="auto"/>
          <w:vertAlign w:val="superscript"/>
        </w:rPr>
      </w:pPr>
      <w:r>
        <w:rPr>
          <w:rFonts w:ascii="Arial" w:cs="Arial" w:eastAsia="Arial" w:hAnsi="Arial"/>
          <w:sz w:val="27"/>
          <w:szCs w:val="27"/>
          <w:i w:val="1"/>
          <w:iCs w:val="1"/>
          <w:color w:val="auto"/>
          <w:vertAlign w:val="superscript"/>
        </w:rPr>
        <w:t>4</w:t>
      </w:r>
      <w:r>
        <w:rPr>
          <w:rFonts w:ascii="Arial" w:cs="Arial" w:eastAsia="Arial" w:hAnsi="Arial"/>
          <w:sz w:val="16"/>
          <w:szCs w:val="16"/>
          <w:i w:val="1"/>
          <w:iCs w:val="1"/>
          <w:color w:val="auto"/>
        </w:rPr>
        <w:t xml:space="preserve"> 2021 represents a $181.6 million gain on the disposition of Unified Brands, a wholly owned subsidiary of the Company within the Climate &amp; Sustainability Technologies segment, and a $24.7 million gain on disposition of our Race Winning Brands equity method investment in the Engineered Products segment. 2020 represents a $5.2 million net gain on the sale of AMS Chino within the Climate &amp; Sustainability Technologies segment, including working capital adjustments.</w:t>
      </w:r>
    </w:p>
    <w:p>
      <w:pPr>
        <w:spacing w:after="0" w:line="1" w:lineRule="exact"/>
        <w:rPr>
          <w:rFonts w:ascii="Arial" w:cs="Arial" w:eastAsia="Arial" w:hAnsi="Arial"/>
          <w:sz w:val="23"/>
          <w:szCs w:val="23"/>
          <w:i w:val="1"/>
          <w:iCs w:val="1"/>
          <w:color w:val="auto"/>
          <w:vertAlign w:val="superscript"/>
        </w:rPr>
      </w:pPr>
    </w:p>
    <w:p>
      <w:pPr>
        <w:ind w:left="160"/>
        <w:spacing w:after="0"/>
        <w:rPr>
          <w:rFonts w:ascii="Arial" w:cs="Arial" w:eastAsia="Arial" w:hAnsi="Arial"/>
          <w:sz w:val="23"/>
          <w:szCs w:val="23"/>
          <w:i w:val="1"/>
          <w:iCs w:val="1"/>
          <w:color w:val="auto"/>
          <w:vertAlign w:val="superscript"/>
        </w:rPr>
      </w:pPr>
      <w:r>
        <w:rPr>
          <w:rFonts w:ascii="Arial" w:cs="Arial" w:eastAsia="Arial" w:hAnsi="Arial"/>
          <w:sz w:val="27"/>
          <w:szCs w:val="27"/>
          <w:i w:val="1"/>
          <w:iCs w:val="1"/>
          <w:color w:val="auto"/>
          <w:vertAlign w:val="superscript"/>
        </w:rPr>
        <w:t>5</w:t>
      </w:r>
      <w:r>
        <w:rPr>
          <w:rFonts w:ascii="Arial" w:cs="Arial" w:eastAsia="Arial" w:hAnsi="Arial"/>
          <w:sz w:val="16"/>
          <w:szCs w:val="16"/>
          <w:i w:val="1"/>
          <w:iCs w:val="1"/>
          <w:color w:val="auto"/>
        </w:rPr>
        <w:t xml:space="preserve"> Represents a loss on early extinguishment of €300.0 million 2.125% notes due 2020 and $450.0 million 4.30% notes due 2021.</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85</w:t>
      </w:r>
    </w:p>
    <w:p>
      <w:pPr>
        <w:sectPr>
          <w:pgSz w:w="11900" w:h="16838" w:orient="portrait"/>
          <w:cols w:equalWidth="0" w:num="1">
            <w:col w:w="11080"/>
          </w:cols>
          <w:pgMar w:left="320" w:top="456"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154" w:lineRule="exact"/>
        <w:rPr>
          <w:sz w:val="20"/>
          <w:szCs w:val="20"/>
          <w:color w:val="auto"/>
        </w:rPr>
      </w:pPr>
    </w:p>
    <w:p>
      <w:pPr>
        <w:ind w:left="160" w:right="440" w:firstLine="7"/>
        <w:spacing w:after="0" w:line="189" w:lineRule="auto"/>
        <w:tabs>
          <w:tab w:leader="none" w:pos="280" w:val="left"/>
        </w:tabs>
        <w:numPr>
          <w:ilvl w:val="0"/>
          <w:numId w:val="90"/>
        </w:numPr>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Represents a loss on assets held for sale of Finder Pompe S.r.l. (“Finder”). Under local law, no tax benefit is realized from the loss on the sale of a wholly-owned business.</w:t>
      </w:r>
    </w:p>
    <w:p>
      <w:pPr>
        <w:spacing w:after="0" w:line="1" w:lineRule="exact"/>
        <w:rPr>
          <w:rFonts w:ascii="Arial" w:cs="Arial" w:eastAsia="Arial" w:hAnsi="Arial"/>
          <w:sz w:val="27"/>
          <w:szCs w:val="27"/>
          <w:i w:val="1"/>
          <w:iCs w:val="1"/>
          <w:color w:val="auto"/>
          <w:vertAlign w:val="superscript"/>
        </w:rPr>
      </w:pPr>
    </w:p>
    <w:p>
      <w:pPr>
        <w:ind w:left="160"/>
        <w:spacing w:after="0"/>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 Per share data and totals may be impacted by rounding.</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Adjusted Segment EBIT Margin</w:t>
      </w:r>
    </w:p>
    <w:p>
      <w:pPr>
        <w:spacing w:after="0" w:line="130" w:lineRule="exact"/>
        <w:rPr>
          <w:sz w:val="20"/>
          <w:szCs w:val="20"/>
          <w:color w:val="auto"/>
        </w:rPr>
      </w:pPr>
    </w:p>
    <w:p>
      <w:pPr>
        <w:ind w:left="160" w:right="260"/>
        <w:spacing w:after="0" w:line="250" w:lineRule="auto"/>
        <w:rPr>
          <w:sz w:val="20"/>
          <w:szCs w:val="20"/>
          <w:color w:val="auto"/>
        </w:rPr>
      </w:pPr>
      <w:r>
        <w:rPr>
          <w:rFonts w:ascii="Arial" w:cs="Arial" w:eastAsia="Arial" w:hAnsi="Arial"/>
          <w:sz w:val="16"/>
          <w:szCs w:val="16"/>
          <w:color w:val="auto"/>
        </w:rPr>
        <w:t>Segment earnings (EBIT) is adjusted by the effect of rightsizing and other costs, loss on assets held for sale, and gain on dispositions to derive at total adjusted segment earnings (EBIT). Total adjusted segment earnings (EBIT) is divided by total segment revenue to derive at adjusted segment EBIT margin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143510</wp:posOffset>
            </wp:positionV>
            <wp:extent cx="18770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4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 thousands)</w:t>
      </w:r>
    </w:p>
    <w:p>
      <w:pPr>
        <w:ind w:left="160"/>
        <w:spacing w:after="0"/>
        <w:rPr>
          <w:sz w:val="20"/>
          <w:szCs w:val="20"/>
          <w:color w:val="auto"/>
        </w:rPr>
      </w:pPr>
      <w:r>
        <w:rPr>
          <w:rFonts w:ascii="Arial" w:cs="Arial" w:eastAsia="Arial" w:hAnsi="Arial"/>
          <w:sz w:val="14"/>
          <w:szCs w:val="14"/>
          <w:b w:val="1"/>
          <w:bCs w:val="1"/>
          <w:color w:val="auto"/>
        </w:rPr>
        <w:t>Segment earnings (EBIT)</w:t>
      </w:r>
    </w:p>
    <w:p>
      <w:pPr>
        <w:ind w:left="160"/>
        <w:spacing w:after="0"/>
        <w:rPr>
          <w:sz w:val="20"/>
          <w:szCs w:val="20"/>
          <w:color w:val="auto"/>
        </w:rPr>
      </w:pPr>
      <w:r>
        <w:rPr>
          <w:rFonts w:ascii="Arial" w:cs="Arial" w:eastAsia="Arial" w:hAnsi="Arial"/>
          <w:sz w:val="14"/>
          <w:szCs w:val="14"/>
          <w:color w:val="auto"/>
        </w:rPr>
        <w:t>Engineered Products</w:t>
      </w:r>
    </w:p>
    <w:p>
      <w:pPr>
        <w:ind w:left="160"/>
        <w:spacing w:after="0"/>
        <w:rPr>
          <w:sz w:val="20"/>
          <w:szCs w:val="20"/>
          <w:color w:val="auto"/>
        </w:rPr>
      </w:pPr>
      <w:r>
        <w:rPr>
          <w:rFonts w:ascii="Arial" w:cs="Arial" w:eastAsia="Arial" w:hAnsi="Arial"/>
          <w:sz w:val="14"/>
          <w:szCs w:val="14"/>
          <w:color w:val="auto"/>
        </w:rPr>
        <w:t>Clean Energy &amp; Fueling</w:t>
      </w:r>
    </w:p>
    <w:p>
      <w:pPr>
        <w:ind w:left="160"/>
        <w:spacing w:after="0"/>
        <w:rPr>
          <w:sz w:val="20"/>
          <w:szCs w:val="20"/>
          <w:color w:val="auto"/>
        </w:rPr>
      </w:pPr>
      <w:r>
        <w:rPr>
          <w:rFonts w:ascii="Arial" w:cs="Arial" w:eastAsia="Arial" w:hAnsi="Arial"/>
          <w:sz w:val="14"/>
          <w:szCs w:val="14"/>
          <w:color w:val="auto"/>
        </w:rPr>
        <w:t>Imaging &amp; Identification</w:t>
      </w:r>
    </w:p>
    <w:p>
      <w:pPr>
        <w:ind w:left="160"/>
        <w:spacing w:after="0"/>
        <w:rPr>
          <w:sz w:val="20"/>
          <w:szCs w:val="20"/>
          <w:color w:val="auto"/>
        </w:rPr>
      </w:pPr>
      <w:r>
        <w:rPr>
          <w:rFonts w:ascii="Arial" w:cs="Arial" w:eastAsia="Arial" w:hAnsi="Arial"/>
          <w:sz w:val="14"/>
          <w:szCs w:val="14"/>
          <w:color w:val="auto"/>
        </w:rPr>
        <w:t>Pumps &amp; Process Solutions</w:t>
      </w:r>
    </w:p>
    <w:p>
      <w:pPr>
        <w:ind w:left="160"/>
        <w:spacing w:after="0"/>
        <w:rPr>
          <w:sz w:val="20"/>
          <w:szCs w:val="20"/>
          <w:color w:val="auto"/>
        </w:rPr>
      </w:pPr>
      <w:r>
        <w:rPr>
          <w:rFonts w:ascii="Arial" w:cs="Arial" w:eastAsia="Arial" w:hAnsi="Arial"/>
          <w:sz w:val="14"/>
          <w:szCs w:val="14"/>
          <w:color w:val="auto"/>
        </w:rPr>
        <w:t>Climate &amp; Sustainability Technologies</w:t>
      </w:r>
    </w:p>
    <w:p>
      <w:pPr>
        <w:ind w:left="160"/>
        <w:spacing w:after="0" w:line="185" w:lineRule="auto"/>
        <w:rPr>
          <w:sz w:val="20"/>
          <w:szCs w:val="20"/>
          <w:color w:val="auto"/>
        </w:rPr>
      </w:pPr>
      <w:r>
        <w:rPr>
          <w:rFonts w:ascii="Arial" w:cs="Arial" w:eastAsia="Arial" w:hAnsi="Arial"/>
          <w:sz w:val="13"/>
          <w:szCs w:val="13"/>
          <w:color w:val="auto"/>
        </w:rPr>
        <w:t xml:space="preserve">Total segment earnings (EBIT) </w:t>
      </w:r>
      <w:r>
        <w:rPr>
          <w:rFonts w:ascii="Arial" w:cs="Arial" w:eastAsia="Arial" w:hAnsi="Arial"/>
          <w:sz w:val="21"/>
          <w:szCs w:val="21"/>
          <w:color w:val="auto"/>
          <w:vertAlign w:val="superscript"/>
        </w:rPr>
        <w:t>1</w:t>
      </w:r>
    </w:p>
    <w:p>
      <w:pPr>
        <w:ind w:left="460"/>
        <w:spacing w:after="0" w:line="186" w:lineRule="auto"/>
        <w:rPr>
          <w:sz w:val="20"/>
          <w:szCs w:val="20"/>
          <w:color w:val="auto"/>
        </w:rPr>
      </w:pPr>
      <w:r>
        <w:rPr>
          <w:rFonts w:ascii="Arial" w:cs="Arial" w:eastAsia="Arial" w:hAnsi="Arial"/>
          <w:sz w:val="11"/>
          <w:szCs w:val="11"/>
          <w:color w:val="auto"/>
        </w:rPr>
        <w:t xml:space="preserve">Rightsizing and other costs </w:t>
      </w:r>
      <w:r>
        <w:rPr>
          <w:rFonts w:ascii="Arial" w:cs="Arial" w:eastAsia="Arial" w:hAnsi="Arial"/>
          <w:sz w:val="18"/>
          <w:szCs w:val="18"/>
          <w:color w:val="auto"/>
          <w:vertAlign w:val="superscript"/>
        </w:rPr>
        <w:t>2</w:t>
      </w:r>
    </w:p>
    <w:p>
      <w:pPr>
        <w:ind w:left="460"/>
        <w:spacing w:after="0" w:line="186" w:lineRule="auto"/>
        <w:rPr>
          <w:sz w:val="20"/>
          <w:szCs w:val="20"/>
          <w:color w:val="auto"/>
        </w:rPr>
      </w:pPr>
      <w:r>
        <w:rPr>
          <w:rFonts w:ascii="Arial" w:cs="Arial" w:eastAsia="Arial" w:hAnsi="Arial"/>
          <w:sz w:val="11"/>
          <w:szCs w:val="11"/>
          <w:color w:val="auto"/>
        </w:rPr>
        <w:t xml:space="preserve">Loss on assets held for sale </w:t>
      </w:r>
      <w:r>
        <w:rPr>
          <w:rFonts w:ascii="Arial" w:cs="Arial" w:eastAsia="Arial" w:hAnsi="Arial"/>
          <w:sz w:val="18"/>
          <w:szCs w:val="18"/>
          <w:color w:val="auto"/>
          <w:vertAlign w:val="superscript"/>
        </w:rPr>
        <w:t>3</w:t>
      </w:r>
    </w:p>
    <w:p>
      <w:pPr>
        <w:ind w:left="460"/>
        <w:spacing w:after="0" w:line="186" w:lineRule="auto"/>
        <w:rPr>
          <w:sz w:val="20"/>
          <w:szCs w:val="20"/>
          <w:color w:val="auto"/>
        </w:rPr>
      </w:pPr>
      <w:r>
        <w:rPr>
          <w:rFonts w:ascii="Arial" w:cs="Arial" w:eastAsia="Arial" w:hAnsi="Arial"/>
          <w:sz w:val="13"/>
          <w:szCs w:val="13"/>
          <w:color w:val="auto"/>
        </w:rPr>
        <w:t xml:space="preserve">Gain on dispositions </w:t>
      </w:r>
      <w:r>
        <w:rPr>
          <w:rFonts w:ascii="Arial" w:cs="Arial" w:eastAsia="Arial" w:hAnsi="Arial"/>
          <w:sz w:val="21"/>
          <w:szCs w:val="21"/>
          <w:color w:val="auto"/>
          <w:vertAlign w:val="superscript"/>
        </w:rPr>
        <w:t>4</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Adjusted segment EBIT</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Adjusted segment EBIT margin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228"/>
        <w:spacing w:after="0"/>
        <w:tabs>
          <w:tab w:leader="none" w:pos="1208" w:val="left"/>
          <w:tab w:leader="none" w:pos="2148"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-5120005</wp:posOffset>
            </wp:positionH>
            <wp:positionV relativeFrom="paragraph">
              <wp:posOffset>8255</wp:posOffset>
            </wp:positionV>
            <wp:extent cx="6929755" cy="1016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29755" cy="101600"/>
                    </a:xfrm>
                    <a:prstGeom prst="rect">
                      <a:avLst/>
                    </a:prstGeom>
                    <a:noFill/>
                  </pic:spPr>
                </pic:pic>
              </a:graphicData>
            </a:graphic>
          </wp:anchor>
        </w:drawing>
      </w:r>
    </w:p>
    <w:p>
      <w:pPr>
        <w:spacing w:after="0" w:line="157" w:lineRule="exact"/>
        <w:rPr>
          <w:sz w:val="20"/>
          <w:szCs w:val="20"/>
          <w:color w:val="auto"/>
        </w:rPr>
      </w:pPr>
    </w:p>
    <w:p>
      <w:pPr>
        <w:ind w:left="268" w:hanging="268"/>
        <w:spacing w:after="0"/>
        <w:tabs>
          <w:tab w:leader="none" w:pos="268" w:val="left"/>
        </w:tabs>
        <w:numPr>
          <w:ilvl w:val="0"/>
          <w:numId w:val="91"/>
        </w:numPr>
        <w:rPr>
          <w:rFonts w:ascii="Arial" w:cs="Arial" w:eastAsia="Arial" w:hAnsi="Arial"/>
          <w:sz w:val="14"/>
          <w:szCs w:val="14"/>
          <w:color w:val="auto"/>
        </w:rPr>
      </w:pPr>
      <w:r>
        <w:rPr>
          <w:rFonts w:ascii="Arial" w:cs="Arial" w:eastAsia="Arial" w:hAnsi="Arial"/>
          <w:sz w:val="14"/>
          <w:szCs w:val="14"/>
          <w:color w:val="auto"/>
        </w:rPr>
        <w:t>285,511   $   238,167  $   291,848</w:t>
      </w:r>
    </w:p>
    <w:p>
      <w:pPr>
        <w:ind w:left="268"/>
        <w:spacing w:after="0"/>
        <w:rPr>
          <w:rFonts w:ascii="Arial" w:cs="Arial" w:eastAsia="Arial" w:hAnsi="Arial"/>
          <w:sz w:val="14"/>
          <w:szCs w:val="14"/>
          <w:color w:val="auto"/>
        </w:rPr>
      </w:pPr>
      <w:r>
        <w:rPr>
          <w:rFonts w:ascii="Arial" w:cs="Arial" w:eastAsia="Arial" w:hAnsi="Arial"/>
          <w:sz w:val="14"/>
          <w:szCs w:val="14"/>
          <w:color w:val="auto"/>
        </w:rPr>
        <w:t>271,388236,974231,873</w:t>
      </w:r>
    </w:p>
    <w:p>
      <w:pPr>
        <w:ind w:left="268"/>
        <w:spacing w:after="0"/>
        <w:rPr>
          <w:rFonts w:ascii="Arial" w:cs="Arial" w:eastAsia="Arial" w:hAnsi="Arial"/>
          <w:sz w:val="14"/>
          <w:szCs w:val="14"/>
          <w:color w:val="auto"/>
        </w:rPr>
      </w:pPr>
      <w:r>
        <w:rPr>
          <w:rFonts w:ascii="Arial" w:cs="Arial" w:eastAsia="Arial" w:hAnsi="Arial"/>
          <w:sz w:val="14"/>
          <w:szCs w:val="14"/>
          <w:color w:val="auto"/>
        </w:rPr>
        <w:t>237,147193,473229,484</w:t>
      </w:r>
    </w:p>
    <w:p>
      <w:pPr>
        <w:ind w:left="268"/>
        <w:spacing w:after="0"/>
        <w:rPr>
          <w:rFonts w:ascii="Arial" w:cs="Arial" w:eastAsia="Arial" w:hAnsi="Arial"/>
          <w:sz w:val="14"/>
          <w:szCs w:val="14"/>
          <w:color w:val="auto"/>
        </w:rPr>
      </w:pPr>
      <w:r>
        <w:rPr>
          <w:rFonts w:ascii="Arial" w:cs="Arial" w:eastAsia="Arial" w:hAnsi="Arial"/>
          <w:sz w:val="14"/>
          <w:szCs w:val="14"/>
          <w:color w:val="auto"/>
        </w:rPr>
        <w:t>546,863305,276240,081</w:t>
      </w:r>
    </w:p>
    <w:p>
      <w:pPr>
        <w:ind w:left="268"/>
        <w:spacing w:after="0" w:line="232" w:lineRule="auto"/>
        <w:rPr>
          <w:rFonts w:ascii="Arial" w:cs="Arial" w:eastAsia="Arial" w:hAnsi="Arial"/>
          <w:sz w:val="14"/>
          <w:szCs w:val="14"/>
          <w:color w:val="auto"/>
        </w:rPr>
      </w:pPr>
      <w:r>
        <w:rPr>
          <w:rFonts w:ascii="Arial" w:cs="Arial" w:eastAsia="Arial" w:hAnsi="Arial"/>
          <w:sz w:val="14"/>
          <w:szCs w:val="14"/>
          <w:color w:val="auto"/>
        </w:rPr>
        <w:t>322,622102,872118,832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-5120005</wp:posOffset>
            </wp:positionH>
            <wp:positionV relativeFrom="paragraph">
              <wp:posOffset>-407035</wp:posOffset>
            </wp:positionV>
            <wp:extent cx="6929755" cy="1016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29755" cy="101600"/>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-203200</wp:posOffset>
            </wp:positionV>
            <wp:extent cx="6929755" cy="1016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29755" cy="101600"/>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172"/>
        </w:trPr>
        <w:tc>
          <w:tcPr>
            <w:tcW w:w="9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1,663,531</w:t>
            </w:r>
          </w:p>
        </w:tc>
        <w:tc>
          <w:tcPr>
            <w:tcW w:w="9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1,076,762</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1,112,118</w:t>
            </w:r>
          </w:p>
        </w:tc>
      </w:tr>
      <w:tr>
        <w:trPr>
          <w:trHeight w:val="160"/>
        </w:trPr>
        <w:tc>
          <w:tcPr>
            <w:tcW w:w="980" w:type="dxa"/>
            <w:vAlign w:val="bottom"/>
          </w:tcPr>
          <w:p>
            <w:pPr>
              <w:jc w:val="right"/>
              <w:ind w:right="129"/>
              <w:spacing w:after="0"/>
              <w:rPr>
                <w:sz w:val="20"/>
                <w:szCs w:val="20"/>
                <w:color w:val="auto"/>
              </w:rPr>
            </w:pPr>
            <w:r>
              <w:rPr>
                <w:rFonts w:ascii="Arial" w:cs="Arial" w:eastAsia="Arial" w:hAnsi="Arial"/>
                <w:sz w:val="14"/>
                <w:szCs w:val="14"/>
                <w:color w:val="auto"/>
              </w:rPr>
              <w:t>33,907</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44,171</w:t>
            </w:r>
          </w:p>
        </w:tc>
        <w:tc>
          <w:tcPr>
            <w:tcW w:w="780" w:type="dxa"/>
            <w:vAlign w:val="bottom"/>
          </w:tcPr>
          <w:p>
            <w:pPr>
              <w:jc w:val="right"/>
              <w:spacing w:after="0"/>
              <w:rPr>
                <w:sz w:val="20"/>
                <w:szCs w:val="20"/>
                <w:color w:val="auto"/>
              </w:rPr>
            </w:pPr>
            <w:r>
              <w:rPr>
                <w:rFonts w:ascii="Arial" w:cs="Arial" w:eastAsia="Arial" w:hAnsi="Arial"/>
                <w:sz w:val="14"/>
                <w:szCs w:val="14"/>
                <w:color w:val="auto"/>
              </w:rPr>
              <w:t>26,555</w:t>
            </w:r>
          </w:p>
        </w:tc>
      </w:tr>
      <w:tr>
        <w:trPr>
          <w:trHeight w:val="160"/>
        </w:trPr>
        <w:tc>
          <w:tcPr>
            <w:tcW w:w="9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46,946</w:t>
            </w:r>
          </w:p>
        </w:tc>
      </w:tr>
      <w:tr>
        <w:trPr>
          <w:trHeight w:val="156"/>
        </w:trPr>
        <w:tc>
          <w:tcPr>
            <w:tcW w:w="98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(206,338)</w:t>
            </w:r>
          </w:p>
        </w:tc>
        <w:tc>
          <w:tcPr>
            <w:tcW w:w="980" w:type="dxa"/>
            <w:vAlign w:val="bottom"/>
            <w:tcBorders>
              <w:bottom w:val="single" w:sz="8" w:color="auto"/>
            </w:tcBorders>
          </w:tcPr>
          <w:p>
            <w:pPr>
              <w:jc w:val="right"/>
              <w:ind w:right="49"/>
              <w:spacing w:after="0" w:line="156" w:lineRule="exact"/>
              <w:rPr>
                <w:sz w:val="20"/>
                <w:szCs w:val="20"/>
                <w:color w:val="auto"/>
              </w:rPr>
            </w:pPr>
            <w:r>
              <w:rPr>
                <w:rFonts w:ascii="Arial" w:cs="Arial" w:eastAsia="Arial" w:hAnsi="Arial"/>
                <w:sz w:val="14"/>
                <w:szCs w:val="14"/>
                <w:color w:val="auto"/>
              </w:rPr>
              <w:t>(5,213)</w:t>
            </w:r>
          </w:p>
        </w:tc>
        <w:tc>
          <w:tcPr>
            <w:tcW w:w="7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-5120005</wp:posOffset>
            </wp:positionH>
            <wp:positionV relativeFrom="paragraph">
              <wp:posOffset>-415290</wp:posOffset>
            </wp:positionV>
            <wp:extent cx="6929755" cy="1016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29755" cy="101600"/>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-211455</wp:posOffset>
            </wp:positionV>
            <wp:extent cx="6929755" cy="1016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29755" cy="101600"/>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8255</wp:posOffset>
            </wp:positionV>
            <wp:extent cx="6929755" cy="1016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29755" cy="101600"/>
                    </a:xfrm>
                    <a:prstGeom prst="rect">
                      <a:avLst/>
                    </a:prstGeom>
                    <a:noFill/>
                  </pic:spPr>
                </pic:pic>
              </a:graphicData>
            </a:graphic>
          </wp:anchor>
        </w:drawing>
      </w:r>
    </w:p>
    <w:p>
      <w:pPr>
        <w:ind w:left="148" w:hanging="148"/>
        <w:spacing w:after="0"/>
        <w:tabs>
          <w:tab w:leader="none" w:pos="148" w:val="left"/>
        </w:tabs>
        <w:numPr>
          <w:ilvl w:val="0"/>
          <w:numId w:val="92"/>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1,491,100   $ 1,115,720  $  1,185,619</w:t>
      </w:r>
    </w:p>
    <w:p>
      <w:pPr>
        <w:spacing w:after="0" w:line="213" w:lineRule="exact"/>
        <w:rPr>
          <w:rFonts w:ascii="Arial" w:cs="Arial" w:eastAsia="Arial" w:hAnsi="Arial"/>
          <w:sz w:val="14"/>
          <w:szCs w:val="14"/>
          <w:u w:val="single" w:color="auto"/>
          <w:color w:val="auto"/>
        </w:rPr>
      </w:pPr>
    </w:p>
    <w:p>
      <w:pPr>
        <w:ind w:left="388"/>
        <w:spacing w:after="0"/>
        <w:rPr>
          <w:rFonts w:ascii="Arial" w:cs="Arial" w:eastAsia="Arial" w:hAnsi="Arial"/>
          <w:sz w:val="14"/>
          <w:szCs w:val="14"/>
          <w:u w:val="single" w:color="auto"/>
          <w:color w:val="auto"/>
        </w:rPr>
      </w:pPr>
      <w:r>
        <w:rPr>
          <w:rFonts w:ascii="Arial" w:cs="Arial" w:eastAsia="Arial" w:hAnsi="Arial"/>
          <w:sz w:val="14"/>
          <w:szCs w:val="14"/>
          <w:color w:val="auto"/>
        </w:rPr>
        <w:t>18.9%16.7%16.6%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-5120005</wp:posOffset>
            </wp:positionH>
            <wp:positionV relativeFrom="paragraph">
              <wp:posOffset>-104775</wp:posOffset>
            </wp:positionV>
            <wp:extent cx="6929755" cy="1016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29755"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-223520</wp:posOffset>
            </wp:positionV>
            <wp:extent cx="17411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41170" cy="825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7512" w:space="720"/>
            <w:col w:w="2848"/>
          </w:cols>
          <w:pgMar w:left="320" w:top="456" w:right="499" w:bottom="1440" w:gutter="0" w:footer="0" w:header="0"/>
          <w:type w:val="continuous"/>
        </w:sectPr>
      </w:pPr>
    </w:p>
    <w:p>
      <w:pPr>
        <w:ind w:left="160"/>
        <w:spacing w:after="0"/>
        <w:rPr>
          <w:sz w:val="20"/>
          <w:szCs w:val="20"/>
          <w:color w:val="auto"/>
        </w:rPr>
      </w:pPr>
      <w:r>
        <w:rPr>
          <w:rFonts w:ascii="Arial" w:cs="Arial" w:eastAsia="Arial" w:hAnsi="Arial"/>
          <w:sz w:val="16"/>
          <w:szCs w:val="16"/>
          <w:color w:val="auto"/>
        </w:rPr>
        <w:t>¹ Refer to the table below for reconciliation of total segment earnings (EBIT) to net earnings.</w:t>
      </w:r>
    </w:p>
    <w:p>
      <w:pPr>
        <w:spacing w:after="0" w:line="5" w:lineRule="exact"/>
        <w:rPr>
          <w:sz w:val="20"/>
          <w:szCs w:val="20"/>
          <w:color w:val="auto"/>
        </w:rPr>
      </w:pPr>
    </w:p>
    <w:p>
      <w:pPr>
        <w:jc w:val="both"/>
        <w:ind w:left="160" w:right="120" w:firstLine="7"/>
        <w:spacing w:after="0" w:line="208" w:lineRule="auto"/>
        <w:tabs>
          <w:tab w:leader="none" w:pos="280" w:val="left"/>
        </w:tabs>
        <w:numPr>
          <w:ilvl w:val="0"/>
          <w:numId w:val="93"/>
        </w:numPr>
        <w:rPr>
          <w:rFonts w:ascii="Arial" w:cs="Arial" w:eastAsia="Arial" w:hAnsi="Arial"/>
          <w:sz w:val="27"/>
          <w:szCs w:val="27"/>
          <w:color w:val="auto"/>
          <w:vertAlign w:val="superscript"/>
        </w:rPr>
      </w:pPr>
      <w:r>
        <w:rPr>
          <w:rFonts w:ascii="Arial" w:cs="Arial" w:eastAsia="Arial" w:hAnsi="Arial"/>
          <w:sz w:val="16"/>
          <w:szCs w:val="16"/>
          <w:color w:val="auto"/>
        </w:rPr>
        <w:t>Rightsizing and other costs include actions taken on employee reductions, facility consolidations and site closures, product line exits and other asset charges. 2021 includes a $9,078 payment received for previously incurred restructuring costs related to a product line exit in our Engineered Products segment, as well as a $12,073 other than temporary impairment charge related to an equity method investment and a $6,072 write-off of assets incurred in connection with an exit from certain Latin America countries within our Climate &amp; Sustainability Technologies segment.</w:t>
      </w:r>
    </w:p>
    <w:p>
      <w:pPr>
        <w:spacing w:after="0" w:line="1" w:lineRule="exact"/>
        <w:rPr>
          <w:rFonts w:ascii="Arial" w:cs="Arial" w:eastAsia="Arial" w:hAnsi="Arial"/>
          <w:sz w:val="27"/>
          <w:szCs w:val="27"/>
          <w:color w:val="auto"/>
          <w:vertAlign w:val="superscript"/>
        </w:rPr>
      </w:pPr>
    </w:p>
    <w:p>
      <w:pPr>
        <w:ind w:left="160"/>
        <w:spacing w:after="0" w:line="186" w:lineRule="auto"/>
        <w:rPr>
          <w:rFonts w:ascii="Arial" w:cs="Arial" w:eastAsia="Arial" w:hAnsi="Arial"/>
          <w:sz w:val="27"/>
          <w:szCs w:val="27"/>
          <w:color w:val="auto"/>
          <w:vertAlign w:val="superscript"/>
        </w:rPr>
      </w:pPr>
      <w:r>
        <w:rPr>
          <w:rFonts w:ascii="Arial" w:cs="Arial" w:eastAsia="Arial" w:hAnsi="Arial"/>
          <w:sz w:val="21"/>
          <w:szCs w:val="21"/>
          <w:color w:val="auto"/>
          <w:vertAlign w:val="superscript"/>
        </w:rPr>
        <w:t>3</w:t>
      </w:r>
      <w:r>
        <w:rPr>
          <w:rFonts w:ascii="Arial" w:cs="Arial" w:eastAsia="Arial" w:hAnsi="Arial"/>
          <w:sz w:val="13"/>
          <w:szCs w:val="13"/>
          <w:color w:val="auto"/>
        </w:rPr>
        <w:t xml:space="preserve"> Represents a loss on assets held for sale for Finder. Under local law, no tax benefit is realized from the loss on the sale of a wholly-owned business.</w:t>
      </w:r>
    </w:p>
    <w:p>
      <w:pPr>
        <w:ind w:left="160" w:right="220"/>
        <w:spacing w:after="0" w:line="210" w:lineRule="auto"/>
        <w:rPr>
          <w:rFonts w:ascii="Arial" w:cs="Arial" w:eastAsia="Arial" w:hAnsi="Arial"/>
          <w:sz w:val="27"/>
          <w:szCs w:val="27"/>
          <w:color w:val="auto"/>
          <w:vertAlign w:val="superscript"/>
        </w:rPr>
      </w:pPr>
      <w:r>
        <w:rPr>
          <w:rFonts w:ascii="Arial" w:cs="Arial" w:eastAsia="Arial" w:hAnsi="Arial"/>
          <w:sz w:val="27"/>
          <w:szCs w:val="27"/>
          <w:color w:val="auto"/>
          <w:vertAlign w:val="superscript"/>
        </w:rPr>
        <w:t>4</w:t>
      </w:r>
      <w:r>
        <w:rPr>
          <w:rFonts w:ascii="Arial" w:cs="Arial" w:eastAsia="Arial" w:hAnsi="Arial"/>
          <w:sz w:val="16"/>
          <w:szCs w:val="16"/>
          <w:color w:val="auto"/>
        </w:rPr>
        <w:t xml:space="preserve"> 2021 represents a $181,615 gain on the disposition of Unified Brands, a wholly owned subsidiary of the Company within the Climate &amp; Sustainability Technologies segment, and a $24,723 gain on disposition of our Race Winning Brands equity method investment in the Engineered Products segment. 2020 represents a $5,213 net gain on the sale of AMS Chino within the Climate &amp; Sustainability Technologies segment, including working capital adjustments.</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7960" w:type="dxa"/>
            <w:vAlign w:val="bottom"/>
            <w:tcBorders>
              <w:bottom w:val="single" w:sz="8" w:color="D8D8D8"/>
            </w:tcBorders>
          </w:tcPr>
          <w:p>
            <w:pPr>
              <w:spacing w:after="0"/>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bottom w:val="single" w:sz="8" w:color="D8D8D8"/>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D8D8D8"/>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D8D8D8"/>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D8D8D8"/>
            </w:tcBorders>
          </w:tcPr>
          <w:p>
            <w:pPr>
              <w:spacing w:after="0"/>
              <w:rPr>
                <w:sz w:val="15"/>
                <w:szCs w:val="15"/>
                <w:color w:val="auto"/>
              </w:rPr>
            </w:pPr>
          </w:p>
        </w:tc>
      </w:tr>
      <w:tr>
        <w:trPr>
          <w:trHeight w:val="140"/>
        </w:trPr>
        <w:tc>
          <w:tcPr>
            <w:tcW w:w="8080" w:type="dxa"/>
            <w:vAlign w:val="bottom"/>
            <w:gridSpan w:val="2"/>
            <w:shd w:val="clear" w:color="auto" w:fill="D8D8D8"/>
          </w:tcPr>
          <w:p>
            <w:pPr>
              <w:spacing w:after="0" w:line="141" w:lineRule="exact"/>
              <w:rPr>
                <w:sz w:val="20"/>
                <w:szCs w:val="20"/>
                <w:color w:val="auto"/>
              </w:rPr>
            </w:pPr>
            <w:r>
              <w:rPr>
                <w:rFonts w:ascii="Arial" w:cs="Arial" w:eastAsia="Arial" w:hAnsi="Arial"/>
                <w:sz w:val="14"/>
                <w:szCs w:val="14"/>
                <w:b w:val="1"/>
                <w:bCs w:val="1"/>
                <w:color w:val="auto"/>
              </w:rPr>
              <w:t>Net earnings:</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r>
      <w:tr>
        <w:trPr>
          <w:trHeight w:val="160"/>
        </w:trPr>
        <w:tc>
          <w:tcPr>
            <w:tcW w:w="8080" w:type="dxa"/>
            <w:vAlign w:val="bottom"/>
            <w:gridSpan w:val="2"/>
          </w:tcPr>
          <w:p>
            <w:pPr>
              <w:spacing w:after="0"/>
              <w:rPr>
                <w:sz w:val="20"/>
                <w:szCs w:val="20"/>
                <w:color w:val="auto"/>
              </w:rPr>
            </w:pPr>
            <w:r>
              <w:rPr>
                <w:rFonts w:ascii="Arial" w:cs="Arial" w:eastAsia="Arial" w:hAnsi="Arial"/>
                <w:sz w:val="14"/>
                <w:szCs w:val="14"/>
                <w:color w:val="auto"/>
              </w:rPr>
              <w:t>Total segment earnings (EBIT)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1,663,531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1,076,762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1,112,118</w:t>
            </w:r>
          </w:p>
        </w:tc>
        <w:tc>
          <w:tcPr>
            <w:tcW w:w="100" w:type="dxa"/>
            <w:vAlign w:val="bottom"/>
          </w:tcPr>
          <w:p>
            <w:pPr>
              <w:spacing w:after="0"/>
              <w:rPr>
                <w:sz w:val="13"/>
                <w:szCs w:val="13"/>
                <w:color w:val="auto"/>
              </w:rPr>
            </w:pPr>
          </w:p>
        </w:tc>
      </w:tr>
      <w:tr>
        <w:trPr>
          <w:trHeight w:val="160"/>
        </w:trPr>
        <w:tc>
          <w:tcPr>
            <w:tcW w:w="8080" w:type="dxa"/>
            <w:vAlign w:val="bottom"/>
            <w:gridSpan w:val="2"/>
            <w:shd w:val="clear" w:color="auto" w:fill="D8D8D8"/>
          </w:tcPr>
          <w:p>
            <w:pPr>
              <w:spacing w:after="0"/>
              <w:rPr>
                <w:sz w:val="20"/>
                <w:szCs w:val="20"/>
                <w:color w:val="auto"/>
              </w:rPr>
            </w:pPr>
            <w:r>
              <w:rPr>
                <w:rFonts w:ascii="Arial" w:cs="Arial" w:eastAsia="Arial" w:hAnsi="Arial"/>
                <w:sz w:val="14"/>
                <w:szCs w:val="14"/>
                <w:color w:val="auto"/>
              </w:rPr>
              <w:t>Corporate expense / other</w:t>
            </w:r>
          </w:p>
        </w:tc>
        <w:tc>
          <w:tcPr>
            <w:tcW w:w="100" w:type="dxa"/>
            <w:vAlign w:val="bottom"/>
            <w:shd w:val="clear" w:color="auto" w:fill="D8D8D8"/>
          </w:tcPr>
          <w:p>
            <w:pPr>
              <w:spacing w:after="0"/>
              <w:rPr>
                <w:sz w:val="13"/>
                <w:szCs w:val="13"/>
                <w:color w:val="auto"/>
              </w:rPr>
            </w:pPr>
          </w:p>
        </w:tc>
        <w:tc>
          <w:tcPr>
            <w:tcW w:w="880" w:type="dxa"/>
            <w:vAlign w:val="bottom"/>
            <w:gridSpan w:val="2"/>
            <w:shd w:val="clear" w:color="auto" w:fill="D8D8D8"/>
          </w:tcPr>
          <w:p>
            <w:pPr>
              <w:jc w:val="right"/>
              <w:ind w:right="200"/>
              <w:spacing w:after="0"/>
              <w:rPr>
                <w:sz w:val="20"/>
                <w:szCs w:val="20"/>
                <w:color w:val="auto"/>
              </w:rPr>
            </w:pPr>
            <w:r>
              <w:rPr>
                <w:rFonts w:ascii="Arial" w:cs="Arial" w:eastAsia="Arial" w:hAnsi="Arial"/>
                <w:sz w:val="14"/>
                <w:szCs w:val="14"/>
                <w:color w:val="auto"/>
              </w:rPr>
              <w:t>160,827</w:t>
            </w:r>
          </w:p>
        </w:tc>
        <w:tc>
          <w:tcPr>
            <w:tcW w:w="120" w:type="dxa"/>
            <w:vAlign w:val="bottom"/>
            <w:shd w:val="clear" w:color="auto" w:fill="D8D8D8"/>
          </w:tcPr>
          <w:p>
            <w:pPr>
              <w:spacing w:after="0"/>
              <w:rPr>
                <w:sz w:val="13"/>
                <w:szCs w:val="13"/>
                <w:color w:val="auto"/>
              </w:rPr>
            </w:pPr>
          </w:p>
        </w:tc>
        <w:tc>
          <w:tcPr>
            <w:tcW w:w="820" w:type="dxa"/>
            <w:vAlign w:val="bottom"/>
            <w:gridSpan w:val="2"/>
            <w:shd w:val="clear" w:color="auto" w:fill="D8D8D8"/>
          </w:tcPr>
          <w:p>
            <w:pPr>
              <w:jc w:val="right"/>
              <w:ind w:right="140"/>
              <w:spacing w:after="0"/>
              <w:rPr>
                <w:sz w:val="20"/>
                <w:szCs w:val="20"/>
                <w:color w:val="auto"/>
              </w:rPr>
            </w:pPr>
            <w:r>
              <w:rPr>
                <w:rFonts w:ascii="Arial" w:cs="Arial" w:eastAsia="Arial" w:hAnsi="Arial"/>
                <w:sz w:val="14"/>
                <w:szCs w:val="14"/>
                <w:color w:val="auto"/>
              </w:rPr>
              <w:t>126,662</w:t>
            </w:r>
          </w:p>
        </w:tc>
        <w:tc>
          <w:tcPr>
            <w:tcW w:w="120" w:type="dxa"/>
            <w:vAlign w:val="bottom"/>
            <w:shd w:val="clear" w:color="auto" w:fill="D8D8D8"/>
          </w:tcPr>
          <w:p>
            <w:pPr>
              <w:spacing w:after="0"/>
              <w:rPr>
                <w:sz w:val="13"/>
                <w:szCs w:val="13"/>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147,817</w:t>
            </w:r>
          </w:p>
        </w:tc>
        <w:tc>
          <w:tcPr>
            <w:tcW w:w="100" w:type="dxa"/>
            <w:vAlign w:val="bottom"/>
            <w:shd w:val="clear" w:color="auto" w:fill="D8D8D8"/>
          </w:tcPr>
          <w:p>
            <w:pPr>
              <w:spacing w:after="0"/>
              <w:rPr>
                <w:sz w:val="13"/>
                <w:szCs w:val="13"/>
                <w:color w:val="auto"/>
              </w:rPr>
            </w:pPr>
          </w:p>
        </w:tc>
      </w:tr>
      <w:tr>
        <w:trPr>
          <w:trHeight w:val="160"/>
        </w:trPr>
        <w:tc>
          <w:tcPr>
            <w:tcW w:w="808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106,319</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111,937</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125,818</w:t>
            </w:r>
          </w:p>
        </w:tc>
        <w:tc>
          <w:tcPr>
            <w:tcW w:w="100" w:type="dxa"/>
            <w:vAlign w:val="bottom"/>
          </w:tcPr>
          <w:p>
            <w:pPr>
              <w:spacing w:after="0"/>
              <w:rPr>
                <w:sz w:val="13"/>
                <w:szCs w:val="13"/>
                <w:color w:val="auto"/>
              </w:rPr>
            </w:pPr>
          </w:p>
        </w:tc>
      </w:tr>
      <w:tr>
        <w:trPr>
          <w:trHeight w:val="160"/>
        </w:trPr>
        <w:tc>
          <w:tcPr>
            <w:tcW w:w="8080" w:type="dxa"/>
            <w:vAlign w:val="bottom"/>
            <w:gridSpan w:val="2"/>
            <w:shd w:val="clear" w:color="auto" w:fill="D8D8D8"/>
          </w:tcPr>
          <w:p>
            <w:pPr>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D8D8D8"/>
          </w:tcPr>
          <w:p>
            <w:pPr>
              <w:spacing w:after="0"/>
              <w:rPr>
                <w:sz w:val="13"/>
                <w:szCs w:val="13"/>
                <w:color w:val="auto"/>
              </w:rPr>
            </w:pPr>
          </w:p>
        </w:tc>
        <w:tc>
          <w:tcPr>
            <w:tcW w:w="880" w:type="dxa"/>
            <w:vAlign w:val="bottom"/>
            <w:gridSpan w:val="2"/>
            <w:shd w:val="clear" w:color="auto" w:fill="D8D8D8"/>
          </w:tcPr>
          <w:p>
            <w:pPr>
              <w:jc w:val="right"/>
              <w:ind w:right="160"/>
              <w:spacing w:after="0"/>
              <w:rPr>
                <w:sz w:val="20"/>
                <w:szCs w:val="20"/>
                <w:color w:val="auto"/>
              </w:rPr>
            </w:pPr>
            <w:r>
              <w:rPr>
                <w:rFonts w:ascii="Arial" w:cs="Arial" w:eastAsia="Arial" w:hAnsi="Arial"/>
                <w:sz w:val="14"/>
                <w:szCs w:val="14"/>
                <w:color w:val="auto"/>
              </w:rPr>
              <w:t>(4,441)</w:t>
            </w:r>
          </w:p>
        </w:tc>
        <w:tc>
          <w:tcPr>
            <w:tcW w:w="120" w:type="dxa"/>
            <w:vAlign w:val="bottom"/>
            <w:shd w:val="clear" w:color="auto" w:fill="D8D8D8"/>
          </w:tcPr>
          <w:p>
            <w:pPr>
              <w:spacing w:after="0"/>
              <w:rPr>
                <w:sz w:val="13"/>
                <w:szCs w:val="13"/>
                <w:color w:val="auto"/>
              </w:rPr>
            </w:pPr>
          </w:p>
        </w:tc>
        <w:tc>
          <w:tcPr>
            <w:tcW w:w="82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color w:val="auto"/>
              </w:rPr>
              <w:t>(3,571)</w:t>
            </w:r>
          </w:p>
        </w:tc>
        <w:tc>
          <w:tcPr>
            <w:tcW w:w="120" w:type="dxa"/>
            <w:vAlign w:val="bottom"/>
            <w:shd w:val="clear" w:color="auto" w:fill="D8D8D8"/>
          </w:tcPr>
          <w:p>
            <w:pPr>
              <w:spacing w:after="0"/>
              <w:rPr>
                <w:sz w:val="13"/>
                <w:szCs w:val="13"/>
                <w:color w:val="auto"/>
              </w:rPr>
            </w:pPr>
          </w:p>
        </w:tc>
        <w:tc>
          <w:tcPr>
            <w:tcW w:w="80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(4,526)</w:t>
            </w:r>
          </w:p>
        </w:tc>
      </w:tr>
      <w:tr>
        <w:trPr>
          <w:trHeight w:val="167"/>
        </w:trPr>
        <w:tc>
          <w:tcPr>
            <w:tcW w:w="8080" w:type="dxa"/>
            <w:vAlign w:val="bottom"/>
            <w:gridSpan w:val="2"/>
          </w:tcPr>
          <w:p>
            <w:pPr>
              <w:spacing w:after="0"/>
              <w:rPr>
                <w:sz w:val="20"/>
                <w:szCs w:val="20"/>
                <w:color w:val="auto"/>
              </w:rPr>
            </w:pPr>
            <w:r>
              <w:rPr>
                <w:rFonts w:ascii="Arial" w:cs="Arial" w:eastAsia="Arial" w:hAnsi="Arial"/>
                <w:sz w:val="14"/>
                <w:szCs w:val="14"/>
                <w:color w:val="auto"/>
              </w:rPr>
              <w:t>Net earnings before provision for income taxes</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1,400,826</w:t>
            </w: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841,734</w:t>
            </w: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843,009</w:t>
            </w:r>
          </w:p>
        </w:tc>
        <w:tc>
          <w:tcPr>
            <w:tcW w:w="100" w:type="dxa"/>
            <w:vAlign w:val="bottom"/>
          </w:tcPr>
          <w:p>
            <w:pPr>
              <w:spacing w:after="0"/>
              <w:rPr>
                <w:sz w:val="14"/>
                <w:szCs w:val="14"/>
                <w:color w:val="auto"/>
              </w:rPr>
            </w:pPr>
          </w:p>
        </w:tc>
      </w:tr>
      <w:tr>
        <w:trPr>
          <w:trHeight w:val="160"/>
        </w:trPr>
        <w:tc>
          <w:tcPr>
            <w:tcW w:w="8080" w:type="dxa"/>
            <w:vAlign w:val="bottom"/>
            <w:gridSpan w:val="2"/>
            <w:shd w:val="clear" w:color="auto" w:fill="D8D8D8"/>
          </w:tcPr>
          <w:p>
            <w:pPr>
              <w:spacing w:after="0"/>
              <w:rPr>
                <w:sz w:val="20"/>
                <w:szCs w:val="20"/>
                <w:color w:val="auto"/>
              </w:rPr>
            </w:pPr>
            <w:r>
              <w:rPr>
                <w:rFonts w:ascii="Arial" w:cs="Arial" w:eastAsia="Arial" w:hAnsi="Arial"/>
                <w:sz w:val="14"/>
                <w:szCs w:val="14"/>
                <w:color w:val="auto"/>
              </w:rPr>
              <w:t>Provision for income taxes</w:t>
            </w:r>
          </w:p>
        </w:tc>
        <w:tc>
          <w:tcPr>
            <w:tcW w:w="100" w:type="dxa"/>
            <w:vAlign w:val="bottom"/>
            <w:tcBorders>
              <w:bottom w:val="single" w:sz="8" w:color="auto"/>
            </w:tcBorders>
            <w:shd w:val="clear" w:color="auto" w:fill="D8D8D8"/>
          </w:tcPr>
          <w:p>
            <w:pPr>
              <w:spacing w:after="0"/>
              <w:rPr>
                <w:sz w:val="13"/>
                <w:szCs w:val="13"/>
                <w:color w:val="auto"/>
              </w:rPr>
            </w:pPr>
          </w:p>
        </w:tc>
        <w:tc>
          <w:tcPr>
            <w:tcW w:w="880" w:type="dxa"/>
            <w:vAlign w:val="bottom"/>
            <w:tcBorders>
              <w:bottom w:val="single" w:sz="8" w:color="auto"/>
            </w:tcBorders>
            <w:gridSpan w:val="2"/>
            <w:shd w:val="clear" w:color="auto" w:fill="D8D8D8"/>
          </w:tcPr>
          <w:p>
            <w:pPr>
              <w:jc w:val="right"/>
              <w:ind w:right="200"/>
              <w:spacing w:after="0"/>
              <w:rPr>
                <w:sz w:val="20"/>
                <w:szCs w:val="20"/>
                <w:color w:val="auto"/>
              </w:rPr>
            </w:pPr>
            <w:r>
              <w:rPr>
                <w:rFonts w:ascii="Arial" w:cs="Arial" w:eastAsia="Arial" w:hAnsi="Arial"/>
                <w:sz w:val="14"/>
                <w:szCs w:val="14"/>
                <w:color w:val="auto"/>
              </w:rPr>
              <w:t>277,008</w:t>
            </w:r>
          </w:p>
        </w:tc>
        <w:tc>
          <w:tcPr>
            <w:tcW w:w="120" w:type="dxa"/>
            <w:vAlign w:val="bottom"/>
            <w:tcBorders>
              <w:bottom w:val="single" w:sz="8" w:color="auto"/>
            </w:tcBorders>
            <w:shd w:val="clear" w:color="auto" w:fill="D8D8D8"/>
          </w:tcPr>
          <w:p>
            <w:pPr>
              <w:spacing w:after="0"/>
              <w:rPr>
                <w:sz w:val="13"/>
                <w:szCs w:val="13"/>
                <w:color w:val="auto"/>
              </w:rPr>
            </w:pPr>
          </w:p>
        </w:tc>
        <w:tc>
          <w:tcPr>
            <w:tcW w:w="820" w:type="dxa"/>
            <w:vAlign w:val="bottom"/>
            <w:tcBorders>
              <w:bottom w:val="single" w:sz="8" w:color="auto"/>
            </w:tcBorders>
            <w:gridSpan w:val="2"/>
            <w:shd w:val="clear" w:color="auto" w:fill="D8D8D8"/>
          </w:tcPr>
          <w:p>
            <w:pPr>
              <w:jc w:val="right"/>
              <w:ind w:right="140"/>
              <w:spacing w:after="0"/>
              <w:rPr>
                <w:sz w:val="20"/>
                <w:szCs w:val="20"/>
                <w:color w:val="auto"/>
              </w:rPr>
            </w:pPr>
            <w:r>
              <w:rPr>
                <w:rFonts w:ascii="Arial" w:cs="Arial" w:eastAsia="Arial" w:hAnsi="Arial"/>
                <w:sz w:val="14"/>
                <w:szCs w:val="14"/>
                <w:color w:val="auto"/>
              </w:rPr>
              <w:t>158,283</w:t>
            </w:r>
          </w:p>
        </w:tc>
        <w:tc>
          <w:tcPr>
            <w:tcW w:w="120" w:type="dxa"/>
            <w:vAlign w:val="bottom"/>
            <w:tcBorders>
              <w:bottom w:val="single" w:sz="8" w:color="auto"/>
            </w:tcBorders>
            <w:shd w:val="clear" w:color="auto" w:fill="D8D8D8"/>
          </w:tcPr>
          <w:p>
            <w:pPr>
              <w:spacing w:after="0"/>
              <w:rPr>
                <w:sz w:val="13"/>
                <w:szCs w:val="13"/>
                <w:color w:val="auto"/>
              </w:rPr>
            </w:pPr>
          </w:p>
        </w:tc>
        <w:tc>
          <w:tcPr>
            <w:tcW w:w="7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165,091</w:t>
            </w:r>
          </w:p>
        </w:tc>
        <w:tc>
          <w:tcPr>
            <w:tcW w:w="100" w:type="dxa"/>
            <w:vAlign w:val="bottom"/>
            <w:shd w:val="clear" w:color="auto" w:fill="D8D8D8"/>
          </w:tcPr>
          <w:p>
            <w:pPr>
              <w:spacing w:after="0"/>
              <w:rPr>
                <w:sz w:val="13"/>
                <w:szCs w:val="13"/>
                <w:color w:val="auto"/>
              </w:rPr>
            </w:pPr>
          </w:p>
        </w:tc>
      </w:tr>
      <w:tr>
        <w:trPr>
          <w:trHeight w:val="167"/>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1,123,818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683,451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677,918</w:t>
            </w:r>
          </w:p>
        </w:tc>
        <w:tc>
          <w:tcPr>
            <w:tcW w:w="100" w:type="dxa"/>
            <w:vAlign w:val="bottom"/>
          </w:tcPr>
          <w:p>
            <w:pPr>
              <w:spacing w:after="0"/>
              <w:rPr>
                <w:sz w:val="14"/>
                <w:szCs w:val="14"/>
                <w:color w:val="auto"/>
              </w:rPr>
            </w:pPr>
          </w:p>
        </w:tc>
      </w:tr>
      <w:tr>
        <w:trPr>
          <w:trHeight w:val="20"/>
        </w:trPr>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2"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86</w:t>
      </w:r>
    </w:p>
    <w:p>
      <w:pPr>
        <w:sectPr>
          <w:pgSz w:w="11900" w:h="16838" w:orient="portrait"/>
          <w:cols w:equalWidth="0" w:num="1">
            <w:col w:w="11080"/>
          </w:cols>
          <w:pgMar w:left="320" w:top="456" w:right="49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Free Cash Flow</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Free cash flow represents net cash provided by operating activities minus capital expenditures as follows: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80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shd w:val="clear" w:color="auto" w:fill="D8D8D8"/>
          </w:tcPr>
          <w:p>
            <w:pPr>
              <w:spacing w:after="0"/>
              <w:rPr>
                <w:sz w:val="20"/>
                <w:szCs w:val="20"/>
                <w:color w:val="auto"/>
              </w:rPr>
            </w:pPr>
            <w:r>
              <w:rPr>
                <w:rFonts w:ascii="Arial" w:cs="Arial" w:eastAsia="Arial" w:hAnsi="Arial"/>
                <w:sz w:val="14"/>
                <w:szCs w:val="14"/>
                <w:color w:val="auto"/>
              </w:rPr>
              <w:t>Cash flow from operating activities</w:t>
            </w:r>
          </w:p>
        </w:tc>
        <w:tc>
          <w:tcPr>
            <w:tcW w:w="10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D8D8D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8060" w:type="dxa"/>
            <w:vAlign w:val="bottom"/>
            <w:vMerge w:val="continue"/>
            <w:shd w:val="clear" w:color="auto" w:fill="D8D8D8"/>
          </w:tcPr>
          <w:p>
            <w:pPr>
              <w:spacing w:after="0"/>
              <w:rPr>
                <w:sz w:val="13"/>
                <w:szCs w:val="13"/>
                <w:color w:val="auto"/>
              </w:rPr>
            </w:pPr>
          </w:p>
        </w:tc>
        <w:tc>
          <w:tcPr>
            <w:tcW w:w="220" w:type="dxa"/>
            <w:vAlign w:val="bottom"/>
            <w:gridSpan w:val="2"/>
            <w:shd w:val="clear" w:color="auto" w:fill="D8D8D8"/>
          </w:tcPr>
          <w:p>
            <w:pPr>
              <w:jc w:val="right"/>
              <w:ind w:right="40"/>
              <w:spacing w:after="0" w:line="154"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D8D8D8"/>
          </w:tcPr>
          <w:p>
            <w:pPr>
              <w:jc w:val="right"/>
              <w:ind w:right="200"/>
              <w:spacing w:after="0" w:line="154" w:lineRule="exact"/>
              <w:rPr>
                <w:sz w:val="20"/>
                <w:szCs w:val="20"/>
                <w:color w:val="auto"/>
              </w:rPr>
            </w:pPr>
            <w:r>
              <w:rPr>
                <w:rFonts w:ascii="Arial" w:cs="Arial" w:eastAsia="Arial" w:hAnsi="Arial"/>
                <w:sz w:val="14"/>
                <w:szCs w:val="14"/>
                <w:color w:val="auto"/>
              </w:rPr>
              <w:t>1,115,865</w:t>
            </w:r>
          </w:p>
        </w:tc>
        <w:tc>
          <w:tcPr>
            <w:tcW w:w="140" w:type="dxa"/>
            <w:vAlign w:val="bottom"/>
            <w:shd w:val="clear" w:color="auto" w:fill="D8D8D8"/>
          </w:tcPr>
          <w:p>
            <w:pPr>
              <w:jc w:val="right"/>
              <w:spacing w:after="0" w:line="154"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D8D8D8"/>
          </w:tcPr>
          <w:p>
            <w:pPr>
              <w:jc w:val="right"/>
              <w:ind w:right="120"/>
              <w:spacing w:after="0" w:line="154" w:lineRule="exact"/>
              <w:rPr>
                <w:sz w:val="20"/>
                <w:szCs w:val="20"/>
                <w:color w:val="auto"/>
              </w:rPr>
            </w:pPr>
            <w:r>
              <w:rPr>
                <w:rFonts w:ascii="Arial" w:cs="Arial" w:eastAsia="Arial" w:hAnsi="Arial"/>
                <w:sz w:val="14"/>
                <w:szCs w:val="14"/>
                <w:color w:val="auto"/>
              </w:rPr>
              <w:t>1,104,810</w:t>
            </w:r>
          </w:p>
        </w:tc>
        <w:tc>
          <w:tcPr>
            <w:tcW w:w="120" w:type="dxa"/>
            <w:vAlign w:val="bottom"/>
            <w:shd w:val="clear" w:color="auto" w:fill="D8D8D8"/>
          </w:tcPr>
          <w:p>
            <w:pPr>
              <w:jc w:val="right"/>
              <w:spacing w:after="0" w:line="154"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D8D8D8"/>
          </w:tcPr>
          <w:p>
            <w:pPr>
              <w:jc w:val="right"/>
              <w:ind w:right="100"/>
              <w:spacing w:after="0" w:line="154" w:lineRule="exact"/>
              <w:rPr>
                <w:sz w:val="20"/>
                <w:szCs w:val="20"/>
                <w:color w:val="auto"/>
              </w:rPr>
            </w:pPr>
            <w:r>
              <w:rPr>
                <w:rFonts w:ascii="Arial" w:cs="Arial" w:eastAsia="Arial" w:hAnsi="Arial"/>
                <w:sz w:val="14"/>
                <w:szCs w:val="14"/>
                <w:color w:val="auto"/>
              </w:rPr>
              <w:t>945,306</w:t>
            </w:r>
          </w:p>
        </w:tc>
        <w:tc>
          <w:tcPr>
            <w:tcW w:w="0" w:type="dxa"/>
            <w:vAlign w:val="bottom"/>
          </w:tcPr>
          <w:p>
            <w:pPr>
              <w:spacing w:after="0"/>
              <w:rPr>
                <w:sz w:val="1"/>
                <w:szCs w:val="1"/>
                <w:color w:val="auto"/>
              </w:rPr>
            </w:pPr>
          </w:p>
        </w:tc>
      </w:tr>
      <w:tr>
        <w:trPr>
          <w:trHeight w:val="160"/>
        </w:trPr>
        <w:tc>
          <w:tcPr>
            <w:tcW w:w="8080" w:type="dxa"/>
            <w:vAlign w:val="bottom"/>
            <w:gridSpan w:val="2"/>
          </w:tcPr>
          <w:p>
            <w:pPr>
              <w:spacing w:after="0"/>
              <w:rPr>
                <w:sz w:val="20"/>
                <w:szCs w:val="20"/>
                <w:color w:val="auto"/>
              </w:rPr>
            </w:pPr>
            <w:r>
              <w:rPr>
                <w:rFonts w:ascii="Arial" w:cs="Arial" w:eastAsia="Arial" w:hAnsi="Arial"/>
                <w:sz w:val="14"/>
                <w:szCs w:val="14"/>
                <w:color w:val="auto"/>
              </w:rPr>
              <w:t>Less: Capital expenditures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(171,465)</w:t>
            </w:r>
          </w:p>
        </w:tc>
        <w:tc>
          <w:tcPr>
            <w:tcW w:w="14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(165,692)</w:t>
            </w:r>
          </w:p>
        </w:tc>
        <w:tc>
          <w:tcPr>
            <w:tcW w:w="1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(186,804)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060" w:type="dxa"/>
            <w:vAlign w:val="bottom"/>
            <w:shd w:val="clear" w:color="auto" w:fill="D8D8D8"/>
          </w:tcPr>
          <w:p>
            <w:pPr>
              <w:spacing w:after="0"/>
              <w:rPr>
                <w:sz w:val="20"/>
                <w:szCs w:val="20"/>
                <w:color w:val="auto"/>
              </w:rPr>
            </w:pPr>
            <w:r>
              <w:rPr>
                <w:rFonts w:ascii="Arial" w:cs="Arial" w:eastAsia="Arial" w:hAnsi="Arial"/>
                <w:sz w:val="14"/>
                <w:szCs w:val="14"/>
                <w:b w:val="1"/>
                <w:bCs w:val="1"/>
                <w:color w:val="auto"/>
              </w:rPr>
              <w:t>Free cash flow</w:t>
            </w:r>
          </w:p>
        </w:tc>
        <w:tc>
          <w:tcPr>
            <w:tcW w:w="22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8D8D8"/>
          </w:tcPr>
          <w:p>
            <w:pPr>
              <w:jc w:val="right"/>
              <w:ind w:right="200"/>
              <w:spacing w:after="0"/>
              <w:rPr>
                <w:sz w:val="20"/>
                <w:szCs w:val="20"/>
                <w:color w:val="auto"/>
              </w:rPr>
            </w:pPr>
            <w:r>
              <w:rPr>
                <w:rFonts w:ascii="Arial" w:cs="Arial" w:eastAsia="Arial" w:hAnsi="Arial"/>
                <w:sz w:val="14"/>
                <w:szCs w:val="14"/>
                <w:color w:val="auto"/>
              </w:rPr>
              <w:t>944,400</w:t>
            </w:r>
          </w:p>
        </w:tc>
        <w:tc>
          <w:tcPr>
            <w:tcW w:w="140" w:type="dxa"/>
            <w:vAlign w:val="bottom"/>
            <w:shd w:val="clear" w:color="auto" w:fill="D8D8D8"/>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939,118</w:t>
            </w:r>
          </w:p>
        </w:tc>
        <w:tc>
          <w:tcPr>
            <w:tcW w:w="120" w:type="dxa"/>
            <w:vAlign w:val="bottom"/>
            <w:shd w:val="clear" w:color="auto" w:fill="D8D8D8"/>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color w:val="auto"/>
              </w:rPr>
              <w:t>758,502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60" w:type="dxa"/>
            <w:vAlign w:val="bottom"/>
            <w:shd w:val="clear" w:color="auto" w:fill="D8D8D8"/>
          </w:tcPr>
          <w:p>
            <w:pPr>
              <w:spacing w:after="0"/>
              <w:rPr>
                <w:sz w:val="20"/>
                <w:szCs w:val="20"/>
                <w:color w:val="auto"/>
              </w:rPr>
            </w:pPr>
            <w:r>
              <w:rPr>
                <w:rFonts w:ascii="Arial" w:cs="Arial" w:eastAsia="Arial" w:hAnsi="Arial"/>
                <w:sz w:val="14"/>
                <w:szCs w:val="14"/>
                <w:color w:val="auto"/>
              </w:rPr>
              <w:t>Free cash flow as a percentage of revenue</w:t>
            </w:r>
          </w:p>
        </w:tc>
        <w:tc>
          <w:tcPr>
            <w:tcW w:w="100" w:type="dxa"/>
            <w:vAlign w:val="bottom"/>
            <w:shd w:val="clear" w:color="auto" w:fill="D8D8D8"/>
          </w:tcPr>
          <w:p>
            <w:pPr>
              <w:spacing w:after="0"/>
              <w:rPr>
                <w:sz w:val="13"/>
                <w:szCs w:val="13"/>
                <w:color w:val="auto"/>
              </w:rPr>
            </w:pPr>
          </w:p>
        </w:tc>
        <w:tc>
          <w:tcPr>
            <w:tcW w:w="120" w:type="dxa"/>
            <w:vAlign w:val="bottom"/>
            <w:shd w:val="clear" w:color="auto" w:fill="D8D8D8"/>
          </w:tcPr>
          <w:p>
            <w:pPr>
              <w:spacing w:after="0"/>
              <w:rPr>
                <w:sz w:val="13"/>
                <w:szCs w:val="13"/>
                <w:color w:val="auto"/>
              </w:rPr>
            </w:pPr>
          </w:p>
        </w:tc>
        <w:tc>
          <w:tcPr>
            <w:tcW w:w="860" w:type="dxa"/>
            <w:vAlign w:val="bottom"/>
            <w:gridSpan w:val="2"/>
            <w:shd w:val="clear" w:color="auto" w:fill="D8D8D8"/>
          </w:tcPr>
          <w:p>
            <w:pPr>
              <w:jc w:val="right"/>
              <w:ind w:right="200"/>
              <w:spacing w:after="0"/>
              <w:rPr>
                <w:sz w:val="20"/>
                <w:szCs w:val="20"/>
                <w:color w:val="auto"/>
              </w:rPr>
            </w:pPr>
            <w:r>
              <w:rPr>
                <w:rFonts w:ascii="Arial" w:cs="Arial" w:eastAsia="Arial" w:hAnsi="Arial"/>
                <w:sz w:val="14"/>
                <w:szCs w:val="14"/>
                <w:color w:val="auto"/>
              </w:rPr>
              <w:t>11.9%</w:t>
            </w:r>
          </w:p>
        </w:tc>
        <w:tc>
          <w:tcPr>
            <w:tcW w:w="140" w:type="dxa"/>
            <w:vAlign w:val="bottom"/>
            <w:shd w:val="clear" w:color="auto" w:fill="D8D8D8"/>
          </w:tcPr>
          <w:p>
            <w:pPr>
              <w:spacing w:after="0"/>
              <w:rPr>
                <w:sz w:val="13"/>
                <w:szCs w:val="13"/>
                <w:color w:val="auto"/>
              </w:rPr>
            </w:pPr>
          </w:p>
        </w:tc>
        <w:tc>
          <w:tcPr>
            <w:tcW w:w="80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D8D8D8"/>
          </w:tcPr>
          <w:p>
            <w:pPr>
              <w:spacing w:after="0"/>
              <w:rPr>
                <w:sz w:val="13"/>
                <w:szCs w:val="13"/>
                <w:color w:val="auto"/>
              </w:rPr>
            </w:pPr>
          </w:p>
        </w:tc>
        <w:tc>
          <w:tcPr>
            <w:tcW w:w="70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76"/>
        </w:trPr>
        <w:tc>
          <w:tcPr>
            <w:tcW w:w="8080" w:type="dxa"/>
            <w:vAlign w:val="bottom"/>
            <w:gridSpan w:val="2"/>
          </w:tcPr>
          <w:p>
            <w:pPr>
              <w:spacing w:after="0"/>
              <w:rPr>
                <w:sz w:val="20"/>
                <w:szCs w:val="20"/>
                <w:color w:val="auto"/>
              </w:rPr>
            </w:pPr>
            <w:r>
              <w:rPr>
                <w:rFonts w:ascii="Arial" w:cs="Arial" w:eastAsia="Arial" w:hAnsi="Arial"/>
                <w:sz w:val="14"/>
                <w:szCs w:val="14"/>
                <w:color w:val="auto"/>
              </w:rPr>
              <w:t>Free cash flow as a percentage of net earnings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84.0%</w:t>
            </w: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137.4%</w:t>
            </w: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Organic Revenue Growth Factor</w:t>
      </w:r>
    </w:p>
    <w:p>
      <w:pPr>
        <w:spacing w:after="0" w:line="21" w:lineRule="exact"/>
        <w:rPr>
          <w:sz w:val="20"/>
          <w:szCs w:val="20"/>
          <w:color w:val="auto"/>
        </w:rPr>
      </w:pPr>
    </w:p>
    <w:tbl>
      <w:tblPr>
        <w:tblLayout w:type="fixed"/>
        <w:tblInd w:w="16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69"/>
              <w:spacing w:after="0" w:line="141"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40" w:type="dxa"/>
            <w:vAlign w:val="bottom"/>
            <w:tcBorders>
              <w:bottom w:val="single" w:sz="8" w:color="D8D8D8"/>
            </w:tcBorders>
          </w:tcPr>
          <w:p>
            <w:pPr>
              <w:spacing w:after="0"/>
              <w:rPr>
                <w:sz w:val="15"/>
                <w:szCs w:val="15"/>
                <w:color w:val="auto"/>
              </w:rPr>
            </w:pPr>
          </w:p>
        </w:tc>
        <w:tc>
          <w:tcPr>
            <w:tcW w:w="340" w:type="dxa"/>
            <w:vAlign w:val="bottom"/>
            <w:tcBorders>
              <w:bottom w:val="single" w:sz="8" w:color="D8D8D8"/>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Full Year</w:t>
            </w:r>
          </w:p>
        </w:tc>
        <w:tc>
          <w:tcPr>
            <w:tcW w:w="420" w:type="dxa"/>
            <w:vAlign w:val="bottom"/>
            <w:tcBorders>
              <w:bottom w:val="single" w:sz="8" w:color="D8D8D8"/>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80" w:type="dxa"/>
            <w:vAlign w:val="bottom"/>
            <w:gridSpan w:val="2"/>
            <w:shd w:val="clear" w:color="auto" w:fill="D8D8D8"/>
          </w:tcPr>
          <w:p>
            <w:pPr>
              <w:spacing w:after="0" w:line="154" w:lineRule="exact"/>
              <w:rPr>
                <w:sz w:val="20"/>
                <w:szCs w:val="20"/>
                <w:color w:val="auto"/>
              </w:rPr>
            </w:pPr>
            <w:r>
              <w:rPr>
                <w:rFonts w:ascii="Arial" w:cs="Arial" w:eastAsia="Arial" w:hAnsi="Arial"/>
                <w:sz w:val="14"/>
                <w:szCs w:val="14"/>
                <w:b w:val="1"/>
                <w:bCs w:val="1"/>
                <w:color w:val="auto"/>
              </w:rPr>
              <w:t>Organic</w:t>
            </w:r>
          </w:p>
        </w:tc>
        <w:tc>
          <w:tcPr>
            <w:tcW w:w="1020" w:type="dxa"/>
            <w:vAlign w:val="bottom"/>
            <w:gridSpan w:val="2"/>
            <w:shd w:val="clear" w:color="auto" w:fill="D8D8D8"/>
          </w:tcPr>
          <w:p>
            <w:pPr>
              <w:jc w:val="right"/>
              <w:ind w:right="300"/>
              <w:spacing w:after="0" w:line="154" w:lineRule="exact"/>
              <w:rPr>
                <w:sz w:val="20"/>
                <w:szCs w:val="20"/>
                <w:color w:val="auto"/>
              </w:rPr>
            </w:pPr>
            <w:r>
              <w:rPr>
                <w:rFonts w:ascii="Arial" w:cs="Arial" w:eastAsia="Arial" w:hAnsi="Arial"/>
                <w:sz w:val="14"/>
                <w:szCs w:val="14"/>
                <w:b w:val="1"/>
                <w:bCs w:val="1"/>
                <w:color w:val="auto"/>
              </w:rPr>
              <w:t>15.3%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80" w:type="dxa"/>
            <w:vAlign w:val="bottom"/>
            <w:gridSpan w:val="2"/>
          </w:tcPr>
          <w:p>
            <w:pPr>
              <w:spacing w:after="0"/>
              <w:rPr>
                <w:sz w:val="20"/>
                <w:szCs w:val="20"/>
                <w:color w:val="auto"/>
              </w:rPr>
            </w:pPr>
            <w:r>
              <w:rPr>
                <w:rFonts w:ascii="Arial" w:cs="Arial" w:eastAsia="Arial" w:hAnsi="Arial"/>
                <w:sz w:val="14"/>
                <w:szCs w:val="14"/>
                <w:b w:val="1"/>
                <w:bCs w:val="1"/>
                <w:color w:val="auto"/>
              </w:rPr>
              <w:t>Acquisitions</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80" w:type="dxa"/>
            <w:vAlign w:val="bottom"/>
            <w:gridSpan w:val="2"/>
            <w:shd w:val="clear" w:color="auto" w:fill="D8D8D8"/>
          </w:tcPr>
          <w:p>
            <w:pPr>
              <w:spacing w:after="0"/>
              <w:rPr>
                <w:sz w:val="20"/>
                <w:szCs w:val="20"/>
                <w:color w:val="auto"/>
              </w:rPr>
            </w:pPr>
            <w:r>
              <w:rPr>
                <w:rFonts w:ascii="Arial" w:cs="Arial" w:eastAsia="Arial" w:hAnsi="Arial"/>
                <w:sz w:val="14"/>
                <w:szCs w:val="14"/>
                <w:b w:val="1"/>
                <w:bCs w:val="1"/>
                <w:color w:val="auto"/>
              </w:rPr>
              <w:t>Dispositions</w:t>
            </w:r>
          </w:p>
        </w:tc>
        <w:tc>
          <w:tcPr>
            <w:tcW w:w="1020" w:type="dxa"/>
            <w:vAlign w:val="bottom"/>
            <w:gridSpan w:val="2"/>
            <w:shd w:val="clear" w:color="auto" w:fill="D8D8D8"/>
          </w:tcPr>
          <w:p>
            <w:pPr>
              <w:jc w:val="right"/>
              <w:ind w:right="300"/>
              <w:spacing w:after="0"/>
              <w:rPr>
                <w:sz w:val="20"/>
                <w:szCs w:val="20"/>
                <w:color w:val="auto"/>
              </w:rPr>
            </w:pPr>
            <w:r>
              <w:rPr>
                <w:rFonts w:ascii="Arial" w:cs="Arial" w:eastAsia="Arial" w:hAnsi="Arial"/>
                <w:sz w:val="14"/>
                <w:szCs w:val="14"/>
                <w:b w:val="1"/>
                <w:bCs w:val="1"/>
                <w:color w:val="auto"/>
              </w:rPr>
              <w:t>(0.2)%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80" w:type="dxa"/>
            <w:vAlign w:val="bottom"/>
            <w:gridSpan w:val="2"/>
          </w:tcPr>
          <w:p>
            <w:pPr>
              <w:spacing w:after="0"/>
              <w:rPr>
                <w:sz w:val="20"/>
                <w:szCs w:val="20"/>
                <w:color w:val="auto"/>
              </w:rPr>
            </w:pPr>
            <w:r>
              <w:rPr>
                <w:rFonts w:ascii="Arial" w:cs="Arial" w:eastAsia="Arial" w:hAnsi="Arial"/>
                <w:sz w:val="14"/>
                <w:szCs w:val="14"/>
                <w:b w:val="1"/>
                <w:bCs w:val="1"/>
                <w:color w:val="auto"/>
              </w:rPr>
              <w:t>Currency translation</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9880" w:type="dxa"/>
            <w:vAlign w:val="bottom"/>
            <w:gridSpan w:val="2"/>
            <w:shd w:val="clear" w:color="auto" w:fill="D8D8D8"/>
          </w:tcPr>
          <w:p>
            <w:pPr>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2"/>
            <w:shd w:val="clear" w:color="auto" w:fill="D8D8D8"/>
          </w:tcPr>
          <w:p>
            <w:pPr>
              <w:jc w:val="right"/>
              <w:ind w:right="300"/>
              <w:spacing w:after="0"/>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Non-GAAP Disclosures</w:t>
      </w:r>
    </w:p>
    <w:p>
      <w:pPr>
        <w:spacing w:after="0" w:line="130" w:lineRule="exact"/>
        <w:rPr>
          <w:sz w:val="20"/>
          <w:szCs w:val="20"/>
          <w:color w:val="auto"/>
        </w:rPr>
      </w:pPr>
    </w:p>
    <w:p>
      <w:pPr>
        <w:ind w:left="160" w:right="100"/>
        <w:spacing w:after="0" w:line="247" w:lineRule="auto"/>
        <w:rPr>
          <w:sz w:val="20"/>
          <w:szCs w:val="20"/>
          <w:color w:val="auto"/>
        </w:rPr>
      </w:pPr>
      <w:r>
        <w:rPr>
          <w:rFonts w:ascii="Arial" w:cs="Arial" w:eastAsia="Arial" w:hAnsi="Arial"/>
          <w:sz w:val="16"/>
          <w:szCs w:val="16"/>
          <w:color w:val="auto"/>
        </w:rPr>
        <w:t>Adjusted net earnings represents net earnings adjusted for the effect of acquisition-related amortization, rightsizing and other costs, gain on dispositions, loss on extinguishment of debt, and loss on assets held for sale. We exclude after-tax acquisition-related amortization because the amount and timing of such charges are significantly impacted by the timing, size, number and nature of the acquisitions the Company consummates. We exclude the other items because they occur for reasons that may be unrelated to the Company’s commercial performance during the period and/or Management believes they are not indicative of the Company’s ongoing operating costs or gains in a given period.</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Adjusted diluted net earnings per share represents adjusted net earnings divided by average diluted shares.</w:t>
      </w:r>
    </w:p>
    <w:p>
      <w:pPr>
        <w:spacing w:after="0" w:line="177" w:lineRule="exact"/>
        <w:rPr>
          <w:sz w:val="20"/>
          <w:szCs w:val="20"/>
          <w:color w:val="auto"/>
        </w:rPr>
      </w:pPr>
    </w:p>
    <w:p>
      <w:pPr>
        <w:ind w:left="160" w:right="280"/>
        <w:spacing w:after="0" w:line="256" w:lineRule="auto"/>
        <w:rPr>
          <w:sz w:val="20"/>
          <w:szCs w:val="20"/>
          <w:color w:val="auto"/>
        </w:rPr>
      </w:pPr>
      <w:r>
        <w:rPr>
          <w:rFonts w:ascii="Arial" w:cs="Arial" w:eastAsia="Arial" w:hAnsi="Arial"/>
          <w:sz w:val="16"/>
          <w:szCs w:val="16"/>
          <w:color w:val="auto"/>
        </w:rPr>
        <w:t>Total segment earnings (EBIT) is defined as net earnings before income taxes, net interest expense, and corporate expenses. Total segment earnings (EBIT) margin is defined as total segment earnings (EBIT) divided by revenue.</w:t>
      </w:r>
    </w:p>
    <w:p>
      <w:pPr>
        <w:spacing w:after="0" w:line="156" w:lineRule="exact"/>
        <w:rPr>
          <w:sz w:val="20"/>
          <w:szCs w:val="20"/>
          <w:color w:val="auto"/>
        </w:rPr>
      </w:pPr>
    </w:p>
    <w:p>
      <w:pPr>
        <w:ind w:left="160" w:right="720"/>
        <w:spacing w:after="0" w:line="256" w:lineRule="auto"/>
        <w:rPr>
          <w:sz w:val="20"/>
          <w:szCs w:val="20"/>
          <w:color w:val="auto"/>
        </w:rPr>
      </w:pPr>
      <w:r>
        <w:rPr>
          <w:rFonts w:ascii="Arial" w:cs="Arial" w:eastAsia="Arial" w:hAnsi="Arial"/>
          <w:sz w:val="16"/>
          <w:szCs w:val="16"/>
          <w:color w:val="auto"/>
        </w:rPr>
        <w:t>Management believes these measures are useful to investors to better understand the Company’s ongoing profitability as it will better reflect the Company’s core operating results, offer more transparency and facilitate easier comparability to prior and future periods and to its peers.</w:t>
      </w:r>
    </w:p>
    <w:p>
      <w:pPr>
        <w:spacing w:after="0" w:line="169" w:lineRule="exact"/>
        <w:rPr>
          <w:sz w:val="20"/>
          <w:szCs w:val="20"/>
          <w:color w:val="auto"/>
        </w:rPr>
      </w:pPr>
    </w:p>
    <w:p>
      <w:pPr>
        <w:ind w:left="160" w:right="200"/>
        <w:spacing w:after="0" w:line="247" w:lineRule="auto"/>
        <w:rPr>
          <w:sz w:val="20"/>
          <w:szCs w:val="20"/>
          <w:color w:val="auto"/>
        </w:rPr>
      </w:pPr>
      <w:r>
        <w:rPr>
          <w:rFonts w:ascii="Arial" w:cs="Arial" w:eastAsia="Arial" w:hAnsi="Arial"/>
          <w:sz w:val="16"/>
          <w:szCs w:val="16"/>
          <w:color w:val="auto"/>
        </w:rPr>
        <w:t>Free cash flow represents net cash provided by operating activities minus capital expenditures. Free cash flow as a percentage of revenue equals free cash flow divided by revenue. Free cash flow as a percentage of net earnings equals free cash flow divided by net earnings. Management believes that free cash flow and free cash flow ratios are important measures of operating performance because they provide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163" w:lineRule="exact"/>
        <w:rPr>
          <w:sz w:val="20"/>
          <w:szCs w:val="20"/>
          <w:color w:val="auto"/>
        </w:rPr>
      </w:pPr>
    </w:p>
    <w:p>
      <w:pPr>
        <w:ind w:left="160" w:right="880"/>
        <w:spacing w:after="0" w:line="256" w:lineRule="auto"/>
        <w:rPr>
          <w:sz w:val="20"/>
          <w:szCs w:val="20"/>
          <w:color w:val="auto"/>
        </w:rPr>
      </w:pPr>
      <w:r>
        <w:rPr>
          <w:rFonts w:ascii="Arial" w:cs="Arial" w:eastAsia="Arial" w:hAnsi="Arial"/>
          <w:sz w:val="16"/>
          <w:szCs w:val="16"/>
          <w:color w:val="auto"/>
        </w:rPr>
        <w:t>Management believes that reporting organic revenue growth, which excludes the impact of foreign currency exchange rates and the impact of acquisitions and dispositions, provides a useful comparison of our revenue performance and trends between periods.</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2022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87</w:t>
      </w:r>
    </w:p>
    <w:p>
      <w:pPr>
        <w:sectPr>
          <w:pgSz w:w="11900" w:h="16838" w:orient="portrait"/>
          <w:cols w:equalWidth="0" w:num="1">
            <w:col w:w="11080"/>
          </w:cols>
          <w:pgMar w:left="320" w:top="456" w:right="49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231775</wp:posOffset>
            </wp:positionV>
            <wp:extent cx="5511800" cy="7133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11800" cy="713359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231775</wp:posOffset>
            </wp:positionV>
            <wp:extent cx="5511800" cy="7133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511800" cy="7133590"/>
                    </a:xfrm>
                    <a:prstGeom prst="rect">
                      <a:avLst/>
                    </a:prstGeom>
                    <a:noFill/>
                  </pic:spPr>
                </pic:pic>
              </a:graphicData>
            </a:graphic>
          </wp:anchor>
        </w:drawing>
      </w:r>
    </w:p>
    <w:sectPr>
      <w:pgSz w:w="11900" w:h="16838" w:orient="portrait"/>
      <w:cols w:equalWidth="0" w:num="1">
        <w:col w:w="10139"/>
      </w:cols>
      <w:pgMar w:left="320" w:top="4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lvl w:ilvl="1">
      <w:lvlJc w:val="left"/>
      <w:lvlText w:val="(%2)"/>
      <w:numFmt w:val="decimal"/>
      <w:start w:val="1"/>
    </w:lvl>
  </w:abstractNum>
  <w:abstractNum w:abstractNumId="5">
    <w:nsid w:val="579478FE"/>
    <w:multiLevelType w:val="hybridMultilevel"/>
    <w:lvl w:ilvl="0">
      <w:lvlJc w:val="left"/>
      <w:lvlText w:val="%1."/>
      <w:numFmt w:val="decimal"/>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1)"/>
      <w:numFmt w:val="decimal"/>
    </w:lvl>
    <w:lvl w:ilvl="1">
      <w:lvlJc w:val="left"/>
      <w:lvlText w:val="•"/>
      <w:numFmt w:val="bullet"/>
      <w:start w:val="1"/>
    </w:lvl>
  </w:abstractNum>
  <w:abstractNum w:abstractNumId="9">
    <w:nsid w:val="79A1DEAA"/>
    <w:multiLevelType w:val="hybridMultilevel"/>
    <w:lvl w:ilvl="0">
      <w:lvlJc w:val="left"/>
      <w:lvlText w:val="%1)"/>
      <w:numFmt w:val="decimal"/>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A"/>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lvl w:ilvl="1">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lvl w:ilvl="1">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lvl w:ilvl="1">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1)"/>
      <w:numFmt w:val="decimal"/>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1)"/>
      <w:numFmt w:val="decimal"/>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1)"/>
      <w:numFmt w:val="decimal"/>
      <w:start w:val="1"/>
    </w:lvl>
  </w:abstractNum>
  <w:abstractNum w:abstractNumId="57">
    <w:nsid w:val="51D9C564"/>
    <w:multiLevelType w:val="hybridMultilevel"/>
    <w:lvl w:ilvl="0">
      <w:lvlJc w:val="left"/>
      <w:lvlText w:val="(%1)"/>
      <w:numFmt w:val="decimal"/>
      <w:start w:val="1"/>
    </w:lvl>
  </w:abstractNum>
  <w:abstractNum w:abstractNumId="58">
    <w:nsid w:val="613EFDC5"/>
    <w:multiLevelType w:val="hybridMultilevel"/>
    <w:lvl w:ilvl="0">
      <w:lvlJc w:val="left"/>
      <w:lvlText w:val="(%1)"/>
      <w:numFmt w:val="decimal"/>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1)"/>
      <w:numFmt w:val="decimal"/>
      <w:start w:val="1"/>
    </w:lvl>
  </w:abstractNum>
  <w:abstractNum w:abstractNumId="69">
    <w:nsid w:val="6A5EE64"/>
    <w:multiLevelType w:val="hybridMultilevel"/>
    <w:lvl w:ilvl="0">
      <w:lvlJc w:val="left"/>
      <w:lvlText w:val="(%1)"/>
      <w:numFmt w:val="decimal"/>
      <w:start w:val="3"/>
    </w:lvl>
  </w:abstractNum>
  <w:abstractNum w:abstractNumId="70">
    <w:nsid w:val="14330624"/>
    <w:multiLevelType w:val="hybridMultilevel"/>
    <w:lvl w:ilvl="0">
      <w:lvlJc w:val="left"/>
      <w:lvlText w:val="(%1)"/>
      <w:numFmt w:val="decimal"/>
      <w:start w:val="1"/>
    </w:lvl>
  </w:abstractNum>
  <w:abstractNum w:abstractNumId="71">
    <w:nsid w:val="7FFFCA11"/>
    <w:multiLevelType w:val="hybridMultilevel"/>
    <w:lvl w:ilvl="0">
      <w:lvlJc w:val="left"/>
      <w:lvlText w:val="(%1)"/>
      <w:numFmt w:val="decimal"/>
      <w:start w:val="1"/>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1)"/>
      <w:numFmt w:val="decimal"/>
      <w:start w:val="1"/>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1)"/>
      <w:numFmt w:val="decimal"/>
      <w:start w:val="1"/>
    </w:lvl>
  </w:abstractNum>
  <w:abstractNum w:abstractNumId="81">
    <w:nsid w:val="4C04A8AF"/>
    <w:multiLevelType w:val="hybridMultilevel"/>
    <w:lvl w:ilvl="0">
      <w:lvlJc w:val="left"/>
      <w:lvlText w:val="(%1)"/>
      <w:numFmt w:val="decimal"/>
      <w:start w:val="9"/>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1)"/>
      <w:numFmt w:val="decimal"/>
      <w:start w:val="1"/>
    </w:lvl>
  </w:abstractNum>
  <w:abstractNum w:abstractNumId="86">
    <w:nsid w:val="68EBC550"/>
    <w:multiLevelType w:val="hybridMultilevel"/>
    <w:lvl w:ilvl="0">
      <w:lvlJc w:val="left"/>
      <w:lvlText w:val="(%1)"/>
      <w:numFmt w:val="decimal"/>
      <w:start w:val="2"/>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2"/>
      <w:numFmt w:val="bullet"/>
      <w:start w:val="1"/>
    </w:lvl>
  </w:abstractNum>
  <w:abstractNum w:abstractNumId="89">
    <w:nsid w:val="4A2AC315"/>
    <w:multiLevelType w:val="hybridMultilevel"/>
    <w:lvl w:ilvl="0">
      <w:lvlJc w:val="left"/>
      <w:lvlText w:val="6"/>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
      <w:numFmt w:val="bullet"/>
      <w:start w:val="1"/>
    </w:lvl>
  </w:abstractNum>
  <w:abstractNum w:abstractNumId="92">
    <w:nsid w:val="CC1016F"/>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2022-03-17T07:42:24Z</dcterms:created>
  <dcterms:modified xsi:type="dcterms:W3CDTF">2022-03-17T07:42:24Z</dcterms:modified>
</cp:coreProperties>
</file>