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3980" w:right="2160" w:hanging="3972"/>
        <w:spacing w:after="0" w:line="392" w:lineRule="auto"/>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17145</wp:posOffset>
            </wp:positionV>
            <wp:extent cx="377317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31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40" w:type="dxa"/>
            <w:vAlign w:val="bottom"/>
            <w:gridSpan w:val="3"/>
          </w:tcPr>
          <w:p>
            <w:pPr>
              <w:jc w:val="center"/>
              <w:ind w:right="26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70"/>
        </w:trPr>
        <w:tc>
          <w:tcPr>
            <w:tcW w:w="1400" w:type="dxa"/>
            <w:vAlign w:val="bottom"/>
          </w:tcPr>
          <w:p>
            <w:pPr>
              <w:spacing w:after="0"/>
              <w:rPr>
                <w:sz w:val="23"/>
                <w:szCs w:val="23"/>
                <w:color w:val="auto"/>
              </w:rPr>
            </w:pPr>
          </w:p>
        </w:tc>
        <w:tc>
          <w:tcPr>
            <w:tcW w:w="370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91"/>
              </w:rPr>
              <w:t>Delaware</w:t>
            </w:r>
          </w:p>
        </w:tc>
        <w:tc>
          <w:tcPr>
            <w:tcW w:w="6320" w:type="dxa"/>
            <w:vAlign w:val="bottom"/>
            <w:gridSpan w:val="2"/>
          </w:tcPr>
          <w:p>
            <w:pPr>
              <w:jc w:val="right"/>
              <w:ind w:right="2310"/>
              <w:spacing w:after="0"/>
              <w:rPr>
                <w:sz w:val="20"/>
                <w:szCs w:val="20"/>
                <w:color w:val="auto"/>
              </w:rPr>
            </w:pPr>
            <w:r>
              <w:rPr>
                <w:rFonts w:ascii="Arial" w:cs="Arial" w:eastAsia="Arial" w:hAnsi="Arial"/>
                <w:sz w:val="18"/>
                <w:szCs w:val="18"/>
                <w:b w:val="1"/>
                <w:bCs w:val="1"/>
                <w:color w:val="auto"/>
              </w:rPr>
              <w:t>53-0257888</w:t>
            </w:r>
          </w:p>
        </w:tc>
      </w:tr>
      <w:tr>
        <w:trPr>
          <w:trHeight w:val="270"/>
        </w:trPr>
        <w:tc>
          <w:tcPr>
            <w:tcW w:w="510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0" w:type="dxa"/>
            <w:vAlign w:val="bottom"/>
          </w:tcPr>
          <w:p>
            <w:pPr>
              <w:spacing w:after="0"/>
              <w:rPr>
                <w:sz w:val="23"/>
                <w:szCs w:val="23"/>
                <w:color w:val="auto"/>
              </w:rPr>
            </w:pPr>
          </w:p>
        </w:tc>
        <w:tc>
          <w:tcPr>
            <w:tcW w:w="5900" w:type="dxa"/>
            <w:vAlign w:val="bottom"/>
          </w:tcPr>
          <w:p>
            <w:pPr>
              <w:jc w:val="center"/>
              <w:ind w:left="11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1400" w:type="dxa"/>
            <w:vAlign w:val="bottom"/>
          </w:tcPr>
          <w:p>
            <w:pPr>
              <w:spacing w:after="0"/>
              <w:rPr>
                <w:sz w:val="24"/>
                <w:szCs w:val="24"/>
                <w:color w:val="auto"/>
              </w:rPr>
            </w:pPr>
          </w:p>
        </w:tc>
        <w:tc>
          <w:tcPr>
            <w:tcW w:w="370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92"/>
              </w:rPr>
              <w:t>3005 Highland Parkway</w:t>
            </w:r>
          </w:p>
        </w:tc>
        <w:tc>
          <w:tcPr>
            <w:tcW w:w="42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70"/>
        </w:trPr>
        <w:tc>
          <w:tcPr>
            <w:tcW w:w="1400" w:type="dxa"/>
            <w:vAlign w:val="bottom"/>
          </w:tcPr>
          <w:p>
            <w:pPr>
              <w:spacing w:after="0"/>
              <w:rPr>
                <w:sz w:val="23"/>
                <w:szCs w:val="23"/>
                <w:color w:val="auto"/>
              </w:rPr>
            </w:pPr>
          </w:p>
        </w:tc>
        <w:tc>
          <w:tcPr>
            <w:tcW w:w="3700" w:type="dxa"/>
            <w:vAlign w:val="bottom"/>
            <w:gridSpan w:val="2"/>
          </w:tcPr>
          <w:p>
            <w:pPr>
              <w:jc w:val="right"/>
              <w:ind w:right="1170"/>
              <w:spacing w:after="0"/>
              <w:rPr>
                <w:sz w:val="20"/>
                <w:szCs w:val="20"/>
                <w:color w:val="auto"/>
              </w:rPr>
            </w:pPr>
            <w:r>
              <w:rPr>
                <w:rFonts w:ascii="Arial" w:cs="Arial" w:eastAsia="Arial" w:hAnsi="Arial"/>
                <w:sz w:val="18"/>
                <w:szCs w:val="18"/>
                <w:b w:val="1"/>
                <w:bCs w:val="1"/>
                <w:color w:val="auto"/>
              </w:rPr>
              <w:t>Downers Grove, Illinois</w:t>
            </w:r>
          </w:p>
        </w:tc>
        <w:tc>
          <w:tcPr>
            <w:tcW w:w="6320" w:type="dxa"/>
            <w:vAlign w:val="bottom"/>
            <w:gridSpan w:val="2"/>
          </w:tcPr>
          <w:p>
            <w:pPr>
              <w:jc w:val="right"/>
              <w:ind w:right="2530"/>
              <w:spacing w:after="0"/>
              <w:rPr>
                <w:sz w:val="20"/>
                <w:szCs w:val="20"/>
                <w:color w:val="auto"/>
              </w:rPr>
            </w:pPr>
            <w:r>
              <w:rPr>
                <w:rFonts w:ascii="Arial" w:cs="Arial" w:eastAsia="Arial" w:hAnsi="Arial"/>
                <w:sz w:val="18"/>
                <w:szCs w:val="18"/>
                <w:b w:val="1"/>
                <w:bCs w:val="1"/>
                <w:color w:val="auto"/>
              </w:rPr>
              <w:t>60515</w:t>
            </w:r>
          </w:p>
        </w:tc>
      </w:tr>
      <w:tr>
        <w:trPr>
          <w:trHeight w:val="270"/>
        </w:trPr>
        <w:tc>
          <w:tcPr>
            <w:tcW w:w="1400" w:type="dxa"/>
            <w:vAlign w:val="bottom"/>
          </w:tcPr>
          <w:p>
            <w:pPr>
              <w:spacing w:after="0"/>
              <w:rPr>
                <w:sz w:val="23"/>
                <w:szCs w:val="23"/>
                <w:color w:val="auto"/>
              </w:rPr>
            </w:pPr>
          </w:p>
        </w:tc>
        <w:tc>
          <w:tcPr>
            <w:tcW w:w="3700" w:type="dxa"/>
            <w:vAlign w:val="bottom"/>
            <w:gridSpan w:val="2"/>
          </w:tcPr>
          <w:p>
            <w:pPr>
              <w:jc w:val="center"/>
              <w:ind w:right="610"/>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3"/>
                <w:szCs w:val="23"/>
                <w:color w:val="auto"/>
              </w:rPr>
            </w:pPr>
          </w:p>
        </w:tc>
        <w:tc>
          <w:tcPr>
            <w:tcW w:w="5900" w:type="dxa"/>
            <w:vAlign w:val="bottom"/>
          </w:tcPr>
          <w:p>
            <w:pPr>
              <w:jc w:val="center"/>
              <w:ind w:left="130"/>
              <w:spacing w:after="0"/>
              <w:rPr>
                <w:sz w:val="20"/>
                <w:szCs w:val="20"/>
                <w:color w:val="auto"/>
              </w:rPr>
            </w:pPr>
            <w:r>
              <w:rPr>
                <w:rFonts w:ascii="Arial" w:cs="Arial" w:eastAsia="Arial" w:hAnsi="Arial"/>
                <w:sz w:val="18"/>
                <w:szCs w:val="18"/>
                <w:color w:val="auto"/>
                <w:w w:val="94"/>
              </w:rPr>
              <w:t>(Zip Code)</w:t>
            </w:r>
          </w:p>
        </w:tc>
      </w:tr>
      <w:tr>
        <w:trPr>
          <w:trHeight w:val="337"/>
        </w:trPr>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gridSpan w:val="2"/>
          </w:tcPr>
          <w:p>
            <w:pPr>
              <w:jc w:val="center"/>
              <w:ind w:right="4990"/>
              <w:spacing w:after="0"/>
              <w:rPr>
                <w:sz w:val="20"/>
                <w:szCs w:val="20"/>
                <w:color w:val="auto"/>
              </w:rPr>
            </w:pPr>
            <w:r>
              <w:rPr>
                <w:rFonts w:ascii="Arial" w:cs="Arial" w:eastAsia="Arial" w:hAnsi="Arial"/>
                <w:sz w:val="18"/>
                <w:szCs w:val="18"/>
                <w:b w:val="1"/>
                <w:bCs w:val="1"/>
                <w:color w:val="auto"/>
                <w:w w:val="90"/>
              </w:rPr>
              <w:t>(630) 541-1540</w:t>
            </w:r>
          </w:p>
        </w:tc>
      </w:tr>
      <w:tr>
        <w:trPr>
          <w:trHeight w:val="230"/>
        </w:trPr>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40" w:type="dxa"/>
            <w:vAlign w:val="bottom"/>
            <w:gridSpan w:val="3"/>
          </w:tcPr>
          <w:p>
            <w:pPr>
              <w:jc w:val="center"/>
              <w:ind w:right="269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4"/>
        </w:trPr>
        <w:tc>
          <w:tcPr>
            <w:tcW w:w="5100" w:type="dxa"/>
            <w:vAlign w:val="bottom"/>
            <w:gridSpan w:val="3"/>
          </w:tcPr>
          <w:p>
            <w:pPr>
              <w:jc w:val="right"/>
              <w:ind w:right="8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2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237"/>
        </w:trPr>
        <w:tc>
          <w:tcPr>
            <w:tcW w:w="1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2"/>
              </w:rPr>
              <w:t>Title of each class</w:t>
            </w:r>
          </w:p>
        </w:tc>
        <w:tc>
          <w:tcPr>
            <w:tcW w:w="1380" w:type="dxa"/>
            <w:vAlign w:val="bottom"/>
            <w:tcBorders>
              <w:right w:val="single" w:sz="8" w:color="auto"/>
            </w:tcBorders>
          </w:tcPr>
          <w:p>
            <w:pPr>
              <w:spacing w:after="0"/>
              <w:rPr>
                <w:sz w:val="20"/>
                <w:szCs w:val="20"/>
                <w:color w:val="auto"/>
              </w:rPr>
            </w:pPr>
          </w:p>
        </w:tc>
        <w:tc>
          <w:tcPr>
            <w:tcW w:w="2320" w:type="dxa"/>
            <w:vAlign w:val="bottom"/>
          </w:tcPr>
          <w:p>
            <w:pPr>
              <w:jc w:val="right"/>
              <w:ind w:right="850"/>
              <w:spacing w:after="0"/>
              <w:rPr>
                <w:sz w:val="20"/>
                <w:szCs w:val="20"/>
                <w:color w:val="auto"/>
              </w:rPr>
            </w:pPr>
            <w:r>
              <w:rPr>
                <w:rFonts w:ascii="Arial" w:cs="Arial" w:eastAsia="Arial" w:hAnsi="Arial"/>
                <w:sz w:val="18"/>
                <w:szCs w:val="18"/>
                <w:color w:val="auto"/>
                <w:w w:val="92"/>
              </w:rPr>
              <w:t>Trading Symbol(s)</w:t>
            </w:r>
          </w:p>
        </w:tc>
        <w:tc>
          <w:tcPr>
            <w:tcW w:w="420" w:type="dxa"/>
            <w:vAlign w:val="bottom"/>
            <w:tcBorders>
              <w:right w:val="single" w:sz="8" w:color="auto"/>
            </w:tcBorders>
          </w:tcPr>
          <w:p>
            <w:pPr>
              <w:spacing w:after="0"/>
              <w:rPr>
                <w:sz w:val="20"/>
                <w:szCs w:val="20"/>
                <w:color w:val="auto"/>
              </w:rPr>
            </w:pPr>
          </w:p>
        </w:tc>
        <w:tc>
          <w:tcPr>
            <w:tcW w:w="5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tcBorders>
              <w:right w:val="single" w:sz="8" w:color="auto"/>
            </w:tcBorders>
          </w:tcPr>
          <w:p>
            <w:pPr>
              <w:spacing w:after="0"/>
              <w:rPr>
                <w:sz w:val="20"/>
                <w:szCs w:val="20"/>
                <w:color w:val="auto"/>
              </w:rPr>
            </w:pPr>
          </w:p>
        </w:tc>
        <w:tc>
          <w:tcPr>
            <w:tcW w:w="2320" w:type="dxa"/>
            <w:vAlign w:val="bottom"/>
          </w:tcPr>
          <w:p>
            <w:pPr>
              <w:jc w:val="right"/>
              <w:ind w:right="1830"/>
              <w:spacing w:after="0"/>
              <w:rPr>
                <w:sz w:val="20"/>
                <w:szCs w:val="20"/>
                <w:color w:val="auto"/>
              </w:rPr>
            </w:pPr>
            <w:r>
              <w:rPr>
                <w:rFonts w:ascii="Arial" w:cs="Arial" w:eastAsia="Arial" w:hAnsi="Arial"/>
                <w:sz w:val="18"/>
                <w:szCs w:val="18"/>
                <w:color w:val="auto"/>
                <w:w w:val="97"/>
              </w:rPr>
              <w:t>DOV</w:t>
            </w:r>
          </w:p>
        </w:tc>
        <w:tc>
          <w:tcPr>
            <w:tcW w:w="420" w:type="dxa"/>
            <w:vAlign w:val="bottom"/>
            <w:tcBorders>
              <w:right w:val="single" w:sz="8" w:color="auto"/>
            </w:tcBorders>
          </w:tcPr>
          <w:p>
            <w:pPr>
              <w:spacing w:after="0"/>
              <w:rPr>
                <w:sz w:val="20"/>
                <w:szCs w:val="20"/>
                <w:color w:val="auto"/>
              </w:rPr>
            </w:pPr>
          </w:p>
        </w:tc>
        <w:tc>
          <w:tcPr>
            <w:tcW w:w="5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tbl>
      <w:tblPr>
        <w:tblLayout w:type="fixed"/>
        <w:tblInd w:w="320" w:type="dxa"/>
        <w:tblCellMar>
          <w:top w:w="0" w:type="dxa"/>
          <w:left w:w="0" w:type="dxa"/>
          <w:bottom w:w="0" w:type="dxa"/>
          <w:right w:w="0" w:type="dxa"/>
        </w:tblCellMar>
      </w:tblP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Large 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4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140" w:type="dxa"/>
            <w:vAlign w:val="bottom"/>
          </w:tcPr>
          <w:p>
            <w:pPr>
              <w:ind w:left="2280"/>
              <w:spacing w:after="0" w:line="195" w:lineRule="exact"/>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Arial" w:cs="Arial" w:eastAsia="Arial" w:hAnsi="Arial"/>
                <w:sz w:val="18"/>
                <w:szCs w:val="18"/>
                <w:color w:val="auto"/>
              </w:rPr>
              <w:t>Non-Acelerated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4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5140" w:type="dxa"/>
            <w:vAlign w:val="bottom"/>
          </w:tcPr>
          <w:p>
            <w:pPr>
              <w:ind w:left="2280"/>
              <w:spacing w:after="0" w:line="182" w:lineRule="exact"/>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140" w:type="dxa"/>
            <w:vAlign w:val="bottom"/>
          </w:tcPr>
          <w:p>
            <w:pPr>
              <w:ind w:left="4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14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2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July 11, 2019 was 145,437,765.</w:t>
      </w:r>
    </w:p>
    <w:p>
      <w:pPr>
        <w:sectPr>
          <w:pgSz w:w="11900" w:h="16838" w:orient="portrait"/>
          <w:cols w:equalWidth="0" w:num="1">
            <w:col w:w="11420"/>
          </w:cols>
          <w:pgMar w:left="240" w:top="99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60" w:type="dxa"/>
            <w:vAlign w:val="bottom"/>
            <w:tcBorders>
              <w:bottom w:val="single" w:sz="8" w:color="0000FF"/>
            </w:tcBorders>
            <w:gridSpan w:val="11"/>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7540" w:type="dxa"/>
            <w:vAlign w:val="bottom"/>
            <w:gridSpan w:val="10"/>
          </w:tcPr>
          <w:p>
            <w:pPr>
              <w:spacing w:after="0"/>
              <w:rPr>
                <w:sz w:val="19"/>
                <w:szCs w:val="19"/>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61"/>
        </w:trPr>
        <w:tc>
          <w:tcPr>
            <w:tcW w:w="520" w:type="dxa"/>
            <w:vAlign w:val="bottom"/>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40" w:type="dxa"/>
            <w:vAlign w:val="bottom"/>
            <w:gridSpan w:val="2"/>
            <w:vMerge w:val="restart"/>
          </w:tcPr>
          <w:p>
            <w:pPr>
              <w:spacing w:after="0"/>
              <w:rPr>
                <w:sz w:val="5"/>
                <w:szCs w:val="5"/>
                <w:color w:val="auto"/>
              </w:rPr>
            </w:pPr>
          </w:p>
        </w:tc>
        <w:tc>
          <w:tcPr>
            <w:tcW w:w="9840" w:type="dxa"/>
            <w:vAlign w:val="bottom"/>
            <w:gridSpan w:val="18"/>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840" w:type="dxa"/>
            <w:vAlign w:val="bottom"/>
            <w:gridSpan w:val="1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0" w:type="dxa"/>
            <w:vAlign w:val="bottom"/>
            <w:tcBorders>
              <w:bottom w:val="single" w:sz="8" w:color="0000FF"/>
            </w:tcBorders>
            <w:gridSpan w:val="15"/>
          </w:tcPr>
          <w:p>
            <w:pPr>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Earnings for the three and six months ended June 30, 2019 and 2018</w:t>
              </w:r>
            </w:hyperlink>
          </w:p>
        </w:tc>
        <w:tc>
          <w:tcPr>
            <w:tcW w:w="90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340" w:type="dxa"/>
            <w:vAlign w:val="bottom"/>
            <w:gridSpan w:val="2"/>
            <w:vMerge w:val="restart"/>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Condensed Consolidated Statements of Comprehensive Earnings for the three and six months ended June 30, 2019 and 2018</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9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at June 30, 2019 and December 31, 2018</w:t>
              </w:r>
            </w:hyperlink>
          </w:p>
        </w:tc>
        <w:tc>
          <w:tcPr>
            <w:tcW w:w="860" w:type="dxa"/>
            <w:vAlign w:val="bottom"/>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700" w:type="dxa"/>
            <w:vAlign w:val="bottom"/>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 for the three and six months ended June 30, 2019 and 2018</w:t>
              </w:r>
            </w:hyperlink>
          </w:p>
        </w:tc>
        <w:tc>
          <w:tcPr>
            <w:tcW w:w="1140" w:type="dxa"/>
            <w:vAlign w:val="bottom"/>
            <w:gridSpan w:val="2"/>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70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six months ended June 30, 2019 and 2018</w:t>
              </w:r>
            </w:hyperlink>
          </w:p>
        </w:tc>
        <w:tc>
          <w:tcPr>
            <w:tcW w:w="1140" w:type="dxa"/>
            <w:vAlign w:val="bottom"/>
            <w:gridSpan w:val="2"/>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3300" w:type="dxa"/>
            <w:vAlign w:val="bottom"/>
            <w:gridSpan w:val="4"/>
          </w:tcPr>
          <w:p>
            <w:pPr>
              <w:spacing w:after="0"/>
              <w:rPr>
                <w:sz w:val="21"/>
                <w:szCs w:val="21"/>
                <w:color w:val="auto"/>
              </w:rPr>
            </w:pPr>
          </w:p>
        </w:tc>
        <w:tc>
          <w:tcPr>
            <w:tcW w:w="2540" w:type="dxa"/>
            <w:vAlign w:val="bottom"/>
            <w:gridSpan w:val="4"/>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2.</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548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96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 OTHER INFORMATION</w:t>
              </w:r>
            </w:hyperlink>
          </w:p>
        </w:tc>
        <w:tc>
          <w:tcPr>
            <w:tcW w:w="784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1.</w:t>
              </w:r>
            </w:hyperlink>
          </w:p>
        </w:tc>
        <w:tc>
          <w:tcPr>
            <w:tcW w:w="440" w:type="dxa"/>
            <w:vAlign w:val="bottom"/>
            <w:gridSpan w:val="2"/>
          </w:tcPr>
          <w:p>
            <w:pPr>
              <w:spacing w:after="0"/>
              <w:rPr>
                <w:sz w:val="21"/>
                <w:szCs w:val="21"/>
                <w:color w:val="auto"/>
              </w:rPr>
            </w:pPr>
          </w:p>
        </w:tc>
        <w:tc>
          <w:tcPr>
            <w:tcW w:w="98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1A.</w:t>
              </w:r>
            </w:hyperlink>
          </w:p>
        </w:tc>
        <w:tc>
          <w:tcPr>
            <w:tcW w:w="984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3.</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4.</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5.</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6.</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40" w:type="dxa"/>
            <w:vAlign w:val="bottom"/>
            <w:gridSpan w:val="1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0" w:type="dxa"/>
            <w:vAlign w:val="bottom"/>
            <w:gridSpan w:val="21"/>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SIGNATURES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1094"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3,435,765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1,138,113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2,239,328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2,167,700</w:t>
            </w: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1,268,065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805,100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863,801</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444,089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404,264</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(4,620)</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388,057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345,687</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69,822</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275,865</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139,959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271,393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4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Earnings per share from continuing operations: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4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4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153,124</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155,573</w:t>
            </w:r>
          </w:p>
        </w:tc>
      </w:tr>
      <w:tr>
        <w:trPr>
          <w:trHeight w:val="27"/>
        </w:trPr>
        <w:tc>
          <w:tcPr>
            <w:tcW w:w="4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95"/>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271,393</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earnings, net of tax</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60"/>
              <w:spacing w:after="0"/>
              <w:rPr>
                <w:sz w:val="20"/>
                <w:szCs w:val="20"/>
                <w:color w:val="auto"/>
              </w:rPr>
            </w:pPr>
            <w:r>
              <w:rPr>
                <w:rFonts w:ascii="Arial" w:cs="Arial" w:eastAsia="Arial" w:hAnsi="Arial"/>
                <w:sz w:val="18"/>
                <w:szCs w:val="18"/>
                <w:color w:val="auto"/>
              </w:rPr>
              <w:t>Foreign currency translation (losses) gains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(12,851)</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Reclassification of foreign currency translation losses to</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earnings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Total foreign currency translation adjustments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(12,851)</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9"/>
        </w:trPr>
        <w:tc>
          <w:tcPr>
            <w:tcW w:w="4960" w:type="dxa"/>
            <w:vAlign w:val="bottom"/>
          </w:tcPr>
          <w:p>
            <w:pPr>
              <w:ind w:left="460"/>
              <w:spacing w:after="0"/>
              <w:rPr>
                <w:sz w:val="20"/>
                <w:szCs w:val="20"/>
                <w:color w:val="auto"/>
              </w:rPr>
            </w:pPr>
            <w:r>
              <w:rPr>
                <w:rFonts w:ascii="Arial" w:cs="Arial" w:eastAsia="Arial" w:hAnsi="Arial"/>
                <w:sz w:val="18"/>
                <w:szCs w:val="18"/>
                <w:color w:val="auto"/>
              </w:rPr>
              <w:t>Amortization of actuarial losses included in net periodic</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960" w:type="dxa"/>
            <w:vAlign w:val="bottom"/>
          </w:tcPr>
          <w:p>
            <w:pPr>
              <w:ind w:left="460"/>
              <w:spacing w:after="0"/>
              <w:rPr>
                <w:sz w:val="20"/>
                <w:szCs w:val="20"/>
                <w:color w:val="auto"/>
              </w:rPr>
            </w:pPr>
            <w:r>
              <w:rPr>
                <w:rFonts w:ascii="Arial" w:cs="Arial" w:eastAsia="Arial" w:hAnsi="Arial"/>
                <w:sz w:val="18"/>
                <w:szCs w:val="18"/>
                <w:color w:val="auto"/>
              </w:rPr>
              <w:t>pension cost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Amortization of prior service costs included in net periodic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pension cost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Total pension and other post-retirement benefit plans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5,002</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460"/>
              <w:spacing w:after="0"/>
              <w:rPr>
                <w:sz w:val="20"/>
                <w:szCs w:val="20"/>
                <w:color w:val="auto"/>
              </w:rPr>
            </w:pPr>
            <w:r>
              <w:rPr>
                <w:rFonts w:ascii="Arial" w:cs="Arial" w:eastAsia="Arial" w:hAnsi="Arial"/>
                <w:sz w:val="18"/>
                <w:szCs w:val="18"/>
                <w:color w:val="auto"/>
              </w:rPr>
              <w:t>Unrealized net (losses) gains arising during period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3,467</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gains reclassified into earnings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Total cash flow hedges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earnings,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r>
      <w:tr>
        <w:trPr>
          <w:trHeight w:val="26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338,773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266,301</w:t>
            </w:r>
          </w:p>
        </w:tc>
      </w:tr>
      <w:tr>
        <w:trPr>
          <w:trHeight w:val="21"/>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4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396,221</w:t>
            </w:r>
          </w:p>
        </w:tc>
      </w:tr>
      <w:tr>
        <w:trPr>
          <w:trHeight w:val="243"/>
        </w:trPr>
        <w:tc>
          <w:tcPr>
            <w:tcW w:w="7280" w:type="dxa"/>
            <w:vAlign w:val="bottom"/>
          </w:tcPr>
          <w:p>
            <w:pPr>
              <w:ind w:left="460"/>
              <w:spacing w:after="0"/>
              <w:rPr>
                <w:sz w:val="20"/>
                <w:szCs w:val="20"/>
                <w:color w:val="auto"/>
              </w:rPr>
            </w:pPr>
            <w:r>
              <w:rPr>
                <w:rFonts w:ascii="Arial" w:cs="Arial" w:eastAsia="Arial" w:hAnsi="Arial"/>
                <w:sz w:val="18"/>
                <w:szCs w:val="18"/>
                <w:color w:val="auto"/>
              </w:rPr>
              <w:t>Receivables, net of allowances of $31,657 and $28,469</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1,288,755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1,231,859</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748,796</w:t>
            </w:r>
          </w:p>
        </w:tc>
      </w:tr>
      <w:tr>
        <w:trPr>
          <w:trHeight w:val="243"/>
        </w:trPr>
        <w:tc>
          <w:tcPr>
            <w:tcW w:w="7280" w:type="dxa"/>
            <w:vAlign w:val="bottom"/>
          </w:tcPr>
          <w:p>
            <w:pPr>
              <w:ind w:left="4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163,904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126,878</w:t>
            </w:r>
          </w:p>
        </w:tc>
      </w:tr>
      <w:tr>
        <w:trPr>
          <w:trHeight w:val="27"/>
        </w:trPr>
        <w:tc>
          <w:tcPr>
            <w:tcW w:w="7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2,623,251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2,503,754</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815,003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806,497</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3,677,328</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1,129,352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1,134,256</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243,936</w:t>
            </w:r>
          </w:p>
        </w:tc>
      </w:tr>
      <w:tr>
        <w:trPr>
          <w:trHeight w:val="264"/>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8,776,050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8,365,771</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280" w:type="dxa"/>
            <w:vAlign w:val="bottom"/>
          </w:tcPr>
          <w:p>
            <w:pPr>
              <w:ind w:left="4320"/>
              <w:spacing w:after="0"/>
              <w:rPr>
                <w:sz w:val="20"/>
                <w:szCs w:val="20"/>
                <w:color w:val="auto"/>
              </w:rPr>
            </w:pPr>
            <w:r>
              <w:rPr>
                <w:rFonts w:ascii="Arial" w:cs="Arial" w:eastAsia="Arial" w:hAnsi="Arial"/>
                <w:sz w:val="18"/>
                <w:szCs w:val="18"/>
                <w:b w:val="1"/>
                <w:bCs w:val="1"/>
                <w:color w:val="auto"/>
                <w:w w:val="96"/>
              </w:rPr>
              <w:t>Liabilities and Stockholders' Equity</w:t>
            </w: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60"/>
              <w:spacing w:after="0"/>
              <w:rPr>
                <w:sz w:val="20"/>
                <w:szCs w:val="20"/>
                <w:color w:val="auto"/>
              </w:rPr>
            </w:pPr>
            <w:r>
              <w:rPr>
                <w:rFonts w:ascii="Arial" w:cs="Arial" w:eastAsia="Arial" w:hAnsi="Arial"/>
                <w:sz w:val="18"/>
                <w:szCs w:val="18"/>
                <w:color w:val="auto"/>
              </w:rPr>
              <w:t>Notes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357,700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220,318</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969,531</w:t>
            </w:r>
          </w:p>
        </w:tc>
      </w:tr>
      <w:tr>
        <w:trPr>
          <w:trHeight w:val="243"/>
        </w:trPr>
        <w:tc>
          <w:tcPr>
            <w:tcW w:w="7280" w:type="dxa"/>
            <w:vAlign w:val="bottom"/>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184,623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212,666</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97,600</w:t>
            </w:r>
          </w:p>
        </w:tc>
      </w:tr>
      <w:tr>
        <w:trPr>
          <w:trHeight w:val="243"/>
        </w:trPr>
        <w:tc>
          <w:tcPr>
            <w:tcW w:w="728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329,596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313,452</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Federal and other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13,854</w:t>
            </w:r>
          </w:p>
        </w:tc>
      </w:tr>
      <w:tr>
        <w:trPr>
          <w:trHeight w:val="237"/>
        </w:trPr>
        <w:tc>
          <w:tcPr>
            <w:tcW w:w="7280" w:type="dxa"/>
            <w:vAlign w:val="bottom"/>
          </w:tcPr>
          <w:p>
            <w:pPr>
              <w:ind w:left="7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1,955,115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1,827,421</w:t>
            </w:r>
          </w:p>
        </w:tc>
      </w:tr>
      <w:tr>
        <w:trPr>
          <w:trHeight w:val="27"/>
        </w:trPr>
        <w:tc>
          <w:tcPr>
            <w:tcW w:w="7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2,943,660</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336,989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339,325</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54,304</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527,878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432,395</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78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2,955,271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2,768,666</w:t>
            </w:r>
          </w:p>
        </w:tc>
      </w:tr>
      <w:tr>
        <w:trPr>
          <w:trHeight w:val="27"/>
        </w:trPr>
        <w:tc>
          <w:tcPr>
            <w:tcW w:w="7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8,776,050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8,365,771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Accumulated other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Additional paid-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Retained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comprehensive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$1 par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in 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w w:val="96"/>
              </w:rPr>
              <w:t>Treasury 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(loss) earnings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258,214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866,365</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2"/>
              </w:rPr>
              <w:t>(5,947,562)</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7,851,382</w:t>
            </w:r>
          </w:p>
        </w:tc>
        <w:tc>
          <w:tcPr>
            <w:tcW w:w="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(190,946)</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2,837,453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198,085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198,085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($0.48 per share)</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(69,921)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Arial" w:cs="Arial" w:eastAsia="Arial" w:hAnsi="Arial"/>
                <w:sz w:val="16"/>
                <w:szCs w:val="16"/>
                <w:color w:val="auto"/>
                <w:w w:val="94"/>
              </w:rPr>
              <w:t>Common stock issued for the exercise of 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(17,167)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258,315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873,034</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color w:val="auto"/>
                <w:w w:val="92"/>
              </w:rPr>
              <w:t>(5,947,562)</w:t>
            </w:r>
          </w:p>
        </w:tc>
        <w:tc>
          <w:tcPr>
            <w:tcW w:w="10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7,979,597</w:t>
            </w:r>
          </w:p>
        </w:tc>
        <w:tc>
          <w:tcPr>
            <w:tcW w:w="12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(208,113)</w:t>
            </w:r>
          </w:p>
        </w:tc>
        <w:tc>
          <w:tcPr>
            <w:tcW w:w="10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2,955,271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0"/>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Retained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8"/>
              </w:rPr>
              <w:t>comprehensive</w:t>
            </w:r>
          </w:p>
        </w:tc>
        <w:tc>
          <w:tcPr>
            <w:tcW w:w="40" w:type="dxa"/>
            <w:vAlign w:val="bottom"/>
          </w:tcPr>
          <w:p>
            <w:pPr>
              <w:spacing w:after="0"/>
              <w:rPr>
                <w:sz w:val="17"/>
                <w:szCs w:val="17"/>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Total stockholders'</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$1 par value</w:t>
            </w:r>
          </w:p>
        </w:tc>
        <w:tc>
          <w:tcPr>
            <w:tcW w:w="2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paid-in 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Treasury 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9"/>
              </w:rPr>
              <w:t>(loss) earnings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2018</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257,282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934,596</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(5,122,016)</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8,527,276</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(151,516)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4,445,622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139,959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139,959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($0.47 per share)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(69,632)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(69,632)</w:t>
            </w: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Separation of Apergy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(939,743)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32,928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(906,815)</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Common stock issued for the exercise of share-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(6,263)</w:t>
            </w: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(560,000)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(700,000)</w:t>
            </w: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(61,191)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(61,191)</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(4,922)</w:t>
            </w:r>
          </w:p>
        </w:tc>
        <w:tc>
          <w:tcPr>
            <w:tcW w:w="0" w:type="dxa"/>
            <w:vAlign w:val="bottom"/>
          </w:tcPr>
          <w:p>
            <w:pPr>
              <w:spacing w:after="0"/>
              <w:rPr>
                <w:sz w:val="1"/>
                <w:szCs w:val="1"/>
                <w:color w:val="auto"/>
              </w:rPr>
            </w:pPr>
          </w:p>
        </w:tc>
      </w:tr>
      <w:tr>
        <w:trPr>
          <w:trHeight w:val="247"/>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2018</w:t>
            </w: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257,394</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787,132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(5,682,016)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7,657,860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(179,779)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2,840,591</w:t>
            </w:r>
          </w:p>
        </w:tc>
        <w:tc>
          <w:tcPr>
            <w:tcW w:w="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1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125" w:right="259" w:bottom="1113"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 other</w:t>
            </w: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24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 stock</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Additional paid-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3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(loss) earnings</w:t>
            </w: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886,016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2"/>
              </w:rPr>
              <w:t>(5,947,562)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7,815,486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2,768,666</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303,790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303,790</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($0.96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(139,730)</w:t>
            </w:r>
          </w:p>
        </w:tc>
      </w:tr>
      <w:tr>
        <w:trPr>
          <w:trHeight w:val="220"/>
        </w:trPr>
        <w:tc>
          <w:tcPr>
            <w:tcW w:w="3240" w:type="dxa"/>
            <w:vAlign w:val="bottom"/>
          </w:tcPr>
          <w:p>
            <w:pPr>
              <w:ind w:left="20"/>
              <w:spacing w:after="0"/>
              <w:rPr>
                <w:sz w:val="20"/>
                <w:szCs w:val="20"/>
                <w:color w:val="auto"/>
              </w:rPr>
            </w:pPr>
            <w:r>
              <w:rPr>
                <w:rFonts w:ascii="Arial" w:cs="Arial" w:eastAsia="Arial" w:hAnsi="Arial"/>
                <w:sz w:val="16"/>
                <w:szCs w:val="16"/>
                <w:color w:val="auto"/>
                <w:w w:val="94"/>
              </w:rPr>
              <w:t>Common stock issued for the exercise of share-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324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(21,209)</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16,617</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34,983</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(7,846)</w:t>
            </w:r>
          </w:p>
        </w:tc>
      </w:tr>
      <w:tr>
        <w:trPr>
          <w:trHeight w:val="247"/>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258,315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873,034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2"/>
              </w:rPr>
              <w:t>(5,947,562)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7,979,597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(208,113)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2,955,271</w:t>
            </w:r>
          </w:p>
        </w:tc>
      </w:tr>
      <w:tr>
        <w:trPr>
          <w:trHeight w:val="24"/>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Additional</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Total stockholders'</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paid-in capital</w:t>
            </w: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 earnings</w:t>
            </w: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256,992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942,485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(5,077,039)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8,455,501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(194,759)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4,383,180</w:t>
            </w:r>
          </w:p>
        </w:tc>
        <w:tc>
          <w:tcPr>
            <w:tcW w:w="0" w:type="dxa"/>
            <w:vAlign w:val="bottom"/>
          </w:tcPr>
          <w:p>
            <w:pPr>
              <w:spacing w:after="0"/>
              <w:rPr>
                <w:sz w:val="1"/>
                <w:szCs w:val="1"/>
                <w:color w:val="auto"/>
              </w:rPr>
            </w:pPr>
          </w:p>
        </w:tc>
      </w:tr>
      <w:tr>
        <w:trPr>
          <w:trHeight w:val="254"/>
        </w:trPr>
        <w:tc>
          <w:tcPr>
            <w:tcW w:w="3260" w:type="dxa"/>
            <w:vAlign w:val="bottom"/>
          </w:tcPr>
          <w:p>
            <w:pPr>
              <w:ind w:left="20"/>
              <w:spacing w:after="0"/>
              <w:rPr>
                <w:sz w:val="20"/>
                <w:szCs w:val="20"/>
                <w:color w:val="auto"/>
              </w:rPr>
            </w:pPr>
            <w:r>
              <w:rPr>
                <w:rFonts w:ascii="Arial" w:cs="Arial" w:eastAsia="Arial" w:hAnsi="Arial"/>
                <w:sz w:val="16"/>
                <w:szCs w:val="16"/>
                <w:color w:val="auto"/>
              </w:rPr>
              <w:t>Adoption of ASU 2018-02</w:t>
            </w:r>
          </w:p>
        </w:tc>
        <w:tc>
          <w:tcPr>
            <w:tcW w:w="2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Cumulative catch-up adjustment related to</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Topic 606</w:t>
            </w: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271,393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271,393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($0.94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(142,322)</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Separation of Apergy</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(939,743)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(906,815)</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Common stock issued for the exercise of share-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based awards</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(21,202)</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11,147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(604,977)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(744,977)</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(5,092)</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0" w:type="dxa"/>
            <w:vAlign w:val="bottom"/>
          </w:tcPr>
          <w:p>
            <w:pPr>
              <w:spacing w:after="0"/>
              <w:rPr>
                <w:sz w:val="1"/>
                <w:szCs w:val="1"/>
                <w:color w:val="auto"/>
              </w:rPr>
            </w:pPr>
          </w:p>
        </w:tc>
      </w:tr>
      <w:tr>
        <w:trPr>
          <w:trHeight w:val="247"/>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2018</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257,394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787,132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(5,682,016)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7,657,860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(179,779)</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2,840,591</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10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125" w:right="259" w:bottom="1032"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271,393</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Loss from discontinued operations, net</w:t>
            </w: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4,472</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Loss on assets held for sale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137,928</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10,403</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(6,548)</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(108,003)</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(85,340)</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(32,336)</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64,592</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Accrued compensation and employee benefits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(51,002)</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(32,894)</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Accrued and deferred taxes, net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174,740</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(96,364)</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(68,557)</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Proceeds from sale of businesses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(13,762)</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(287,445)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(174,203)</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Cash received from Apergy, net of cash distributed</w:t>
            </w: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689,643</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(744,977)</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Change in commercial paper and notes payable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53,584</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Dividends paid to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(142,322)</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(21,202)</w:t>
            </w: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Repayment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(1,563)</w:t>
            </w: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(516,837)</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Flows from Discontinued Operations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investing activities of discontinued operations</w:t>
            </w: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(23,705)</w:t>
            </w: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9,519</w:t>
            </w: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(511,150)</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753,964</w:t>
            </w: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242,814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6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125" w:right="259" w:bottom="668"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2018, included in the Company's Annual Report on Form 10-K filed with the SEC on February 15, 2019. The year end Condensed Consolidated Balance Sheet was derived from audited financial statements. Certain amounts in the prior periods have been reclassified to conform to the current year presentation.</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9, 2018, the Company completed a pro-rata distribution of the common stock of Apergy Corporation ("Apergy") to the Company's shareholders of record as of the close of business on April 30, 2018. Apergy holds entities conducting upstream energy businesses previously included in the Energy segment. As discussed in Note 5 - Discontinued and Disposed Operations, the Apergy businesses met the criteria to be reported as discontinued operations because the spin-off is a strategic shift in business that has a major effect on the Company's operations and financial results. Therefore, the Company is reporting the historical results of Apergy, including the results of operations and cash flows as discontinued operations for all periods presented herein. Subsequent to the spin-off of Apergy, effective the second quarter of 2018, the Company is aligned into three reportable segments. See Note 18 —Segment Information for additional information regarding the updated segments, including segment results for the three and six months ended June 30, 2019 and 2018. Unless otherwise noted, the accompanying Notes to the Consolidated Financial Statements have all been revised to reflect the effect of the separation of Apergy and all prior year balances have been revised accordingly to reflect continuing operations only.</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Spin-off of Apergy Corporation</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May 9, 2018, Dover completed the distribution of Apergy to its shareholders. The transaction was completed through the pro rata distribution of 100% of the common stock of Apergy to Dover's shareholders of record as of the close of business on April 30, 2018. Each Dover shareholder received one share of Apergy common stock for every two shares of Dover common stock held as of the record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assets and liabilities transferred to Apergy as part of the separation on 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10,357</w:t>
            </w:r>
          </w:p>
        </w:tc>
      </w:tr>
      <w:tr>
        <w:trPr>
          <w:trHeight w:val="27"/>
        </w:trPr>
        <w:tc>
          <w:tcPr>
            <w:tcW w:w="9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7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462,620</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7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1,438,760</w:t>
            </w:r>
          </w:p>
        </w:tc>
      </w:tr>
      <w:tr>
        <w:trPr>
          <w:trHeight w:val="27"/>
        </w:trPr>
        <w:tc>
          <w:tcPr>
            <w:tcW w:w="9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9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1,911,737</w:t>
            </w: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9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185,354</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7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119,568</w:t>
            </w:r>
          </w:p>
        </w:tc>
      </w:tr>
      <w:tr>
        <w:trPr>
          <w:trHeight w:val="27"/>
        </w:trPr>
        <w:tc>
          <w:tcPr>
            <w:tcW w:w="9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9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304,922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9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6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distributed to Apergy Corporation</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1,606,815</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Less: Cash received from Apergy Corporation</w:t>
            </w:r>
          </w:p>
        </w:tc>
        <w:tc>
          <w:tcPr>
            <w:tcW w:w="7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700,000</w:t>
            </w:r>
          </w:p>
        </w:tc>
      </w:tr>
      <w:tr>
        <w:trPr>
          <w:trHeight w:val="27"/>
        </w:trPr>
        <w:tc>
          <w:tcPr>
            <w:tcW w:w="9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distribution to Apergy Corporation</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906,815</w:t>
            </w:r>
          </w:p>
        </w:tc>
      </w:tr>
      <w:tr>
        <w:trPr>
          <w:trHeight w:val="20"/>
        </w:trPr>
        <w:tc>
          <w:tcPr>
            <w:tcW w:w="9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spin-off from the company, Apergy issued and sold $300.0 million in aggregate principal amount of its 6.375% senior notes due May 2026 in a private offering exempt from the registration requirements of the Securities Act of 1933, as amended, and incurred $415.0 million in borrowings under its new senior secured term loan facility to fund a one-time cash payment of $700.0 million to Dover. Dover received net cash of $689.6 million upon separation, which reflects $10.4 million of cash held by Apergy on the distribution date and retained by it in connection with its separation from Dover. Dover utilized the proceeds from Apergy as the primary source of funding for $1 billion of share repurchases started in December 2017 and completed in December 2018.</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within the net assets distributed to Apergy is approximately $33 million of accumulated other comprehensive earnings attributable to Apergy, relating primarily to foreign currency translation gains, offset by unrecognized losses on pension obligations.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historical results of Apergy, including the results of operations and cash flows have been reclassified to discontinued operations for all periods presented herein. See Note 5 — Disposed and Discontinued Operations. Pursuant to the separation of Apergy from Dover, and the related separation and distribution agreements, any liabilities due from Dover to Apergy are not significant.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Revenue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Effective January 1, 2018, the Company adopted Accounting Standard Codification ("ASC") Topic 606, Revenue from Contracts with Customers ("Topic 606” or “ASC 606”), using the modified retrospective method applied to those contracts which were not completed as of January 1, 2018.</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Topic 606, a contract with a customer is an agreement which both parties have approved, that creates enforceable rights and obligations, has commercial substance and where payment terms are identified and collectability is probable. Once the Company has entered a contract, it is evaluated to identify performance obligations. For each performance obligation, revenue is recognized as control of promised goods or services transfers to the customer in an amount that reflects the consideration the Company expects to receive in exchange for those goods or services. The amount of revenue recognized takes into account variable consideration, such as discounts and volume rebates.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generally relates to the sale of services or engineered to order equipment that have no alternative use and in which the contract specifies the Company has a right to payment for its costs, plus a reasonable margin.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end markets, segments and geographic location, as it best depicts the nature and amount of the Company’s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end market and segment:</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32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Printing &amp; Identification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299,834</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582,356</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Industrials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403,155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822,793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792,259</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Engineered Systems segment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702,989</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1,374,615</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Fueling &amp; Transport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390,586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363,355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763,636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682,659</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Pumps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173,306</w:t>
            </w: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354,052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335,615</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Process Solutions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157,005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314,969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303,490</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Fluids segment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693,666</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1,321,764</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313,578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330,232</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591,176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608,887</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71,534</w:t>
            </w: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131,114</w:t>
            </w:r>
          </w:p>
        </w:tc>
      </w:tr>
      <w:tr>
        <w:trPr>
          <w:trHeight w:val="205"/>
        </w:trPr>
        <w:tc>
          <w:tcPr>
            <w:tcW w:w="4120" w:type="dxa"/>
            <w:vAlign w:val="bottom"/>
          </w:tcPr>
          <w:p>
            <w:pPr>
              <w:ind w:left="440"/>
              <w:spacing w:after="0" w:line="205" w:lineRule="exact"/>
              <w:rPr>
                <w:sz w:val="20"/>
                <w:szCs w:val="20"/>
                <w:color w:val="auto"/>
              </w:rPr>
            </w:pPr>
            <w:r>
              <w:rPr>
                <w:rFonts w:ascii="Arial" w:cs="Arial" w:eastAsia="Arial" w:hAnsi="Arial"/>
                <w:sz w:val="18"/>
                <w:szCs w:val="18"/>
                <w:b w:val="1"/>
                <w:bCs w:val="1"/>
                <w:color w:val="auto"/>
              </w:rPr>
              <w:t>Total Refrigeration &amp; Food Equipment</w:t>
            </w:r>
          </w:p>
        </w:tc>
        <w:tc>
          <w:tcPr>
            <w:tcW w:w="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4"/>
        </w:trPr>
        <w:tc>
          <w:tcPr>
            <w:tcW w:w="4120" w:type="dxa"/>
            <w:vAlign w:val="bottom"/>
          </w:tcPr>
          <w:p>
            <w:pPr>
              <w:ind w:left="440"/>
              <w:spacing w:after="0"/>
              <w:rPr>
                <w:sz w:val="20"/>
                <w:szCs w:val="20"/>
                <w:color w:val="auto"/>
              </w:rPr>
            </w:pPr>
            <w:r>
              <w:rPr>
                <w:rFonts w:ascii="Arial" w:cs="Arial" w:eastAsia="Arial" w:hAnsi="Arial"/>
                <w:sz w:val="18"/>
                <w:szCs w:val="18"/>
                <w:b w:val="1"/>
                <w:bCs w:val="1"/>
                <w:color w:val="auto"/>
              </w:rPr>
              <w:t>segment</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385,474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401,766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720,117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740,001</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4"/>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Consolidated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1,810,706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1,798,094</w:t>
            </w:r>
          </w:p>
        </w:tc>
        <w:tc>
          <w:tcPr>
            <w:tcW w:w="1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3,535,463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3,435,765</w:t>
            </w:r>
          </w:p>
        </w:tc>
      </w:tr>
      <w:tr>
        <w:trPr>
          <w:trHeight w:val="21"/>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Finder Pompe S.r.l was sold on April 2,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30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1,880,798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1,785,209</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807,919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789,412</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413,635</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316,334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301,341</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146,168</w:t>
            </w:r>
          </w:p>
        </w:tc>
      </w:tr>
      <w:tr>
        <w:trPr>
          <w:trHeight w:val="264"/>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1,810,706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1,798,094</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3,535,463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3,435,765</w:t>
            </w:r>
          </w:p>
        </w:tc>
      </w:tr>
      <w:tr>
        <w:trPr>
          <w:trHeight w:val="21"/>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we estimated that $79.1 million in revenue is expected to be recognized in the future related to performance obligations that are unsatisfied (or partially unsatisfied) at the end of the reporting period. We expect to recognize approximately 64% of our unsatisfied (or partially unsatisfied) performance obligations as revenue through 2020, with the remaining balance to be recognized in 2021 and thereafter.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At Adoption</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36,461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48,268</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r>
      <w:tr>
        <w:trPr>
          <w:trHeight w:val="27"/>
        </w:trPr>
        <w:tc>
          <w:tcPr>
            <w:tcW w:w="5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the six months ended June 30, 2019 and 2018 that was included in the contract liabilities at the beginning of the period amounted to $27,701 and $32,553,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2019, the Company acquired two businesses in separate transactions for total consideration of $215,304, net of cash acquired. These businesses were acquired to complement and expand upon existing operations within the Fluids segment. The goodwill recorded as a result of these acquisitions represents the economic benefits expected to be derived from product line expansions and operational synergies. The goodwill is deductible for U.S. income tax purposes for these acquisitions.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7, 2019, the Company acquired the assets of the All-Flo Pump Company, Limited business ("All-Flo"), a growing manufacturer of specialty pumps for $39,954. The All-Flo acquisition strengthens Dover's position in the growing market for air-operated double-diaphragm pumps within the Pumps end market of the Fluids segment.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2019, the Company acquired the assets of Belanger, Inc. ("Belanger"), a leading full-line car wash equipment manufacturer for $175,350, net of cash acquired. The Belanger acquisition strengthens Dover's position in the vehicle wash business within the Fueling &amp; Transport end market of the Fluids segment.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their estimated fair values at acquisition date: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 net of cash acquired</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91,980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and deferred charges</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215,304</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9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Amount allocated</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Customer intangibles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68,500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9 - 13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Trademarks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7,480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920" w:type="dxa"/>
            <w:vAlign w:val="bottom"/>
            <w:tcBorders>
              <w:bottom w:val="single" w:sz="8" w:color="CCEEFF"/>
            </w:tcBorders>
            <w:gridSpan w:val="2"/>
            <w:shd w:val="clear" w:color="auto" w:fill="CCEEFF"/>
          </w:tcPr>
          <w:p>
            <w:pPr>
              <w:ind w:left="8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211,015</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2018, the Company acquired two businesses in separate transactions for total consideration of $68,557, net of cash acquired. These businesses were acquired to complement and expand upon existing operations within the Fluids and Refrigeration &amp; Food Equipment segments. The goodwill recorded as a result of these acquisitions reflects the benefits expected to be derived from product line expansions and operational synergies. The goodwill is non-deductible for U.S. federal income tax purposes for these acquisitions.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2, 2018, the Company acquired 100% of the voting stock of Ettlinger Group ("Ettlinger"), within the Fluids segment for $53,218, net of cash acquired. In connection with this acquisition, the Company recorded goodwill of $36,070 and intangible assets of $19,730, primarily related to customer intangibles. The intangible assets are being amortized over 8 to 15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12, 2018, the Company acquired 100% of the voting stock of Rosario Handel B.V. ("Rosario"), within the Refrigeration &amp; Food Equipment segment for total consideration of $15,339, net of cash acquired. In connection with this acquisition, the Company recorded goodwill of $10,402 and a customer intangible asset of $4,149. The customer intangible asset is being amortized over 10 years.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unaudited pro forma information illustrates the impact of 2019 and 2018 acquisitions on the Company’s revenue and earnings from operations for the six months ended June 30, 2019 and 2018, respectively.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information assumes that the 2019 and 2018 acquisitions had taken place at the beginning of the prior year, 2018 and 2017, respectively. Unaudited pro forma earnings are adjusted to reflect the comparable impact of additional depreciation and amortization expense, net of tax, resulting from the fair value measurement of intangible and tangible assets relating to the year of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effects for the three and six months ended June 30, 2019 and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1,810,706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3,435,765</w:t>
            </w:r>
          </w:p>
        </w:tc>
        <w:tc>
          <w:tcPr>
            <w:tcW w:w="0" w:type="dxa"/>
            <w:vAlign w:val="bottom"/>
          </w:tcPr>
          <w:p>
            <w:pPr>
              <w:spacing w:after="0"/>
              <w:rPr>
                <w:sz w:val="1"/>
                <w:szCs w:val="1"/>
                <w:color w:val="auto"/>
              </w:rPr>
            </w:pPr>
          </w:p>
        </w:tc>
      </w:tr>
      <w:tr>
        <w:trPr>
          <w:trHeight w:val="243"/>
        </w:trPr>
        <w:tc>
          <w:tcPr>
            <w:tcW w:w="4500" w:type="dxa"/>
            <w:vAlign w:val="bottom"/>
          </w:tcPr>
          <w:p>
            <w:pPr>
              <w:ind w:left="460"/>
              <w:spacing w:after="0"/>
              <w:rPr>
                <w:sz w:val="20"/>
                <w:szCs w:val="20"/>
                <w:color w:val="auto"/>
              </w:rPr>
            </w:pPr>
            <w:r>
              <w:rPr>
                <w:rFonts w:ascii="Arial" w:cs="Arial" w:eastAsia="Arial" w:hAnsi="Arial"/>
                <w:sz w:val="18"/>
                <w:szCs w:val="18"/>
                <w:color w:val="auto"/>
              </w:rPr>
              <w:t>Pro forma</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1,811,980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1,814,828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3,543,691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3,469,366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198,085</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166,456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275,865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 forma</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281,482</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Basic earnings per share from continuing operations:</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4500" w:type="dxa"/>
            <w:vAlign w:val="bottom"/>
          </w:tcPr>
          <w:p>
            <w:pPr>
              <w:ind w:left="460"/>
              <w:spacing w:after="0"/>
              <w:rPr>
                <w:sz w:val="20"/>
                <w:szCs w:val="20"/>
                <w:color w:val="auto"/>
              </w:rPr>
            </w:pPr>
            <w:r>
              <w:rPr>
                <w:rFonts w:ascii="Arial" w:cs="Arial" w:eastAsia="Arial" w:hAnsi="Arial"/>
                <w:sz w:val="18"/>
                <w:szCs w:val="18"/>
                <w:color w:val="auto"/>
              </w:rPr>
              <w:t>Pro forma</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 forma</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Disposed and Discontinued Operations</w:t>
      </w:r>
    </w:p>
    <w:p>
      <w:pPr>
        <w:spacing w:after="0" w:line="2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Disposed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2019, the Company entered into a definitive agreement to sell Finder Pompe S.r.l ("Finder"), a wholly owned subsidiary, to Gruppo Aturia S.p.A (“Aturia”). As of March 31, 2019, Finder met the criteria to be classified as held for sale. The Company classified Finder's assets and liabilities separately on the consolidated balance sheet as of March 31, 2019.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total consideration from the sale, net of selling costs, the Company recorded a loss on the assets held for sale of $46,946 in the Condensed Consolidated Statements of Earnings during the three months ended March 31, 2019. The loss was comprised of an impairment on assets held for sale of $21,607 and $25,339 of foreign currency translation losses reclassified out of accumulated other comprehensive losses.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 2019, Dover completed the sale of Finder to Aturia, which generated total cash proceeds of $24,218, of which $2,245 was received on March 29, 2019. The Finder business is included in the results of the Fluids segment. The sale does not represent a strategic shift that will have a major effect on operations and financial results and, therefore, did not qualify for presentation as a discontinued operation.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dispositions during the six months ended June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as of and for the three and six months ending June 30, 2019.</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2018, the Apergy businesses, as discussed in Note 2, met the criteria to be reported as discontinued operations because the spin-off was a strategic shift in business that has a major effect on the Company's operations and financial results. Therefore, the results of discontinued operations for the three and six months ended June 30, 2018 include the historical results of Apergy prior to its distribution on May 9, 2018. The three and six months ended June 30, 2018 included costs incurred by Dover to complete the spin-off of Apergy amounting to $34,638 and $46,384, respectively, reflected in selling, general and administrative expenses in discontinued operations. See Note 2 — Spin-off of Apergy Corporation for further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4"/>
          </w:tcPr>
          <w:p>
            <w:pPr>
              <w:spacing w:after="0"/>
              <w:rPr>
                <w:sz w:val="20"/>
                <w:szCs w:val="20"/>
                <w:color w:val="auto"/>
              </w:rPr>
            </w:pPr>
            <w:r>
              <w:rPr>
                <w:rFonts w:ascii="Arial" w:cs="Arial" w:eastAsia="Arial" w:hAnsi="Arial"/>
                <w:sz w:val="18"/>
                <w:szCs w:val="18"/>
                <w:color w:val="auto"/>
              </w:rPr>
              <w:t>Summarized results of the Company's discontinued operations were as follows: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Three Months Ended June</w:t>
            </w:r>
          </w:p>
        </w:tc>
        <w:tc>
          <w:tcPr>
            <w:tcW w:w="2260" w:type="dxa"/>
            <w:vAlign w:val="bottom"/>
            <w:gridSpan w:val="5"/>
          </w:tcPr>
          <w:p>
            <w:pPr>
              <w:ind w:left="8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w w:val="99"/>
              </w:rPr>
              <w:t>30, 2018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Cost of goods and services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254,205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144,114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(loss) earnings</w:t>
            </w: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Other (income) expense, net</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 before taxes</w:t>
            </w: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2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gridSpan w:val="2"/>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486,164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174,196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154,878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300,469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Subtotal</w:t>
            </w:r>
          </w:p>
        </w:tc>
        <w:tc>
          <w:tcPr>
            <w:tcW w:w="4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960,829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reserves</w:t>
            </w:r>
          </w:p>
        </w:tc>
        <w:tc>
          <w:tcPr>
            <w:tcW w:w="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(111,563)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849,266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82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gridSpan w:val="3"/>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7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513,634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529,982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Machinery, equipment and other</w:t>
            </w:r>
          </w:p>
        </w:tc>
        <w:tc>
          <w:tcPr>
            <w:tcW w:w="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1,615,924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Property, plant and equipment, gross</w:t>
            </w:r>
          </w:p>
        </w:tc>
        <w:tc>
          <w:tcPr>
            <w:tcW w:w="4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2,179,605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2,138,950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(1,364,602)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(1,332,453)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4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815,003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806,497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Depreciation expense totaled $33,031 and $32,947 for the three months ended June 30, 2019 and 2018, respectively. For the six months ended June 30, 2019 and 2018, depreciation expense was $65,219 and $65,111,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Leases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ASC Topic 842 - Leases as of January 1, 2019, using the transition method per ASU No. 2018-11 issued on July 2018 wherein entities were allowed to initially apply the new leases standard at adoption date and recognize a cumulative-effect adjustment to the opening balance of retained earnings in the period of adoption. Accordingly, all periods prior to January 1, 2019 were presented in accordance with the previous ASC Topic 840 - Leases, and no retrospective adjustments were made to the comparative periods presented. Adoption of ASC Topic 842 resulted in an increase to total assets and liabilities due to the recording of operating lease right-of-use assets ("ROU") and operating lease liabilities of approximately $163 million, as of January 1, 2019. Finance leases were not impacted by the adoption of ASC Topic 842, as finance lease liabilities and the corresponding ROU assets were already recorded in the balance sheet under the previous guidance, ASC Topic 840. The adoption did not materially impact the Company’s Consolidated Statements of Earnings or Cash Flows.</w:t>
      </w:r>
    </w:p>
    <w:p>
      <w:pPr>
        <w:sectPr>
          <w:pgSz w:w="11900" w:h="16838" w:orient="portrait"/>
          <w:cols w:equalWidth="0" w:num="1">
            <w:col w:w="11420"/>
          </w:cols>
          <w:pgMar w:left="240" w:top="130" w:right="239" w:bottom="10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30" w:right="239" w:bottom="1086"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has operating and finance leases for corporate offices, manufacturing plants, research and development facilities, shared services facilities, vehicle fleets and certain office and manufacturing equipment. Leases with an initial term of 12 months or less are not recorded in the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determines if an arrangement is a lease at inception of a contract. Operating lease ROU assets are included in other assets and deferred charges and operating lease liabilities are included in other accrued expenses and other liabilities in the Consolidated Balance Sheet. Finance lease ROU assets are included in property and equipment, and the related lease liabilities are included in other accrued expenses and other liabilities in the Consolidated Balance Sheet.</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liabilities are recognized at commencement date based on the net present value of fixed lease payments over the lease term. The Company's lease term include options to extend or terminate the lease when it is reasonably certain that we will exercise that option. ROU assets also include any advance lease payments made and exclude lease incentives. As most of the Company's operating leases do not provide an implicit rate, the Company uses its incremental borrowing rate based on the information available at commencement date in determining the present value of lease payments. Finance lease agreements generally include an interest rate that is used to determine the present value of future lease payments. Operating fixed lease expense and finance lease depreciation expense are recognized on a straight-line basis over the lease term.</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The components of lease costs were as follows: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w w:val="97"/>
              </w:rPr>
              <w:t>Three Months Ended June</w:t>
            </w:r>
          </w:p>
        </w:tc>
        <w:tc>
          <w:tcPr>
            <w:tcW w:w="23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b w:val="1"/>
                <w:bCs w:val="1"/>
                <w:color w:val="auto"/>
              </w:rPr>
              <w:t>30, 2019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Fixed</w:t>
            </w:r>
          </w:p>
        </w:tc>
        <w:tc>
          <w:tcPr>
            <w:tcW w:w="480" w:type="dxa"/>
            <w:vAlign w:val="bottom"/>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12,719</w:t>
            </w:r>
          </w:p>
        </w:tc>
        <w:tc>
          <w:tcPr>
            <w:tcW w:w="100" w:type="dxa"/>
            <w:vAlign w:val="bottom"/>
          </w:tcPr>
          <w:p>
            <w:pPr>
              <w:spacing w:after="0"/>
              <w:rPr>
                <w:sz w:val="21"/>
                <w:szCs w:val="21"/>
                <w:color w:val="auto"/>
              </w:rPr>
            </w:pPr>
          </w:p>
        </w:tc>
        <w:tc>
          <w:tcPr>
            <w:tcW w:w="560" w:type="dxa"/>
            <w:vAlign w:val="bottom"/>
            <w:gridSpan w:val="2"/>
          </w:tcPr>
          <w:p>
            <w:pPr>
              <w:jc w:val="right"/>
              <w:ind w:right="3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24,963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Variable</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Short-term</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 Finance lease cost and sublease income were immaterial.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0"/>
        </w:trPr>
        <w:tc>
          <w:tcPr>
            <w:tcW w:w="6820" w:type="dxa"/>
            <w:vAlign w:val="bottom"/>
            <w:gridSpan w:val="2"/>
          </w:tcPr>
          <w:p>
            <w:pPr>
              <w:spacing w:after="0"/>
              <w:rPr>
                <w:sz w:val="20"/>
                <w:szCs w:val="20"/>
                <w:color w:val="auto"/>
              </w:rPr>
            </w:pPr>
            <w:r>
              <w:rPr>
                <w:rFonts w:ascii="Arial" w:cs="Arial" w:eastAsia="Arial" w:hAnsi="Arial"/>
                <w:sz w:val="18"/>
                <w:szCs w:val="18"/>
                <w:color w:val="auto"/>
              </w:rPr>
              <w:t>Supplemental cash flow information were as follows: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Three Months Ended June</w:t>
            </w:r>
          </w:p>
        </w:tc>
        <w:tc>
          <w:tcPr>
            <w:tcW w:w="80" w:type="dxa"/>
            <w:vAlign w:val="bottom"/>
          </w:tcPr>
          <w:p>
            <w:pPr>
              <w:spacing w:after="0"/>
              <w:rPr>
                <w:sz w:val="21"/>
                <w:szCs w:val="21"/>
                <w:color w:val="auto"/>
              </w:rPr>
            </w:pPr>
          </w:p>
        </w:tc>
        <w:tc>
          <w:tcPr>
            <w:tcW w:w="2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jc w:val="right"/>
              <w:ind w:right="610"/>
              <w:spacing w:after="0"/>
              <w:rPr>
                <w:sz w:val="20"/>
                <w:szCs w:val="20"/>
                <w:color w:val="auto"/>
              </w:rPr>
            </w:pPr>
            <w:r>
              <w:rPr>
                <w:rFonts w:ascii="Arial" w:cs="Arial" w:eastAsia="Arial" w:hAnsi="Arial"/>
                <w:sz w:val="18"/>
                <w:szCs w:val="18"/>
                <w:b w:val="1"/>
                <w:bCs w:val="1"/>
                <w:color w:val="auto"/>
              </w:rPr>
              <w:t>30, 2019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12,987</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25,401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13,629</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8,556</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9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43"/>
        </w:trPr>
        <w:tc>
          <w:tcPr>
            <w:tcW w:w="9180" w:type="dxa"/>
            <w:vAlign w:val="bottom"/>
          </w:tcPr>
          <w:p>
            <w:pPr>
              <w:ind w:left="120"/>
              <w:spacing w:after="0"/>
              <w:rPr>
                <w:sz w:val="20"/>
                <w:szCs w:val="20"/>
                <w:color w:val="auto"/>
              </w:rPr>
            </w:pPr>
            <w:r>
              <w:rPr>
                <w:rFonts w:ascii="Arial" w:cs="Arial" w:eastAsia="Arial" w:hAnsi="Arial"/>
                <w:sz w:val="18"/>
                <w:szCs w:val="18"/>
                <w:color w:val="auto"/>
              </w:rPr>
              <w:t>Right of use assets: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 and deferred charges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151,833</w:t>
            </w:r>
          </w:p>
        </w:tc>
      </w:tr>
      <w:tr>
        <w:trPr>
          <w:trHeight w:val="196"/>
        </w:trPr>
        <w:tc>
          <w:tcPr>
            <w:tcW w:w="9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50"/>
        </w:trPr>
        <w:tc>
          <w:tcPr>
            <w:tcW w:w="9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tcPr>
          <w:p>
            <w:pPr>
              <w:ind w:left="26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42,584</w:t>
            </w:r>
          </w:p>
        </w:tc>
      </w:tr>
      <w:tr>
        <w:trPr>
          <w:trHeight w:val="27"/>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116,530</w:t>
            </w:r>
          </w:p>
        </w:tc>
      </w:tr>
      <w:tr>
        <w:trPr>
          <w:trHeight w:val="264"/>
        </w:trPr>
        <w:tc>
          <w:tcPr>
            <w:tcW w:w="9180" w:type="dxa"/>
            <w:vAlign w:val="bottom"/>
          </w:tcPr>
          <w:p>
            <w:pPr>
              <w:ind w:left="12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159,114</w:t>
            </w: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9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 of 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70"/>
        </w:trPr>
        <w:tc>
          <w:tcPr>
            <w:tcW w:w="9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w:t>
            </w:r>
          </w:p>
        </w:tc>
      </w:tr>
      <w:tr>
        <w:trPr>
          <w:trHeight w:val="196"/>
        </w:trPr>
        <w:tc>
          <w:tcPr>
            <w:tcW w:w="9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43"/>
        </w:trPr>
        <w:tc>
          <w:tcPr>
            <w:tcW w:w="918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accrued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43"/>
        </w:trPr>
        <w:tc>
          <w:tcPr>
            <w:tcW w:w="918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8,374</w:t>
            </w:r>
          </w:p>
        </w:tc>
      </w:tr>
      <w:tr>
        <w:trPr>
          <w:trHeight w:val="27"/>
        </w:trPr>
        <w:tc>
          <w:tcPr>
            <w:tcW w:w="9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9"/>
        </w:trPr>
        <w:tc>
          <w:tcPr>
            <w:tcW w:w="9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financing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858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Finance lease assets are recorded net of accumulated depreciation of $3,870.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580" w:type="dxa"/>
            <w:vAlign w:val="bottom"/>
          </w:tcPr>
          <w:p>
            <w:pPr>
              <w:spacing w:after="0"/>
              <w:rPr>
                <w:sz w:val="20"/>
                <w:szCs w:val="20"/>
                <w:color w:val="auto"/>
              </w:rPr>
            </w:pPr>
            <w:r>
              <w:rPr>
                <w:rFonts w:ascii="Arial" w:cs="Arial" w:eastAsia="Arial" w:hAnsi="Arial"/>
                <w:sz w:val="18"/>
                <w:szCs w:val="18"/>
                <w:color w:val="auto"/>
                <w:w w:val="99"/>
              </w:rPr>
              <w:t>The aggregate future lease payments for operating and finance leases as of June 30, 2019 were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Operating</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(excluding the six months ending June 30, 2019)</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24,405</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40,624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22,311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43,060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(16,630)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159,114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aggregate future lease payments for operating and capital leases as of December 31, 2018 were as follows: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Operating</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Capital</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194,873</w:t>
            </w:r>
          </w:p>
        </w:tc>
        <w:tc>
          <w:tcPr>
            <w:tcW w:w="6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Average lease terms and discount rates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gridSpan w:val="2"/>
            <w:vMerge w:val="restart"/>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9. Goodwill and Other Intangible Assets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gridSpan w:val="9"/>
          </w:tcPr>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Refrigeration &amp;</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Engineered Systems</w:t>
            </w:r>
          </w:p>
        </w:tc>
        <w:tc>
          <w:tcPr>
            <w:tcW w:w="34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Fluids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Food Equipment</w:t>
            </w:r>
          </w:p>
        </w:tc>
        <w:tc>
          <w:tcPr>
            <w:tcW w:w="12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3,677,328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119,035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Disposition of business</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3,795,588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2019, the Company recorded additions of $119,035 to goodwill as a result of the acquisitions with the Fluids segment discussed in Note 4 — Acquisitions. During the six months ended June 30, 2019, the Company disposed of $4,739 of the Fluids segment goodwill as a result of the sale of a business as discussed in Note 5 — Disposed and Discontinued Operations.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30, 2019</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December 31, 2018</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80" w:type="dxa"/>
            <w:vAlign w:val="bottom"/>
          </w:tcPr>
          <w:p>
            <w:pPr>
              <w:spacing w:after="0"/>
              <w:rPr>
                <w:sz w:val="18"/>
                <w:szCs w:val="18"/>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Gross Carrying</w:t>
            </w:r>
          </w:p>
        </w:tc>
        <w:tc>
          <w:tcPr>
            <w:tcW w:w="140" w:type="dxa"/>
            <w:vAlign w:val="bottom"/>
          </w:tcPr>
          <w:p>
            <w:pPr>
              <w:spacing w:after="0"/>
              <w:rPr>
                <w:sz w:val="18"/>
                <w:szCs w:val="18"/>
                <w:color w:val="auto"/>
              </w:rPr>
            </w:pP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5"/>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Net Carrying</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Gross 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32"/>
        </w:trPr>
        <w:tc>
          <w:tcPr>
            <w:tcW w:w="288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line="20" w:lineRule="exact"/>
              <w:rPr>
                <w:sz w:val="1"/>
                <w:szCs w:val="1"/>
                <w:color w:val="auto"/>
              </w:rPr>
            </w:pPr>
          </w:p>
        </w:tc>
      </w:tr>
      <w:tr>
        <w:trPr>
          <w:trHeight w:val="230"/>
        </w:trPr>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Amortization</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Customer intangibles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1,395,742</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750,437</w:t>
            </w:r>
          </w:p>
        </w:tc>
        <w:tc>
          <w:tcPr>
            <w:tcW w:w="0" w:type="dxa"/>
            <w:vAlign w:val="bottom"/>
          </w:tcPr>
          <w:p>
            <w:pPr>
              <w:spacing w:after="0"/>
              <w:rPr>
                <w:sz w:val="1"/>
                <w:szCs w:val="1"/>
                <w:color w:val="auto"/>
              </w:rPr>
            </w:pPr>
          </w:p>
        </w:tc>
      </w:tr>
      <w:tr>
        <w:trPr>
          <w:trHeight w:val="243"/>
        </w:trPr>
        <w:tc>
          <w:tcPr>
            <w:tcW w:w="288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218,866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142,469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43"/>
        </w:trPr>
        <w:tc>
          <w:tcPr>
            <w:tcW w:w="2880" w:type="dxa"/>
            <w:vAlign w:val="bottom"/>
          </w:tcPr>
          <w:p>
            <w:pPr>
              <w:ind w:left="460"/>
              <w:spacing w:after="0"/>
              <w:rPr>
                <w:sz w:val="20"/>
                <w:szCs w:val="20"/>
                <w:color w:val="auto"/>
              </w:rPr>
            </w:pPr>
            <w:r>
              <w:rPr>
                <w:rFonts w:ascii="Arial" w:cs="Arial" w:eastAsia="Arial" w:hAnsi="Arial"/>
                <w:sz w:val="18"/>
                <w:szCs w:val="18"/>
                <w:color w:val="auto"/>
              </w:rPr>
              <w:t>Unpatented technologies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Distributor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45,027</w:t>
            </w:r>
          </w:p>
        </w:tc>
        <w:tc>
          <w:tcPr>
            <w:tcW w:w="0" w:type="dxa"/>
            <w:vAlign w:val="bottom"/>
          </w:tcPr>
          <w:p>
            <w:pPr>
              <w:spacing w:after="0"/>
              <w:rPr>
                <w:sz w:val="1"/>
                <w:szCs w:val="1"/>
                <w:color w:val="auto"/>
              </w:rPr>
            </w:pPr>
          </w:p>
        </w:tc>
      </w:tr>
      <w:tr>
        <w:trPr>
          <w:trHeight w:val="243"/>
        </w:trPr>
        <w:tc>
          <w:tcPr>
            <w:tcW w:w="2880" w:type="dxa"/>
            <w:vAlign w:val="bottom"/>
          </w:tcPr>
          <w:p>
            <w:pPr>
              <w:ind w:left="460"/>
              <w:spacing w:after="0"/>
              <w:rPr>
                <w:sz w:val="20"/>
                <w:szCs w:val="20"/>
                <w:color w:val="auto"/>
              </w:rPr>
            </w:pPr>
            <w:r>
              <w:rPr>
                <w:rFonts w:ascii="Arial" w:cs="Arial" w:eastAsia="Arial" w:hAnsi="Arial"/>
                <w:sz w:val="18"/>
                <w:szCs w:val="18"/>
                <w:color w:val="auto"/>
              </w:rPr>
              <w:t>Drawings &amp; manuals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2,086,149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1,053,490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1,032,659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2,046,063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1,008,475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1,037,588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96,668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2,142,731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1,134,256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Amortization expense was $34,738 and $36,356, respectively, including acquisition-related intangible amortization of $34,219 and $35,945 for the three months ended June 30, 2019 and 2018, respectively. For the six months ended June 30, 2019 and 2018, amortization expense was $70,288 and $72,817, respectively, including acquisition-related intangible amortization of $69,374 and $71,834,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Restructuring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restructuring charges by segment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4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Systems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1,860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Fluids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3,497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5,548</w:t>
            </w:r>
          </w:p>
        </w:tc>
      </w:tr>
      <w:tr>
        <w:trPr>
          <w:trHeight w:val="27"/>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2,544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4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8,135</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These amounts are classified in the Condensed Consolidated Statements of Earnings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5,943</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6,312</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7,823</w:t>
            </w:r>
          </w:p>
        </w:tc>
      </w:tr>
      <w:tr>
        <w:trPr>
          <w:trHeight w:val="27"/>
        </w:trPr>
        <w:tc>
          <w:tcPr>
            <w:tcW w:w="47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restructuring expenses of $5,738 and $8,674 incurred during the three and six months ended June 30, 2019, respectively, were primarily related to two significant rightsizing restructuring programs initiated in 2018 comprised principally of broad-based selling, general and administrative expense reduction and footprint consolidation initiatives designed to increase operating margin, enhance operations and position the Company for sustained growth and investment.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Company expects to incur charges of approximately $6 million related to the selling, general and administrative expense reduction initiatives, $4 million of which was incurred during the six months ended June 30, 2019 and $2 million of which the Company expects to incur during the remainder of 2019. In 2019 and 2020, the Company expects to incur total restructuring charges of approximately $10 million related to footprint consolidation initiatives, $2 million of which was incurred during the six months ended June 30, 2019 and $8 million of which the Company expects to incur in the second half of 2019 through 2020. Additional programs, beyond the scope of the announced programs, are expected to be implemented during 2019 with related restructuring charges.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$5,738 of restructuring charges incurred during the second quarter of 2019 primarily included the following items:</w:t>
      </w:r>
    </w:p>
    <w:p>
      <w:pPr>
        <w:spacing w:after="0" w:line="23" w:lineRule="exact"/>
        <w:rPr>
          <w:sz w:val="20"/>
          <w:szCs w:val="20"/>
          <w:color w:val="auto"/>
        </w:rPr>
      </w:pPr>
    </w:p>
    <w:p>
      <w:pPr>
        <w:ind w:left="34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Engineered Systems segment recorded $2,508 of restructuring charges related to programs focused on headcount reductions and facility restructuring costs.</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Fluids segment recorded $2,277 of restructuring charges principally related to headcount reductions.</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Refrigeration and Food Equipment segment recorded $227 of restructuring expense primarily due to headcount reductions and facility restructuring costs.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recorded $726 of restructuring charges primarily related to headcount reductions and asset write-downs.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3"/>
                <w:szCs w:val="23"/>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Exit</w:t>
            </w:r>
          </w:p>
        </w:tc>
        <w:tc>
          <w:tcPr>
            <w:tcW w:w="300" w:type="dxa"/>
            <w:vAlign w:val="bottom"/>
          </w:tcPr>
          <w:p>
            <w:pPr>
              <w:spacing w:after="0"/>
              <w:rPr>
                <w:sz w:val="23"/>
                <w:szCs w:val="23"/>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6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3,880</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88"/>
              </w:rPr>
              <w:t>2,944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8,674</w:t>
            </w:r>
          </w:p>
        </w:tc>
      </w:tr>
      <w:tr>
        <w:trPr>
          <w:trHeight w:val="27"/>
        </w:trPr>
        <w:tc>
          <w:tcPr>
            <w:tcW w:w="6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4"/>
              </w:rPr>
              <w:t>(1,288)</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(18,271)</w:t>
            </w:r>
          </w:p>
        </w:tc>
      </w:tr>
      <w:tr>
        <w:trPr>
          <w:trHeight w:val="270"/>
        </w:trPr>
        <w:tc>
          <w:tcPr>
            <w:tcW w:w="682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(2,361) </w:t>
            </w:r>
            <w:r>
              <w:rPr>
                <w:rFonts w:ascii="Arial" w:cs="Arial" w:eastAsia="Arial" w:hAnsi="Arial"/>
                <w:sz w:val="23"/>
                <w:szCs w:val="23"/>
                <w:color w:val="auto"/>
                <w:vertAlign w:val="subscript"/>
              </w:rPr>
              <w:t>(1)</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(3,006)</w:t>
            </w:r>
          </w:p>
        </w:tc>
      </w:tr>
      <w:tr>
        <w:trPr>
          <w:trHeight w:val="28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3,175</w:t>
            </w: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170"/>
        <w:spacing w:after="0" w:line="223" w:lineRule="auto"/>
        <w:tabs>
          <w:tab w:leader="none" w:pos="342"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Other activity in exit reserves primarily represents the non-cash write-off of certain long-lived assets and inventory in connection with certain facility closures and product exits.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11. Borrowings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740" w:type="dxa"/>
            <w:vAlign w:val="bottom"/>
            <w:gridSpan w:val="4"/>
          </w:tcPr>
          <w:p>
            <w:pPr>
              <w:spacing w:after="0"/>
              <w:rPr>
                <w:sz w:val="20"/>
                <w:szCs w:val="20"/>
                <w:color w:val="auto"/>
              </w:rPr>
            </w:pPr>
            <w:r>
              <w:rPr>
                <w:rFonts w:ascii="Arial" w:cs="Arial" w:eastAsia="Arial" w:hAnsi="Arial"/>
                <w:sz w:val="18"/>
                <w:szCs w:val="18"/>
                <w:color w:val="auto"/>
              </w:rPr>
              <w:t>Borrowings consisted of the following:</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2019</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Short-term</w:t>
            </w: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220,318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Notes payable</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220,318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2019</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Long-term</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2.125% 7-year notes due December 1, 2020 (euro-denominated)</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4.30%</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10-year notes due March 1, 2021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449,385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3.150% 10-year notes due November 15, 2025</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1.25%</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673,448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gridSpan w:val="2"/>
          </w:tcPr>
          <w:p>
            <w:pPr>
              <w:spacing w:after="0"/>
              <w:rPr>
                <w:sz w:val="2"/>
                <w:szCs w:val="2"/>
                <w:color w:val="auto"/>
              </w:rPr>
            </w:pPr>
          </w:p>
        </w:tc>
        <w:tc>
          <w:tcPr>
            <w:tcW w:w="6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6.65%</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30-year debentures due June 1, 2028</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5.375% 30-year debentures due October 15, 2035</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295,935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295,811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gridSpan w:val="2"/>
          </w:tcPr>
          <w:p>
            <w:pPr>
              <w:spacing w:after="0"/>
              <w:rPr>
                <w:sz w:val="2"/>
                <w:szCs w:val="2"/>
                <w:color w:val="auto"/>
              </w:rPr>
            </w:pPr>
          </w:p>
        </w:tc>
        <w:tc>
          <w:tcPr>
            <w:tcW w:w="6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6.60%</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15, 2038</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5.375% 30-year notes due March 1, 2041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343,877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2,946,493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2,943,660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00" w:hanging="168"/>
        <w:spacing w:after="0"/>
        <w:tabs>
          <w:tab w:leader="none" w:pos="50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Carrying amount is net of unamortized debt discount and deferred debt issuance costs. Total unamortized debt discounts were</w:t>
      </w:r>
    </w:p>
    <w:p>
      <w:pPr>
        <w:ind w:left="340" w:right="20"/>
        <w:spacing w:after="0" w:line="257" w:lineRule="auto"/>
        <w:rPr>
          <w:sz w:val="20"/>
          <w:szCs w:val="20"/>
          <w:color w:val="auto"/>
        </w:rPr>
      </w:pPr>
      <w:r>
        <w:rPr>
          <w:rFonts w:ascii="Arial" w:cs="Arial" w:eastAsia="Arial" w:hAnsi="Arial"/>
          <w:sz w:val="16"/>
          <w:szCs w:val="16"/>
          <w:color w:val="auto"/>
        </w:rPr>
        <w:t>$15.1 million and $15.8 million as of June 30, 2019 and December 31, 2018, respectively. Total deferred debt issuance costs were $12.1 million and $13.0 million as of June 30, 2019 and December 31, 2018, respectively.</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maintains a $1.0 billion five-year unsecured revolving credit facility (the "Credit Agreement") with a syndicate of banks which expires on November 10, 2020. The Company was in compliance with all covenants in the Credit Agreement and other long-term debt covenants at June 30, 2019 and had an interest coverage ratio of consolidated EBITDA to consolidated net interest expense of 10.0 to 1.0. The Company uses the Credit Agreement as liquidity back-up for its commercial paper program and has not drawn down any loans under the Credit Agreement and does not anticipate doing so. The Company generally uses commercial paper borrowings for general corporate purposes, funding of acquisitions and repurchases of its common stock.</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2019, the Company had approximately $142.1 million outstanding in letters of credit, surety bonds, and performance and other guarantees which expire on various dates through 2031. These letters of credit and bonds are primarily issued as security for insurance, warranty and other performance obligations. In general, we would only be liable for the amount of these guarantees in the event of default in the performance of our obligations.</w:t>
      </w:r>
    </w:p>
    <w:p>
      <w:pPr>
        <w:spacing w:after="0" w:line="170" w:lineRule="exact"/>
        <w:rPr>
          <w:sz w:val="20"/>
          <w:szCs w:val="20"/>
          <w:color w:val="auto"/>
        </w:rPr>
      </w:pPr>
    </w:p>
    <w:p>
      <w:pPr>
        <w:ind w:right="9440" w:firstLine="8"/>
        <w:spacing w:after="0" w:line="566" w:lineRule="auto"/>
        <w:tabs>
          <w:tab w:leader="none" w:pos="270" w:val="left"/>
        </w:tabs>
        <w:numPr>
          <w:ilvl w:val="0"/>
          <w:numId w:val="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97" w:lineRule="auto"/>
        <w:rPr>
          <w:sz w:val="20"/>
          <w:szCs w:val="20"/>
          <w:color w:val="auto"/>
        </w:rPr>
      </w:pPr>
      <w:r>
        <w:rPr>
          <w:rFonts w:ascii="Arial" w:cs="Arial" w:eastAsia="Arial" w:hAnsi="Arial"/>
          <w:sz w:val="16"/>
          <w:szCs w:val="16"/>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June 30, 2019 and December 31, 2018, the Company had contracts with total notional amounts of $200,514 and $193,649, respectively, to exchange currencies, principally the Pound Sterling, Euro, Swedish Krona, Chinese Yuan, Canadian Dollar, and Swiss Franc. The Company believes it is probable that all forecasted cash flow transactions will occur.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had outstanding contracts with a total notional amount of $94,191 and $66,906 as of June 30, 2019 and December 31, 2018, respectively, that are not designated as hedging instruments. These instruments are used to reduce the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exposure for operating receivables and payables that are denominated in non-functional currencies. Gains and losses on these contracts are recorded in other (income) expense, net in the Condensed Consolidated Statements of Earnings.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June 30, 2019 and December 31, 2018 and the balance sheet lines in which they are recorded:</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5"/>
          </w:tcPr>
          <w:p>
            <w:pPr>
              <w:ind w:left="700"/>
              <w:spacing w:after="0"/>
              <w:rPr>
                <w:sz w:val="20"/>
                <w:szCs w:val="20"/>
                <w:color w:val="auto"/>
              </w:rPr>
            </w:pPr>
            <w:r>
              <w:rPr>
                <w:rFonts w:ascii="Arial" w:cs="Arial" w:eastAsia="Arial" w:hAnsi="Arial"/>
                <w:sz w:val="18"/>
                <w:szCs w:val="18"/>
                <w:b w:val="1"/>
                <w:bCs w:val="1"/>
                <w:color w:val="auto"/>
              </w:rPr>
              <w:t>Fair Value Asset (Liability)</w:t>
            </w:r>
          </w:p>
        </w:tc>
        <w:tc>
          <w:tcPr>
            <w:tcW w:w="288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forward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 Other current assets</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Foreign currency forward</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 cash flow hedge, the effective portion of the change in estimated fair value of a hedging instrument is recorded in accumulated other comprehensive loss (earnings) as a separate component of the Condensed Consolidated Statement of Stockholders' Equity and is reclassified into revenues and cost of goods and services in the Condensed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designated the €600,000 and €300,000 of euro-denominated notes issued November 9, 2016 and December 4, 2013,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5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8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euro-denominated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57,998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13,889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92"/>
              </w:rPr>
              <w:t>(12,180)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ind w:left="740"/>
              <w:spacing w:after="0"/>
              <w:rPr>
                <w:sz w:val="20"/>
                <w:szCs w:val="20"/>
                <w:color w:val="auto"/>
              </w:rPr>
            </w:pPr>
            <w:r>
              <w:rPr>
                <w:rFonts w:ascii="Arial" w:cs="Arial" w:eastAsia="Arial" w:hAnsi="Arial"/>
                <w:sz w:val="18"/>
                <w:szCs w:val="18"/>
                <w:color w:val="auto"/>
                <w:w w:val="91"/>
              </w:rPr>
              <w:t>(2,917)</w:t>
            </w:r>
          </w:p>
        </w:tc>
      </w:tr>
      <w:tr>
        <w:trPr>
          <w:trHeight w:val="27"/>
        </w:trPr>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gain on net investment hedges,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45,818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8"/>
              </w:rPr>
              <w:t>10,972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June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192405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Level 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7"/>
        </w:trPr>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4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7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interim disclosures regarding the fair value of all of the Company’s financial instruments.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estimated fair value of long-term debt, net at June 30, 2019 and December 31, 2018, was $3,281,664 and $3,132,330,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notes payable are reasonable estimates of their fair values as of June 30, 2019, and December 31, 2018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Income Taxes</w:t>
      </w:r>
    </w:p>
    <w:p>
      <w:pPr>
        <w:spacing w:after="0" w:line="24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effective tax rates for the three months ended June 30, 2019 and 2018 were 20.7% and 21.3%, respectively. The decrease in the effective tax rate for the three months ended June 30, 2019 relative to the prior comparable period was principally due to changes in tax law and, to a lesser extent, discrete tax items.</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effective tax rates for the six months ended June 30, 2019 and 2018 were 21.7% and 20.2%, respectively. The increase in the effective tax rate for the six months ended June 30, 2019 relative to the prior comparable period is primarily driven by the exclusion of capital losses on the sale of Finder under local tax law partially offset by the impact of changes in tax law.</w:t>
      </w:r>
    </w:p>
    <w:p>
      <w:pPr>
        <w:spacing w:after="0" w:line="216"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The discrete items for the three months ended June 30, 2019 and 2018 primarily resulted from the net tax benefit from stock exercises and favorable audit settlements. The discrete items for the six months ended June 30, 2019 primarily resulted from the benefit of stock exercises and favorable audit settlements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partially offset by the exclusion of capital losses on the sale of Finder under local tax law. The discrete items for the six months ended June 30, 2018 primarily resulted from the benefit of stock exercises and favorable audit settlements.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$11.9 million.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Equity Incentive Program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typically grants equity awards annually at its regularly scheduled first quarter meeting of the Compensation Committee of the Board of Directors. Additionally, in the second quarter of 2018, the Company granted equity awards to its new President and Chief Executive Officer. During the six months ended June 30, 2019, the Company issued stock-settled appreciation rights ("SARs") covering 615,089 shares, performance share awards of 35,172 and restricted stock units ("RSUs") of 124,929.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range of assumptions used in determining the fair value of the SARs awarded during the respective periods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SARs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2018</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122"/>
        </w:trPr>
        <w:tc>
          <w:tcPr>
            <w:tcW w:w="78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spacing w:after="0"/>
              <w:rPr>
                <w:sz w:val="10"/>
                <w:szCs w:val="10"/>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18"/>
                <w:szCs w:val="18"/>
                <w:color w:val="auto"/>
              </w:rPr>
              <w:t>Grant price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3"/>
                <w:szCs w:val="23"/>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$79.75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$82.09</w:t>
            </w:r>
          </w:p>
        </w:tc>
      </w:t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$14.58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r>
    </w:tbl>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performance share awards granted in 2019 and 2018 are considered performance condition awards as attainment is based on Dover's performance relative to established internal metrics. The fair value of these awards was determined using Dover's closing stock price on the date of grant. The expected attainment of the internal metrics for these awards is analyzed each reporting period, and the related expense is adjusted based on expected attainment, if that attainment differs from previous estimates. The cumulative effect on current and prior periods of a change in attainment is recognized in selling, general and administrative expenses in the Condensed Consolidated Statements of Earnings in the period of change.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and average attainment used in determining stock-based compensation cost for the performance shares issued in 2019 and 2018 were as follows for the six months ended June 30, 2019:</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b w:val="1"/>
                <w:bCs w:val="1"/>
                <w:color w:val="auto"/>
              </w:rPr>
              <w:t>Performance Shares</w:t>
            </w:r>
          </w:p>
        </w:tc>
        <w:tc>
          <w:tcPr>
            <w:tcW w:w="84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$79.75  -</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8"/>
              </w:rPr>
              <w:t>$82.09</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Average attainment rate reflected in expense</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240.05%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288.57%</w:t>
            </w:r>
          </w:p>
        </w:tc>
        <w:tc>
          <w:tcPr>
            <w:tcW w:w="840" w:type="dxa"/>
            <w:vAlign w:val="bottom"/>
          </w:tcPr>
          <w:p>
            <w:pPr>
              <w:spacing w:after="0"/>
              <w:rPr>
                <w:sz w:val="21"/>
                <w:szCs w:val="2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granted RSUs, and the fair value of these awards was determined using Dover's closing stock price on the date of grant.</w:t>
      </w:r>
    </w:p>
    <w:p>
      <w:pPr>
        <w:spacing w:after="0" w:line="26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Stock-based compensation is reported within selling, general and administrative expenses of continuing operations in the Condensed Consolidated Statements of Earnings. The following table summarizes the Company’s compensation expense relating to all stock-based incentive plans:</w:t>
      </w: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8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9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7"/>
        </w:trPr>
        <w:tc>
          <w:tcPr>
            <w:tcW w:w="5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 (continuing)</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8,435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8"/>
              </w:rPr>
              <w:t>16,617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w w:val="94"/>
              </w:rPr>
              <w:t>(1,546)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7,937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15,071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attributable to Apergy employees for the three and six months ended June 30, 2018 was $174 and $744,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reported within earnings from discontinued operations in the Condensed 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8000" w:firstLine="8"/>
        <w:spacing w:after="0" w:line="534" w:lineRule="auto"/>
        <w:tabs>
          <w:tab w:leader="none" w:pos="270" w:val="left"/>
        </w:tabs>
        <w:numPr>
          <w:ilvl w:val="0"/>
          <w:numId w:val="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Commitments and Contingent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reserves have been established. At June 30, 2019 and December 31, 2018, the Company has reserves totaling $31,289 and $31,797, respectively, for environmental and other matters, including private party claims for exposure to hazardous substances that are probable and estimable.</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reserves for legal matters that are probable and estimable and not otherwise covered by insurance, and at June 30, 2019 and December 31, 2018, these reserves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June 30, 2019 and 2018,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59,403</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30,603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(34,746)</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June 30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9320" w:firstLine="8"/>
        <w:spacing w:after="0" w:line="534" w:lineRule="auto"/>
        <w:tabs>
          <w:tab w:leader="none" w:pos="270"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color w:val="auto"/>
        </w:rPr>
        <w:t>Retirement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tables below set forth the components of the Company’s net periodic (income) expense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 The amounts recorded to discontinued operations represent the net periodic benefit expense for several non-U.S. qualified and U.S. non-qualified plans that were transferred to Apergy at the spin-off date of May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Benefits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11"/>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right"/>
              <w:ind w:right="15"/>
              <w:spacing w:after="0"/>
              <w:rPr>
                <w:sz w:val="20"/>
                <w:szCs w:val="20"/>
                <w:color w:val="auto"/>
              </w:rPr>
            </w:pPr>
            <w:r>
              <w:rPr>
                <w:rFonts w:ascii="Arial" w:cs="Arial" w:eastAsia="Arial" w:hAnsi="Arial"/>
                <w:sz w:val="16"/>
                <w:szCs w:val="16"/>
                <w:b w:val="1"/>
                <w:bCs w:val="1"/>
                <w:color w:val="auto"/>
                <w:w w:val="92"/>
              </w:rPr>
              <w:t>Six Months Ended June 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7"/>
          </w:tcPr>
          <w:p>
            <w:pPr>
              <w:ind w:left="400"/>
              <w:spacing w:after="0"/>
              <w:rPr>
                <w:sz w:val="20"/>
                <w:szCs w:val="20"/>
                <w:color w:val="auto"/>
              </w:rPr>
            </w:pPr>
            <w:r>
              <w:rPr>
                <w:rFonts w:ascii="Arial" w:cs="Arial" w:eastAsia="Arial" w:hAnsi="Arial"/>
                <w:sz w:val="16"/>
                <w:szCs w:val="16"/>
                <w:b w:val="1"/>
                <w:bCs w:val="1"/>
                <w:color w:val="auto"/>
              </w:rPr>
              <w:t>Non-U.S. Plans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U.S. Plan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415"/>
              <w:spacing w:after="0"/>
              <w:rPr>
                <w:sz w:val="20"/>
                <w:szCs w:val="20"/>
                <w:color w:val="auto"/>
              </w:rPr>
            </w:pPr>
            <w:r>
              <w:rPr>
                <w:rFonts w:ascii="Arial" w:cs="Arial" w:eastAsia="Arial" w:hAnsi="Arial"/>
                <w:sz w:val="16"/>
                <w:szCs w:val="16"/>
                <w:b w:val="1"/>
                <w:bCs w:val="1"/>
                <w:color w:val="auto"/>
                <w:w w:val="99"/>
              </w:rPr>
              <w:t>Non-U.S. Plans</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ind w:right="138"/>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96"/>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36"/>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35"/>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235"/>
              <w:spacing w:after="0"/>
              <w:rPr>
                <w:sz w:val="20"/>
                <w:szCs w:val="20"/>
                <w:color w:val="auto"/>
              </w:rPr>
            </w:pPr>
            <w:r>
              <w:rPr>
                <w:rFonts w:ascii="Arial" w:cs="Arial" w:eastAsia="Arial" w:hAnsi="Arial"/>
                <w:sz w:val="16"/>
                <w:szCs w:val="16"/>
                <w:b w:val="1"/>
                <w:bCs w:val="1"/>
                <w:color w:val="auto"/>
                <w:w w:val="84"/>
              </w:rPr>
              <w:t>2018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5,287</w:t>
            </w:r>
          </w:p>
        </w:tc>
        <w:tc>
          <w:tcPr>
            <w:tcW w:w="4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9,513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(17,068)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Prior service cost (credit)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2"/>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43"/>
        </w:trPr>
        <w:tc>
          <w:tcPr>
            <w:tcW w:w="2880" w:type="dxa"/>
            <w:vAlign w:val="bottom"/>
          </w:tcPr>
          <w:p>
            <w:pPr>
              <w:ind w:left="360"/>
              <w:spacing w:after="0"/>
              <w:rPr>
                <w:sz w:val="20"/>
                <w:szCs w:val="20"/>
                <w:color w:val="auto"/>
              </w:rPr>
            </w:pPr>
            <w:r>
              <w:rPr>
                <w:rFonts w:ascii="Arial" w:cs="Arial" w:eastAsia="Arial" w:hAnsi="Arial"/>
                <w:sz w:val="18"/>
                <w:szCs w:val="18"/>
                <w:color w:val="auto"/>
              </w:rPr>
              <w:t>Recognized actuarial loss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Transition obligation</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Net periodic (income) expense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(3,896)</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3,065</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8"/>
                <w:szCs w:val="18"/>
                <w:color w:val="auto"/>
              </w:rPr>
              <w:t>Net periodic (income) expense -</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(1,948)</w:t>
            </w:r>
          </w:p>
        </w:tc>
        <w:tc>
          <w:tcPr>
            <w:tcW w:w="12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1,460</w:t>
            </w:r>
          </w:p>
        </w:tc>
        <w:tc>
          <w:tcPr>
            <w:tcW w:w="4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6"/>
                <w:szCs w:val="16"/>
                <w:color w:val="auto"/>
              </w:rPr>
              <w:t>(3,896)</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(2,137)</w:t>
            </w:r>
          </w:p>
        </w:tc>
        <w:tc>
          <w:tcPr>
            <w:tcW w:w="12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3,487</w:t>
            </w:r>
          </w:p>
        </w:tc>
        <w:tc>
          <w:tcPr>
            <w:tcW w:w="12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0"/>
              </w:rPr>
              <w:t>Non-Qualified Supplemental Benefits</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2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gridSpan w:val="9"/>
          </w:tcPr>
          <w:p>
            <w:pPr>
              <w:jc w:val="right"/>
              <w:ind w:right="314"/>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0" w:type="dxa"/>
            <w:vAlign w:val="bottom"/>
            <w:gridSpan w:val="7"/>
          </w:tcPr>
          <w:p>
            <w:pPr>
              <w:ind w:left="60"/>
              <w:spacing w:after="0"/>
              <w:rPr>
                <w:sz w:val="20"/>
                <w:szCs w:val="20"/>
                <w:color w:val="auto"/>
              </w:rPr>
            </w:pPr>
            <w:r>
              <w:rPr>
                <w:rFonts w:ascii="Arial" w:cs="Arial" w:eastAsia="Arial" w:hAnsi="Arial"/>
                <w:sz w:val="18"/>
                <w:szCs w:val="18"/>
                <w:b w:val="1"/>
                <w:bCs w:val="1"/>
                <w:color w:val="auto"/>
                <w:w w:val="90"/>
              </w:rPr>
              <w:t>Six Months Ended June 30,</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6"/>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680" w:type="dxa"/>
            <w:vAlign w:val="bottom"/>
            <w:tcBorders>
              <w:bottom w:val="single" w:sz="8" w:color="CCEEFF"/>
            </w:tcBorders>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79"/>
              </w:rPr>
              <w:t>668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79"/>
              </w:rPr>
              <w:t>703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64"/>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Net periodic expense - Continuing operations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maintains post-retirement benefit plans, although these plans are closed to new entrants. The supplemental and post-retirement benefit plans are supported by the general assets of the Company. The following table sets forth the components of the Company’s net periodic expense relating to its post-retirement benefit plans: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7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1"/>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total amount amortized out of accumulated other comprehensive earnings into net periodic pension and post-retirement expense totaled $766 and $2,948 for the three months ended June 30, 2019 and 2018, respectively, and $1,718 and $6,358 for the six months ended June 30, 2019 and 2018,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offers defined contribution retirement plans which cover the majority of its U.S. employees, as well as employees in certain other countries. The Company’s expense relating to defined contribution plans were $13,247, and $11,144 for the three months ended June 30, 2019 and 2018, respectively, and $26,153 and $24,014 for the six months ended June 30, 2019 and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Other Comprehensive Earnings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other comprehensive (loss) earnings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0"/>
                <w:szCs w:val="20"/>
                <w:color w:val="auto"/>
              </w:rPr>
            </w:pPr>
          </w:p>
        </w:tc>
      </w:tr>
      <w:tr>
        <w:trPr>
          <w:trHeight w:val="270"/>
        </w:trPr>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9"/>
              </w:rPr>
              <w:t>June 30, 2019</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9"/>
              </w:rPr>
              <w:t>June 30, 2018</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4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Pre-tax</w:t>
            </w:r>
          </w:p>
        </w:tc>
        <w:tc>
          <w:tcPr>
            <w:tcW w:w="2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w:t>
            </w:r>
          </w:p>
        </w:tc>
        <w:tc>
          <w:tcPr>
            <w:tcW w:w="14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Net of tax</w:t>
            </w: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Pre-tax</w:t>
            </w:r>
          </w:p>
        </w:tc>
        <w:tc>
          <w:tcPr>
            <w:tcW w:w="2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w:t>
            </w: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Net of tax</w:t>
            </w:r>
          </w:p>
        </w:tc>
      </w:tr>
      <w:tr>
        <w:trPr>
          <w:trHeight w:val="27"/>
        </w:trPr>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(65,159)</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7"/>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fair value of cash flow hedges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64"/>
        </w:trPr>
        <w:tc>
          <w:tcPr>
            <w:tcW w:w="4420" w:type="dxa"/>
            <w:vAlign w:val="bottom"/>
          </w:tcPr>
          <w:p>
            <w:pPr>
              <w:spacing w:after="0"/>
              <w:rPr>
                <w:sz w:val="20"/>
                <w:szCs w:val="20"/>
                <w:color w:val="auto"/>
              </w:rPr>
            </w:pPr>
            <w:r>
              <w:rPr>
                <w:rFonts w:ascii="Arial" w:cs="Arial" w:eastAsia="Arial" w:hAnsi="Arial"/>
                <w:sz w:val="18"/>
                <w:szCs w:val="18"/>
                <w:b w:val="1"/>
                <w:bCs w:val="1"/>
                <w:color w:val="auto"/>
              </w:rPr>
              <w:t>Total other comprehensive (loss)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(61,191)</w:t>
            </w:r>
          </w:p>
        </w:tc>
      </w:tr>
      <w:tr>
        <w:trPr>
          <w:trHeight w:val="21"/>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9"/>
          </w:tcPr>
          <w:p>
            <w:pPr>
              <w:jc w:val="center"/>
              <w:ind w:left="130"/>
              <w:spacing w:after="0"/>
              <w:rPr>
                <w:sz w:val="20"/>
                <w:szCs w:val="20"/>
                <w:color w:val="auto"/>
              </w:rPr>
            </w:pPr>
            <w:r>
              <w:rPr>
                <w:rFonts w:ascii="Arial" w:cs="Arial" w:eastAsia="Arial" w:hAnsi="Arial"/>
                <w:sz w:val="18"/>
                <w:szCs w:val="18"/>
                <w:b w:val="1"/>
                <w:bCs w:val="1"/>
                <w:color w:val="auto"/>
                <w:w w:val="90"/>
              </w:rPr>
              <w:t>Six Months Ended</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w w:val="99"/>
              </w:rPr>
              <w:t>June 30, 2018</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8"/>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Tax</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Net of tax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(9,934)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2"/>
              </w:rPr>
              <w:t>(12,851)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0"/>
              </w:rPr>
              <w:t>(382)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fair value of cash flow hedges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5"/>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Total other comprehensive earnings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34,750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center"/>
              <w:ind w:left="450"/>
              <w:spacing w:after="0"/>
              <w:rPr>
                <w:sz w:val="20"/>
                <w:szCs w:val="20"/>
                <w:color w:val="auto"/>
              </w:rPr>
            </w:pPr>
            <w:r>
              <w:rPr>
                <w:rFonts w:ascii="Arial" w:cs="Arial" w:eastAsia="Arial" w:hAnsi="Arial"/>
                <w:sz w:val="18"/>
                <w:szCs w:val="18"/>
                <w:color w:val="auto"/>
                <w:w w:val="93"/>
              </w:rPr>
              <w:t>233</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34,983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Total comprehensive earnings were as follows: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4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8"/>
          </w:tcPr>
          <w:p>
            <w:pPr>
              <w:jc w:val="right"/>
              <w:ind w:right="31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4"/>
                <w:szCs w:val="24"/>
                <w:color w:val="auto"/>
              </w:rPr>
            </w:pPr>
          </w:p>
        </w:tc>
        <w:tc>
          <w:tcPr>
            <w:tcW w:w="2740" w:type="dxa"/>
            <w:vAlign w:val="bottom"/>
            <w:gridSpan w:val="10"/>
          </w:tcPr>
          <w:p>
            <w:pPr>
              <w:jc w:val="right"/>
              <w:ind w:right="23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198,085</w:t>
            </w:r>
          </w:p>
        </w:tc>
        <w:tc>
          <w:tcPr>
            <w:tcW w:w="90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139,959</w:t>
            </w:r>
          </w:p>
        </w:tc>
        <w:tc>
          <w:tcPr>
            <w:tcW w:w="5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303,790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5"/>
              </w:rPr>
              <w:t>271,393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 earnings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(17,167)</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(61,191)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34,983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180,918</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338,773</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266,301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Amounts reclassified from accumulated other comprehensive loss to earnings during the three and six months ended June 30, 2019 and 2018 were as follows: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30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5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Reclassification of foreign currency translation losses to earnings for</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10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0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Pension and other postretirement benefit plans: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gains reclassified into earnings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reclassification of foreign currency translation losses to earnings relates to the sale of Finder. See Note 5 — Disposed and Discontinued Operations for further details.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Segment Information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categorizes its operating companies into three distinct reportable segments. Segment financial information and a reconciliation of segment results to consolidated results is as follows:</w:t>
      </w:r>
    </w:p>
    <w:p>
      <w:pPr>
        <w:spacing w:after="0" w:line="197" w:lineRule="exact"/>
        <w:rPr>
          <w:sz w:val="20"/>
          <w:szCs w:val="20"/>
          <w:color w:val="auto"/>
        </w:rPr>
      </w:pPr>
    </w:p>
    <w:p>
      <w:pPr>
        <w:jc w:val="both"/>
        <w:ind w:left="660" w:hanging="328"/>
        <w:spacing w:after="0" w:line="26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0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 efficient equipment and systems serving the commercial refrigeration and food equipment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460"/>
              <w:spacing w:after="0"/>
              <w:rPr>
                <w:sz w:val="20"/>
                <w:szCs w:val="20"/>
                <w:color w:val="auto"/>
              </w:rPr>
            </w:pPr>
            <w:r>
              <w:rPr>
                <w:rFonts w:ascii="Arial" w:cs="Arial" w:eastAsia="Arial" w:hAnsi="Arial"/>
                <w:sz w:val="18"/>
                <w:szCs w:val="18"/>
                <w:color w:val="auto"/>
              </w:rPr>
              <w:t>Engineered Systems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696,501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702,989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1,383,692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1,374,615</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Fluids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1,321,764</w:t>
            </w:r>
          </w:p>
        </w:tc>
      </w:tr>
      <w:tr>
        <w:trPr>
          <w:trHeight w:val="243"/>
        </w:trPr>
        <w:tc>
          <w:tcPr>
            <w:tcW w:w="5320" w:type="dxa"/>
            <w:vAlign w:val="bottom"/>
          </w:tcPr>
          <w:p>
            <w:pPr>
              <w:ind w:left="460"/>
              <w:spacing w:after="0"/>
              <w:rPr>
                <w:sz w:val="20"/>
                <w:szCs w:val="20"/>
                <w:color w:val="auto"/>
              </w:rPr>
            </w:pPr>
            <w:r>
              <w:rPr>
                <w:rFonts w:ascii="Arial" w:cs="Arial" w:eastAsia="Arial" w:hAnsi="Arial"/>
                <w:sz w:val="18"/>
                <w:szCs w:val="18"/>
                <w:color w:val="auto"/>
              </w:rPr>
              <w:t>Refrigeration &amp; Food Equipment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740,001</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1,810,706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3,535,463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3,435,765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3"/>
                <w:szCs w:val="23"/>
                <w:color w:val="auto"/>
                <w:vertAlign w:val="superscript"/>
              </w:rPr>
              <w:t>(1)</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Engineered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228,715</w:t>
            </w:r>
          </w:p>
        </w:tc>
      </w:tr>
      <w:tr>
        <w:trPr>
          <w:trHeight w:val="270"/>
        </w:trPr>
        <w:tc>
          <w:tcPr>
            <w:tcW w:w="5320" w:type="dxa"/>
            <w:vAlign w:val="bottom"/>
          </w:tcPr>
          <w:p>
            <w:pPr>
              <w:ind w:left="460"/>
              <w:spacing w:after="0"/>
              <w:rPr>
                <w:sz w:val="20"/>
                <w:szCs w:val="20"/>
                <w:color w:val="auto"/>
              </w:rPr>
            </w:pPr>
            <w:r>
              <w:rPr>
                <w:rFonts w:ascii="Arial" w:cs="Arial" w:eastAsia="Arial" w:hAnsi="Arial"/>
                <w:sz w:val="18"/>
                <w:szCs w:val="18"/>
                <w:color w:val="auto"/>
              </w:rPr>
              <w:t xml:space="preserve">Fluids </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128,915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181,136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160,376</w:t>
            </w:r>
          </w:p>
        </w:tc>
      </w:tr>
      <w:tr>
        <w:trPr>
          <w:trHeight w:val="270"/>
        </w:trPr>
        <w:tc>
          <w:tcPr>
            <w:tcW w:w="5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Refrigeration &amp; Food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80,554</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305,060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505,162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469,645</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60,813</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67,765</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w w:val="92"/>
              </w:rPr>
              <w:t>Earnings before provision for income taxes and discontinued operations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388,057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345,687</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69,822</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275,865</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80" w:hanging="148"/>
        <w:spacing w:after="0"/>
        <w:tabs>
          <w:tab w:leader="none" w:pos="48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Segment earnings includes non-operating income and expense directly attributable to the segments.</w:t>
      </w:r>
    </w:p>
    <w:p>
      <w:pPr>
        <w:ind w:left="500" w:hanging="168"/>
        <w:spacing w:after="0" w:line="197" w:lineRule="auto"/>
        <w:tabs>
          <w:tab w:leader="none" w:pos="500" w:val="left"/>
        </w:tabs>
        <w:numPr>
          <w:ilvl w:val="1"/>
          <w:numId w:val="10"/>
        </w:numPr>
        <w:rPr>
          <w:rFonts w:ascii="Arial" w:cs="Arial" w:eastAsia="Arial" w:hAnsi="Arial"/>
          <w:sz w:val="20"/>
          <w:szCs w:val="20"/>
          <w:color w:val="auto"/>
          <w:vertAlign w:val="superscript"/>
        </w:rPr>
      </w:pPr>
      <w:r>
        <w:rPr>
          <w:rFonts w:ascii="Arial" w:cs="Arial" w:eastAsia="Arial" w:hAnsi="Arial"/>
          <w:sz w:val="15"/>
          <w:szCs w:val="15"/>
          <w:color w:val="auto"/>
        </w:rPr>
        <w:t>The six months ended June 30, 2019 includes a $46,946 loss on assets held for sale for Finder. Excluding this loss, Fluids segment earnings was $228,082.</w:t>
      </w:r>
    </w:p>
    <w:p>
      <w:pPr>
        <w:ind w:left="340" w:right="20" w:hanging="8"/>
        <w:spacing w:after="0" w:line="260" w:lineRule="auto"/>
        <w:tabs>
          <w:tab w:leader="none" w:pos="515"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Certain expenses are maintained at the corporate level and not allocated to the segments. These expenses include executive and functional compensation costs, non-service pension costs, non-operating insurance expenses, shared business services costs and various administrative expenses relating to the corporate headquarters.</w:t>
      </w:r>
    </w:p>
    <w:p>
      <w:pPr>
        <w:spacing w:after="0" w:line="200" w:lineRule="exact"/>
        <w:rPr>
          <w:rFonts w:ascii="Arial" w:cs="Arial" w:eastAsia="Arial" w:hAnsi="Arial"/>
          <w:sz w:val="18"/>
          <w:szCs w:val="18"/>
          <w:color w:val="auto"/>
          <w:vertAlign w:val="superscript"/>
        </w:rPr>
      </w:pPr>
    </w:p>
    <w:p>
      <w:pPr>
        <w:ind w:left="280" w:hanging="272"/>
        <w:spacing w:after="0"/>
        <w:tabs>
          <w:tab w:leader="none" w:pos="280" w:val="left"/>
        </w:tabs>
        <w:numPr>
          <w:ilvl w:val="0"/>
          <w:numId w:val="1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Share Repurchases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January 2015 share repurchase authorization expired on January 9, 2018. From January 1 to January 9, 2018, the Company repurchased 440,608 shares of common stock at a total cost of $44,977, or $102.08 per share. There were 5,271,168 shares available for repurchase under this authorization upon expiration.</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the Company's Board of Directors approved a new standing share repurchase authorization, whereby the Company may repurchase up to 20 million shares of its common stock through December 31, 2020. This share repurchase authorization replaced the January 2015 share repurchase authorization. There were no repurchases under the February 2018 authorization during the three and six months ended June 30, 2019.</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22, 2018, the Company entered into a $700,000 accelerated share repurchase agreement (the “ASR Agreement”) with Goldman Sachs &amp; Co. LLC (“Goldman Sachs”) to repurchase its shares in an accelerated share repurchase program (the “ASR Program”). The Company conducted the ASR Program under the February 2018 share repurchase authorization. The Company funded the ASR Program with funds received from Apergy in connection with the consummation of the Apergy spin-off.</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ASR Agreement, the Company paid Goldman Sachs $700,000 on May 24, 2018 and on that date received initial deliveries of 7,078,751 shares, representing a substantial majority of the shares expected to be retired over the course of the ASR Agreement. In December 2018, Goldman Sachs delivered a total of 1,463,815 shares which completed the ASR Program. During 2018, the Company received a total of 8,542,566 shares as part of the ASR Agreement. The total number of shares ultimately repurchased under the ASR Agreement was based on the volume-weighted average share price of Dover’s common stock during the calculation period of the ASR Program, less a discount, which was $81.94 over the term of the ASR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9,703,666 shares remain authorized for repurchase under the February 2018 share repurchase authorization.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275,865</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Loss from discontinued operations, net</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198,085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139,959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303,790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271,393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(loss)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Loss from discontinued operations,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62"/>
        </w:trPr>
        <w:tc>
          <w:tcPr>
            <w:tcW w:w="4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145,366,000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151,744,000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145,227,000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153,124,000</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common share:</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Loss from discontinued operations,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62"/>
        </w:trPr>
        <w:tc>
          <w:tcPr>
            <w:tcW w:w="4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147,179,000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153,938,000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147,041,000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155,573,000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Basic</w:t>
      </w:r>
    </w:p>
    <w:p>
      <w:pPr>
        <w:spacing w:after="0" w:line="63"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Dilutive effect of assumed exercise of SARs and vesting of performance shares and RSUs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40" w:type="dxa"/>
            <w:vAlign w:val="bottom"/>
            <w:gridSpan w:val="4"/>
          </w:tcPr>
          <w:p>
            <w:pPr>
              <w:ind w:left="300"/>
              <w:spacing w:after="0"/>
              <w:rPr>
                <w:sz w:val="20"/>
                <w:szCs w:val="20"/>
                <w:color w:val="auto"/>
              </w:rPr>
            </w:pPr>
            <w:r>
              <w:rPr>
                <w:rFonts w:ascii="Arial" w:cs="Arial" w:eastAsia="Arial" w:hAnsi="Arial"/>
                <w:sz w:val="18"/>
                <w:szCs w:val="18"/>
                <w:b w:val="1"/>
                <w:bCs w:val="1"/>
                <w:color w:val="auto"/>
              </w:rPr>
              <w:t>Three Months Ended June 30,</w:t>
            </w:r>
          </w:p>
        </w:tc>
        <w:tc>
          <w:tcPr>
            <w:tcW w:w="3420" w:type="dxa"/>
            <w:vAlign w:val="bottom"/>
            <w:gridSpan w:val="3"/>
          </w:tcPr>
          <w:p>
            <w:pPr>
              <w:ind w:left="64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40" w:type="dxa"/>
            <w:vAlign w:val="bottom"/>
          </w:tcPr>
          <w:p>
            <w:pPr>
              <w:ind w:left="64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spacing w:after="0"/>
              <w:rPr>
                <w:sz w:val="20"/>
                <w:szCs w:val="20"/>
                <w:color w:val="auto"/>
              </w:rPr>
            </w:pPr>
            <w:r>
              <w:rPr>
                <w:rFonts w:ascii="Arial" w:cs="Arial" w:eastAsia="Arial" w:hAnsi="Arial"/>
                <w:sz w:val="18"/>
                <w:szCs w:val="18"/>
                <w:color w:val="auto"/>
              </w:rPr>
              <w:t>145,366,000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151,744,000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145,227,000</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153,124,000</w:t>
            </w:r>
          </w:p>
        </w:tc>
      </w:tr>
      <w:tr>
        <w:trPr>
          <w:trHeight w:val="486"/>
        </w:trPr>
        <w:tc>
          <w:tcPr>
            <w:tcW w:w="1460" w:type="dxa"/>
            <w:vAlign w:val="bottom"/>
          </w:tcPr>
          <w:p>
            <w:pPr>
              <w:jc w:val="right"/>
              <w:spacing w:after="0"/>
              <w:rPr>
                <w:sz w:val="20"/>
                <w:szCs w:val="20"/>
                <w:color w:val="auto"/>
              </w:rPr>
            </w:pPr>
            <w:r>
              <w:rPr>
                <w:rFonts w:ascii="Arial" w:cs="Arial" w:eastAsia="Arial" w:hAnsi="Arial"/>
                <w:sz w:val="18"/>
                <w:szCs w:val="18"/>
                <w:color w:val="auto"/>
              </w:rPr>
              <w:t>1,813,000</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2,194,000</w:t>
            </w: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1,814,000</w:t>
            </w: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2,449,000</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spacing w:after="0"/>
              <w:rPr>
                <w:sz w:val="20"/>
                <w:szCs w:val="20"/>
                <w:color w:val="auto"/>
              </w:rPr>
            </w:pPr>
            <w:r>
              <w:rPr>
                <w:rFonts w:ascii="Arial" w:cs="Arial" w:eastAsia="Arial" w:hAnsi="Arial"/>
                <w:sz w:val="18"/>
                <w:szCs w:val="18"/>
                <w:color w:val="auto"/>
              </w:rPr>
              <w:t>147,179,000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153,938,000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147,041,000</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155,573,000</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-702310</wp:posOffset>
            </wp:positionV>
            <wp:extent cx="723773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-213995</wp:posOffset>
            </wp:positionV>
            <wp:extent cx="723773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560"/>
            <w:col w:w="6580"/>
          </w:cols>
          <w:pgMar w:left="240" w:top="130" w:right="239" w:bottom="1440" w:gutter="0" w:footer="0" w:header="0"/>
          <w:type w:val="continuous"/>
        </w:sectPr>
      </w:pP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weighted average number of anti-dilutive potential common shares excluded from the calculation above were approximately 30,000 and 78,000 for the three months ended June 30, 2019 and 2018, respectively, and 1,200 and 0 for the six months ended June 30, 2019 and 2018, respectively.</w:t>
      </w:r>
    </w:p>
    <w:p>
      <w:pPr>
        <w:spacing w:after="0" w:line="170" w:lineRule="exact"/>
        <w:rPr>
          <w:sz w:val="20"/>
          <w:szCs w:val="20"/>
          <w:color w:val="auto"/>
        </w:rPr>
      </w:pPr>
    </w:p>
    <w:p>
      <w:pPr>
        <w:ind w:right="8360" w:firstLine="8"/>
        <w:spacing w:after="0" w:line="641" w:lineRule="auto"/>
        <w:tabs>
          <w:tab w:leader="none" w:pos="270" w:val="left"/>
        </w:tabs>
        <w:numPr>
          <w:ilvl w:val="0"/>
          <w:numId w:val="12"/>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 xml:space="preserve">Recent Accounting Pronouncements </w:t>
      </w:r>
      <w:r>
        <w:rPr>
          <w:rFonts w:ascii="Arial" w:cs="Arial" w:eastAsia="Arial" w:hAnsi="Arial"/>
          <w:sz w:val="15"/>
          <w:szCs w:val="15"/>
          <w:b w:val="1"/>
          <w:bCs w:val="1"/>
          <w:color w:val="auto"/>
        </w:rPr>
        <w:t>Recently Issued Accounting Standards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standards, issued by the Financial Accounting Standards Board ("FASB"), will, or are expected to, result in a change in practice and/or have a financial impact to the Company’s Consolidated Financial Statements: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guidance is effective for interim and annual periods for the Company on January 1, 2020, with early adoption permitted. Management is in the process of its assessment of the impact of the new standard on the Company’s Consolidated Financial Statements. Currently, the Company</w:t>
      </w:r>
    </w:p>
    <w:p>
      <w:pPr>
        <w:sectPr>
          <w:pgSz w:w="11900" w:h="16838" w:orient="portrait"/>
          <w:cols w:equalWidth="0" w:num="1">
            <w:col w:w="11420"/>
          </w:cols>
          <w:pgMar w:left="240" w:top="130" w:right="2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believes that the most notable impact of this ASU may relate to its processes around the assessment of the adequacy of its allowance for doubtful accounts on trade accounts receivable and the recognition of credit losses. Management does not expect this update to have a material impact to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the amendments in this update. The Company early adopted this guidance prospectively beginning on January 1, 2019. The adoption of this ASU did not have a material impact on the Company's Consolidated Financial Statements.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This ASU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The Company adopted this guidance on January 1, 2019. The adoption of this ASU did not have a material impact on the Company's Consolidated Financial Statements.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(Topic 842), which amends existing guidance to require lessees to recognize assets and liabilities on the balance sheet for the rights and obligations created by long-term leases and to disclose additional quantitative and qualitative information about leasing arrangements. This ASU also provides clarifications surrounding the presentation of the effects of leases in the income statement and statement of cash flows. The Company adopted this guidance on January 1, 2019.</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commenced its assessment of ASU 2016-02 in the second half of 2017 and developed a project plan to guide the implementation. The Company completed this project plan, in which it analyzed the ASU's impact on its leases, surveyed the Company's businesses, assessed the portfolio of leases, compiled a central repository of active leases, and established a future lease process to keep the lease accounting portfolio up to date. The Company evaluated the key policy elections and considerations under the standard and completed the internal policy documentation and training to address the new standard requirements. The Company also implemented a new lease accounting software solution to support the new reporting requirements. The Company adopted this new guidance using the updated modified transition method allowed per ASU 2018-11. Upon adoption on January 1, 2019, total assets and liabilities increased due to the recording of right-of-use assets and lease liabilities amounting to approximately $163 million. See Note 8 — Leases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Dover is a diversified global manufacturer delivering innovative equipment and components, specialty systems, consumable supplies, software and digital solutions and support services through three operating segments: Engineered Systems, Fluids, and Refrigeration &amp; Food Equipment.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Dover's three operating segments are as follows:</w:t>
      </w:r>
    </w:p>
    <w:p>
      <w:pPr>
        <w:spacing w:after="0" w:line="252" w:lineRule="exact"/>
        <w:rPr>
          <w:sz w:val="20"/>
          <w:szCs w:val="20"/>
          <w:color w:val="auto"/>
        </w:rPr>
      </w:pPr>
    </w:p>
    <w:p>
      <w:pPr>
        <w:jc w:val="both"/>
        <w:ind w:left="660" w:hanging="328"/>
        <w:spacing w:after="0" w:line="26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0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 efficient equipment and systems serving the commercial refrigeration and food equipment end markets.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second quarter of 2019, revenue was $1.8 billion, which increased $12.6 million, or 0.7%, as compared to the second quarter of 2018. Results were driven by organic revenue growth of 2.9% and acquisition-related revenue growth of 0.8%. This growth was partially offset by an unfavorable impact from foreign currency translation of 2.5% and 0.5% impact due to dispositions.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2.9% organic revenue growth was led by 7.5% organic growth in our Fluids segment, reflecting continued strong demand across the segment. Engineered Systems segment organic revenue increased 1.7%, which was driven by strong activity in the Industrial platform, which offset expected lower activity in digital printing. Organic revenue decreased 2.8% in our Refrigeration &amp; Food Equipment segment principally driven by reduced shipments of heat exchangers and slower activity in some product lines within commercial refrigeration.</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From a geographic perspective, organic revenue for the U.S., our largest market, and Europe grew 2% and 8%, respectively, year over year, while Asia declined 5%. U.S. organic growth was driven by strength across our Fluids and Engineered Systems segments, partially offset by the Refrigeration &amp; Food Equipment segment. The growth in Europe was broad-based across all three segments. The decline in Asia was a result of lower demand in our Engineered Systems and Refrigeration &amp; Food Equipment segments.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2019, we acquired the assets of the All-Flo Pump Company, Limited business ("All-Flo"), a growing manufacturer of specialty pumps for $40.0 million, net of cash acquired. The acquisition of All-Flo strengthens our position in the growing market for air-operated double-diaphragm pumps within the Fluids segment.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 2019, we completed the sale of Finder Pompe S.r.l ("Finder"), a wholly owned subsidiary in the Fluids segment, which generated total cash proceeds of $24.2 million. As of March 31, 2019, Finder met the criteria to be classified as held for sale. We classified Finder's assets and liabilities separately on the consolidated balance sheet as of March 31, 2019 and recorded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loss of $46.9 million on the net assets held for sale during the three months ended March 31, 2019. The loss was comprised of an impairment on assets held for sale of $21.6 million and $25.3 million of foreign currency translation losses reclassified out of accumulated other comprehensive losses.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June 30, 2019, we continued to execute on our previously announced rightsizing initiatives to further optimize operations. Rightsizing programs in 2019 primarily include: 1) broad-based selling, general and administrative expense reduction initiatives and 2) footprint consolidation actions. These actions resulted in approximately $6.5 million of rightsizing and other related costs across our segments as well as at the Corporate level, inclusive of restructuring costs. These charges relate to employee reductions and facility restructuring costs. We incurred rightsizing and other related costs of $2.4 million in Engineered Systems, $2.7 million in Fluids, $0.7 million in Refrigeration &amp; Food Equipment and $0.7 million at the Corporate level. These charges were recorded in cost of goods and services and selling, general and administrative expenses in the Condensed Consolidated Statement of Earnings. In 2019 and 2020, we expect to incur total rightsizing and other related charges, inclusive of restructuring costs, of approximately $22 million primarily related to the completion of our selling, general and administrative expense reduction actions and continuation of our footprint consolidation initiatives. We incurred $10 million of charges during the six months ended June 30, 2019 and expect to incur approximately $7 million during the remainder of 2019 and approximately $5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34"/>
        </w:trPr>
        <w:tc>
          <w:tcPr>
            <w:tcW w:w="34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6"/>
          </w:tcPr>
          <w:p>
            <w:pPr>
              <w:ind w:left="600"/>
              <w:spacing w:after="0"/>
              <w:rPr>
                <w:sz w:val="20"/>
                <w:szCs w:val="20"/>
                <w:color w:val="auto"/>
              </w:rPr>
            </w:pPr>
            <w:r>
              <w:rPr>
                <w:rFonts w:ascii="Arial" w:cs="Arial" w:eastAsia="Arial" w:hAnsi="Arial"/>
                <w:sz w:val="18"/>
                <w:szCs w:val="18"/>
                <w:b w:val="1"/>
                <w:bCs w:val="1"/>
                <w:color w:val="auto"/>
                <w:w w:val="89"/>
              </w:rPr>
              <w:t>Six Months Ended June 30,</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3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i w:val="1"/>
                <w:iCs w:val="1"/>
                <w:color w:val="auto"/>
                <w:w w:val="96"/>
              </w:rPr>
              <w:t>(dollars in thousands, except per share data)</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 Change</w:t>
            </w:r>
          </w:p>
        </w:tc>
      </w:tr>
      <w:tr>
        <w:trPr>
          <w:trHeight w:val="27"/>
        </w:trPr>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1,810,706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1,798,094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3,435,765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1,138,113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1,132,858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2,239,328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2,167,700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665,236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1,268,065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80" w:type="dxa"/>
            <w:vAlign w:val="bottom"/>
          </w:tcPr>
          <w:p>
            <w:pPr>
              <w:ind w:left="240"/>
              <w:spacing w:after="0"/>
              <w:rPr>
                <w:sz w:val="20"/>
                <w:szCs w:val="20"/>
                <w:color w:val="auto"/>
              </w:rPr>
            </w:pPr>
            <w:r>
              <w:rPr>
                <w:rFonts w:ascii="Arial" w:cs="Arial" w:eastAsia="Arial" w:hAnsi="Arial"/>
                <w:sz w:val="18"/>
                <w:szCs w:val="18"/>
                <w:i w:val="1"/>
                <w:iCs w:val="1"/>
                <w:color w:val="auto"/>
              </w:rPr>
              <w:t>Gross profit margin</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37.1 %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36.7 %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8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16"/>
        </w:trPr>
        <w:tc>
          <w:tcPr>
            <w:tcW w:w="3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396,634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428,775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863,801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Selling, general and administrative</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7"/>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i w:val="1"/>
                <w:iCs w:val="1"/>
                <w:color w:val="auto"/>
              </w:rPr>
              <w:t>expenses as a percent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21.9 %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23.8 %</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22.8 %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25.1 %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6"/>
        </w:trPr>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70"/>
        </w:trPr>
        <w:tc>
          <w:tcPr>
            <w:tcW w:w="3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spacing w:after="0"/>
              <w:rPr>
                <w:sz w:val="23"/>
                <w:szCs w:val="23"/>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6"/>
        </w:trPr>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Earnings before provision for income taxes and</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211,437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69,822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20.7 %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21.3 %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21.7 %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6"/>
        </w:trPr>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166,456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Loss from discontinued operations, net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(26,497)</w:t>
            </w:r>
          </w:p>
        </w:tc>
        <w:tc>
          <w:tcPr>
            <w:tcW w:w="100" w:type="dxa"/>
            <w:vAlign w:val="bottom"/>
          </w:tcPr>
          <w:p>
            <w:pPr>
              <w:spacing w:after="0"/>
              <w:rPr>
                <w:sz w:val="21"/>
                <w:szCs w:val="21"/>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139,959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Earnings from continuing operations per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common 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per common share - 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324"/>
        </w:trPr>
        <w:tc>
          <w:tcPr>
            <w:tcW w:w="3480" w:type="dxa"/>
            <w:vAlign w:val="bottom"/>
          </w:tcPr>
          <w:p>
            <w:pPr>
              <w:spacing w:after="0"/>
              <w:rPr>
                <w:sz w:val="20"/>
                <w:szCs w:val="20"/>
                <w:color w:val="auto"/>
              </w:rPr>
            </w:pPr>
            <w:r>
              <w:rPr>
                <w:rFonts w:ascii="Arial" w:cs="Arial" w:eastAsia="Arial" w:hAnsi="Arial"/>
                <w:sz w:val="18"/>
                <w:szCs w:val="18"/>
                <w:color w:val="auto"/>
              </w:rPr>
              <w:t>* nm - not meaningful</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2019, revenue increased $12.6 million, or 0.7%, from the comparable period. Results included organic revenue growth of 2.9% led by our Fluids and Engineered Systems segments and acquisition-related revenue growth of 0.8% from our Fluids segment. This growth was partially offset by an unfavorable impact from foreign currency translation of 2.5% and a 0.5% impact from dispositions within the Fluids segment. Customer pricing favorably impacted revenue by approximately 1.2% in the second quarter of 2019.</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six months ended June 30, 2019 increased $99.7 million, or 2.9%, from the comparable period. The increase primarily reflects organic revenue growth of 5.5%, led by our Fluids and Engineered Systems segments and acquisition-related growth of 0.7% from our Fluids segment. This growth was partially offset by an unfavorable impact from foreign currency translation of 3.0% and a 0.3% impact from dispositions within the Fluids segment. Customer pricing favorably impacted revenue by approximately 1.2% for the six months ended June 30,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for the three months ended June 30, 2019 increased $7.4 million, or 1.1%, from the comparable period, primarily due to pricing initiatives and benefits from productivity initiatives and rightsizing actions, partially offset by increased material</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unfavorable business and regional mix. Gross profit margin remained relatively flat for the three months ended June 30, 2019 from the comparable period.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for the six months ended June 30, 2019 increased $28.1 million, or 2.2%, from the comparable period, primarily due to organic revenue growth of 5.5%, benefits from productivity initiatives and rightsizing actions, partially offset by increased material costs and unfavorable business and regional mix. Gross profit margin decreased by 20 basis points for the six months ended June 30, 2019 from the comparable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three months ended June 30, 2019 decreased $32.1 million, or 7.5%, from the comparable period, primarily due to the of benefits from rightsizing actions started in 2018. As a percentage of revenue, selling, general and administrative expenses decreased 190 basis points to 21.9%, reflecting the leverage of costs on a higher revenue base and the decrease in expenses.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six months ended June 30, 2019 decreased $58.7 million, or 6.8%, from the comparable period, reflecting the benefits from rightsizing actions started in 2018. Selling, general and administrative expenses as a percentage of revenue improved 230 basis points as compared to the prior year comparable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$35.2 million and $35.4 million for the three months ended June 30, 2019 and 2018, respectively, and $69.9 million and $71.2 million, for the six months ended June 30, 2019 and 2018, respectively. These costs as a percent of revenue were 1.9% and 2.0% for the three months ended June 30, 2019 and 2018, respectively, and 2.0% and 2.1% for the six months ended June 30, 2019 and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assets held for sale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a definitive agreement to sell Finder for total consideration of approximately $23.6 million net of estimated selling costs. As of March 31, 2019, Finder met the criteria to be classified as held for sale and based on the total consideration from the sale, net of selling costs, the Company recorded a loss on the assets held for sale of $46.9 million. The loss was comprised of an impairment on assets held for sale of $21.6 million and foreign currency translation losses reclassified from accumulated other comprehensive losses to current earnings of $25.3 million. The Company subsequently sold Finder on April 2, 2019 to Aturia, which generated total cash proceeds of $24.2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effective tax rates for the three months ended June 30, 2019 and 2018 were 20.7% and 21.3%, respectively. The decrease in the effective tax rate for the three months ended June 30, 2019 relative to the prior comparable period was principally due to changes in tax law and, to a lesser extent, discrete tax items.</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effective tax rates for the six months ended June 30, 2019 and 2018 were 21.7% and 20.2%, respectively. The increase in the effective tax rate for the six months ended June 30, 2019 relative to the prior comparable period is primarily driven by the exclusion of capital losses on the sale of Finder under local tax law partially offset by the impact of changes in tax law.</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discrete items for the three months ended June 30, 2019 and 2018 primarily resulted from the net tax benefit from stock exercises and favorable audit settlements. The discrete items for the six months ended June 30, 2019 primarily resulted from the benefit of stock exercises and favorable audit settlements partially offset by the exclusion of capital losses on the sale of Finder under local tax law. The discrete items for the six months ended June 30, 2018 primarily resulted from the benefit of stock exercises and favorable audit settlements.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$11.9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Earnings from continuing operations for the three months ended June 30, 2019 increased 19.0% to $198.1 million, or $1.35 diluted earnings per share, from $166.5 million, or $1.08 diluted earnings per share, from the comparable period. The increase in earnings from continuing operations was mainly attributable to pricing initiatives, volume leverage, productivity actions and benefits from rightsizing actions. These benefits were partially offset by increased material costs, as well as unfavorable business and regional mix and unfavorable foreign currency translation.</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Earnings from continuing operations for the six months ended June 30, 2019 increased 10.1% to $303.8 million, or $2.07 diluted earnings per share, from $275.9 million, or $1.77 diluted earnings per share from the comparable period. Excluding the $46.9 million loss on sale of assets held for sale for Finder, earnings from continuing operations increased by $350.7 million or 27.1% or $2.39 diluted earnings per share. This increase in earnings from continuing operations was principally attributable to pricing initiatives, volume leverage, productivity actions and benefits from rightsizing actions started in 2018. These benefits were partially offset by increased material costs, as well as unfavorable business and regional mix and unfavorable foreign currency translation.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2019, there were no earnings or losses presented as discontinued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2018, the historical results of Apergy were presented as discontinued operations as the spin-off on May 9, 2018 represented a strategic shift in operations with a major impact on our operations and financial results. For the three and six months ended June 30, 2018, losses from discontinued operations were $26.5 million and $4.5 million, respectively, which included costs incurred by Dover to complete the spin-off of Apergy amounting to $34.6 million and $46.4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three reportable operating segments (Engineered Systems, Fluids, and Refrigeration &amp; Food Equipment). Each of these segments is comprised of various product and service offerings that serve multiple end markets. See Note 18 —Segment Information in the Condensed Consolidated Financial Statements in Item 1 of this Form 10-Q for a reconciliation of segment revenue, earnings and margin to our consolidated revenue, earnings from continuing operations and margin. For further information, see "Non-GAAP Disclosures" at the end of this Item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gridSpan w:val="6"/>
          </w:tcPr>
          <w:p>
            <w:pPr>
              <w:jc w:val="right"/>
              <w:ind w:right="83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6"/>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0"/>
                <w:szCs w:val="20"/>
                <w:color w:val="auto"/>
              </w:rPr>
            </w:pPr>
          </w:p>
        </w:tc>
      </w:tr>
      <w:tr>
        <w:trPr>
          <w:trHeight w:val="27"/>
        </w:trPr>
        <w:tc>
          <w:tcPr>
            <w:tcW w:w="31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278,813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299,834</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560,899</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582,356</w:t>
            </w:r>
          </w:p>
        </w:tc>
        <w:tc>
          <w:tcPr>
            <w:tcW w:w="1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417,688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822,793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792,259</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696,501</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702,989</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1,383,692</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1,374,615</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3"/>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131,770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126,649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4.0 %</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254,844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228,715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145,852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267,157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276,402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306,770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557,060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591,207</w:t>
            </w: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70"/>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412,780</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799,967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879,502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661,583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719,550</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1,357,027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1,470,709</w:t>
            </w: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7"/>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43"/>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119,967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137,019</w:t>
            </w: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372,525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509,544</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3"/>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w w:val="93"/>
              </w:rPr>
              <w:t>Components of revenue (decline) growth:</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89"/>
        </w:trPr>
        <w:tc>
          <w:tcPr>
            <w:tcW w:w="3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2019 Compared to the Second Quarter 2018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Engineered Systems revenue for the second quarter of 2019 decreased $6.5 million, or 0.9%, as compared to the second quarter of 2018, comprised of organic growth of 1.7% offset by an unfavorable impact from foreign currency translation of 2.6%. Customer pricing favorably impacted revenue by approximately 1.9% in the second quarter of 2019.</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30"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Printing &amp; Identification revenue (representing 40.0% of segment revenue) decreased $21.0 million, or 7.0%, as compared to the prior year quarter. The decrease was primarily driven by an organic revenue decline of 3.2% along with an unfavorable impact from foreign currency translation of 3.8%. The organic revenue decline was a result of expected lower volumes in digital printing due to reduced activity ahead of a major industry trade show partially offset by growth in marking and coding.</w:t>
      </w:r>
    </w:p>
    <w:p>
      <w:pPr>
        <w:spacing w:after="0" w:line="21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Industrials revenue (representing 60.0% of segment revenue) increased $14.5 million, or 3.6%, as compared to the prior year quarter. The increase was primarily driven by organic revenue growth of 5.3% partially offset by an unfavorable impact of foreign currency translation of 1.7%. Organic revenue growth was driven principally by strong activity in refuse truck and digital solutions product lines in our environmental solutions business, as well as growth in our vehicle service business, partially offset by challenging conditions for our industrial clamp business and timing of shipments at our defense business.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Engineered Systems segment earnings increased $5.1 million, or 4.0%, compared to the second quarter of 2018. This increase was primarily driven by pricing actions and productivity initiatives including the benefits from rightsizing actions and cost reduction initiatives across both platforms. These benefits more than offset increases in material costs, driven by U.S. Section 232 tariffs, most notably commodity cost increases impacting steel, U.S. Section 301 tariffs, unfavorable foreign currency translation, and the non-recurrence of a net benefit from an earn-out reversal in the prior year of $2.8 million related to a previous acquisition. Segment margins increased 90 basis points to 18.9% from 18.0% as compared to the prior year quarter.</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decreased 8.1% for the segment, including an organic decline of 5.5% and an unfavorable impact of 2.6% from foreign currency translation. Our Printing &amp; Identification bookings decreased 9.9% compared to the prior year quarter, with an organic decline of 6.1% primarily due to expected slower activity ahead of a major trade show in our digital printing business and also due to reduced activity in Asia in marking and coding, along with the impact from unfavorable foreign currency translation of 3.8%. Bookings in our Industrials platform decreased 6.7%, compared to the prior year quarter, resulting in an organic decline of 5.0% as our environmental solutions business continued to ship products against record customer bookings from 2018 and some industrial businesses saw slower activity in Europe, along with the unfavorable impact of foreign currency translation of 1.7%. Segment book-to-bill was 0.95.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the Six Months Ended June 30,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Systems revenue for the six months ended June 30, 2019 increased $9.1 million, or 0.7%, compared to the prior year comparable period. This was comprised of 3.7% organic revenue growth offset by an unfavorable impact from foreign currency translation of 3.0%. Organic revenue growth was driven by strong activity in our environmental solutions business, along with growth in our marking and coding business. Customer pricing favorably impacted revenue by approximately 1.8% for the six months ended June 30, 2019.</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Segment earnings for the six months ended June 30, 2019 increased $26.1 million, or 11.4% as compared to the 2018 period. This increase was primarily driven by solid conversion on organic volume growth, favorable pricing and productivity initiatives including the benefits of rightsizing actions and cost reduction initiatives across both platforms. These benefits were partially offset by increases in material costs primarily driven by U.S. Section 232 tariffs, most notably commodity cost increases impacting steel, U.S. Section 301 tariffs, unfavorable foreign currency translation, and the non-recurrence of a net benefit from an earn-out reversal from a previous acquisition in the prior year. Segment margin increased from 16.6% to 18.4% as compared to the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6"/>
          </w:tcPr>
          <w:p>
            <w:pPr>
              <w:jc w:val="right"/>
              <w:ind w:right="63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6"/>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0"/>
                <w:szCs w:val="20"/>
                <w:color w:val="auto"/>
              </w:rPr>
            </w:pPr>
          </w:p>
        </w:tc>
      </w:tr>
      <w:tr>
        <w:trPr>
          <w:trHeight w:val="27"/>
        </w:trPr>
        <w:tc>
          <w:tcPr>
            <w:tcW w:w="31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Fueling &amp; Transport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390,586</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363,355</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763,636</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682,659</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Pumps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335,615</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Process Solutions</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157,005</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314,969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303,490</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r>
      <w:tr>
        <w:trPr>
          <w:trHeight w:val="284"/>
        </w:trPr>
        <w:tc>
          <w:tcPr>
            <w:tcW w:w="3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693,666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1,321,764</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3"/>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7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93,028</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160,376</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164,061</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128,009</w:t>
            </w:r>
          </w:p>
        </w:tc>
        <w:tc>
          <w:tcPr>
            <w:tcW w:w="1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28.2 %</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251,708</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229,806</w:t>
            </w:r>
          </w:p>
        </w:tc>
        <w:tc>
          <w:tcPr>
            <w:tcW w:w="1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9.5 %</w:t>
            </w:r>
          </w:p>
        </w:tc>
      </w:tr>
      <w:tr>
        <w:trPr>
          <w:trHeight w:val="27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35,146</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34,981</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70,572</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69,430</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737,340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1,482,947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1,440,801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564,603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564,959</w:t>
            </w:r>
          </w:p>
        </w:tc>
        <w:tc>
          <w:tcPr>
            <w:tcW w:w="1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89"/>
        </w:trPr>
        <w:tc>
          <w:tcPr>
            <w:tcW w:w="3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firstLine="8"/>
        <w:spacing w:after="0"/>
        <w:tabs>
          <w:tab w:leader="none" w:pos="171"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Excluding a loss on assets held for sale for Finder, segment earnings was $228,082 and $160,376 for the six months ended June 30, 2019 and 2018, respectively. Segment margin was 15.9% and 12.1% for the six months ended June 30, 2019 and 2018, respectively.</w:t>
      </w:r>
    </w:p>
    <w:p>
      <w:pPr>
        <w:spacing w:after="0" w:line="1" w:lineRule="exact"/>
        <w:rPr>
          <w:rFonts w:ascii="Arial" w:cs="Arial" w:eastAsia="Arial" w:hAnsi="Arial"/>
          <w:sz w:val="19"/>
          <w:szCs w:val="19"/>
          <w:color w:val="auto"/>
          <w:vertAlign w:val="superscript"/>
        </w:rPr>
      </w:pPr>
    </w:p>
    <w:p>
      <w:pPr>
        <w:ind w:firstLine="8"/>
        <w:spacing w:after="0" w:line="234" w:lineRule="auto"/>
        <w:tabs>
          <w:tab w:leader="none" w:pos="169"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Excluding a loss on assets held for sale for Finder, segment EBITDA was $298,654 and $229,806 for the six months ended June 30, 2019 and 2018, respectively. Segment EBITDA margin was 20.8% and 17.4% for the six months ended June 30, 2019 and 2018,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2019 Compared to the Second Quarter 2018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Fluids revenue for the second quarter of 2019 increased $35.8 million, or 5.2%, comprised of organic growth of 7.5% and acquisition-related growth of 2.1%, partially offset by an unfavorable impact from foreign currency translation of 3.0% and a 1.4% impact from dispositions. Customer pricing favorably impacted revenue by approximately 1.2% in the second quarter of 2019.</w:t>
      </w:r>
    </w:p>
    <w:p>
      <w:pPr>
        <w:spacing w:after="0" w:line="208" w:lineRule="exact"/>
        <w:rPr>
          <w:sz w:val="20"/>
          <w:szCs w:val="20"/>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Fueling &amp; Transport revenue (representing 53.5% of segment revenue) increased $27.2 million, or 7.5%, as compared to the prior year quarter. Growth was driven by an 8.3% organic increase primarily due to continued strong international retail fueling activity, specifically in the Asia Pacific region, strong dispenser growth in North America, and the acquisition of Belanger, Inc. ("Belanger"). Transport revenue improved over the prior year and the rail business experienced strong growth, in part, due to softer volumes experienced in the prior year quarter and the continued rebound of aftermarket volumes.</w:t>
      </w:r>
    </w:p>
    <w:p>
      <w:pPr>
        <w:spacing w:after="0" w:line="21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Pumps revenue (representing 24.2% of segment revenue) increased $3.3 million, or 1.9%, as compared to the prior year quarter. This increase reflects organic growth of 7.4% driven by strong activity in industrial markets, specifically biopharma and thermal management, that continue to trend positively.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60" w:hanging="328"/>
        <w:spacing w:after="0" w:line="286"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Process Solutions revenue (representing 22.3% of segment revenue) increased $5.2 million, or 3.3%, as compared to the prior year quarter. This revenue increase was driven by organic growth of 5.9% supported by continued strong demand from our original equipment manufacturer ("OEM") customers for rotating equipment components and pump and equipment for plastics and polymer production.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Fluids segment earnings increased $35.9 million, or 38.6%, over the prior year quarter. The increase was driven by pricing initiatives, volume leverage, productivity actions and benefits of selling, general and administrative cost reduction realized. These benefits were partially offset by increased material costs along with unfavorable product and regional mix. Segment margin increased 430 basis points over the prior year quarter.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bookings increased 4.4% as compared to the prior year quarter, driven by an increase of 7.0% principally in our Pumps and Process Solutions end markets. Segment book to bill was 1.06.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the Six Months Ended June 30,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Fluids segment revenue increased $110.9 million, or 8.4%, as compared to the six months ended June 30, 2018, attributable to organic growth of 11.1% and acquisition-related growth of 1.7%, partially offset by an unfavorable impact from foreign currency translation of 3.6% and a 0.8% impact from dispositions. The organic growth was principally driven by Fueling and Transport. Customer pricing favorably impacted revenue by approximately 1.1% for the six months ended June 30, 2019.</w:t>
      </w:r>
    </w:p>
    <w:p>
      <w:pPr>
        <w:spacing w:after="0" w:line="1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Fluids segment earnings increased $20.8 million, or 12.9%, for the six months ended June 30, 2019. Excluding the loss on assets held for sale for Finder in the first quarter, segment earnings increased $67.7 million predominantly driven by pricing initiatives, volume leverage, productivity actions and benefits of selling, general and administrative cost reduction realized. These benefits were partially offset by increased material costs along with unfavorable product and regional mix. Excluding the previously mentioned loss on assets held for sale, segment margin improved 380 basis points over the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Refrigeration &amp; Food Equipment segment is a provider of innovative and energy efficient equipment and systems serving the commercial refrigeration and food equipment end 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gridSpan w:val="6"/>
          </w:tcPr>
          <w:p>
            <w:pPr>
              <w:jc w:val="right"/>
              <w:ind w:right="8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6"/>
          </w:tcPr>
          <w:p>
            <w:pPr>
              <w:jc w:val="right"/>
              <w:ind w:right="9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1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3160" w:type="dxa"/>
            <w:vAlign w:val="bottom"/>
            <w:gridSpan w:val="2"/>
          </w:tcPr>
          <w:p>
            <w:pPr>
              <w:ind w:left="360"/>
              <w:spacing w:after="0"/>
              <w:rPr>
                <w:sz w:val="20"/>
                <w:szCs w:val="20"/>
                <w:color w:val="auto"/>
              </w:rPr>
            </w:pPr>
            <w:r>
              <w:rPr>
                <w:rFonts w:ascii="Arial" w:cs="Arial" w:eastAsia="Arial" w:hAnsi="Arial"/>
                <w:sz w:val="18"/>
                <w:szCs w:val="18"/>
                <w:color w:val="auto"/>
              </w:rPr>
              <w:t>Refrigeration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313,578</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330,232</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591,176</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608,887</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Food Equipment</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131,114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385,474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401,766</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720,117</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740,001</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3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Segment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44,375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51,372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69,182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80,554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Segment EBITDA margin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3160" w:type="dxa"/>
            <w:vAlign w:val="bottom"/>
            <w:gridSpan w:val="2"/>
          </w:tcPr>
          <w:p>
            <w:pPr>
              <w:ind w:left="460"/>
              <w:spacing w:after="0"/>
              <w:rPr>
                <w:sz w:val="20"/>
                <w:szCs w:val="20"/>
                <w:color w:val="auto"/>
              </w:rPr>
            </w:pPr>
            <w:r>
              <w:rPr>
                <w:rFonts w:ascii="Arial" w:cs="Arial" w:eastAsia="Arial" w:hAnsi="Arial"/>
                <w:sz w:val="18"/>
                <w:szCs w:val="18"/>
                <w:color w:val="auto"/>
              </w:rPr>
              <w:t>Bookings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384,365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428,816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761,363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801,517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Backlog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Components of revenue decline: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gridSpan w:val="2"/>
          </w:tcPr>
          <w:p>
            <w:pPr>
              <w:ind w:left="460"/>
              <w:spacing w:after="0"/>
              <w:rPr>
                <w:sz w:val="20"/>
                <w:szCs w:val="20"/>
                <w:color w:val="auto"/>
              </w:rPr>
            </w:pPr>
            <w:r>
              <w:rPr>
                <w:rFonts w:ascii="Arial" w:cs="Arial" w:eastAsia="Arial" w:hAnsi="Arial"/>
                <w:sz w:val="18"/>
                <w:szCs w:val="18"/>
                <w:color w:val="auto"/>
              </w:rPr>
              <w:t>Organic decline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1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2019 Compared to the Second Quarter 2018</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Refrigeration &amp; Food Equipment revenue decreased $16.3 million, or 4.1%, as compared to the second quarter of 2018, reflecting organic revenue decline of 2.8% and an unfavorable impact from foreign currency translation of 1.3%. Customer pricing did not have a significant impact on revenue in the second quarter of 2019.</w:t>
      </w:r>
    </w:p>
    <w:p>
      <w:pPr>
        <w:spacing w:after="0" w:line="208" w:lineRule="exact"/>
        <w:rPr>
          <w:sz w:val="20"/>
          <w:szCs w:val="20"/>
          <w:color w:val="auto"/>
        </w:rPr>
      </w:pPr>
    </w:p>
    <w:p>
      <w:pPr>
        <w:jc w:val="both"/>
        <w:ind w:left="6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Refrigeration revenue (representing 81.3% of segment revenue) decreased $16.7 million, or 5.0%, as compared to the prior year quarter, reflecting an organic revenue decline of 3.5% and an unfavorable impact of foreign currency translation of 1.5%. The organic decline offset growth in the door case product line in commercial refrigeration, and was principally a result of reduced demand for heat exchanger products, most notably in Asia, as well as timing of remodel projects and fewer store openings in commercial refrigeration.</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Food Equipment revenue (representing 18.7% of segment revenue) increased $0.4 million, or 0.5%, as compared to the prior year quarter, reflecting organic growth of 0.4% with modest growth in both our can-shaping equipment and foodservice equipment businesses, with the latter facing a challenging comparison with the same period of 2018 when several store roll-out projects were executed.</w:t>
      </w:r>
    </w:p>
    <w:p>
      <w:pPr>
        <w:spacing w:after="0" w:line="11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Refrigeration &amp; Food Equipment segment earnings decreased $7.0 million, or 13.6%, as compared to the second quarter of 2018. Segment margin decreased to 11.5% from 12.8% in the prior year quarter due to lower volumes in heat exchanger and refrigeration systems, volume ramp costs in the door case product line, as well as an unfavorable impact of foreign exchange, partially offset by improved productivity and benefits from prior year restructuring actions.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Bookings in the second quarter of 2019 decreased 10.4% (organic decline of 10.1%) from the prior year quarter driven by slower activity in some product lines in retail refrigeration as well as continued deferral of projects in our can-shaping equipment business. Segment book to bill for the second quarter of 2019 was 1.00. Backlog increased 0.3% over the prior year quarter due to increases in our heat exchanger and can-shaping equipment businesses.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the Six Months Ended June 30,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Refrigeration &amp; Food Equipment segment revenue decreased $19.9 million, or 2.7%, compared to the six months ended June 30, 2018, reflecting an organic revenue decline of 1.2% and an unfavorable foreign currency translation of 1.5%. The organic revenue decrease for the six months ended June 30, 2019 was driven primarily by softer heat exchanger and U.S. retail refrigeration market activity. Customer pricing did not have a significant impact on revenue for the six months ended June 30, 2019.</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Refrigeration &amp; Food Equipment segment earnings decreased $11.4 million, or 14.1%, for the six months ended June 30, 2019, as compared to the prior year period. Segment margin decreased to 9.6% from 10.9% in the prior year period due to reduced volumes and unfavorable business mix, partially offset by improved productivity and benefits from prior year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 while managing our capital structure on a short and long-term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w w:val="99"/>
              </w:rPr>
              <w:t>The following table is derived from our Condensed Consolidated Statements of Cash Flows:</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4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7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Continuing Operations </w:t>
            </w:r>
            <w:r>
              <w:rPr>
                <w:rFonts w:ascii="Arial" w:cs="Arial" w:eastAsia="Arial" w:hAnsi="Arial"/>
                <w:sz w:val="18"/>
                <w:szCs w:val="18"/>
                <w:i w:val="1"/>
                <w:iCs w:val="1"/>
                <w:color w:val="auto"/>
              </w:rPr>
              <w:t>(in thousands)</w:t>
            </w: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233,233</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730"/>
              <w:spacing w:after="0"/>
              <w:rPr>
                <w:sz w:val="20"/>
                <w:szCs w:val="20"/>
                <w:color w:val="auto"/>
              </w:rPr>
            </w:pPr>
            <w:r>
              <w:rPr>
                <w:rFonts w:ascii="Arial" w:cs="Arial" w:eastAsia="Arial" w:hAnsi="Arial"/>
                <w:sz w:val="18"/>
                <w:szCs w:val="18"/>
                <w:color w:val="auto"/>
                <w:w w:val="92"/>
              </w:rPr>
              <w:t>174,740</w:t>
            </w:r>
          </w:p>
        </w:tc>
      </w:tr>
      <w:tr>
        <w:trPr>
          <w:trHeight w:val="27"/>
        </w:trPr>
        <w:tc>
          <w:tcPr>
            <w:tcW w:w="7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90"/>
              </w:rPr>
              <w:t>(174,203)</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(24,529)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center"/>
              <w:ind w:left="710"/>
              <w:spacing w:after="0"/>
              <w:rPr>
                <w:sz w:val="20"/>
                <w:szCs w:val="20"/>
                <w:color w:val="auto"/>
              </w:rPr>
            </w:pPr>
            <w:r>
              <w:rPr>
                <w:rFonts w:ascii="Arial" w:cs="Arial" w:eastAsia="Arial" w:hAnsi="Arial"/>
                <w:sz w:val="18"/>
                <w:szCs w:val="18"/>
                <w:color w:val="auto"/>
                <w:w w:val="90"/>
              </w:rPr>
              <w:t>(516,837)</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the six months ended June 30, 2019 increased approximately $58.5 million compared to the comparable period in 2018. This increase was primarily driven by higher continuing earnings before the impact of depreciation, amortization and loss on sale of assets. The increase was partially offset by higher investments in working capital of $35.2 million relative to the prior year primarily due to continued higher revenues during the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300" w:type="dxa"/>
            <w:vAlign w:val="bottom"/>
          </w:tcPr>
          <w:p>
            <w:pPr>
              <w:spacing w:after="0"/>
              <w:rPr>
                <w:sz w:val="22"/>
                <w:szCs w:val="22"/>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2"/>
                <w:szCs w:val="22"/>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44"/>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1,231,859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849,266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748,796</w:t>
            </w:r>
          </w:p>
        </w:tc>
      </w:tr>
      <w:tr>
        <w:trPr>
          <w:trHeight w:val="27"/>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960,432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969,531</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1,177,589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1,011,124</w:t>
            </w: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working capital increased from December 31, 2018 by $166.5 million, or 16.5%, to $1.2 billion at June 30, 2019, which reflected an increase of $56.9 million in accounts receivable and an increase of $100.5 million in inventory, partially offset by a decrease in accounts payable of $9.1 million. Excluding acquisitions, dispositions, and the effects of foreign currency translation, adjusted working capital increased by $163.9 million, or 16.2%, for the six months ended June 30, 2019 primarily driven by higher investments in working capital to support strong sales during the period, and, with respect to inventory, to also support anticipated solid shipping activity in the third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or used in investing activities generally results from cash outflows for capital expenditures and acquisitions, offset by proceeds from sales of businesses and property, plant and equipment. For the six months ended June 30, 2019 and 2018, we used cash in investing activities of $287.4 million and $174.2 million, respectively, driven mainly by the following factors:</w:t>
      </w:r>
    </w:p>
    <w:p>
      <w:pPr>
        <w:spacing w:after="0" w:line="208" w:lineRule="exact"/>
        <w:rPr>
          <w:sz w:val="20"/>
          <w:szCs w:val="20"/>
          <w:color w:val="auto"/>
        </w:rPr>
      </w:pPr>
    </w:p>
    <w:p>
      <w:pPr>
        <w:jc w:val="both"/>
        <w:ind w:left="660" w:hanging="328"/>
        <w:spacing w:after="0" w:line="312" w:lineRule="auto"/>
        <w:tabs>
          <w:tab w:leader="none" w:pos="655"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the six months ended June 30, 2019, we acquired Belanger and All-Flo within the Fluids segment, for $175.3 million and $40.0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net of cash acquired, respectively. During the six months ended June 30, 2018, we acquired Ettlinger, within the Fluids segment, for $53.2 million, net of cash acquired, and Rosario, within the Refrigeration &amp; Food Equipment segment, for $15.3 million, net of cash acquired.</w:t>
      </w:r>
    </w:p>
    <w:p>
      <w:pPr>
        <w:spacing w:after="0" w:line="173"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Our capital expenditures decreased $5.3 million during the six months ended June 30, 2019 compared to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60" w:hanging="328"/>
        <w:spacing w:after="0" w:line="264"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For the six months ended June 30, 2019, we received proceeds of $24.2 million from the sale of Finder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2019. For the six months ended June 30, 2018, we generated cash of $2.1 million primarily from the sale of a small business in the fourth quarter of 2017.</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that capital expenditures and any acquisitions we make through the remainder of 2019 will be funded from available cash and internally generated funds and through the issuance of commercial paper, use of established lines of credit or public or private debt or equity markets, as necessary.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flow from financing activities generally relates to the use of cash for the repurchase of our common stock and payments of dividends, offset by net borrowing activity and proceeds from the exercises of share-based awards. For the six months ended June 30, 2019 and 2018, we used cash totaling $24.5 million and $516.8 million, respectively, for financing activities, with the activity primarily attributable to the following:</w:t>
      </w:r>
    </w:p>
    <w:p>
      <w:pPr>
        <w:spacing w:after="0" w:line="208" w:lineRule="exact"/>
        <w:rPr>
          <w:sz w:val="20"/>
          <w:szCs w:val="20"/>
          <w:color w:val="auto"/>
        </w:rPr>
      </w:pPr>
    </w:p>
    <w:p>
      <w:pPr>
        <w:jc w:val="both"/>
        <w:ind w:left="660" w:hanging="328"/>
        <w:spacing w:after="0" w:line="257"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There were no share repurchases during the six months ended June 30, 2019.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used $45.0 million to repurchase 440,608 shares under the January 2015 authorization, which expired on January 9, 2018. In February 2018, our Board of Directors approved a new standing share repurchase authorization, whereby we may repurchase up to 20 million shares of our common stock through December 31, 2020. During the six months ended June 30, 2018, we used $700 million to repurchase a variable number of shares through an accelerated share repurchase transaction.</w:t>
      </w:r>
    </w:p>
    <w:p>
      <w:pPr>
        <w:spacing w:after="0" w:line="215" w:lineRule="exact"/>
        <w:rPr>
          <w:rFonts w:ascii="Arial" w:cs="Arial" w:eastAsia="Arial" w:hAnsi="Arial"/>
          <w:sz w:val="18"/>
          <w:szCs w:val="18"/>
          <w:i w:val="1"/>
          <w:iCs w:val="1"/>
          <w:color w:val="auto"/>
        </w:rPr>
      </w:pPr>
    </w:p>
    <w:p>
      <w:pPr>
        <w:jc w:val="both"/>
        <w:ind w:left="660" w:hanging="328"/>
        <w:spacing w:after="0" w:line="302" w:lineRule="auto"/>
        <w:tabs>
          <w:tab w:leader="none" w:pos="65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debt, commercial paper and notes payable: </w:t>
      </w:r>
      <w:r>
        <w:rPr>
          <w:rFonts w:ascii="Arial" w:cs="Arial" w:eastAsia="Arial" w:hAnsi="Arial"/>
          <w:sz w:val="16"/>
          <w:szCs w:val="16"/>
          <w:color w:val="auto"/>
        </w:rPr>
        <w:t>During the six months ended June 30, 2019, we received net proceeds from commercial paper</w:t>
      </w:r>
      <w:r>
        <w:rPr>
          <w:rFonts w:ascii="Arial" w:cs="Arial" w:eastAsia="Arial" w:hAnsi="Arial"/>
          <w:sz w:val="16"/>
          <w:szCs w:val="16"/>
          <w:i w:val="1"/>
          <w:iCs w:val="1"/>
          <w:color w:val="auto"/>
        </w:rPr>
        <w:t xml:space="preserve"> </w:t>
      </w:r>
      <w:r>
        <w:rPr>
          <w:rFonts w:ascii="Arial" w:cs="Arial" w:eastAsia="Arial" w:hAnsi="Arial"/>
          <w:sz w:val="16"/>
          <w:szCs w:val="16"/>
          <w:color w:val="auto"/>
        </w:rPr>
        <w:t>and notes payable of $137.4 million primarily to fund the acquisitions of Belanger and All-Flo. During the six months ended June 30, 2018, commercial paper and notes payable increased by $53.6 million to partially fund the repayment of the Company's $350.0 million 5.45% notes, which matured on March 15, 2018, offset by a decrease in net borrowings from commercial paper paid down by cash repatriated to the U.S.</w:t>
      </w:r>
    </w:p>
    <w:p>
      <w:pPr>
        <w:spacing w:after="0" w:line="181" w:lineRule="exact"/>
        <w:rPr>
          <w:rFonts w:ascii="Arial" w:cs="Arial" w:eastAsia="Arial" w:hAnsi="Arial"/>
          <w:sz w:val="16"/>
          <w:szCs w:val="16"/>
          <w:i w:val="1"/>
          <w:iCs w:val="1"/>
          <w:color w:val="auto"/>
        </w:rPr>
      </w:pPr>
    </w:p>
    <w:p>
      <w:pPr>
        <w:jc w:val="both"/>
        <w:ind w:left="66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Dividend payments: </w:t>
      </w:r>
      <w:r>
        <w:rPr>
          <w:rFonts w:ascii="Arial" w:cs="Arial" w:eastAsia="Arial" w:hAnsi="Arial"/>
          <w:sz w:val="17"/>
          <w:szCs w:val="17"/>
          <w:color w:val="auto"/>
        </w:rPr>
        <w:t>Dividends paid to shareholders during the six months ended June 30, 2019 totaled $139.7 million as compared to $142.3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same period in 2018. Our dividends paid per common share increased 2.0% to $0.96 during the six months ended June 30, 2019 compared to $0.94 during the same period in 2018. The number of common shares outstanding decreased during the six months ended June 30, 2019 compared to the same period in 2018 as a result of share buyback programs completed in 2018.</w:t>
      </w:r>
    </w:p>
    <w:p>
      <w:pPr>
        <w:spacing w:after="0" w:line="19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 based awards remained flat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w:t>
      </w:r>
    </w:p>
    <w:p>
      <w:pPr>
        <w:spacing w:after="0" w:line="197"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Cash received from Apergy, net of cash distributed: </w:t>
      </w:r>
      <w:r>
        <w:rPr>
          <w:rFonts w:ascii="Arial" w:cs="Arial" w:eastAsia="Arial" w:hAnsi="Arial"/>
          <w:sz w:val="18"/>
          <w:szCs w:val="18"/>
          <w:color w:val="auto"/>
        </w:rPr>
        <w:t>In 2018, in connection with the separation of Apergy from Dover, Apergy incurred borrowings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a one-time cash payment of $700.0 million to Dover in connection with Dover's contribution to Apergy of stock and assets relating to the businesses spun off with Apergy. Dover received net cash of $689.6 million upon separation, which reflects $10.4 million of cash held by Apergy at the time of distribution and retained by it in in connection with its separation from Dover.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Discontinued Operations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cash flows from discontinued operations for the six months ended June 30, 2018 used $4.4 million. These cash flows reflect the operating results of Apergy prior to its separation during the second quarter. Cash flow used in discontinued operations for the six months ended June 30, 2018 primarily reflects cash payments of spin-off costs of $46.0 million and capital expenditures, partially offset by cash provided by operations of approximately $65.3 million.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7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174,740</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(91,092)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(96,364)</w:t>
            </w:r>
          </w:p>
        </w:tc>
      </w:tr>
      <w:tr>
        <w:trPr>
          <w:trHeight w:val="27"/>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142,141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7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2019, we generated free cash flow of $142.1 million, representing 4.0% of revenue. Free cash flow for the six months ended June 30, 2019 increased $63.8 million compared to the prior year period, primarily due to higher cash flow provided by operations, as previously noted, as well as lower capital expenditures. The adoption of Accounting Standard Codification Topic 842 - Leases on January 1, 2019 did not did not materially impact free cash flow.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commercial paper borrowings for general corporate purposes, including the funding of acquisitions and the repurchase of our common stock. We maintain a $1.0 billion, five-year, unsecured committed revolving credit facility (the "Credit Agreement") with a syndicate of banks which will expire on November 10, 2020. The Credit Agreement is used as liquidity back-up for our commercial paper program. We have not drawn down any loans under the Credit Agreement nor do we anticipate doing so. Under the Credit Agreement, we are required to pay a facility fee and to maintain an interest coverage ratio of consolidated EBITDA to consolidated net interest expense of not less than 3.0 to 1.0. We were in compliance with this covenant and our other long-term debt covenants at June 30, 2019 and had a coverage ratio of 10.0 to 1.0. We are not aware of any potential impairment to our liquidity and expect to remain in compliance with all of our debt covenants.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2019, our cash and cash equivalents totaled $321.3 million, of which $292.2 million was held outside the United States. At December 31, 2018, our cash and cash equivalents totaled $396.2 million, of which $247.5 million was held outside the United States. Cash and cash equivalents are invested in highly liquid investment-grade money market instruments and bank deposits with maturities of three months or less. We regularly invest cash in excess of near-term requirements in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 xml:space="preserve">Net Debt to Net Capitalization Ratio </w:t>
            </w:r>
            <w:r>
              <w:rPr>
                <w:rFonts w:ascii="Arial" w:cs="Arial" w:eastAsia="Arial" w:hAnsi="Arial"/>
                <w:sz w:val="18"/>
                <w:szCs w:val="18"/>
                <w:i w:val="1"/>
                <w:iCs w:val="1"/>
                <w:color w:val="auto"/>
              </w:rPr>
              <w:t>(dollars in thousands)</w:t>
            </w:r>
          </w:p>
        </w:tc>
        <w:tc>
          <w:tcPr>
            <w:tcW w:w="360" w:type="dxa"/>
            <w:vAlign w:val="bottom"/>
          </w:tcPr>
          <w:p>
            <w:pPr>
              <w:spacing w:after="0"/>
              <w:rPr>
                <w:sz w:val="22"/>
                <w:szCs w:val="22"/>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2019</w:t>
            </w:r>
          </w:p>
        </w:tc>
        <w:tc>
          <w:tcPr>
            <w:tcW w:w="260" w:type="dxa"/>
            <w:vAlign w:val="bottom"/>
          </w:tcPr>
          <w:p>
            <w:pPr>
              <w:spacing w:after="0"/>
              <w:rPr>
                <w:sz w:val="22"/>
                <w:szCs w:val="22"/>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2018</w:t>
            </w:r>
          </w:p>
        </w:tc>
      </w:tr>
      <w:tr>
        <w:trPr>
          <w:trHeight w:val="244"/>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220,318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2,946,493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2,943,660</w:t>
            </w:r>
          </w:p>
        </w:tc>
      </w:tr>
      <w:tr>
        <w:trPr>
          <w:trHeight w:val="27"/>
        </w:trPr>
        <w:tc>
          <w:tcPr>
            <w:tcW w:w="6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3,163,978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(321,326)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(396,221)</w:t>
            </w:r>
          </w:p>
        </w:tc>
      </w:tr>
      <w:tr>
        <w:trPr>
          <w:trHeight w:val="27"/>
        </w:trPr>
        <w:tc>
          <w:tcPr>
            <w:tcW w:w="6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2,767,757</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Add: Stockholders' equity</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2,955,271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2,768,666</w:t>
            </w:r>
          </w:p>
        </w:tc>
      </w:tr>
      <w:tr>
        <w:trPr>
          <w:trHeight w:val="27"/>
        </w:trPr>
        <w:tc>
          <w:tcPr>
            <w:tcW w:w="6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5,536,423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820" w:type="dxa"/>
            <w:vAlign w:val="bottom"/>
          </w:tcPr>
          <w:p>
            <w:pPr>
              <w:ind w:left="20"/>
              <w:spacing w:after="0"/>
              <w:rPr>
                <w:sz w:val="20"/>
                <w:szCs w:val="20"/>
                <w:color w:val="auto"/>
              </w:rPr>
            </w:pPr>
            <w:r>
              <w:rPr>
                <w:rFonts w:ascii="Arial" w:cs="Arial" w:eastAsia="Arial" w:hAnsi="Arial"/>
                <w:sz w:val="18"/>
                <w:szCs w:val="18"/>
                <w:color w:val="auto"/>
              </w:rPr>
              <w:t>Net debt to net capitalization</w:t>
            </w: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50.2 %</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50.0 %</w:t>
            </w:r>
          </w:p>
        </w:tc>
      </w:tr>
      <w:tr>
        <w:trPr>
          <w:trHeight w:val="21"/>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debt to net capitalization ratio remained flat at June 30, 2019 compared to December 31, 2018. Net debt increased $215.1 million during the period primarily due to an increase in commercial paper. Stockholders' equity increased $186.6 million primarily as a result of higher earnings during the period partially offset by dividends paid.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Operating cash flow and access to capital markets are expected to satisfy our various cash flow requirements, including acquisitions and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spending and/or share repurchases could potentially increase our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Part 1, Notes to Condensed Consolidated Financial Statements, Note 21 — Recent Accounting Pronouncements. The adoption of recent accounting standards as included in Note 21 — Recent Accounting Pronouncements in the Condensed Consolidated Financial Statements has not had and is not expected to have a significant impact on our revenue, earnings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Quarterly Report on Form 10-Q, especially "Management’s Discussion and Analysis of Financial Condition and Results of Operations,"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U.S. tax reform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2018. The Company undertakes no obligation to publicly update any forward-looking statement, whether as a result of new information, future events or otherwise.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an effort to provide investors with additional information regarding our results as determined by GAAP, we also disclose non-GAAP information that we believe provides useful information to investors. Segment EBITDA, segment EBITDA margin, free cash flow, net debt, net capitalization, the net debt to net capitalization ratio, adjusted working capital and organic revenue growth are not financial measures under GAAP and should not be considered as a substitute for cash flows from operating activities, debt or equity, earnings, revenue or working capital as determined in accordance with GAAP, and they may not be comparable to similarly titled measures reported by other companies. 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interest and taxes are not allocated at a segment level. Segment EBITDA margin is calculated as segment EBITDA divided by segment revenue.</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the net debt to net capitalization ratio and free cash flow are important measures of liquidity. Net debt to net capitalization is helpful in evaluating our capital structure and the amount of leverage we employ. Free cash flow provides both management and investors a measurement of cash generated from operations that is available to fund acquisitions, pay dividends, repay debt and repurchase our common stock. Reconciliations of free cash flow, net debt and net capitalization can be found above in this Item 2, MD&amp;A. We believe that reporting adjusted working capital, which is calculated as accounts receivable, plus inventory, less accounts payable, provides a meaningful measure of our operational results by showing the changes caused solely by revenue. We believe that reporting organic revenue and organic revenue growth, which exclude the impact of foreign currency exchange rates and the impact of acquisitions and divestitures, provides a useful comparison of our revenue performance and trends between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significant change in our exposure to market risk during the six months ended June 30, 2019. For a discussion of our exposure to market risk, refer to Item 7A, "Quantitative and Qualitative Disclosures about Market Risk," contained in our Annual Report on Form 10-K for the fiscal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June 30, 2019.</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2019, there were no changes in the Company’s internal control over financial reporting that materially affected, or are reasonably likely to materially affect, the Company’s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Notes to Condensed Consolidated Financial Statements, Note 15 — Commitments and Contingent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2018.</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jc w:val="both"/>
        <w:ind w:left="340" w:hanging="332"/>
        <w:spacing w:after="0" w:line="259"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February 2018, the Company's Board of Directors approved a new standing share repurchase authorization, whereby the Company may repurchase up to 20 million shares of its common stock through December 31, 2020. No share repurchases were made under the February 2018 authorization during the three months ended June 30, 2019. As of June 30, 2019, the number of shares still available for repurchase under the February 2018 share repurchase authorization was 9,703,666.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3(1)(a) </w:t>
      </w:r>
      <w:hyperlink r:id="rId13">
        <w:r>
          <w:rPr>
            <w:rFonts w:ascii="Arial" w:cs="Arial" w:eastAsia="Arial" w:hAnsi="Arial"/>
            <w:sz w:val="16"/>
            <w:szCs w:val="16"/>
            <w:u w:val="single" w:color="auto"/>
            <w:color w:val="0000FF"/>
          </w:rPr>
          <w:t>Fifth Restated Certificate of Incorporation of the Company, filed as Exhibit 3(i)(a) to the Company’s Current Report on Form 8-K filed May 7,</w:t>
        </w:r>
      </w:hyperlink>
    </w:p>
    <w:p>
      <w:pPr>
        <w:spacing w:after="0" w:line="8" w:lineRule="exact"/>
        <w:rPr>
          <w:sz w:val="20"/>
          <w:szCs w:val="20"/>
          <w:color w:val="auto"/>
        </w:rPr>
      </w:pPr>
    </w:p>
    <w:p>
      <w:pPr>
        <w:ind w:left="960"/>
        <w:spacing w:after="0"/>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2019 (SEC File No. 001-04018), is incorporated by reference.</w:t>
        </w:r>
      </w:hyperlink>
    </w:p>
    <w:p>
      <w:pPr>
        <w:spacing w:after="0" w:line="169"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49">
        <w:r>
          <w:rPr>
            <w:rFonts w:ascii="Arial" w:cs="Arial" w:eastAsia="Arial" w:hAnsi="Arial"/>
            <w:sz w:val="17"/>
            <w:szCs w:val="17"/>
            <w:u w:val="single" w:color="auto"/>
            <w:color w:val="0000FF"/>
          </w:rPr>
          <w:t>Certification pursuant to Rule 13a-14(a) of the Securities Exchange Act of 1934, as amended, signed and dated by Brad M. Cerepak.</w:t>
        </w:r>
      </w:hyperlink>
    </w:p>
    <w:p>
      <w:pPr>
        <w:spacing w:after="0" w:line="196"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50">
        <w:r>
          <w:rPr>
            <w:rFonts w:ascii="Arial" w:cs="Arial" w:eastAsia="Arial" w:hAnsi="Arial"/>
            <w:sz w:val="17"/>
            <w:szCs w:val="17"/>
            <w:u w:val="single" w:color="auto"/>
            <w:color w:val="0000FF"/>
          </w:rPr>
          <w:t>Certification pursuant to Rule 13a-14(a) of the Securities Exchange Act of 1934, as amended, signed and dated by Richard J. Tobin.</w:t>
        </w:r>
      </w:hyperlink>
    </w:p>
    <w:p>
      <w:pPr>
        <w:spacing w:after="0" w:line="183" w:lineRule="exact"/>
        <w:rPr>
          <w:sz w:val="20"/>
          <w:szCs w:val="20"/>
          <w:color w:val="auto"/>
        </w:rPr>
      </w:pPr>
    </w:p>
    <w:p>
      <w:pPr>
        <w:ind w:left="960" w:right="80" w:hanging="215"/>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w:anchor="page51">
        <w:r>
          <w:rPr>
            <w:rFonts w:ascii="Arial" w:cs="Arial" w:eastAsia="Arial" w:hAnsi="Arial"/>
            <w:sz w:val="18"/>
            <w:szCs w:val="18"/>
            <w:u w:val="single" w:color="auto"/>
            <w:color w:val="0000FF"/>
          </w:rPr>
          <w:t>Certification pursuant to 18 U.S.C. Section 1350, as adopted pursuant to Section 906 of the Sarbanes-Oxley Act of 2002, signed and dated by</w:t>
        </w:r>
      </w:hyperlink>
      <w:r>
        <w:rPr>
          <w:rFonts w:ascii="Arial" w:cs="Arial" w:eastAsia="Arial" w:hAnsi="Arial"/>
          <w:sz w:val="18"/>
          <w:szCs w:val="18"/>
          <w:color w:val="auto"/>
        </w:rPr>
        <w:t xml:space="preserve"> </w:t>
      </w:r>
      <w:hyperlink w:anchor="page51">
        <w:r>
          <w:rPr>
            <w:rFonts w:ascii="Arial" w:cs="Arial" w:eastAsia="Arial" w:hAnsi="Arial"/>
            <w:sz w:val="18"/>
            <w:szCs w:val="18"/>
            <w:u w:val="single" w:color="auto"/>
            <w:color w:val="0000FF"/>
          </w:rPr>
          <w:t>Richard J. Tobin and Brad M. Cerepak.</w:t>
        </w:r>
      </w:hyperlink>
    </w:p>
    <w:p>
      <w:pPr>
        <w:spacing w:after="0" w:line="135" w:lineRule="exact"/>
        <w:rPr>
          <w:sz w:val="20"/>
          <w:szCs w:val="20"/>
          <w:color w:val="auto"/>
        </w:rPr>
      </w:pPr>
    </w:p>
    <w:p>
      <w:pPr>
        <w:ind w:left="960" w:right="180" w:hanging="353"/>
        <w:spacing w:after="0" w:line="25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June 30, 2019 formatted in iXBRL (Inline eXtensible Business Reporting Language): (i) the Condensed Consolidated Statements of Earnings, (ii) the Condensed Consolidated Statements of Comprehensive Earnings, (iii) the Condensed Consolidated Balance Sheets, (iv) the Condensed Consolidated Statement of Stockholders’ Equity, (v) the Condensed Consolidated Statements of Cash Flows, and (vi)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240" w:top="130" w:right="419" w:bottom="1440" w:gutter="0" w:footer="0" w:header="0"/>
        </w:sectPr>
      </w:pPr>
    </w:p>
    <w:bookmarkStart w:id="47" w:name="page48"/>
    <w:bookmarkEnd w:id="4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480" w:type="dxa"/>
            <w:vAlign w:val="bottom"/>
          </w:tcPr>
          <w:p>
            <w:pPr>
              <w:ind w:left="120"/>
              <w:spacing w:after="0"/>
              <w:rPr>
                <w:sz w:val="20"/>
                <w:szCs w:val="20"/>
                <w:color w:val="auto"/>
              </w:rPr>
            </w:pPr>
            <w:r>
              <w:rPr>
                <w:rFonts w:ascii="Arial" w:cs="Arial" w:eastAsia="Arial" w:hAnsi="Arial"/>
                <w:sz w:val="18"/>
                <w:szCs w:val="18"/>
                <w:color w:val="auto"/>
              </w:rPr>
              <w:t>July 18, 2019</w:t>
            </w:r>
          </w:p>
        </w:tc>
        <w:tc>
          <w:tcPr>
            <w:tcW w:w="5340" w:type="dxa"/>
            <w:vAlign w:val="bottom"/>
          </w:tcPr>
          <w:p>
            <w:pPr>
              <w:ind w:left="20"/>
              <w:spacing w:after="0"/>
              <w:rPr>
                <w:sz w:val="20"/>
                <w:szCs w:val="20"/>
                <w:color w:val="auto"/>
              </w:rPr>
            </w:pPr>
            <w:r>
              <w:rPr>
                <w:rFonts w:ascii="Arial" w:cs="Arial" w:eastAsia="Arial" w:hAnsi="Arial"/>
                <w:sz w:val="18"/>
                <w:szCs w:val="18"/>
                <w:color w:val="auto"/>
              </w:rPr>
              <w:t>/s/ Brad M. Cerepak</w:t>
            </w:r>
          </w:p>
        </w:tc>
      </w:tr>
      <w:tr>
        <w:trPr>
          <w:trHeight w:val="27"/>
        </w:trPr>
        <w:tc>
          <w:tcPr>
            <w:tcW w:w="5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480" w:type="dxa"/>
            <w:vAlign w:val="bottom"/>
          </w:tcPr>
          <w:p>
            <w:pPr>
              <w:ind w:left="120"/>
              <w:spacing w:after="0"/>
              <w:rPr>
                <w:sz w:val="20"/>
                <w:szCs w:val="20"/>
                <w:color w:val="auto"/>
              </w:rPr>
            </w:pPr>
            <w:r>
              <w:rPr>
                <w:rFonts w:ascii="Arial" w:cs="Arial" w:eastAsia="Arial" w:hAnsi="Arial"/>
                <w:sz w:val="18"/>
                <w:szCs w:val="18"/>
                <w:color w:val="auto"/>
              </w:rPr>
              <w:t>July 18, 2019</w:t>
            </w:r>
          </w:p>
        </w:tc>
        <w:tc>
          <w:tcPr>
            <w:tcW w:w="5340" w:type="dxa"/>
            <w:vAlign w:val="bottom"/>
          </w:tcPr>
          <w:p>
            <w:pPr>
              <w:ind w:left="20"/>
              <w:spacing w:after="0"/>
              <w:rPr>
                <w:sz w:val="20"/>
                <w:szCs w:val="20"/>
                <w:color w:val="auto"/>
              </w:rPr>
            </w:pPr>
            <w:r>
              <w:rPr>
                <w:rFonts w:ascii="Arial" w:cs="Arial" w:eastAsia="Arial" w:hAnsi="Arial"/>
                <w:sz w:val="18"/>
                <w:szCs w:val="18"/>
                <w:color w:val="auto"/>
              </w:rPr>
              <w:t>/s/ Ryan W. Paulson</w:t>
            </w:r>
          </w:p>
        </w:tc>
      </w:tr>
      <w:tr>
        <w:trPr>
          <w:trHeight w:val="27"/>
        </w:trPr>
        <w:tc>
          <w:tcPr>
            <w:tcW w:w="5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tabs>
          <w:tab w:leader="none" w:pos="660" w:val="left"/>
          <w:tab w:leader="none" w:pos="5720" w:val="left"/>
        </w:tabs>
        <w:rPr>
          <w:sz w:val="20"/>
          <w:szCs w:val="20"/>
          <w:color w:val="auto"/>
        </w:rPr>
      </w:pPr>
      <w:r>
        <w:rPr>
          <w:rFonts w:ascii="Arial" w:cs="Arial" w:eastAsia="Arial" w:hAnsi="Arial"/>
          <w:sz w:val="18"/>
          <w:szCs w:val="18"/>
          <w:color w:val="auto"/>
        </w:rPr>
        <w:t>Date:</w:t>
        <w:tab/>
        <w:t>July 18, 2019</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0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July 18, 2019</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9" w:lineRule="exact"/>
        <w:rPr>
          <w:sz w:val="20"/>
          <w:szCs w:val="20"/>
          <w:color w:val="auto"/>
        </w:rPr>
      </w:pPr>
    </w:p>
    <w:p>
      <w:pPr>
        <w:ind w:left="660" w:right="20" w:hanging="328"/>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2019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48"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18, 2019</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18, 2019</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2"/>
    </w:lvl>
  </w:abstractNum>
  <w:abstractNum w:abstractNumId="6">
    <w:nsid w:val="4E6AFB66"/>
    <w:multiLevelType w:val="hybridMultilevel"/>
    <w:lvl w:ilvl="0">
      <w:lvlJc w:val="left"/>
      <w:lvlText w:val="%1."/>
      <w:numFmt w:val="decimal"/>
      <w:start w:val="15"/>
    </w:lvl>
  </w:abstractNum>
  <w:abstractNum w:abstractNumId="7">
    <w:nsid w:val="25E45D32"/>
    <w:multiLevelType w:val="hybridMultilevel"/>
    <w:lvl w:ilvl="0">
      <w:lvlJc w:val="left"/>
      <w:lvlText w:val="%1."/>
      <w:numFmt w:val="decimal"/>
      <w:start w:val="16"/>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lvl w:ilvl="1">
      <w:lvlJc w:val="left"/>
      <w:lvlText w:val="(%2)"/>
      <w:numFmt w:val="decimal"/>
      <w:start w:val="1"/>
    </w:lvl>
  </w:abstractNum>
  <w:abstractNum w:abstractNumId="10">
    <w:nsid w:val="3F2DBA31"/>
    <w:multiLevelType w:val="hybridMultilevel"/>
    <w:lvl w:ilvl="0">
      <w:lvlJc w:val="left"/>
      <w:lvlText w:val="%1."/>
      <w:numFmt w:val="decimal"/>
      <w:start w:val="19"/>
    </w:lvl>
    <w:lvl w:ilvl="1">
      <w:lvlJc w:val="left"/>
      <w:lvlText w:val="%2"/>
      <w:numFmt w:val="decimal"/>
      <w:start w:val="1"/>
    </w:lvl>
  </w:abstractNum>
  <w:abstractNum w:abstractNumId="11">
    <w:nsid w:val="7C83E458"/>
    <w:multiLevelType w:val="hybridMultilevel"/>
    <w:lvl w:ilvl="0">
      <w:lvlJc w:val="left"/>
      <w:lvlText w:val="%1."/>
      <w:numFmt w:val="decimal"/>
      <w:start w:val="2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0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www.sec.gov/Archives/edgar/data/29905/000119312519139679/d741573dex3i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2019-12-28T10:40:35Z</dcterms:created>
  <dcterms:modified xsi:type="dcterms:W3CDTF">2019-12-28T10:40:35Z</dcterms:modified>
</cp:coreProperties>
</file>